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8B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佳县财政局</w:t>
      </w:r>
    </w:p>
    <w:p w14:paraId="0B610D16">
      <w:pPr>
        <w:pStyle w:val="14"/>
        <w:bidi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 w14:paraId="51FC4DA1">
      <w:pPr>
        <w:pStyle w:val="11"/>
        <w:bidi w:val="0"/>
      </w:pPr>
    </w:p>
    <w:p w14:paraId="0DAA5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ascii="黑体" w:hAnsi="黑体" w:eastAsia="黑体"/>
          <w:color w:val="333333"/>
          <w:shd w:val="clear" w:color="auto" w:fill="FFFFFF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一、总体情况</w:t>
      </w:r>
    </w:p>
    <w:p w14:paraId="5B8DD1F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年以来认真贯彻落实《中华人民共和国政府信息公开条例》，统一思想，强化领导，扎实推进财政部门政府信息公开工作，较好完成了公开任务。</w:t>
      </w:r>
    </w:p>
    <w:p w14:paraId="5C26E7F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1.“三举措”助推预决算公开管理提质增效。 一是以“三个强化”为基础，统筹调度到位。强化组织保障，成立了局长亲自挂帅的预决算公开工作领导小组，并设立一个党小组，专门统筹推进全县预决算公开工作。强化制度保障，先后出台了多项管理制度，进一步规范预决算公开工作。强化管理保障，明确了“各单位主要领导为第一责任人亲自抓，分管领导为具体责任人具体抓，财务人员为直接责任人直接抓”的责任机制。二是以“三个加大”为抓手，宣传督导到位。加大政策宣传力度，利用新闻媒体、电子显示屏等渠道，多层次广泛深入宣传，提高社会各界对预决算公开的知晓度。强化业务指导，安排业务股干，对预算单位进行一对一、一对多的业务指导。加大财政监督力度，成立了专项检查工作组，全覆盖对各预算单位预决算公开情况进行了监督检查。 三是以“两个严格”为突破，工作联动到位。严格考核运用，将预决算公开工作作为全县预算绩效管理工作考核的重点内容。严格问题整改，做到“解决一个销号一个”，并定期进行“回头看”，确保公开信息真实完整，准确无误。</w:t>
      </w:r>
    </w:p>
    <w:p w14:paraId="58765E89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.加强政府采购信息主动公开。在政府采购信息公开工作中，我局主动接受社会各界监督，及时转发出台上级文件。配合督促采购单位及时公布采购项目信息，包括采购项目公告、采购文件、采购项目预算金额、采购结果等信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/>
          <w:kern w:val="44"/>
          <w:sz w:val="32"/>
          <w:szCs w:val="32"/>
        </w:rPr>
        <w:t>全县政府采购完成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884</w:t>
      </w:r>
      <w:r>
        <w:rPr>
          <w:rFonts w:hint="eastAsia" w:ascii="仿宋_GB2312" w:hAnsi="仿宋_GB2312" w:eastAsia="仿宋_GB2312" w:cs="仿宋_GB2312"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亿元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，全部进行了主动公开。</w:t>
      </w:r>
    </w:p>
    <w:p w14:paraId="2E3E692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3.加强巩衔资金主动公开。在县政府网开设巩衔公开专栏，按照上级巩衔工作要求，严格执行巩衔资金项目公告公示制度。对政策、资金使用和分配结果进行公示，主动接受群众和社会监督。</w:t>
      </w:r>
    </w:p>
    <w:p w14:paraId="52827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4.加强制度建设。坚持“先审查、后公开” 和“谁公开、谁负责”原则，加强保密审查，规范信息公开程序，同时不断加强制度建设，完善政府信息公开工作报送制度。</w:t>
      </w:r>
    </w:p>
    <w:p w14:paraId="7DF77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ascii="黑体" w:hAnsi="黑体" w:eastAsia="黑体" w:cs="宋体"/>
          <w:bCs/>
          <w:color w:val="000000"/>
          <w:kern w:val="0"/>
          <w:sz w:val="32"/>
          <w:szCs w:val="32"/>
        </w:rPr>
        <w:t>二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、</w:t>
      </w:r>
      <w:r>
        <w:rPr>
          <w:rFonts w:ascii="黑体" w:hAnsi="黑体" w:eastAsia="黑体" w:cs="宋体"/>
          <w:bCs/>
          <w:color w:val="000000"/>
          <w:kern w:val="0"/>
          <w:sz w:val="32"/>
          <w:szCs w:val="32"/>
        </w:rPr>
        <w:t>主动公开政府信息情况</w:t>
      </w:r>
    </w:p>
    <w:tbl>
      <w:tblPr>
        <w:tblStyle w:val="15"/>
        <w:tblW w:w="994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639"/>
        <w:gridCol w:w="489"/>
        <w:gridCol w:w="723"/>
        <w:gridCol w:w="617"/>
        <w:gridCol w:w="617"/>
        <w:gridCol w:w="772"/>
        <w:gridCol w:w="592"/>
        <w:gridCol w:w="116"/>
        <w:gridCol w:w="617"/>
        <w:gridCol w:w="617"/>
        <w:gridCol w:w="772"/>
        <w:gridCol w:w="476"/>
        <w:gridCol w:w="233"/>
        <w:gridCol w:w="772"/>
        <w:gridCol w:w="617"/>
        <w:gridCol w:w="798"/>
      </w:tblGrid>
      <w:tr w14:paraId="776EE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47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0798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2ACEA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76C6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59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B671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59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D43D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6510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7F8EA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A920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D840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59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23B3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2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1215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6CA3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773E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470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59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8D49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2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E79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39A21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47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2E20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1157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A30D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61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1FC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878C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3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713C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61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BAAF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1EB4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47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7C05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47DCA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CAB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616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3FA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0824D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F6FB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61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0A2A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1336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23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7260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61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C805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1168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47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F3FF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2A64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EDD6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616" w:type="dxa"/>
            <w:gridSpan w:val="1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F5F2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201CD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46D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616" w:type="dxa"/>
            <w:gridSpan w:val="1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7878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416.3</w:t>
            </w:r>
          </w:p>
        </w:tc>
      </w:tr>
      <w:tr w14:paraId="71763C2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94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A3D6C">
            <w:pPr>
              <w:pStyle w:val="11"/>
              <w:bidi w:val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三、收到和处理政府信息公开申请情况</w:t>
            </w:r>
          </w:p>
        </w:tc>
      </w:tr>
      <w:tr w14:paraId="7B833CA9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94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15"/>
              <w:tblW w:w="9619" w:type="dxa"/>
              <w:jc w:val="center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75"/>
              <w:gridCol w:w="951"/>
              <w:gridCol w:w="3250"/>
              <w:gridCol w:w="694"/>
              <w:gridCol w:w="694"/>
              <w:gridCol w:w="694"/>
              <w:gridCol w:w="694"/>
              <w:gridCol w:w="694"/>
              <w:gridCol w:w="695"/>
              <w:gridCol w:w="478"/>
            </w:tblGrid>
            <w:tr w14:paraId="270F641B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4976" w:type="dxa"/>
                  <w:gridSpan w:val="3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259052F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ascii="楷体" w:hAnsi="楷体" w:eastAsia="楷体" w:cs="楷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（本列数据的勾稽关系为：第一项加第二项之和，等于第三项加第四项之和）</w:t>
                  </w:r>
                </w:p>
              </w:tc>
              <w:tc>
                <w:tcPr>
                  <w:tcW w:w="4643" w:type="dxa"/>
                  <w:gridSpan w:val="7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B306E3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申请人情况</w:t>
                  </w:r>
                </w:p>
              </w:tc>
            </w:tr>
            <w:tr w14:paraId="6BE527F5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4976" w:type="dxa"/>
                  <w:gridSpan w:val="3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5D63FE0E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4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4354F4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自然人</w:t>
                  </w:r>
                </w:p>
              </w:tc>
              <w:tc>
                <w:tcPr>
                  <w:tcW w:w="3471" w:type="dxa"/>
                  <w:gridSpan w:val="5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C1BA4E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法人或其他组织</w:t>
                  </w:r>
                </w:p>
              </w:tc>
              <w:tc>
                <w:tcPr>
                  <w:tcW w:w="47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05C593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总计</w:t>
                  </w:r>
                </w:p>
              </w:tc>
            </w:tr>
            <w:tr w14:paraId="1CF244CB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94" w:hRule="atLeast"/>
                <w:jc w:val="center"/>
              </w:trPr>
              <w:tc>
                <w:tcPr>
                  <w:tcW w:w="4976" w:type="dxa"/>
                  <w:gridSpan w:val="3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0BD8D135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4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FBA40C2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F52E1C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商业企业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E1D7DA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科研机构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569185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社会公益组织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744B51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法律服务机构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1BEC3C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其他</w:t>
                  </w:r>
                </w:p>
              </w:tc>
              <w:tc>
                <w:tcPr>
                  <w:tcW w:w="47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EB3884F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43312793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4976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CC719B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一、本年新收政府信息公开申请数量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69C20D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8B9D2B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4CE972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F88DED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46595D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C61E8D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677ABB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4</w:t>
                  </w:r>
                </w:p>
              </w:tc>
            </w:tr>
            <w:tr w14:paraId="18D7678B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4976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E4CA89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二、上年结转政府信息公开申请数量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1E6341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FB44BE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0BF419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A3C5BF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7CDCB7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83C49A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ABE6C4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2F9E13CC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850F73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三、本年度办理结果</w:t>
                  </w:r>
                </w:p>
              </w:tc>
              <w:tc>
                <w:tcPr>
                  <w:tcW w:w="42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928B1D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（一）予以公开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B2E8A2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445065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14742D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0DFCBE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5A02B7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C804BB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BE9482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4</w:t>
                  </w:r>
                </w:p>
              </w:tc>
            </w:tr>
            <w:tr w14:paraId="5AD4906A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7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626CD17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24B6EB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（二）部分公开</w:t>
                  </w:r>
                  <w:r>
                    <w:rPr>
                      <w:rFonts w:hint="eastAsia" w:ascii="楷体" w:hAnsi="楷体" w:eastAsia="楷体" w:cs="楷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（区分处理的，只计这一情形，不计其他情形）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20CC37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79A921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2A2391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964EDF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11D112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A49EC6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9033C2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7" w:beforeLines="50" w:beforeAutospacing="0" w:after="0" w:afterAutospacing="0"/>
                    <w:ind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3F68FA18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ACF6384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4C60B1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（三）不予公开</w:t>
                  </w: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7B41635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1.属于国家秘密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CCCE08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9C2693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438CA3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CC9EB7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A98E58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6635AA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F457A2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07AFBD59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FCA4EC1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2418478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725C484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2.其他法律行政法规禁止公开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2B9ED3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CAB915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54750F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556548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4166BA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828FF1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7392DB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5C876F53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B072F26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A6C14BB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6DEFEC4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3.危及“三安全一稳定”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79E642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1D28D2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EB0A02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1067AD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FF36E9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0F61A9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302479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11818AA1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EE02E64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E3A0D00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3293D96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4.保护第三方合法权益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AA377C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CF2FBF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B6D9E1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298256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B9998E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6E7CF4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646ECD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0CD20E1A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C326F47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DF94EB5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2C45CBE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5.属于三类内部事务信息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9C2E37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9960E1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343FDF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317033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61E14C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8E36A1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1427C2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1A8F9B74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B2D5FD2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2A15900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45CE7E0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6.属于四类过程性信息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0B4D49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C5CA63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8FD8BB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A6ADB5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3E125D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EEAB05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35E1F2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5BB4CC1D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87831FA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11931BC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111D06F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7.属于行政执法案卷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729E06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BACF9B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FC0E26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A5F709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BB2136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BD481F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ED0EC0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6D7C7EAC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E4845AD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59A0B04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209B809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8.属于行政查询事项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18C9C5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B9921C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7A3157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7F07A0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CF4B2A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72FDDA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1AC56A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46666CD1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326F43B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D0AE14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（四）无法提供</w:t>
                  </w: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6A55C16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1.本机关不掌握相关政府信息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18266B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625F1B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2CEB12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50F488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C0C609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0D08C5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0F7468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7122568B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33022F6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CCFF49E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2AF1702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2.没有现成信息需要另行制作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4DE175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EC09DB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E04FF7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B880CF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AD7B06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36B0CA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D7FDB0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51188C66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CCF9B6B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B850779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7660920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3.补正后申请内容仍不明确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46322C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6BE002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601CE4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3D4D29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CE765A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3D45AC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C14513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566C7DCA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E03512A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4239E6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（五）不予处理</w:t>
                  </w: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6E911E7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1.信访举报投诉类申请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DD47C1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7998F0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A64020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1BB6D3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32CF52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A4453B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5FBD43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71F27F31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8049F11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3822BAC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3A9EA3A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2.重复申请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FCE8D3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885F4F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DFDD56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01DC94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B5CF1E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267C0A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4E191F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0D2CFD9C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78E4A16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698D83B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6E05A92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3.要求提供公开出版物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349F1A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55CF96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80507E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DAC29A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BCFD2B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C8C38D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98E571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190FC8B2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98E0C94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46965E4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510DACD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4.无正当理由大量反复申请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8B77DB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0663E2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BB5ACF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6C3602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09FA27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AF5361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3637A5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7F58B90C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31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9AD6212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853D98A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D4149D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5.要求行政机关确认或重新出具已获取信息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C3E630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372A0B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262942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B86B17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FE3C15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A83586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5D8C93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048EE4CE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94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5E4091A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04254F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（六）其他处理</w:t>
                  </w: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16F60C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1.申请人无正当理由逾期不补正、行政机关不再处理其政府信息公开申请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343771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5F757C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9BFA4F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D99FDA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F88CA8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BD41E3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D920BD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4891175C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94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016AC4C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5653BCB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D2D486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2.申请人逾期未按收费通知要求缴纳费用、行政机关不再处理其政府信息公开申请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D0E884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DBD2C7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23B240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D053F7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9A8AE9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DB087B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F859FD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46D68F10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24ECE3A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E9F757A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BD8E82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3.其他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73E7D9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F14041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E4685F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8D5A56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3FC331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3CEFA1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E261F9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6093113B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124DB5D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A438E4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（七）总计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1AC705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879A4D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C22BEC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5B1ED8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2A2D51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52DE4D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FDA502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4</w:t>
                  </w:r>
                  <w:bookmarkStart w:id="0" w:name="_GoBack"/>
                  <w:bookmarkEnd w:id="0"/>
                </w:p>
              </w:tc>
            </w:tr>
            <w:tr w14:paraId="15CD51B7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6" w:hRule="atLeast"/>
                <w:jc w:val="center"/>
              </w:trPr>
              <w:tc>
                <w:tcPr>
                  <w:tcW w:w="4976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9A3AC0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四、结转下年度继续办理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5B948A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97E35A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FB24F5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94914C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D82E8A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E7A643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8849CC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</w:tbl>
          <w:p w14:paraId="6A5A076A">
            <w:pPr>
              <w:pStyle w:val="11"/>
              <w:bidi w:val="0"/>
              <w:rPr>
                <w:rFonts w:ascii="黑体" w:hAnsi="黑体" w:eastAsia="黑体" w:cs="宋体"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</w:rPr>
              <w:t>四、政府信息公开行政复议、行政诉讼情况</w:t>
            </w:r>
          </w:p>
        </w:tc>
      </w:tr>
      <w:tr w14:paraId="450405F4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8C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9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95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32D5108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CDB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DDE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4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571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A62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B39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3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EF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6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90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56DE2A3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CF9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B20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8AA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7A2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42D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C5F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D79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4A6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1AE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561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AF2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B16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F0E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390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8DC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8FE109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CAD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11C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242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22A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22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C7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9B3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869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514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5A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FAF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3EF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B17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24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53B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173D5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五、存在的主要问题及改进情况</w:t>
      </w:r>
    </w:p>
    <w:p w14:paraId="1A32F4FB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存在的主要问题：一是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政府信息公开载体、渠道不够丰富，公开的较局限等。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只对规定的几项信息进行公开，上级财政政策信息公开的不够多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财政信息有补公开现象，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信息公开还不够及时。</w:t>
      </w:r>
    </w:p>
    <w:p w14:paraId="3939F68E">
      <w:pPr>
        <w:pStyle w:val="11"/>
        <w:bidi w:val="0"/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改进措施：一是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切实加大财政动态及政策法规宣传力度，加强信息发布和舆论引导，增强舆情观念。及时公开社会关注度高、涉及面广以及与民生福祉密切相关的政策信息，提高预算信息透明度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对规定的信息和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上级财政政策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按照时限要求及时到政府网站进行公开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加强教育培训工作。强化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财政系统干部职工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在新形势下对信息公开工作的认识，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安排专人落实信息公开工作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72830D7">
      <w:pPr>
        <w:pStyle w:val="11"/>
        <w:bidi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六、其他需要报告的事项</w:t>
      </w:r>
    </w:p>
    <w:p w14:paraId="31CC8548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firstLine="632" w:firstLineChars="200"/>
        <w:jc w:val="left"/>
        <w:textAlignment w:val="auto"/>
        <w:rPr>
          <w:rFonts w:hint="default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本年度未收取信息处理费</w:t>
      </w:r>
    </w:p>
    <w:p w14:paraId="56F6125C">
      <w:pPr>
        <w:pStyle w:val="11"/>
        <w:bidi w:val="0"/>
        <w:rPr>
          <w:rFonts w:hint="eastAsia"/>
        </w:rPr>
      </w:pPr>
    </w:p>
    <w:p w14:paraId="0FCE83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32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佳县财政局</w:t>
      </w:r>
    </w:p>
    <w:p w14:paraId="7D5D40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32" w:firstLineChars="200"/>
        <w:jc w:val="center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202</w:t>
      </w:r>
      <w:r>
        <w:rPr>
          <w:rFonts w:hint="eastAsia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年1月</w:t>
      </w:r>
      <w:r>
        <w:rPr>
          <w:rFonts w:hint="eastAsia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082A3FB4">
      <w:pPr>
        <w:pStyle w:val="11"/>
        <w:bidi w:val="0"/>
        <w:rPr>
          <w:rFonts w:hint="eastAsia"/>
        </w:rPr>
      </w:pPr>
    </w:p>
    <w:p w14:paraId="3BAF412A">
      <w:pPr>
        <w:pStyle w:val="11"/>
        <w:bidi w:val="0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62" w:right="1474" w:bottom="1701" w:left="1587" w:header="851" w:footer="1247" w:gutter="0"/>
      <w:pgNumType w:fmt="decimal"/>
      <w:cols w:space="0" w:num="1"/>
      <w:titlePg/>
      <w:rtlGutter w:val="0"/>
      <w:docGrid w:type="linesAndChars" w:linePitch="598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  <w:embedRegular r:id="rId1" w:fontKey="{87081C5E-2F52-48CC-8EB1-4B53FA39181E}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  <w:embedRegular r:id="rId2" w:fontKey="{3B433FAF-B859-427D-BA33-FCD872F076BA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5AB125E-0771-4B02-99B9-89E0A13B1B8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0B7145E1-B9F2-41F3-921F-109A915E433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EC3E59D-2B0E-468A-BEB4-FEB4D1EA070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54B2427D-967C-41BD-A2B4-B094D145603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292820E9-9FB6-4A5A-AFB7-B29B096BE4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84506">
    <w:pPr>
      <w:pStyle w:val="1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EF3EE9"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　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EF3EE9"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  <w:r>
                      <w:rPr>
                        <w:rFonts w:hint="eastAsia"/>
                        <w:lang w:eastAsia="zh-CN"/>
                      </w:rPr>
                      <w:t>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182F3">
    <w:pPr>
      <w:pStyle w:val="12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079A6C">
                          <w:pPr>
                            <w:pStyle w:val="12"/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　</w:t>
                          </w: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079A6C">
                    <w:pPr>
                      <w:pStyle w:val="12"/>
                    </w:pPr>
                    <w:r>
                      <w:rPr>
                        <w:rFonts w:hint="eastAsia"/>
                        <w:lang w:eastAsia="zh-CN"/>
                      </w:rPr>
                      <w:t>　</w:t>
                    </w: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C503D0"/>
    <w:multiLevelType w:val="singleLevel"/>
    <w:tmpl w:val="C5C503D0"/>
    <w:lvl w:ilvl="0" w:tentative="0">
      <w:start w:val="1"/>
      <w:numFmt w:val="decimal"/>
      <w:pStyle w:val="17"/>
      <w:suff w:val="nothing"/>
      <w:lvlText w:val="附件%1"/>
      <w:lvlJc w:val="left"/>
      <w:pPr>
        <w:tabs>
          <w:tab w:val="left" w:pos="0"/>
        </w:tabs>
        <w:ind w:left="0" w:leftChars="0" w:firstLine="0" w:firstLineChars="0"/>
      </w:pPr>
      <w:rPr>
        <w:rFonts w:hint="default" w:ascii="黑体" w:hAnsi="黑体" w:eastAsia="黑体"/>
        <w:sz w:val="32"/>
        <w:szCs w:val="32"/>
      </w:rPr>
    </w:lvl>
  </w:abstractNum>
  <w:abstractNum w:abstractNumId="1">
    <w:nsid w:val="CFFDFFD9"/>
    <w:multiLevelType w:val="multilevel"/>
    <w:tmpl w:val="CFFDFFD9"/>
    <w:lvl w:ilvl="0" w:tentative="0">
      <w:start w:val="1"/>
      <w:numFmt w:val="none"/>
      <w:pStyle w:val="14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2"/>
      <w:suff w:val="nothing"/>
      <w:lvlText w:val="%2、"/>
      <w:lvlJc w:val="left"/>
      <w:pPr>
        <w:tabs>
          <w:tab w:val="left" w:pos="0"/>
        </w:tabs>
        <w:ind w:left="420" w:leftChars="0" w:hanging="420" w:firstLineChars="0"/>
      </w:pPr>
      <w:rPr>
        <w:rFonts w:hint="eastAsia" w:ascii="黑体" w:hAnsi="黑体" w:eastAsia="黑体" w:cs="宋体"/>
        <w:sz w:val="32"/>
        <w:szCs w:val="32"/>
      </w:rPr>
    </w:lvl>
    <w:lvl w:ilvl="2" w:tentative="0">
      <w:start w:val="1"/>
      <w:numFmt w:val="chineseCounting"/>
      <w:pStyle w:val="3"/>
      <w:suff w:val="nothing"/>
      <w:lvlText w:val="（%3）"/>
      <w:lvlJc w:val="left"/>
      <w:pPr>
        <w:tabs>
          <w:tab w:val="left" w:pos="0"/>
        </w:tabs>
        <w:ind w:left="0" w:firstLine="0"/>
      </w:pPr>
      <w:rPr>
        <w:rFonts w:hint="eastAsia" w:ascii="楷体_GB2312" w:hAnsi="楷体_GB2312" w:eastAsia="楷体_GB2312" w:cs="宋体"/>
        <w:sz w:val="32"/>
        <w:szCs w:val="32"/>
      </w:rPr>
    </w:lvl>
    <w:lvl w:ilvl="3" w:tentative="0">
      <w:start w:val="1"/>
      <w:numFmt w:val="decimal"/>
      <w:pStyle w:val="4"/>
      <w:suff w:val="nothing"/>
      <w:lvlText w:val="%4."/>
      <w:lvlJc w:val="left"/>
      <w:pPr>
        <w:ind w:left="0" w:firstLine="0"/>
      </w:pPr>
      <w:rPr>
        <w:rFonts w:hint="eastAsia" w:ascii="仿宋_GB2312" w:hAnsi="仿宋_GB2312" w:eastAsia="仿宋_GB2312" w:cs="宋体"/>
        <w:sz w:val="32"/>
        <w:szCs w:val="32"/>
      </w:rPr>
    </w:lvl>
    <w:lvl w:ilvl="4" w:tentative="0">
      <w:start w:val="1"/>
      <w:numFmt w:val="decimal"/>
      <w:pStyle w:val="5"/>
      <w:suff w:val="nothing"/>
      <w:lvlText w:val="(%5)"/>
      <w:lvlJc w:val="left"/>
      <w:pPr>
        <w:ind w:left="0" w:firstLine="0"/>
      </w:pPr>
      <w:rPr>
        <w:rFonts w:hint="eastAsia" w:ascii="仿宋_GB2312" w:hAnsi="仿宋_GB2312" w:eastAsia="仿宋_GB2312" w:cs="宋体"/>
        <w:sz w:val="32"/>
        <w:szCs w:val="32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D20796EA"/>
    <w:multiLevelType w:val="multilevel"/>
    <w:tmpl w:val="D20796EA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chineseCounting"/>
      <w:suff w:val="nothing"/>
      <w:lvlText w:val="（%3）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embedSystemFonts/>
  <w:saveSubset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NzBjYTc4NTI0ZTg1OTU5OWZmNmM1NjE1YTdmNGMifQ=="/>
  </w:docVars>
  <w:rsids>
    <w:rsidRoot w:val="02AF7553"/>
    <w:rsid w:val="008322BB"/>
    <w:rsid w:val="02AF7553"/>
    <w:rsid w:val="0C6D2071"/>
    <w:rsid w:val="0D5648B3"/>
    <w:rsid w:val="10392996"/>
    <w:rsid w:val="1225778F"/>
    <w:rsid w:val="17297847"/>
    <w:rsid w:val="17306175"/>
    <w:rsid w:val="1A1A519A"/>
    <w:rsid w:val="1B7A20B5"/>
    <w:rsid w:val="2A701253"/>
    <w:rsid w:val="301C4652"/>
    <w:rsid w:val="30330D58"/>
    <w:rsid w:val="344277BC"/>
    <w:rsid w:val="36266C69"/>
    <w:rsid w:val="36AC53C0"/>
    <w:rsid w:val="375F1C1D"/>
    <w:rsid w:val="39B822CE"/>
    <w:rsid w:val="39C07FA2"/>
    <w:rsid w:val="3B701346"/>
    <w:rsid w:val="3EE36CF4"/>
    <w:rsid w:val="3F2F4DE1"/>
    <w:rsid w:val="44360289"/>
    <w:rsid w:val="480126AE"/>
    <w:rsid w:val="484F3DFE"/>
    <w:rsid w:val="4D2F338C"/>
    <w:rsid w:val="4DBA27C5"/>
    <w:rsid w:val="52C35659"/>
    <w:rsid w:val="55FC73BE"/>
    <w:rsid w:val="55FDBE2D"/>
    <w:rsid w:val="61134F2E"/>
    <w:rsid w:val="617E34D7"/>
    <w:rsid w:val="68541290"/>
    <w:rsid w:val="690C1B6B"/>
    <w:rsid w:val="69EC5130"/>
    <w:rsid w:val="6D390A55"/>
    <w:rsid w:val="6F9CA60B"/>
    <w:rsid w:val="6FDF932D"/>
    <w:rsid w:val="711F0D33"/>
    <w:rsid w:val="71EF7FE2"/>
    <w:rsid w:val="72CA465D"/>
    <w:rsid w:val="7397361E"/>
    <w:rsid w:val="75E96D9A"/>
    <w:rsid w:val="777F9411"/>
    <w:rsid w:val="7DEE3196"/>
    <w:rsid w:val="7F9B1440"/>
    <w:rsid w:val="BFCF3D51"/>
    <w:rsid w:val="DEFF226B"/>
    <w:rsid w:val="F67BE1D2"/>
    <w:rsid w:val="F6F6A980"/>
    <w:rsid w:val="FFFA9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hint="default"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240" w:lineRule="auto"/>
      <w:ind w:left="0" w:firstLine="632" w:firstLineChars="200"/>
      <w:jc w:val="both"/>
      <w:outlineLvl w:val="1"/>
    </w:pPr>
    <w:rPr>
      <w:rFonts w:ascii="黑体" w:hAnsi="黑体" w:eastAsia="黑体"/>
      <w:kern w:val="44"/>
    </w:rPr>
  </w:style>
  <w:style w:type="paragraph" w:styleId="3">
    <w:name w:val="heading 2"/>
    <w:basedOn w:val="1"/>
    <w:next w:val="1"/>
    <w:link w:val="21"/>
    <w:unhideWhenUsed/>
    <w:qFormat/>
    <w:uiPriority w:val="0"/>
    <w:pPr>
      <w:keepNext w:val="0"/>
      <w:keepLines/>
      <w:numPr>
        <w:ilvl w:val="2"/>
        <w:numId w:val="1"/>
      </w:numPr>
      <w:spacing w:beforeLines="0" w:beforeAutospacing="0" w:afterLines="0" w:afterAutospacing="0" w:line="240" w:lineRule="auto"/>
      <w:ind w:firstLine="632" w:firstLineChars="200"/>
      <w:jc w:val="both"/>
      <w:outlineLvl w:val="2"/>
    </w:pPr>
    <w:rPr>
      <w:rFonts w:ascii="楷体_GB2312" w:hAnsi="楷体_GB2312" w:eastAsia="楷体_GB2312"/>
    </w:rPr>
  </w:style>
  <w:style w:type="paragraph" w:styleId="4">
    <w:name w:val="heading 3"/>
    <w:basedOn w:val="1"/>
    <w:next w:val="1"/>
    <w:link w:val="19"/>
    <w:unhideWhenUsed/>
    <w:qFormat/>
    <w:uiPriority w:val="0"/>
    <w:pPr>
      <w:keepNext w:val="0"/>
      <w:keepLines w:val="0"/>
      <w:numPr>
        <w:ilvl w:val="3"/>
        <w:numId w:val="1"/>
      </w:numPr>
      <w:spacing w:beforeLines="0" w:beforeAutospacing="0" w:afterLines="0" w:afterAutospacing="0" w:line="240" w:lineRule="auto"/>
      <w:ind w:firstLine="632" w:firstLineChars="200"/>
      <w:outlineLvl w:val="3"/>
    </w:pPr>
  </w:style>
  <w:style w:type="paragraph" w:styleId="5">
    <w:name w:val="heading 4"/>
    <w:basedOn w:val="1"/>
    <w:next w:val="1"/>
    <w:link w:val="18"/>
    <w:semiHidden/>
    <w:unhideWhenUsed/>
    <w:qFormat/>
    <w:uiPriority w:val="0"/>
    <w:pPr>
      <w:keepNext w:val="0"/>
      <w:keepLines w:val="0"/>
      <w:numPr>
        <w:ilvl w:val="4"/>
        <w:numId w:val="1"/>
      </w:numPr>
      <w:spacing w:beforeLines="0" w:beforeAutospacing="0" w:afterLines="0" w:afterAutospacing="0" w:line="240" w:lineRule="auto"/>
      <w:ind w:firstLine="632" w:firstLineChars="200"/>
      <w:outlineLvl w:val="4"/>
    </w:p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footer"/>
    <w:basedOn w:val="1"/>
    <w:next w:val="1"/>
    <w:qFormat/>
    <w:uiPriority w:val="0"/>
    <w:pPr>
      <w:tabs>
        <w:tab w:val="center" w:pos="4153"/>
        <w:tab w:val="right" w:pos="8306"/>
      </w:tabs>
      <w:wordWrap w:val="0"/>
      <w:snapToGrid/>
      <w:ind w:firstLine="0" w:firstLineChars="0"/>
      <w:jc w:val="both"/>
    </w:pPr>
    <w:rPr>
      <w:rFonts w:ascii="宋体" w:hAnsi="宋体" w:eastAsia="宋体"/>
      <w:sz w:val="28"/>
      <w:szCs w:val="2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qFormat/>
    <w:uiPriority w:val="0"/>
    <w:pPr>
      <w:keepNext/>
      <w:numPr>
        <w:ilvl w:val="0"/>
        <w:numId w:val="1"/>
      </w:numPr>
      <w:spacing w:beforeLines="0" w:beforeAutospacing="0" w:afterLines="0" w:afterAutospacing="0" w:line="589" w:lineRule="exact"/>
      <w:ind w:firstLine="0" w:firstLineChars="0"/>
      <w:jc w:val="center"/>
      <w:textAlignment w:val="center"/>
      <w:outlineLvl w:val="0"/>
    </w:pPr>
    <w:rPr>
      <w:rFonts w:ascii="方正小标宋_GBK" w:hAnsi="方正小标宋_GBK" w:eastAsia="方正小标宋_GBK"/>
      <w:sz w:val="44"/>
      <w:szCs w:val="44"/>
    </w:rPr>
  </w:style>
  <w:style w:type="paragraph" w:customStyle="1" w:styleId="17">
    <w:name w:val="附件"/>
    <w:basedOn w:val="1"/>
    <w:next w:val="14"/>
    <w:qFormat/>
    <w:uiPriority w:val="0"/>
    <w:pPr>
      <w:keepNext/>
      <w:numPr>
        <w:ilvl w:val="0"/>
        <w:numId w:val="3"/>
      </w:numPr>
      <w:ind w:firstLine="0" w:firstLineChars="0"/>
    </w:pPr>
    <w:rPr>
      <w:rFonts w:hint="eastAsia" w:ascii="黑体" w:hAnsi="黑体" w:eastAsia="黑体"/>
    </w:rPr>
  </w:style>
  <w:style w:type="character" w:customStyle="1" w:styleId="18">
    <w:name w:val="标题 4 Char"/>
    <w:link w:val="5"/>
    <w:qFormat/>
    <w:uiPriority w:val="0"/>
  </w:style>
  <w:style w:type="character" w:customStyle="1" w:styleId="19">
    <w:name w:val="标题 3 Char"/>
    <w:link w:val="4"/>
    <w:qFormat/>
    <w:uiPriority w:val="0"/>
  </w:style>
  <w:style w:type="character" w:customStyle="1" w:styleId="20">
    <w:name w:val="标题 1 Char"/>
    <w:link w:val="2"/>
    <w:qFormat/>
    <w:uiPriority w:val="0"/>
    <w:rPr>
      <w:rFonts w:ascii="黑体" w:hAnsi="黑体" w:eastAsia="黑体"/>
      <w:kern w:val="44"/>
    </w:rPr>
  </w:style>
  <w:style w:type="character" w:customStyle="1" w:styleId="21">
    <w:name w:val="标题 2 Char"/>
    <w:link w:val="3"/>
    <w:qFormat/>
    <w:uiPriority w:val="0"/>
    <w:rPr>
      <w:rFonts w:ascii="楷体_GB2312" w:hAnsi="楷体_GB2312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2002</Words>
  <Characters>2040</Characters>
  <Lines>0</Lines>
  <Paragraphs>0</Paragraphs>
  <TotalTime>0</TotalTime>
  <ScaleCrop>false</ScaleCrop>
  <LinksUpToDate>false</LinksUpToDate>
  <CharactersWithSpaces>2084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2023-07-14T08:32:00Z</dcterms:created>
  <dc:creator>君陌</dc:creator>
  <cp:lastModifiedBy>妄语</cp:lastModifiedBy>
  <cp:lastPrinted>2026-01-15T15:39:00Z</cp:lastPrinted>
  <dcterms:modified xsi:type="dcterms:W3CDTF">2026-01-20T01:20:14Z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95B40308E6E94B40A74DA05806E3469E_13</vt:lpwstr>
  </property>
  <property fmtid="{D5CDD505-2E9C-101B-9397-08002B2CF9AE}" pid="4" name="KSOTemplateDocerSaveRecord">
    <vt:lpwstr>eyJoZGlkIjoiNjkzZjk4NmFiOTk1YmM0ODkwZDhjMzNiMGY4NzQ3MzQiLCJ1c2VySWQiOiI0NzY1NTI5MDQifQ==</vt:lpwstr>
  </property>
</Properties>
</file>