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F7CEBF">
      <w:pPr>
        <w:keepNext w:val="0"/>
        <w:keepLines w:val="0"/>
        <w:widowControl w:val="0"/>
        <w:suppressLineNumbers w:val="0"/>
        <w:spacing w:before="0" w:beforeAutospacing="0" w:after="0" w:afterAutospacing="0"/>
        <w:ind w:left="0" w:right="0"/>
        <w:jc w:val="left"/>
        <w:rPr>
          <w:rFonts w:hint="default" w:ascii="Times New Roman" w:hAnsi="Times New Roman" w:eastAsia="Times New Roman" w:cs="Times New Roman"/>
          <w:color w:val="auto"/>
          <w:sz w:val="20"/>
          <w:szCs w:val="20"/>
          <w:highlight w:val="none"/>
          <w:lang w:val="en-US"/>
        </w:rPr>
      </w:pPr>
    </w:p>
    <w:p w14:paraId="5B2C994A">
      <w:pPr>
        <w:keepNext w:val="0"/>
        <w:keepLines w:val="0"/>
        <w:widowControl w:val="0"/>
        <w:suppressLineNumbers w:val="0"/>
        <w:spacing w:before="0" w:beforeAutospacing="0" w:after="0" w:afterAutospacing="0"/>
        <w:ind w:left="0" w:right="0"/>
        <w:jc w:val="left"/>
        <w:rPr>
          <w:rFonts w:hint="default" w:ascii="Times New Roman" w:hAnsi="Times New Roman" w:eastAsia="Times New Roman" w:cs="Times New Roman"/>
          <w:color w:val="auto"/>
          <w:sz w:val="20"/>
          <w:szCs w:val="20"/>
          <w:highlight w:val="none"/>
          <w:lang w:val="en-US"/>
        </w:rPr>
      </w:pPr>
    </w:p>
    <w:p w14:paraId="370F9676">
      <w:pPr>
        <w:keepNext w:val="0"/>
        <w:keepLines w:val="0"/>
        <w:widowControl w:val="0"/>
        <w:suppressLineNumbers w:val="0"/>
        <w:spacing w:before="0" w:beforeAutospacing="0" w:after="0" w:afterAutospacing="0"/>
        <w:ind w:left="0" w:right="0"/>
        <w:jc w:val="left"/>
        <w:rPr>
          <w:rFonts w:hint="default" w:ascii="Times New Roman" w:hAnsi="Times New Roman" w:eastAsia="Times New Roman" w:cs="Times New Roman"/>
          <w:color w:val="auto"/>
          <w:sz w:val="20"/>
          <w:szCs w:val="20"/>
          <w:highlight w:val="none"/>
          <w:lang w:val="en-US"/>
        </w:rPr>
      </w:pPr>
    </w:p>
    <w:p w14:paraId="28B54A9D">
      <w:pPr>
        <w:keepNext w:val="0"/>
        <w:keepLines w:val="0"/>
        <w:widowControl w:val="0"/>
        <w:suppressLineNumbers w:val="0"/>
        <w:spacing w:before="0" w:beforeAutospacing="0" w:after="0" w:afterAutospacing="0"/>
        <w:ind w:left="0" w:right="0"/>
        <w:jc w:val="left"/>
        <w:rPr>
          <w:rFonts w:hint="default" w:ascii="Times New Roman" w:hAnsi="Times New Roman" w:eastAsia="Times New Roman" w:cs="Times New Roman"/>
          <w:color w:val="auto"/>
          <w:sz w:val="20"/>
          <w:szCs w:val="20"/>
          <w:highlight w:val="none"/>
          <w:lang w:val="en-US"/>
        </w:rPr>
      </w:pPr>
    </w:p>
    <w:p w14:paraId="7F0B643F">
      <w:pPr>
        <w:keepNext w:val="0"/>
        <w:keepLines w:val="0"/>
        <w:widowControl w:val="0"/>
        <w:suppressLineNumbers w:val="0"/>
        <w:spacing w:before="0" w:beforeAutospacing="0" w:after="0" w:afterAutospacing="0"/>
        <w:ind w:left="0" w:right="0"/>
        <w:jc w:val="left"/>
        <w:rPr>
          <w:rFonts w:hint="default" w:ascii="Times New Roman" w:hAnsi="Times New Roman" w:eastAsia="Times New Roman" w:cs="Times New Roman"/>
          <w:color w:val="auto"/>
          <w:sz w:val="20"/>
          <w:szCs w:val="20"/>
          <w:highlight w:val="none"/>
          <w:lang w:val="en-US"/>
        </w:rPr>
      </w:pPr>
    </w:p>
    <w:p w14:paraId="1551A5B0">
      <w:pPr>
        <w:keepNext w:val="0"/>
        <w:keepLines w:val="0"/>
        <w:widowControl w:val="0"/>
        <w:suppressLineNumbers w:val="0"/>
        <w:spacing w:before="0" w:beforeAutospacing="0" w:after="0" w:afterAutospacing="0"/>
        <w:ind w:left="0" w:right="0"/>
        <w:jc w:val="left"/>
        <w:rPr>
          <w:rFonts w:hint="default" w:ascii="Times New Roman" w:hAnsi="Times New Roman" w:eastAsia="Times New Roman" w:cs="Times New Roman"/>
          <w:color w:val="auto"/>
          <w:sz w:val="20"/>
          <w:szCs w:val="20"/>
          <w:highlight w:val="none"/>
          <w:lang w:val="en-US"/>
        </w:rPr>
      </w:pPr>
    </w:p>
    <w:p w14:paraId="7F11DB1F">
      <w:pPr>
        <w:keepNext w:val="0"/>
        <w:keepLines w:val="0"/>
        <w:widowControl w:val="0"/>
        <w:suppressLineNumbers w:val="0"/>
        <w:spacing w:before="0" w:beforeAutospacing="0" w:after="0" w:afterAutospacing="0"/>
        <w:ind w:left="0" w:right="0"/>
        <w:jc w:val="left"/>
        <w:rPr>
          <w:rFonts w:hint="default" w:ascii="Times New Roman" w:hAnsi="Times New Roman" w:eastAsia="Times New Roman" w:cs="Times New Roman"/>
          <w:color w:val="auto"/>
          <w:sz w:val="20"/>
          <w:szCs w:val="20"/>
          <w:highlight w:val="none"/>
          <w:lang w:val="en-US"/>
        </w:rPr>
      </w:pPr>
    </w:p>
    <w:p w14:paraId="50E8F5D0">
      <w:pPr>
        <w:keepNext w:val="0"/>
        <w:keepLines w:val="0"/>
        <w:widowControl w:val="0"/>
        <w:suppressLineNumbers w:val="0"/>
        <w:spacing w:before="0" w:beforeAutospacing="0" w:after="0" w:afterAutospacing="0" w:line="993" w:lineRule="exact"/>
        <w:ind w:left="552" w:right="294"/>
        <w:jc w:val="center"/>
        <w:rPr>
          <w:rFonts w:hint="default" w:ascii="Times New Roman" w:hAnsi="Times New Roman" w:eastAsia="微软雅黑" w:cs="Times New Roman"/>
          <w:color w:val="auto"/>
          <w:sz w:val="72"/>
          <w:szCs w:val="72"/>
          <w:highlight w:val="none"/>
          <w:lang w:val="en-US" w:eastAsia="zh-CN"/>
        </w:rPr>
      </w:pPr>
      <w:bookmarkStart w:id="0" w:name="建设项目环境影响报告表"/>
      <w:bookmarkEnd w:id="0"/>
      <w:r>
        <w:rPr>
          <w:rFonts w:hint="default" w:ascii="Times New Roman" w:hAnsi="Times New Roman" w:eastAsia="方正小标宋_GBK" w:cs="Times New Roman"/>
          <w:bCs/>
          <w:color w:val="auto"/>
          <w:kern w:val="0"/>
          <w:sz w:val="72"/>
          <w:szCs w:val="72"/>
          <w:highlight w:val="none"/>
          <w:lang w:val="en-US" w:eastAsia="zh-CN" w:bidi="ar"/>
        </w:rPr>
        <w:t>建设项目环境影响报告表</w:t>
      </w:r>
    </w:p>
    <w:p w14:paraId="08C8D321">
      <w:pPr>
        <w:keepNext w:val="0"/>
        <w:keepLines w:val="0"/>
        <w:widowControl w:val="0"/>
        <w:suppressLineNumbers w:val="0"/>
        <w:spacing w:before="256" w:beforeAutospacing="0" w:after="0" w:afterAutospacing="0"/>
        <w:ind w:left="552" w:right="294"/>
        <w:jc w:val="center"/>
        <w:rPr>
          <w:rFonts w:hint="default" w:ascii="Times New Roman" w:hAnsi="Times New Roman" w:eastAsia="楷体" w:cs="Times New Roman"/>
          <w:color w:val="auto"/>
          <w:sz w:val="48"/>
          <w:szCs w:val="48"/>
          <w:highlight w:val="none"/>
          <w:lang w:val="en-US" w:eastAsia="zh-CN"/>
        </w:rPr>
      </w:pPr>
      <w:r>
        <w:rPr>
          <w:rFonts w:hint="default" w:ascii="Times New Roman" w:hAnsi="Times New Roman" w:eastAsia="楷体" w:cs="Times New Roman"/>
          <w:color w:val="auto"/>
          <w:kern w:val="0"/>
          <w:sz w:val="48"/>
          <w:szCs w:val="48"/>
          <w:highlight w:val="none"/>
          <w:lang w:val="en-US" w:eastAsia="zh-CN" w:bidi="ar"/>
        </w:rPr>
        <w:t>（生态影响类）</w:t>
      </w:r>
    </w:p>
    <w:p w14:paraId="15B68460">
      <w:pPr>
        <w:keepNext w:val="0"/>
        <w:keepLines w:val="0"/>
        <w:widowControl w:val="0"/>
        <w:suppressLineNumbers w:val="0"/>
        <w:spacing w:before="0" w:beforeAutospacing="0" w:after="0" w:afterAutospacing="0"/>
        <w:ind w:left="0" w:right="0"/>
        <w:jc w:val="left"/>
        <w:rPr>
          <w:rFonts w:hint="default" w:ascii="Times New Roman" w:hAnsi="Times New Roman" w:eastAsia="楷体" w:cs="Times New Roman"/>
          <w:color w:val="auto"/>
          <w:sz w:val="48"/>
          <w:szCs w:val="48"/>
          <w:highlight w:val="none"/>
          <w:lang w:val="en-US" w:eastAsia="zh-CN"/>
        </w:rPr>
      </w:pPr>
    </w:p>
    <w:p w14:paraId="6DF33371">
      <w:pPr>
        <w:keepNext w:val="0"/>
        <w:keepLines w:val="0"/>
        <w:widowControl w:val="0"/>
        <w:suppressLineNumbers w:val="0"/>
        <w:spacing w:before="0" w:beforeAutospacing="0" w:after="0" w:afterAutospacing="0"/>
        <w:ind w:left="0" w:right="0"/>
        <w:jc w:val="left"/>
        <w:rPr>
          <w:rFonts w:hint="default" w:ascii="Times New Roman" w:hAnsi="Times New Roman" w:eastAsia="楷体" w:cs="Times New Roman"/>
          <w:color w:val="auto"/>
          <w:sz w:val="48"/>
          <w:szCs w:val="48"/>
          <w:highlight w:val="none"/>
          <w:lang w:val="en-US" w:eastAsia="zh-CN"/>
        </w:rPr>
      </w:pPr>
    </w:p>
    <w:p w14:paraId="328C3E57">
      <w:pPr>
        <w:keepNext w:val="0"/>
        <w:keepLines w:val="0"/>
        <w:widowControl w:val="0"/>
        <w:suppressLineNumbers w:val="0"/>
        <w:spacing w:before="10" w:beforeAutospacing="0" w:after="0" w:afterAutospacing="0"/>
        <w:ind w:left="0" w:right="0"/>
        <w:jc w:val="left"/>
        <w:rPr>
          <w:rFonts w:hint="default" w:ascii="Times New Roman" w:hAnsi="Times New Roman" w:eastAsia="楷体" w:cs="Times New Roman"/>
          <w:color w:val="auto"/>
          <w:sz w:val="61"/>
          <w:szCs w:val="61"/>
          <w:highlight w:val="none"/>
          <w:lang w:val="en-US" w:eastAsia="zh-CN"/>
        </w:rPr>
      </w:pPr>
    </w:p>
    <w:p w14:paraId="1FE3BEA5">
      <w:pPr>
        <w:keepNext w:val="0"/>
        <w:keepLines w:val="0"/>
        <w:pageBreakBefore w:val="0"/>
        <w:widowControl w:val="0"/>
        <w:suppressLineNumbers w:val="0"/>
        <w:tabs>
          <w:tab w:val="left" w:pos="2271"/>
          <w:tab w:val="left" w:pos="8569"/>
        </w:tabs>
        <w:kinsoku/>
        <w:wordWrap/>
        <w:overflowPunct/>
        <w:topLinePunct w:val="0"/>
        <w:autoSpaceDE/>
        <w:autoSpaceDN/>
        <w:bidi w:val="0"/>
        <w:adjustRightInd/>
        <w:snapToGrid/>
        <w:spacing w:before="0" w:beforeAutospacing="0" w:after="0" w:afterAutospacing="0"/>
        <w:ind w:left="2509" w:leftChars="513" w:right="0" w:hanging="1432" w:hangingChars="400"/>
        <w:jc w:val="both"/>
        <w:textAlignment w:val="auto"/>
        <w:rPr>
          <w:rFonts w:hint="default" w:ascii="Times New Roman" w:hAnsi="Times New Roman" w:eastAsia="仿宋" w:cs="Times New Roman"/>
          <w:color w:val="auto"/>
          <w:spacing w:val="-1"/>
          <w:sz w:val="36"/>
          <w:szCs w:val="36"/>
          <w:highlight w:val="none"/>
          <w:u w:val="single"/>
          <w:lang w:val="en-US" w:eastAsia="zh-CN"/>
        </w:rPr>
      </w:pPr>
      <w:r>
        <w:rPr>
          <w:rFonts w:hint="default" w:ascii="Times New Roman" w:hAnsi="Times New Roman" w:eastAsia="仿宋" w:cs="Times New Roman"/>
          <w:color w:val="auto"/>
          <w:spacing w:val="-1"/>
          <w:kern w:val="0"/>
          <w:sz w:val="36"/>
          <w:szCs w:val="36"/>
          <w:highlight w:val="none"/>
          <w:lang w:val="en-US" w:eastAsia="zh-CN" w:bidi="ar"/>
        </w:rPr>
        <w:t>项目名称：</w:t>
      </w:r>
      <w:r>
        <w:rPr>
          <w:rFonts w:hint="eastAsia" w:ascii="Times New Roman" w:hAnsi="Times New Roman" w:eastAsia="仿宋" w:cs="Times New Roman"/>
          <w:color w:val="auto"/>
          <w:spacing w:val="-1"/>
          <w:kern w:val="0"/>
          <w:sz w:val="36"/>
          <w:szCs w:val="36"/>
          <w:highlight w:val="none"/>
          <w:u w:val="single"/>
          <w:lang w:val="en-US" w:eastAsia="zh-CN" w:bidi="ar"/>
        </w:rPr>
        <w:t>米75-3M天然气评价井建设项目</w:t>
      </w:r>
    </w:p>
    <w:p w14:paraId="5BA00C2F">
      <w:pPr>
        <w:keepNext w:val="0"/>
        <w:keepLines w:val="0"/>
        <w:pageBreakBefore w:val="0"/>
        <w:widowControl w:val="0"/>
        <w:suppressLineNumbers w:val="0"/>
        <w:tabs>
          <w:tab w:val="left" w:pos="8480"/>
        </w:tabs>
        <w:kinsoku/>
        <w:wordWrap/>
        <w:overflowPunct/>
        <w:topLinePunct w:val="0"/>
        <w:autoSpaceDE/>
        <w:autoSpaceDN/>
        <w:bidi w:val="0"/>
        <w:adjustRightInd/>
        <w:snapToGrid/>
        <w:spacing w:before="90" w:beforeAutospacing="0" w:after="0" w:afterAutospacing="0"/>
        <w:ind w:left="0" w:leftChars="0" w:right="0" w:firstLine="1080" w:firstLineChars="300"/>
        <w:jc w:val="left"/>
        <w:textAlignment w:val="auto"/>
        <w:rPr>
          <w:rFonts w:hint="default" w:ascii="Times New Roman" w:hAnsi="Times New Roman" w:eastAsia="仿宋" w:cs="Times New Roman"/>
          <w:color w:val="auto"/>
          <w:spacing w:val="-1"/>
          <w:sz w:val="36"/>
          <w:szCs w:val="36"/>
          <w:highlight w:val="none"/>
          <w:u w:val="single"/>
          <w:lang w:val="en-US" w:eastAsia="zh-CN"/>
        </w:rPr>
      </w:pPr>
      <w:r>
        <w:rPr>
          <w:rFonts w:hint="default" w:ascii="Times New Roman" w:hAnsi="Times New Roman" w:eastAsia="仿宋" w:cs="Times New Roman"/>
          <w:color w:val="auto"/>
          <w:kern w:val="0"/>
          <w:sz w:val="36"/>
          <w:szCs w:val="36"/>
          <w:highlight w:val="none"/>
          <w:lang w:val="en-US" w:eastAsia="zh-CN" w:bidi="ar"/>
        </w:rPr>
        <w:t>建设单位（盖章）：</w:t>
      </w:r>
      <w:r>
        <w:rPr>
          <w:rFonts w:hint="default" w:ascii="Times New Roman" w:hAnsi="Times New Roman" w:eastAsia="仿宋" w:cs="Times New Roman"/>
          <w:color w:val="auto"/>
          <w:spacing w:val="-1"/>
          <w:kern w:val="0"/>
          <w:sz w:val="36"/>
          <w:szCs w:val="36"/>
          <w:highlight w:val="none"/>
          <w:u w:val="single"/>
          <w:lang w:val="en-US" w:eastAsia="zh-CN" w:bidi="ar"/>
        </w:rPr>
        <w:t>中国石油天然气股份有限公司</w:t>
      </w:r>
    </w:p>
    <w:p w14:paraId="660FD708">
      <w:pPr>
        <w:keepNext w:val="0"/>
        <w:keepLines w:val="0"/>
        <w:pageBreakBefore w:val="0"/>
        <w:widowControl w:val="0"/>
        <w:suppressLineNumbers w:val="0"/>
        <w:tabs>
          <w:tab w:val="left" w:pos="2991"/>
          <w:tab w:val="left" w:pos="8480"/>
        </w:tabs>
        <w:kinsoku/>
        <w:wordWrap/>
        <w:overflowPunct/>
        <w:topLinePunct w:val="0"/>
        <w:autoSpaceDE/>
        <w:autoSpaceDN/>
        <w:bidi w:val="0"/>
        <w:adjustRightInd/>
        <w:snapToGrid/>
        <w:spacing w:before="88" w:beforeAutospacing="0" w:after="0" w:afterAutospacing="0"/>
        <w:ind w:left="2514" w:leftChars="1197" w:right="0" w:firstLine="0" w:firstLineChars="0"/>
        <w:jc w:val="left"/>
        <w:textAlignment w:val="auto"/>
        <w:rPr>
          <w:rFonts w:hint="default" w:ascii="Times New Roman" w:hAnsi="Times New Roman" w:eastAsia="Times New Roman" w:cs="Times New Roman"/>
          <w:color w:val="auto"/>
          <w:sz w:val="36"/>
          <w:szCs w:val="36"/>
          <w:highlight w:val="none"/>
          <w:lang w:val="en-US" w:eastAsia="zh-CN"/>
        </w:rPr>
      </w:pPr>
      <w:r>
        <w:rPr>
          <w:rFonts w:hint="default" w:ascii="Times New Roman" w:hAnsi="Times New Roman" w:eastAsia="仿宋" w:cs="Times New Roman"/>
          <w:color w:val="auto"/>
          <w:kern w:val="0"/>
          <w:sz w:val="36"/>
          <w:szCs w:val="36"/>
          <w:highlight w:val="none"/>
          <w:u w:val="single" w:color="000000"/>
          <w:lang w:val="en-US" w:eastAsia="zh-CN" w:bidi="ar"/>
        </w:rPr>
        <w:t>长庆油田分公司天然气评价项目部</w:t>
      </w:r>
    </w:p>
    <w:p w14:paraId="0FB7BCA2">
      <w:pPr>
        <w:keepNext w:val="0"/>
        <w:keepLines w:val="0"/>
        <w:widowControl w:val="0"/>
        <w:suppressLineNumbers w:val="0"/>
        <w:tabs>
          <w:tab w:val="left" w:pos="4071"/>
        </w:tabs>
        <w:spacing w:before="88" w:beforeAutospacing="0" w:after="0" w:afterAutospacing="0"/>
        <w:ind w:left="111" w:right="0" w:firstLine="1080" w:firstLineChars="300"/>
        <w:jc w:val="both"/>
        <w:rPr>
          <w:rFonts w:hint="default" w:ascii="Times New Roman" w:hAnsi="Times New Roman" w:eastAsia="仿宋" w:cs="Times New Roman"/>
          <w:color w:val="auto"/>
          <w:sz w:val="36"/>
          <w:szCs w:val="36"/>
          <w:highlight w:val="none"/>
          <w:lang w:val="en-US" w:eastAsia="zh-CN"/>
        </w:rPr>
      </w:pPr>
      <w:r>
        <w:rPr>
          <w:rFonts w:hint="default" w:ascii="Times New Roman" w:hAnsi="Times New Roman" w:eastAsia="仿宋" w:cs="Times New Roman"/>
          <w:color w:val="auto"/>
          <w:kern w:val="0"/>
          <w:sz w:val="36"/>
          <w:szCs w:val="36"/>
          <w:highlight w:val="none"/>
          <w:lang w:val="en-US" w:eastAsia="zh-CN" w:bidi="ar"/>
        </w:rPr>
        <w:t>编制日期：</w:t>
      </w:r>
      <w:r>
        <w:rPr>
          <w:rFonts w:hint="eastAsia" w:ascii="Times New Roman" w:hAnsi="Times New Roman" w:eastAsia="仿宋" w:cs="Times New Roman"/>
          <w:color w:val="auto"/>
          <w:kern w:val="0"/>
          <w:sz w:val="36"/>
          <w:szCs w:val="36"/>
          <w:highlight w:val="none"/>
          <w:u w:val="single"/>
          <w:lang w:val="en-US" w:eastAsia="zh-CN" w:bidi="ar"/>
        </w:rPr>
        <w:t xml:space="preserve">           </w:t>
      </w:r>
      <w:r>
        <w:rPr>
          <w:rFonts w:hint="default" w:ascii="Times New Roman" w:hAnsi="Times New Roman" w:eastAsia="仿宋" w:cs="Times New Roman"/>
          <w:color w:val="auto"/>
          <w:kern w:val="0"/>
          <w:sz w:val="36"/>
          <w:szCs w:val="36"/>
          <w:highlight w:val="none"/>
          <w:u w:val="single"/>
          <w:lang w:val="en-US" w:eastAsia="zh-CN" w:bidi="ar"/>
        </w:rPr>
        <w:t>202</w:t>
      </w:r>
      <w:r>
        <w:rPr>
          <w:rFonts w:hint="eastAsia" w:ascii="Times New Roman" w:hAnsi="Times New Roman" w:eastAsia="仿宋" w:cs="Times New Roman"/>
          <w:color w:val="auto"/>
          <w:kern w:val="0"/>
          <w:sz w:val="36"/>
          <w:szCs w:val="36"/>
          <w:highlight w:val="none"/>
          <w:u w:val="single"/>
          <w:lang w:val="en-US" w:eastAsia="zh-CN" w:bidi="ar"/>
        </w:rPr>
        <w:t>6</w:t>
      </w:r>
      <w:r>
        <w:rPr>
          <w:rFonts w:hint="default" w:ascii="Times New Roman" w:hAnsi="Times New Roman" w:eastAsia="仿宋" w:cs="Times New Roman"/>
          <w:color w:val="auto"/>
          <w:kern w:val="0"/>
          <w:sz w:val="36"/>
          <w:szCs w:val="36"/>
          <w:highlight w:val="none"/>
          <w:u w:val="single"/>
          <w:lang w:val="en-US" w:eastAsia="zh-CN" w:bidi="ar"/>
        </w:rPr>
        <w:t>年</w:t>
      </w:r>
      <w:r>
        <w:rPr>
          <w:rFonts w:hint="eastAsia" w:ascii="Times New Roman" w:hAnsi="Times New Roman" w:eastAsia="仿宋" w:cs="Times New Roman"/>
          <w:color w:val="auto"/>
          <w:kern w:val="0"/>
          <w:sz w:val="36"/>
          <w:szCs w:val="36"/>
          <w:highlight w:val="none"/>
          <w:u w:val="single"/>
          <w:lang w:val="en-US" w:eastAsia="zh-CN" w:bidi="ar"/>
        </w:rPr>
        <w:t>3</w:t>
      </w:r>
      <w:r>
        <w:rPr>
          <w:rFonts w:hint="default" w:ascii="Times New Roman" w:hAnsi="Times New Roman" w:eastAsia="仿宋" w:cs="Times New Roman"/>
          <w:color w:val="auto"/>
          <w:kern w:val="0"/>
          <w:sz w:val="36"/>
          <w:szCs w:val="36"/>
          <w:highlight w:val="none"/>
          <w:u w:val="single"/>
          <w:lang w:val="en-US" w:eastAsia="zh-CN" w:bidi="ar"/>
        </w:rPr>
        <w:t>月</w:t>
      </w:r>
      <w:r>
        <w:rPr>
          <w:rFonts w:hint="eastAsia" w:ascii="Times New Roman" w:hAnsi="Times New Roman" w:eastAsia="仿宋" w:cs="Times New Roman"/>
          <w:color w:val="auto"/>
          <w:kern w:val="0"/>
          <w:sz w:val="36"/>
          <w:szCs w:val="36"/>
          <w:highlight w:val="none"/>
          <w:u w:val="single"/>
          <w:lang w:val="en-US" w:eastAsia="zh-CN" w:bidi="ar"/>
        </w:rPr>
        <w:t xml:space="preserve">             </w:t>
      </w:r>
    </w:p>
    <w:p w14:paraId="16F66E03">
      <w:pPr>
        <w:keepNext w:val="0"/>
        <w:keepLines w:val="0"/>
        <w:widowControl w:val="0"/>
        <w:suppressLineNumbers w:val="0"/>
        <w:spacing w:before="0" w:beforeAutospacing="0" w:after="0" w:afterAutospacing="0" w:line="20" w:lineRule="exact"/>
        <w:ind w:left="1902" w:right="0"/>
        <w:jc w:val="left"/>
        <w:rPr>
          <w:rFonts w:hint="default" w:ascii="Times New Roman" w:hAnsi="Times New Roman" w:eastAsia="仿宋" w:cs="Times New Roman"/>
          <w:color w:val="auto"/>
          <w:sz w:val="2"/>
          <w:szCs w:val="2"/>
          <w:highlight w:val="none"/>
          <w:lang w:val="en-US" w:eastAsia="zh-CN"/>
        </w:rPr>
      </w:pPr>
    </w:p>
    <w:p w14:paraId="72C5B91D">
      <w:pPr>
        <w:keepNext w:val="0"/>
        <w:keepLines w:val="0"/>
        <w:widowControl w:val="0"/>
        <w:suppressLineNumbers w:val="0"/>
        <w:spacing w:before="0" w:beforeAutospacing="0" w:after="0" w:afterAutospacing="0"/>
        <w:ind w:left="0" w:right="0"/>
        <w:jc w:val="left"/>
        <w:rPr>
          <w:rFonts w:hint="default" w:ascii="Times New Roman" w:hAnsi="Times New Roman" w:eastAsia="仿宋" w:cs="Times New Roman"/>
          <w:color w:val="auto"/>
          <w:sz w:val="20"/>
          <w:szCs w:val="20"/>
          <w:highlight w:val="none"/>
          <w:lang w:val="en-US" w:eastAsia="zh-CN"/>
        </w:rPr>
      </w:pPr>
    </w:p>
    <w:p w14:paraId="15027AC8">
      <w:pPr>
        <w:keepNext w:val="0"/>
        <w:keepLines w:val="0"/>
        <w:widowControl w:val="0"/>
        <w:suppressLineNumbers w:val="0"/>
        <w:spacing w:before="0" w:beforeAutospacing="0" w:after="0" w:afterAutospacing="0"/>
        <w:ind w:left="0" w:right="0"/>
        <w:jc w:val="left"/>
        <w:rPr>
          <w:rFonts w:hint="default" w:ascii="Times New Roman" w:hAnsi="Times New Roman" w:eastAsia="仿宋" w:cs="Times New Roman"/>
          <w:color w:val="auto"/>
          <w:sz w:val="20"/>
          <w:szCs w:val="20"/>
          <w:highlight w:val="none"/>
          <w:lang w:val="en-US" w:eastAsia="zh-CN"/>
        </w:rPr>
      </w:pPr>
    </w:p>
    <w:p w14:paraId="2F857790">
      <w:pPr>
        <w:keepNext w:val="0"/>
        <w:keepLines w:val="0"/>
        <w:widowControl w:val="0"/>
        <w:suppressLineNumbers w:val="0"/>
        <w:spacing w:before="0" w:beforeAutospacing="0" w:after="0" w:afterAutospacing="0"/>
        <w:ind w:left="0" w:right="0"/>
        <w:jc w:val="left"/>
        <w:rPr>
          <w:rFonts w:hint="default" w:ascii="Times New Roman" w:hAnsi="Times New Roman" w:eastAsia="仿宋" w:cs="Times New Roman"/>
          <w:color w:val="auto"/>
          <w:sz w:val="20"/>
          <w:szCs w:val="20"/>
          <w:highlight w:val="none"/>
          <w:lang w:val="en-US" w:eastAsia="zh-CN"/>
        </w:rPr>
      </w:pPr>
    </w:p>
    <w:p w14:paraId="31686F2C">
      <w:pPr>
        <w:keepNext w:val="0"/>
        <w:keepLines w:val="0"/>
        <w:widowControl w:val="0"/>
        <w:suppressLineNumbers w:val="0"/>
        <w:spacing w:before="0" w:beforeAutospacing="0" w:after="0" w:afterAutospacing="0"/>
        <w:ind w:left="0" w:right="0"/>
        <w:jc w:val="left"/>
        <w:rPr>
          <w:rFonts w:hint="default" w:ascii="Times New Roman" w:hAnsi="Times New Roman" w:eastAsia="仿宋" w:cs="Times New Roman"/>
          <w:color w:val="auto"/>
          <w:sz w:val="20"/>
          <w:szCs w:val="20"/>
          <w:highlight w:val="none"/>
          <w:lang w:val="en-US" w:eastAsia="zh-CN"/>
        </w:rPr>
      </w:pPr>
    </w:p>
    <w:p w14:paraId="06CC3909">
      <w:pPr>
        <w:pStyle w:val="5"/>
        <w:rPr>
          <w:rFonts w:hint="default" w:ascii="Times New Roman" w:hAnsi="Times New Roman" w:eastAsia="仿宋" w:cs="Times New Roman"/>
          <w:color w:val="auto"/>
          <w:sz w:val="20"/>
          <w:szCs w:val="20"/>
          <w:highlight w:val="none"/>
          <w:lang w:val="en-US" w:eastAsia="zh-CN"/>
        </w:rPr>
      </w:pPr>
    </w:p>
    <w:p w14:paraId="74DE07BC">
      <w:pPr>
        <w:rPr>
          <w:rFonts w:hint="default"/>
          <w:color w:val="auto"/>
          <w:highlight w:val="none"/>
          <w:lang w:val="en-US" w:eastAsia="zh-CN"/>
        </w:rPr>
      </w:pPr>
    </w:p>
    <w:p w14:paraId="68498984">
      <w:pPr>
        <w:keepNext w:val="0"/>
        <w:keepLines w:val="0"/>
        <w:widowControl w:val="0"/>
        <w:suppressLineNumbers w:val="0"/>
        <w:spacing w:before="0" w:beforeAutospacing="0" w:after="0" w:afterAutospacing="0"/>
        <w:ind w:left="0" w:right="0"/>
        <w:jc w:val="left"/>
        <w:rPr>
          <w:rFonts w:hint="default" w:ascii="Times New Roman" w:hAnsi="Times New Roman" w:eastAsia="仿宋" w:cs="Times New Roman"/>
          <w:color w:val="auto"/>
          <w:sz w:val="20"/>
          <w:szCs w:val="20"/>
          <w:highlight w:val="none"/>
          <w:lang w:val="en-US" w:eastAsia="zh-CN"/>
        </w:rPr>
      </w:pPr>
    </w:p>
    <w:p w14:paraId="7FC96EB6">
      <w:pPr>
        <w:keepNext w:val="0"/>
        <w:keepLines w:val="0"/>
        <w:widowControl w:val="0"/>
        <w:suppressLineNumbers w:val="0"/>
        <w:spacing w:before="0" w:beforeAutospacing="0" w:after="0" w:afterAutospacing="0"/>
        <w:ind w:left="0" w:right="0"/>
        <w:jc w:val="left"/>
        <w:rPr>
          <w:rFonts w:hint="default" w:ascii="Times New Roman" w:hAnsi="Times New Roman" w:eastAsia="仿宋" w:cs="Times New Roman"/>
          <w:color w:val="auto"/>
          <w:sz w:val="20"/>
          <w:szCs w:val="20"/>
          <w:highlight w:val="none"/>
          <w:lang w:val="en-US" w:eastAsia="zh-CN"/>
        </w:rPr>
      </w:pPr>
    </w:p>
    <w:p w14:paraId="126186E7">
      <w:pPr>
        <w:keepNext w:val="0"/>
        <w:keepLines w:val="0"/>
        <w:widowControl w:val="0"/>
        <w:suppressLineNumbers w:val="0"/>
        <w:spacing w:before="0" w:beforeAutospacing="0" w:after="0" w:afterAutospacing="0"/>
        <w:ind w:left="0" w:right="0"/>
        <w:jc w:val="center"/>
        <w:rPr>
          <w:rFonts w:hint="default" w:ascii="Times New Roman" w:hAnsi="Times New Roman" w:eastAsia="楷体" w:cs="Times New Roman"/>
          <w:color w:val="auto"/>
          <w:sz w:val="36"/>
          <w:szCs w:val="36"/>
          <w:highlight w:val="none"/>
          <w:lang w:val="en-US" w:eastAsia="zh-CN"/>
        </w:rPr>
      </w:pPr>
      <w:r>
        <w:rPr>
          <w:rFonts w:hint="default" w:ascii="Times New Roman" w:hAnsi="Times New Roman" w:eastAsia="楷体" w:cs="Times New Roman"/>
          <w:color w:val="auto"/>
          <w:kern w:val="0"/>
          <w:sz w:val="36"/>
          <w:szCs w:val="36"/>
          <w:highlight w:val="none"/>
          <w:lang w:val="en-US" w:eastAsia="zh-CN" w:bidi="ar"/>
        </w:rPr>
        <w:t>中华人民共和国生态环境部制</w:t>
      </w:r>
    </w:p>
    <w:p w14:paraId="46834DE1">
      <w:pPr>
        <w:keepNext w:val="0"/>
        <w:keepLines w:val="0"/>
        <w:widowControl w:val="0"/>
        <w:suppressLineNumbers w:val="0"/>
        <w:spacing w:before="0" w:beforeAutospacing="0" w:after="0" w:afterAutospacing="0"/>
        <w:ind w:left="0" w:right="0"/>
        <w:jc w:val="center"/>
        <w:rPr>
          <w:rFonts w:hint="default" w:ascii="Times New Roman" w:hAnsi="Times New Roman" w:eastAsia="楷体" w:cs="Times New Roman"/>
          <w:color w:val="auto"/>
          <w:sz w:val="36"/>
          <w:szCs w:val="36"/>
          <w:highlight w:val="none"/>
          <w:lang w:val="en-US" w:eastAsia="zh-CN"/>
        </w:rPr>
      </w:pPr>
      <w:r>
        <w:rPr>
          <w:rFonts w:hint="default" w:ascii="Times New Roman" w:hAnsi="Times New Roman" w:eastAsia="楷体" w:cs="Times New Roman"/>
          <w:color w:val="auto"/>
          <w:sz w:val="36"/>
          <w:szCs w:val="36"/>
          <w:highlight w:val="none"/>
          <w:lang w:val="en-US" w:eastAsia="zh-CN"/>
        </w:rPr>
        <w:br w:type="page"/>
      </w:r>
      <w:r>
        <w:rPr>
          <w:rFonts w:hint="default" w:ascii="Times New Roman" w:hAnsi="Times New Roman" w:eastAsia="楷体" w:cs="Times New Roman"/>
          <w:color w:val="auto"/>
          <w:sz w:val="36"/>
          <w:szCs w:val="36"/>
          <w:highlight w:val="none"/>
          <w:lang w:val="en-US" w:eastAsia="zh-CN"/>
        </w:rPr>
        <w:br w:type="page"/>
      </w:r>
    </w:p>
    <w:p w14:paraId="60A1293B">
      <w:pPr>
        <w:spacing w:before="0" w:beforeLines="0" w:after="0" w:afterLines="0" w:line="240" w:lineRule="auto"/>
        <w:ind w:left="0" w:leftChars="0" w:right="0" w:rightChars="0" w:firstLine="0" w:firstLineChars="0"/>
        <w:jc w:val="center"/>
        <w:rPr>
          <w:rFonts w:hint="default" w:ascii="Times New Roman" w:hAnsi="Times New Roman" w:cs="Times New Roman"/>
          <w:b/>
          <w:bCs/>
          <w:color w:val="auto"/>
          <w:sz w:val="30"/>
          <w:szCs w:val="30"/>
          <w:highlight w:val="none"/>
        </w:rPr>
      </w:pPr>
      <w:r>
        <w:rPr>
          <w:rFonts w:hint="default" w:ascii="Times New Roman" w:hAnsi="Times New Roman" w:eastAsia="宋体" w:cs="Times New Roman"/>
          <w:b/>
          <w:bCs/>
          <w:color w:val="auto"/>
          <w:sz w:val="30"/>
          <w:szCs w:val="30"/>
          <w:highlight w:val="none"/>
        </w:rPr>
        <w:t>目录</w:t>
      </w:r>
    </w:p>
    <w:p w14:paraId="26AE96BA">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fldChar w:fldCharType="begin"/>
      </w:r>
      <w:r>
        <w:rPr>
          <w:rFonts w:hint="default" w:ascii="Times New Roman" w:hAnsi="Times New Roman" w:eastAsia="宋体" w:cs="Times New Roman"/>
          <w:b w:val="0"/>
          <w:bCs w:val="0"/>
          <w:color w:val="auto"/>
          <w:sz w:val="24"/>
          <w:szCs w:val="24"/>
          <w:highlight w:val="none"/>
          <w:lang w:val="en-US" w:eastAsia="zh-CN"/>
        </w:rPr>
        <w:instrText xml:space="preserve">TOC \o "1-2" \h \u </w:instrText>
      </w:r>
      <w:r>
        <w:rPr>
          <w:rFonts w:hint="default" w:ascii="Times New Roman" w:hAnsi="Times New Roman" w:eastAsia="宋体" w:cs="Times New Roman"/>
          <w:b w:val="0"/>
          <w:bCs w:val="0"/>
          <w:color w:val="auto"/>
          <w:sz w:val="24"/>
          <w:szCs w:val="24"/>
          <w:highlight w:val="none"/>
          <w:lang w:val="en-US" w:eastAsia="zh-CN"/>
        </w:rPr>
        <w:fldChar w:fldCharType="separate"/>
      </w:r>
      <w:r>
        <w:rPr>
          <w:rFonts w:hint="default" w:ascii="Times New Roman" w:hAnsi="Times New Roman" w:eastAsia="宋体" w:cs="Times New Roman"/>
          <w:b w:val="0"/>
          <w:bCs w:val="0"/>
          <w:color w:val="auto"/>
          <w:sz w:val="24"/>
          <w:szCs w:val="24"/>
          <w:highlight w:val="none"/>
          <w:lang w:val="en-US" w:eastAsia="zh-CN"/>
        </w:rPr>
        <w:fldChar w:fldCharType="begin"/>
      </w:r>
      <w:r>
        <w:rPr>
          <w:rFonts w:hint="default" w:ascii="Times New Roman" w:hAnsi="Times New Roman" w:eastAsia="宋体" w:cs="Times New Roman"/>
          <w:b w:val="0"/>
          <w:bCs w:val="0"/>
          <w:color w:val="auto"/>
          <w:sz w:val="24"/>
          <w:szCs w:val="24"/>
          <w:highlight w:val="none"/>
          <w:lang w:val="en-US" w:eastAsia="zh-CN"/>
        </w:rPr>
        <w:instrText xml:space="preserve"> HYPERLINK \l _Toc9745 </w:instrText>
      </w:r>
      <w:r>
        <w:rPr>
          <w:rFonts w:hint="default" w:ascii="Times New Roman" w:hAnsi="Times New Roman" w:eastAsia="宋体" w:cs="Times New Roman"/>
          <w:b w:val="0"/>
          <w:bCs w:val="0"/>
          <w:color w:val="auto"/>
          <w:sz w:val="24"/>
          <w:szCs w:val="24"/>
          <w:highlight w:val="none"/>
          <w:lang w:val="en-US" w:eastAsia="zh-CN"/>
        </w:rPr>
        <w:fldChar w:fldCharType="separate"/>
      </w:r>
      <w:r>
        <w:rPr>
          <w:rFonts w:hint="default" w:ascii="Times New Roman" w:hAnsi="Times New Roman" w:eastAsia="宋体" w:cs="Times New Roman"/>
          <w:b w:val="0"/>
          <w:bCs w:val="0"/>
          <w:color w:val="auto"/>
          <w:kern w:val="0"/>
          <w:sz w:val="24"/>
          <w:szCs w:val="24"/>
          <w:highlight w:val="none"/>
          <w:lang w:val="en-US" w:eastAsia="zh-CN" w:bidi="ar"/>
        </w:rPr>
        <w:t>一、建设项目基本情况</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_Toc9745 \h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lang w:val="en-US" w:eastAsia="zh-CN"/>
        </w:rPr>
        <w:fldChar w:fldCharType="end"/>
      </w:r>
    </w:p>
    <w:p w14:paraId="7CF10181">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fldChar w:fldCharType="begin"/>
      </w:r>
      <w:r>
        <w:rPr>
          <w:rFonts w:hint="default" w:ascii="Times New Roman" w:hAnsi="Times New Roman" w:eastAsia="宋体" w:cs="Times New Roman"/>
          <w:b w:val="0"/>
          <w:bCs w:val="0"/>
          <w:color w:val="auto"/>
          <w:sz w:val="24"/>
          <w:szCs w:val="24"/>
          <w:highlight w:val="none"/>
          <w:lang w:val="en-US" w:eastAsia="zh-CN"/>
        </w:rPr>
        <w:instrText xml:space="preserve"> HYPERLINK \l _Toc30777 </w:instrText>
      </w:r>
      <w:r>
        <w:rPr>
          <w:rFonts w:hint="default" w:ascii="Times New Roman" w:hAnsi="Times New Roman" w:eastAsia="宋体" w:cs="Times New Roman"/>
          <w:b w:val="0"/>
          <w:bCs w:val="0"/>
          <w:color w:val="auto"/>
          <w:sz w:val="24"/>
          <w:szCs w:val="24"/>
          <w:highlight w:val="none"/>
          <w:lang w:val="en-US" w:eastAsia="zh-CN"/>
        </w:rPr>
        <w:fldChar w:fldCharType="separate"/>
      </w:r>
      <w:r>
        <w:rPr>
          <w:rFonts w:hint="default" w:ascii="Times New Roman" w:hAnsi="Times New Roman" w:eastAsia="宋体" w:cs="Times New Roman"/>
          <w:b w:val="0"/>
          <w:bCs w:val="0"/>
          <w:color w:val="auto"/>
          <w:kern w:val="0"/>
          <w:sz w:val="24"/>
          <w:szCs w:val="24"/>
          <w:highlight w:val="none"/>
          <w:lang w:val="en-US" w:eastAsia="zh-CN" w:bidi="ar"/>
        </w:rPr>
        <w:t>二、建设内容</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_Toc30777 \h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28</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lang w:val="en-US" w:eastAsia="zh-CN"/>
        </w:rPr>
        <w:fldChar w:fldCharType="end"/>
      </w:r>
    </w:p>
    <w:p w14:paraId="63A557E0">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fldChar w:fldCharType="begin"/>
      </w:r>
      <w:r>
        <w:rPr>
          <w:rFonts w:hint="default" w:ascii="Times New Roman" w:hAnsi="Times New Roman" w:eastAsia="宋体" w:cs="Times New Roman"/>
          <w:b w:val="0"/>
          <w:bCs w:val="0"/>
          <w:color w:val="auto"/>
          <w:sz w:val="24"/>
          <w:szCs w:val="24"/>
          <w:highlight w:val="none"/>
          <w:lang w:val="en-US" w:eastAsia="zh-CN"/>
        </w:rPr>
        <w:instrText xml:space="preserve"> HYPERLINK \l _Toc9926 </w:instrText>
      </w:r>
      <w:r>
        <w:rPr>
          <w:rFonts w:hint="default" w:ascii="Times New Roman" w:hAnsi="Times New Roman" w:eastAsia="宋体" w:cs="Times New Roman"/>
          <w:b w:val="0"/>
          <w:bCs w:val="0"/>
          <w:color w:val="auto"/>
          <w:sz w:val="24"/>
          <w:szCs w:val="24"/>
          <w:highlight w:val="none"/>
          <w:lang w:val="en-US" w:eastAsia="zh-CN"/>
        </w:rPr>
        <w:fldChar w:fldCharType="separate"/>
      </w:r>
      <w:r>
        <w:rPr>
          <w:rFonts w:hint="default" w:ascii="Times New Roman" w:hAnsi="Times New Roman" w:eastAsia="宋体" w:cs="Times New Roman"/>
          <w:b w:val="0"/>
          <w:bCs w:val="0"/>
          <w:color w:val="auto"/>
          <w:kern w:val="0"/>
          <w:sz w:val="24"/>
          <w:szCs w:val="24"/>
          <w:highlight w:val="none"/>
          <w:lang w:val="en-US" w:eastAsia="zh-CN" w:bidi="ar"/>
        </w:rPr>
        <w:t>三、生态环境现状、保护目标及评价标准</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_Toc9926 \h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52</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lang w:val="en-US" w:eastAsia="zh-CN"/>
        </w:rPr>
        <w:fldChar w:fldCharType="end"/>
      </w:r>
    </w:p>
    <w:p w14:paraId="228A268D">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fldChar w:fldCharType="begin"/>
      </w:r>
      <w:r>
        <w:rPr>
          <w:rFonts w:hint="default" w:ascii="Times New Roman" w:hAnsi="Times New Roman" w:eastAsia="宋体" w:cs="Times New Roman"/>
          <w:b w:val="0"/>
          <w:bCs w:val="0"/>
          <w:color w:val="auto"/>
          <w:sz w:val="24"/>
          <w:szCs w:val="24"/>
          <w:highlight w:val="none"/>
          <w:lang w:val="en-US" w:eastAsia="zh-CN"/>
        </w:rPr>
        <w:instrText xml:space="preserve"> HYPERLINK \l _Toc6020 </w:instrText>
      </w:r>
      <w:r>
        <w:rPr>
          <w:rFonts w:hint="default" w:ascii="Times New Roman" w:hAnsi="Times New Roman" w:eastAsia="宋体" w:cs="Times New Roman"/>
          <w:b w:val="0"/>
          <w:bCs w:val="0"/>
          <w:color w:val="auto"/>
          <w:sz w:val="24"/>
          <w:szCs w:val="24"/>
          <w:highlight w:val="none"/>
          <w:lang w:val="en-US" w:eastAsia="zh-CN"/>
        </w:rPr>
        <w:fldChar w:fldCharType="separate"/>
      </w:r>
      <w:r>
        <w:rPr>
          <w:rFonts w:hint="default" w:ascii="Times New Roman" w:hAnsi="Times New Roman" w:eastAsia="宋体" w:cs="Times New Roman"/>
          <w:b w:val="0"/>
          <w:bCs w:val="0"/>
          <w:color w:val="auto"/>
          <w:sz w:val="24"/>
          <w:szCs w:val="24"/>
          <w:highlight w:val="none"/>
          <w:lang w:val="en-US" w:eastAsia="zh-CN" w:bidi="ar"/>
        </w:rPr>
        <w:t>四、生态环境影响分析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_Toc6020 \h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60</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lang w:val="en-US" w:eastAsia="zh-CN"/>
        </w:rPr>
        <w:fldChar w:fldCharType="end"/>
      </w:r>
    </w:p>
    <w:p w14:paraId="277968B4">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fldChar w:fldCharType="begin"/>
      </w:r>
      <w:r>
        <w:rPr>
          <w:rFonts w:hint="default" w:ascii="Times New Roman" w:hAnsi="Times New Roman" w:eastAsia="宋体" w:cs="Times New Roman"/>
          <w:b w:val="0"/>
          <w:bCs w:val="0"/>
          <w:color w:val="auto"/>
          <w:sz w:val="24"/>
          <w:szCs w:val="24"/>
          <w:highlight w:val="none"/>
          <w:lang w:val="en-US" w:eastAsia="zh-CN"/>
        </w:rPr>
        <w:instrText xml:space="preserve"> HYPERLINK \l _Toc19919 </w:instrText>
      </w:r>
      <w:r>
        <w:rPr>
          <w:rFonts w:hint="default" w:ascii="Times New Roman" w:hAnsi="Times New Roman" w:eastAsia="宋体" w:cs="Times New Roman"/>
          <w:b w:val="0"/>
          <w:bCs w:val="0"/>
          <w:color w:val="auto"/>
          <w:sz w:val="24"/>
          <w:szCs w:val="24"/>
          <w:highlight w:val="none"/>
          <w:lang w:val="en-US" w:eastAsia="zh-CN"/>
        </w:rPr>
        <w:fldChar w:fldCharType="separate"/>
      </w:r>
      <w:r>
        <w:rPr>
          <w:rFonts w:hint="default" w:ascii="Times New Roman" w:hAnsi="Times New Roman" w:eastAsia="宋体" w:cs="Times New Roman"/>
          <w:b w:val="0"/>
          <w:bCs w:val="0"/>
          <w:color w:val="auto"/>
          <w:kern w:val="0"/>
          <w:sz w:val="24"/>
          <w:szCs w:val="24"/>
          <w:highlight w:val="none"/>
          <w:lang w:val="en-US" w:eastAsia="zh-CN" w:bidi="ar"/>
        </w:rPr>
        <w:t>五、主要生态环境保护措施</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_Toc19919 \h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87</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lang w:val="en-US" w:eastAsia="zh-CN"/>
        </w:rPr>
        <w:fldChar w:fldCharType="end"/>
      </w:r>
    </w:p>
    <w:p w14:paraId="51F3880D">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fldChar w:fldCharType="begin"/>
      </w:r>
      <w:r>
        <w:rPr>
          <w:rFonts w:hint="default" w:ascii="Times New Roman" w:hAnsi="Times New Roman" w:eastAsia="宋体" w:cs="Times New Roman"/>
          <w:b w:val="0"/>
          <w:bCs w:val="0"/>
          <w:color w:val="auto"/>
          <w:sz w:val="24"/>
          <w:szCs w:val="24"/>
          <w:highlight w:val="none"/>
          <w:lang w:val="en-US" w:eastAsia="zh-CN"/>
        </w:rPr>
        <w:instrText xml:space="preserve"> HYPERLINK \l _Toc22607 </w:instrText>
      </w:r>
      <w:r>
        <w:rPr>
          <w:rFonts w:hint="default" w:ascii="Times New Roman" w:hAnsi="Times New Roman" w:eastAsia="宋体" w:cs="Times New Roman"/>
          <w:b w:val="0"/>
          <w:bCs w:val="0"/>
          <w:color w:val="auto"/>
          <w:sz w:val="24"/>
          <w:szCs w:val="24"/>
          <w:highlight w:val="none"/>
          <w:lang w:val="en-US" w:eastAsia="zh-CN"/>
        </w:rPr>
        <w:fldChar w:fldCharType="separate"/>
      </w:r>
      <w:r>
        <w:rPr>
          <w:rFonts w:hint="default" w:ascii="Times New Roman" w:hAnsi="Times New Roman" w:eastAsia="宋体" w:cs="Times New Roman"/>
          <w:b w:val="0"/>
          <w:bCs w:val="0"/>
          <w:color w:val="auto"/>
          <w:kern w:val="0"/>
          <w:sz w:val="24"/>
          <w:szCs w:val="24"/>
          <w:highlight w:val="none"/>
          <w:lang w:val="en-US" w:eastAsia="zh-CN" w:bidi="ar"/>
        </w:rPr>
        <w:t>六、生态环境保护措施监督检查清单</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_Toc22607 \h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108</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lang w:val="en-US" w:eastAsia="zh-CN"/>
        </w:rPr>
        <w:fldChar w:fldCharType="end"/>
      </w:r>
    </w:p>
    <w:p w14:paraId="684BB2B1">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fldChar w:fldCharType="begin"/>
      </w:r>
      <w:r>
        <w:rPr>
          <w:rFonts w:hint="default" w:ascii="Times New Roman" w:hAnsi="Times New Roman" w:eastAsia="宋体" w:cs="Times New Roman"/>
          <w:b w:val="0"/>
          <w:bCs w:val="0"/>
          <w:color w:val="auto"/>
          <w:sz w:val="24"/>
          <w:szCs w:val="24"/>
          <w:highlight w:val="none"/>
          <w:lang w:val="en-US" w:eastAsia="zh-CN"/>
        </w:rPr>
        <w:instrText xml:space="preserve"> HYPERLINK \l _Toc7131 </w:instrText>
      </w:r>
      <w:r>
        <w:rPr>
          <w:rFonts w:hint="default" w:ascii="Times New Roman" w:hAnsi="Times New Roman" w:eastAsia="宋体" w:cs="Times New Roman"/>
          <w:b w:val="0"/>
          <w:bCs w:val="0"/>
          <w:color w:val="auto"/>
          <w:sz w:val="24"/>
          <w:szCs w:val="24"/>
          <w:highlight w:val="none"/>
          <w:lang w:val="en-US" w:eastAsia="zh-CN"/>
        </w:rPr>
        <w:fldChar w:fldCharType="separate"/>
      </w:r>
      <w:r>
        <w:rPr>
          <w:rFonts w:hint="default" w:ascii="Times New Roman" w:hAnsi="Times New Roman" w:eastAsia="宋体" w:cs="Times New Roman"/>
          <w:b w:val="0"/>
          <w:bCs w:val="0"/>
          <w:color w:val="auto"/>
          <w:kern w:val="2"/>
          <w:sz w:val="24"/>
          <w:szCs w:val="24"/>
          <w:highlight w:val="none"/>
          <w:lang w:val="en-US" w:eastAsia="zh-CN" w:bidi="ar-SA"/>
        </w:rPr>
        <w:t>七、</w:t>
      </w:r>
      <w:r>
        <w:rPr>
          <w:rFonts w:hint="default" w:ascii="Times New Roman" w:hAnsi="Times New Roman" w:eastAsia="宋体" w:cs="Times New Roman"/>
          <w:b w:val="0"/>
          <w:bCs w:val="0"/>
          <w:color w:val="auto"/>
          <w:kern w:val="0"/>
          <w:sz w:val="24"/>
          <w:szCs w:val="24"/>
          <w:highlight w:val="none"/>
          <w:lang w:val="en-US" w:eastAsia="zh-CN" w:bidi="ar"/>
        </w:rPr>
        <w:t>结论</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_Toc7131 \h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110</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lang w:val="en-US" w:eastAsia="zh-CN"/>
        </w:rPr>
        <w:fldChar w:fldCharType="end"/>
      </w:r>
    </w:p>
    <w:p w14:paraId="37D41D7C">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ind w:left="0" w:leftChars="0"/>
        <w:textAlignment w:val="auto"/>
        <w:rPr>
          <w:rFonts w:hint="default" w:ascii="Times New Roman" w:hAnsi="Times New Roman" w:eastAsia="楷体" w:cs="Times New Roman"/>
          <w:color w:val="auto"/>
          <w:sz w:val="36"/>
          <w:szCs w:val="36"/>
          <w:highlight w:val="none"/>
          <w:lang w:val="en-US" w:eastAsia="zh-CN"/>
        </w:rPr>
      </w:pPr>
      <w:r>
        <w:rPr>
          <w:rFonts w:hint="default" w:ascii="Times New Roman" w:hAnsi="Times New Roman" w:eastAsia="宋体" w:cs="Times New Roman"/>
          <w:bCs w:val="0"/>
          <w:color w:val="auto"/>
          <w:szCs w:val="24"/>
          <w:highlight w:val="none"/>
          <w:lang w:val="en-US" w:eastAsia="zh-CN"/>
        </w:rPr>
        <w:fldChar w:fldCharType="end"/>
      </w:r>
    </w:p>
    <w:p w14:paraId="19930510">
      <w:pPr>
        <w:keepNext w:val="0"/>
        <w:keepLines w:val="0"/>
        <w:widowControl w:val="0"/>
        <w:suppressLineNumbers w:val="0"/>
        <w:spacing w:before="0" w:beforeAutospacing="0" w:after="0" w:afterAutospacing="0"/>
        <w:ind w:left="0" w:right="0"/>
        <w:jc w:val="center"/>
        <w:rPr>
          <w:rFonts w:hint="default" w:ascii="Times New Roman" w:hAnsi="Times New Roman" w:eastAsia="楷体" w:cs="Times New Roman"/>
          <w:color w:val="auto"/>
          <w:sz w:val="36"/>
          <w:szCs w:val="36"/>
          <w:highlight w:val="none"/>
          <w:lang w:val="en-US" w:eastAsia="zh-CN"/>
        </w:rPr>
      </w:pPr>
    </w:p>
    <w:p w14:paraId="0D9082DE">
      <w:pPr>
        <w:keepNext w:val="0"/>
        <w:keepLines w:val="0"/>
        <w:widowControl w:val="0"/>
        <w:suppressLineNumbers w:val="0"/>
        <w:spacing w:before="0" w:beforeAutospacing="0" w:after="0" w:afterAutospacing="0"/>
        <w:ind w:left="0" w:right="0"/>
        <w:jc w:val="center"/>
        <w:rPr>
          <w:rFonts w:hint="default" w:ascii="Times New Roman" w:hAnsi="Times New Roman" w:eastAsia="楷体" w:cs="Times New Roman"/>
          <w:color w:val="auto"/>
          <w:sz w:val="36"/>
          <w:szCs w:val="36"/>
          <w:highlight w:val="none"/>
          <w:lang w:val="en-US" w:eastAsia="zh-CN"/>
        </w:rPr>
      </w:pPr>
    </w:p>
    <w:p w14:paraId="0FA386B9">
      <w:pPr>
        <w:keepNext w:val="0"/>
        <w:keepLines w:val="0"/>
        <w:widowControl w:val="0"/>
        <w:suppressLineNumbers w:val="0"/>
        <w:spacing w:before="0" w:beforeAutospacing="0" w:after="0" w:afterAutospacing="0"/>
        <w:ind w:left="0" w:right="0"/>
        <w:jc w:val="center"/>
        <w:rPr>
          <w:rFonts w:hint="default" w:ascii="Times New Roman" w:hAnsi="Times New Roman" w:eastAsia="楷体" w:cs="Times New Roman"/>
          <w:color w:val="auto"/>
          <w:sz w:val="36"/>
          <w:szCs w:val="36"/>
          <w:highlight w:val="none"/>
          <w:lang w:val="en-US" w:eastAsia="zh-CN"/>
        </w:rPr>
      </w:pPr>
    </w:p>
    <w:p w14:paraId="59154899">
      <w:pPr>
        <w:keepNext w:val="0"/>
        <w:keepLines w:val="0"/>
        <w:widowControl w:val="0"/>
        <w:suppressLineNumbers w:val="0"/>
        <w:spacing w:before="0" w:beforeAutospacing="0" w:after="0" w:afterAutospacing="0"/>
        <w:ind w:left="0" w:right="0"/>
        <w:jc w:val="center"/>
        <w:rPr>
          <w:rFonts w:hint="default" w:ascii="Times New Roman" w:hAnsi="Times New Roman" w:eastAsia="楷体" w:cs="Times New Roman"/>
          <w:color w:val="auto"/>
          <w:sz w:val="36"/>
          <w:szCs w:val="36"/>
          <w:highlight w:val="none"/>
          <w:lang w:val="en-US" w:eastAsia="zh-CN"/>
        </w:rPr>
      </w:pPr>
    </w:p>
    <w:p w14:paraId="16283DB7">
      <w:pPr>
        <w:keepNext w:val="0"/>
        <w:keepLines w:val="0"/>
        <w:widowControl w:val="0"/>
        <w:suppressLineNumbers w:val="0"/>
        <w:spacing w:before="0" w:beforeAutospacing="0" w:after="0" w:afterAutospacing="0"/>
        <w:ind w:left="0" w:right="0"/>
        <w:jc w:val="center"/>
        <w:rPr>
          <w:rFonts w:hint="default" w:ascii="Times New Roman" w:hAnsi="Times New Roman" w:eastAsia="楷体" w:cs="Times New Roman"/>
          <w:color w:val="auto"/>
          <w:sz w:val="36"/>
          <w:szCs w:val="36"/>
          <w:highlight w:val="none"/>
          <w:lang w:val="en-US" w:eastAsia="zh-CN"/>
        </w:rPr>
      </w:pPr>
    </w:p>
    <w:p w14:paraId="1AFFADC0">
      <w:pPr>
        <w:keepNext w:val="0"/>
        <w:keepLines w:val="0"/>
        <w:widowControl w:val="0"/>
        <w:suppressLineNumbers w:val="0"/>
        <w:spacing w:before="0" w:beforeAutospacing="0" w:after="0" w:afterAutospacing="0"/>
        <w:ind w:left="0" w:right="0"/>
        <w:jc w:val="center"/>
        <w:rPr>
          <w:rFonts w:hint="default" w:ascii="Times New Roman" w:hAnsi="Times New Roman" w:eastAsia="楷体" w:cs="Times New Roman"/>
          <w:color w:val="auto"/>
          <w:sz w:val="36"/>
          <w:szCs w:val="36"/>
          <w:highlight w:val="none"/>
          <w:lang w:val="en-US" w:eastAsia="zh-CN"/>
        </w:rPr>
      </w:pPr>
    </w:p>
    <w:p w14:paraId="77D078B9">
      <w:pPr>
        <w:keepNext w:val="0"/>
        <w:keepLines w:val="0"/>
        <w:widowControl w:val="0"/>
        <w:suppressLineNumbers w:val="0"/>
        <w:spacing w:before="0" w:beforeAutospacing="0" w:after="0" w:afterAutospacing="0"/>
        <w:ind w:left="0" w:right="0"/>
        <w:jc w:val="center"/>
        <w:rPr>
          <w:rFonts w:hint="default" w:ascii="Times New Roman" w:hAnsi="Times New Roman" w:eastAsia="楷体" w:cs="Times New Roman"/>
          <w:color w:val="auto"/>
          <w:sz w:val="36"/>
          <w:szCs w:val="36"/>
          <w:highlight w:val="none"/>
          <w:lang w:val="en-US" w:eastAsia="zh-CN"/>
        </w:rPr>
      </w:pPr>
    </w:p>
    <w:p w14:paraId="770756CA">
      <w:pPr>
        <w:keepNext w:val="0"/>
        <w:keepLines w:val="0"/>
        <w:widowControl w:val="0"/>
        <w:suppressLineNumbers w:val="0"/>
        <w:spacing w:before="0" w:beforeAutospacing="0" w:after="0" w:afterAutospacing="0"/>
        <w:ind w:left="0" w:right="0"/>
        <w:jc w:val="center"/>
        <w:rPr>
          <w:rFonts w:hint="default" w:ascii="Times New Roman" w:hAnsi="Times New Roman" w:eastAsia="楷体" w:cs="Times New Roman"/>
          <w:color w:val="auto"/>
          <w:sz w:val="36"/>
          <w:szCs w:val="36"/>
          <w:highlight w:val="none"/>
          <w:lang w:val="en-US" w:eastAsia="zh-CN"/>
        </w:rPr>
      </w:pPr>
    </w:p>
    <w:p w14:paraId="5AE560FF">
      <w:pPr>
        <w:keepNext w:val="0"/>
        <w:keepLines w:val="0"/>
        <w:widowControl w:val="0"/>
        <w:suppressLineNumbers w:val="0"/>
        <w:spacing w:before="0" w:beforeAutospacing="0" w:after="0" w:afterAutospacing="0"/>
        <w:ind w:left="0" w:right="0"/>
        <w:jc w:val="center"/>
        <w:rPr>
          <w:rFonts w:hint="default" w:ascii="Times New Roman" w:hAnsi="Times New Roman" w:eastAsia="楷体" w:cs="Times New Roman"/>
          <w:color w:val="auto"/>
          <w:sz w:val="36"/>
          <w:szCs w:val="36"/>
          <w:highlight w:val="none"/>
          <w:lang w:val="en-US" w:eastAsia="zh-CN"/>
        </w:rPr>
      </w:pPr>
    </w:p>
    <w:p w14:paraId="730EA178">
      <w:pPr>
        <w:keepNext w:val="0"/>
        <w:keepLines w:val="0"/>
        <w:widowControl w:val="0"/>
        <w:suppressLineNumbers w:val="0"/>
        <w:spacing w:before="0" w:beforeAutospacing="0" w:after="0" w:afterAutospacing="0"/>
        <w:ind w:left="0" w:right="0"/>
        <w:jc w:val="center"/>
        <w:rPr>
          <w:rFonts w:hint="default" w:ascii="Times New Roman" w:hAnsi="Times New Roman" w:eastAsia="楷体" w:cs="Times New Roman"/>
          <w:color w:val="auto"/>
          <w:sz w:val="36"/>
          <w:szCs w:val="36"/>
          <w:highlight w:val="none"/>
          <w:lang w:val="en-US" w:eastAsia="zh-CN"/>
        </w:rPr>
      </w:pPr>
    </w:p>
    <w:p w14:paraId="7E0F2F17">
      <w:pPr>
        <w:keepNext w:val="0"/>
        <w:keepLines w:val="0"/>
        <w:widowControl w:val="0"/>
        <w:suppressLineNumbers w:val="0"/>
        <w:spacing w:before="0" w:beforeAutospacing="0" w:after="0" w:afterAutospacing="0"/>
        <w:ind w:left="0" w:right="0"/>
        <w:jc w:val="center"/>
        <w:rPr>
          <w:rFonts w:hint="default" w:ascii="Times New Roman" w:hAnsi="Times New Roman" w:eastAsia="楷体" w:cs="Times New Roman"/>
          <w:color w:val="auto"/>
          <w:sz w:val="36"/>
          <w:szCs w:val="36"/>
          <w:highlight w:val="none"/>
          <w:lang w:val="en-US" w:eastAsia="zh-CN"/>
        </w:rPr>
      </w:pPr>
    </w:p>
    <w:p w14:paraId="2D002048">
      <w:pPr>
        <w:keepNext w:val="0"/>
        <w:keepLines w:val="0"/>
        <w:widowControl w:val="0"/>
        <w:suppressLineNumbers w:val="0"/>
        <w:spacing w:before="0" w:beforeAutospacing="0" w:after="0" w:afterAutospacing="0"/>
        <w:ind w:left="0" w:right="0"/>
        <w:jc w:val="center"/>
        <w:rPr>
          <w:rFonts w:hint="default" w:ascii="Times New Roman" w:hAnsi="Times New Roman" w:eastAsia="楷体" w:cs="Times New Roman"/>
          <w:color w:val="auto"/>
          <w:sz w:val="36"/>
          <w:szCs w:val="36"/>
          <w:highlight w:val="none"/>
          <w:lang w:val="en-US" w:eastAsia="zh-CN"/>
        </w:rPr>
      </w:pPr>
    </w:p>
    <w:p w14:paraId="605B1C8D">
      <w:pPr>
        <w:keepNext w:val="0"/>
        <w:keepLines w:val="0"/>
        <w:widowControl w:val="0"/>
        <w:suppressLineNumbers w:val="0"/>
        <w:spacing w:before="0" w:beforeAutospacing="0" w:after="0" w:afterAutospacing="0"/>
        <w:ind w:left="0" w:right="0"/>
        <w:jc w:val="center"/>
        <w:rPr>
          <w:rFonts w:hint="default" w:ascii="Times New Roman" w:hAnsi="Times New Roman" w:eastAsia="楷体" w:cs="Times New Roman"/>
          <w:color w:val="auto"/>
          <w:sz w:val="36"/>
          <w:szCs w:val="36"/>
          <w:highlight w:val="none"/>
          <w:lang w:val="en-US" w:eastAsia="zh-CN"/>
        </w:rPr>
      </w:pPr>
    </w:p>
    <w:p w14:paraId="2DF1ABDA">
      <w:pPr>
        <w:rPr>
          <w:rFonts w:hint="default" w:ascii="Times New Roman" w:hAnsi="Times New Roman" w:eastAsia="黑体" w:cs="Times New Roman"/>
          <w:color w:val="auto"/>
          <w:sz w:val="28"/>
          <w:szCs w:val="28"/>
          <w:highlight w:val="none"/>
          <w:lang w:val="en-US" w:eastAsia="zh-CN" w:bidi="ar"/>
        </w:rPr>
        <w:sectPr>
          <w:pgSz w:w="11906" w:h="16838"/>
          <w:pgMar w:top="1417" w:right="1417" w:bottom="1417" w:left="1417" w:header="992" w:footer="896" w:gutter="0"/>
          <w:pgBorders w:offsetFrom="page">
            <w:top w:val="none" w:sz="0" w:space="0"/>
            <w:left w:val="none" w:sz="0" w:space="0"/>
            <w:bottom w:val="none" w:sz="0" w:space="0"/>
            <w:right w:val="none" w:sz="0" w:space="0"/>
          </w:pgBorders>
          <w:cols w:space="720" w:num="1"/>
          <w:docGrid w:type="lines" w:linePitch="318" w:charSpace="0"/>
        </w:sectPr>
      </w:pPr>
    </w:p>
    <w:p w14:paraId="76BD4F7C">
      <w:pPr>
        <w:keepNext w:val="0"/>
        <w:keepLines w:val="0"/>
        <w:widowControl w:val="0"/>
        <w:suppressLineNumbers w:val="0"/>
        <w:spacing w:before="0" w:beforeAutospacing="0" w:after="0" w:afterAutospacing="0"/>
        <w:ind w:left="0" w:right="0"/>
        <w:jc w:val="center"/>
        <w:outlineLvl w:val="1"/>
        <w:rPr>
          <w:rFonts w:hint="default" w:ascii="Times New Roman" w:hAnsi="Times New Roman" w:eastAsia="黑体" w:cs="Times New Roman"/>
          <w:color w:val="auto"/>
          <w:sz w:val="28"/>
          <w:szCs w:val="28"/>
          <w:highlight w:val="none"/>
          <w:lang w:val="en-US" w:eastAsia="zh-CN"/>
        </w:rPr>
      </w:pPr>
      <w:bookmarkStart w:id="1" w:name="_Toc9745"/>
      <w:r>
        <w:rPr>
          <w:rFonts w:hint="default" w:ascii="Times New Roman" w:hAnsi="Times New Roman" w:eastAsia="黑体" w:cs="Times New Roman"/>
          <w:color w:val="auto"/>
          <w:kern w:val="0"/>
          <w:sz w:val="28"/>
          <w:szCs w:val="28"/>
          <w:highlight w:val="none"/>
          <w:lang w:val="en-US" w:eastAsia="zh-CN" w:bidi="ar"/>
        </w:rPr>
        <w:t>一、建设项目基本情况</w:t>
      </w:r>
      <w:bookmarkEnd w:id="1"/>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2839"/>
        <w:gridCol w:w="2107"/>
        <w:gridCol w:w="3095"/>
      </w:tblGrid>
      <w:tr w14:paraId="0386D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Borders>
              <w:top w:val="single" w:color="auto" w:sz="4" w:space="0"/>
              <w:left w:val="single" w:color="auto" w:sz="4" w:space="0"/>
              <w:bottom w:val="single" w:color="auto" w:sz="4" w:space="0"/>
              <w:right w:val="single" w:color="auto" w:sz="4" w:space="0"/>
            </w:tcBorders>
            <w:noWrap w:val="0"/>
            <w:vAlign w:val="center"/>
          </w:tcPr>
          <w:p w14:paraId="7561323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建设项目名称</w:t>
            </w:r>
          </w:p>
        </w:tc>
        <w:tc>
          <w:tcPr>
            <w:tcW w:w="8041" w:type="dxa"/>
            <w:gridSpan w:val="3"/>
            <w:tcBorders>
              <w:top w:val="single" w:color="auto" w:sz="4" w:space="0"/>
              <w:left w:val="single" w:color="auto" w:sz="4" w:space="0"/>
              <w:bottom w:val="single" w:color="auto" w:sz="4" w:space="0"/>
              <w:right w:val="single" w:color="auto" w:sz="4" w:space="0"/>
            </w:tcBorders>
            <w:noWrap w:val="0"/>
            <w:vAlign w:val="center"/>
          </w:tcPr>
          <w:p w14:paraId="6BED401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kern w:val="0"/>
                <w:sz w:val="24"/>
                <w:szCs w:val="24"/>
                <w:highlight w:val="none"/>
                <w:lang w:val="en-US" w:eastAsia="zh-CN" w:bidi="ar"/>
              </w:rPr>
              <w:t>米75-3M天然气评价井建设项目</w:t>
            </w:r>
          </w:p>
        </w:tc>
      </w:tr>
      <w:tr w14:paraId="46AD4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247" w:type="dxa"/>
            <w:tcBorders>
              <w:top w:val="single" w:color="auto" w:sz="4" w:space="0"/>
              <w:left w:val="single" w:color="auto" w:sz="4" w:space="0"/>
              <w:bottom w:val="single" w:color="auto" w:sz="4" w:space="0"/>
              <w:right w:val="single" w:color="auto" w:sz="4" w:space="0"/>
            </w:tcBorders>
            <w:noWrap w:val="0"/>
            <w:vAlign w:val="center"/>
          </w:tcPr>
          <w:p w14:paraId="2A6F6B9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项目代码</w:t>
            </w:r>
          </w:p>
        </w:tc>
        <w:tc>
          <w:tcPr>
            <w:tcW w:w="8041" w:type="dxa"/>
            <w:gridSpan w:val="3"/>
            <w:tcBorders>
              <w:top w:val="single" w:color="auto" w:sz="4" w:space="0"/>
              <w:left w:val="single" w:color="auto" w:sz="4" w:space="0"/>
              <w:bottom w:val="single" w:color="auto" w:sz="4" w:space="0"/>
              <w:right w:val="single" w:color="auto" w:sz="4" w:space="0"/>
            </w:tcBorders>
            <w:noWrap w:val="0"/>
            <w:vAlign w:val="center"/>
          </w:tcPr>
          <w:p w14:paraId="2D7D212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w:t>
            </w:r>
          </w:p>
        </w:tc>
      </w:tr>
      <w:tr w14:paraId="1FE35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Borders>
              <w:top w:val="single" w:color="auto" w:sz="4" w:space="0"/>
              <w:left w:val="single" w:color="auto" w:sz="4" w:space="0"/>
              <w:bottom w:val="single" w:color="auto" w:sz="4" w:space="0"/>
              <w:right w:val="single" w:color="auto" w:sz="4" w:space="0"/>
            </w:tcBorders>
            <w:noWrap w:val="0"/>
            <w:vAlign w:val="center"/>
          </w:tcPr>
          <w:p w14:paraId="4FB35B6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建设单位联系人</w:t>
            </w:r>
          </w:p>
        </w:tc>
        <w:tc>
          <w:tcPr>
            <w:tcW w:w="2839" w:type="dxa"/>
            <w:tcBorders>
              <w:top w:val="single" w:color="auto" w:sz="4" w:space="0"/>
              <w:left w:val="single" w:color="auto" w:sz="4" w:space="0"/>
              <w:bottom w:val="single" w:color="auto" w:sz="4" w:space="0"/>
              <w:right w:val="single" w:color="auto" w:sz="4" w:space="0"/>
            </w:tcBorders>
            <w:noWrap w:val="0"/>
            <w:vAlign w:val="center"/>
          </w:tcPr>
          <w:p w14:paraId="726C42A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kern w:val="0"/>
                <w:sz w:val="24"/>
                <w:szCs w:val="24"/>
                <w:highlight w:val="none"/>
                <w:lang w:val="en-US" w:eastAsia="zh-CN" w:bidi="ar"/>
              </w:rPr>
              <w:t>宋斌</w:t>
            </w:r>
          </w:p>
        </w:tc>
        <w:tc>
          <w:tcPr>
            <w:tcW w:w="2107" w:type="dxa"/>
            <w:tcBorders>
              <w:top w:val="single" w:color="auto" w:sz="4" w:space="0"/>
              <w:left w:val="single" w:color="auto" w:sz="4" w:space="0"/>
              <w:bottom w:val="single" w:color="auto" w:sz="4" w:space="0"/>
              <w:right w:val="single" w:color="auto" w:sz="4" w:space="0"/>
            </w:tcBorders>
            <w:noWrap w:val="0"/>
            <w:vAlign w:val="center"/>
          </w:tcPr>
          <w:p w14:paraId="0A566B2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联系方式</w:t>
            </w:r>
          </w:p>
        </w:tc>
        <w:tc>
          <w:tcPr>
            <w:tcW w:w="3095" w:type="dxa"/>
            <w:tcBorders>
              <w:top w:val="single" w:color="auto" w:sz="4" w:space="0"/>
              <w:left w:val="single" w:color="auto" w:sz="4" w:space="0"/>
              <w:bottom w:val="single" w:color="auto" w:sz="4" w:space="0"/>
              <w:right w:val="single" w:color="auto" w:sz="4" w:space="0"/>
            </w:tcBorders>
            <w:noWrap w:val="0"/>
            <w:vAlign w:val="center"/>
          </w:tcPr>
          <w:p w14:paraId="2988C98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13629575890</w:t>
            </w:r>
          </w:p>
        </w:tc>
      </w:tr>
      <w:tr w14:paraId="295CC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Borders>
              <w:top w:val="single" w:color="auto" w:sz="4" w:space="0"/>
              <w:left w:val="single" w:color="auto" w:sz="4" w:space="0"/>
              <w:bottom w:val="single" w:color="auto" w:sz="4" w:space="0"/>
              <w:right w:val="single" w:color="auto" w:sz="4" w:space="0"/>
            </w:tcBorders>
            <w:noWrap w:val="0"/>
            <w:vAlign w:val="center"/>
          </w:tcPr>
          <w:p w14:paraId="11BD451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建设地点</w:t>
            </w:r>
          </w:p>
        </w:tc>
        <w:tc>
          <w:tcPr>
            <w:tcW w:w="8041" w:type="dxa"/>
            <w:gridSpan w:val="3"/>
            <w:tcBorders>
              <w:top w:val="single" w:color="auto" w:sz="4" w:space="0"/>
              <w:left w:val="single" w:color="auto" w:sz="4" w:space="0"/>
              <w:bottom w:val="single" w:color="auto" w:sz="4" w:space="0"/>
              <w:right w:val="single" w:color="auto" w:sz="4" w:space="0"/>
            </w:tcBorders>
            <w:noWrap w:val="0"/>
            <w:vAlign w:val="top"/>
          </w:tcPr>
          <w:p w14:paraId="2468C28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陕西省榆林市佳县金明寺镇双碾沟村</w:t>
            </w:r>
          </w:p>
        </w:tc>
      </w:tr>
      <w:tr w14:paraId="4082B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Borders>
              <w:top w:val="single" w:color="auto" w:sz="4" w:space="0"/>
              <w:left w:val="single" w:color="auto" w:sz="4" w:space="0"/>
              <w:bottom w:val="single" w:color="auto" w:sz="4" w:space="0"/>
              <w:right w:val="single" w:color="auto" w:sz="4" w:space="0"/>
            </w:tcBorders>
            <w:noWrap w:val="0"/>
            <w:vAlign w:val="center"/>
          </w:tcPr>
          <w:p w14:paraId="6AC7C79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地理坐标</w:t>
            </w:r>
          </w:p>
        </w:tc>
        <w:tc>
          <w:tcPr>
            <w:tcW w:w="8041" w:type="dxa"/>
            <w:gridSpan w:val="3"/>
            <w:tcBorders>
              <w:top w:val="single" w:color="auto" w:sz="4" w:space="0"/>
              <w:left w:val="single" w:color="auto" w:sz="4" w:space="0"/>
              <w:bottom w:val="single" w:color="auto" w:sz="4" w:space="0"/>
              <w:right w:val="single" w:color="auto" w:sz="4" w:space="0"/>
            </w:tcBorders>
            <w:noWrap w:val="0"/>
            <w:vAlign w:val="top"/>
          </w:tcPr>
          <w:p w14:paraId="325713B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E110°13′19.</w:t>
            </w:r>
            <w:r>
              <w:rPr>
                <w:rFonts w:hint="eastAsia" w:ascii="Times New Roman" w:hAnsi="Times New Roman" w:cs="Times New Roman"/>
                <w:color w:val="auto"/>
                <w:kern w:val="0"/>
                <w:sz w:val="24"/>
                <w:szCs w:val="24"/>
                <w:highlight w:val="none"/>
                <w:lang w:val="en-US" w:eastAsia="zh-CN" w:bidi="ar"/>
              </w:rPr>
              <w:t>683</w:t>
            </w:r>
            <w:r>
              <w:rPr>
                <w:rFonts w:hint="default" w:ascii="Times New Roman" w:hAnsi="Times New Roman" w:eastAsia="宋体" w:cs="Times New Roman"/>
                <w:color w:val="auto"/>
                <w:kern w:val="0"/>
                <w:sz w:val="24"/>
                <w:szCs w:val="24"/>
                <w:highlight w:val="none"/>
                <w:lang w:val="en-US" w:eastAsia="zh-CN" w:bidi="ar"/>
              </w:rPr>
              <w:t>″，N37°58′37.</w:t>
            </w:r>
            <w:r>
              <w:rPr>
                <w:rFonts w:hint="eastAsia" w:ascii="Times New Roman" w:hAnsi="Times New Roman" w:cs="Times New Roman"/>
                <w:color w:val="auto"/>
                <w:kern w:val="0"/>
                <w:sz w:val="24"/>
                <w:szCs w:val="24"/>
                <w:highlight w:val="none"/>
                <w:lang w:val="en-US" w:eastAsia="zh-CN" w:bidi="ar"/>
              </w:rPr>
              <w:t>711</w:t>
            </w:r>
            <w:r>
              <w:rPr>
                <w:rFonts w:hint="default" w:ascii="Times New Roman" w:hAnsi="Times New Roman" w:eastAsia="宋体" w:cs="Times New Roman"/>
                <w:color w:val="auto"/>
                <w:kern w:val="0"/>
                <w:sz w:val="24"/>
                <w:szCs w:val="24"/>
                <w:highlight w:val="none"/>
                <w:lang w:val="en-US" w:eastAsia="zh-CN" w:bidi="ar"/>
              </w:rPr>
              <w:t>″</w:t>
            </w:r>
          </w:p>
        </w:tc>
      </w:tr>
      <w:tr w14:paraId="1D6E5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Borders>
              <w:top w:val="single" w:color="auto" w:sz="4" w:space="0"/>
              <w:left w:val="single" w:color="auto" w:sz="4" w:space="0"/>
              <w:bottom w:val="single" w:color="auto" w:sz="4" w:space="0"/>
              <w:right w:val="single" w:color="auto" w:sz="4" w:space="0"/>
            </w:tcBorders>
            <w:noWrap w:val="0"/>
            <w:vAlign w:val="center"/>
          </w:tcPr>
          <w:p w14:paraId="48F5E1E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建设项目类别</w:t>
            </w:r>
          </w:p>
        </w:tc>
        <w:tc>
          <w:tcPr>
            <w:tcW w:w="2839" w:type="dxa"/>
            <w:tcBorders>
              <w:top w:val="single" w:color="auto" w:sz="4" w:space="0"/>
              <w:left w:val="single" w:color="auto" w:sz="4" w:space="0"/>
              <w:bottom w:val="single" w:color="auto" w:sz="4" w:space="0"/>
              <w:right w:val="single" w:color="auto" w:sz="4" w:space="0"/>
            </w:tcBorders>
            <w:noWrap w:val="0"/>
            <w:vAlign w:val="top"/>
          </w:tcPr>
          <w:p w14:paraId="5D06B21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四十六、专业技术服务-99、陆地矿产资源地质勘察（含油气资源勘探）；二氧化碳地质封存-全部</w:t>
            </w:r>
          </w:p>
        </w:tc>
        <w:tc>
          <w:tcPr>
            <w:tcW w:w="2107" w:type="dxa"/>
            <w:tcBorders>
              <w:top w:val="single" w:color="auto" w:sz="4" w:space="0"/>
              <w:left w:val="single" w:color="auto" w:sz="4" w:space="0"/>
              <w:bottom w:val="single" w:color="auto" w:sz="4" w:space="0"/>
              <w:right w:val="single" w:color="auto" w:sz="4" w:space="0"/>
            </w:tcBorders>
            <w:noWrap w:val="0"/>
            <w:vAlign w:val="center"/>
          </w:tcPr>
          <w:p w14:paraId="27C2679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用地（用海）面积（m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）/长度（km）</w:t>
            </w:r>
          </w:p>
        </w:tc>
        <w:tc>
          <w:tcPr>
            <w:tcW w:w="3095" w:type="dxa"/>
            <w:tcBorders>
              <w:top w:val="single" w:color="auto" w:sz="4" w:space="0"/>
              <w:left w:val="single" w:color="auto" w:sz="4" w:space="0"/>
              <w:bottom w:val="single" w:color="auto" w:sz="4" w:space="0"/>
              <w:right w:val="single" w:color="auto" w:sz="4" w:space="0"/>
            </w:tcBorders>
            <w:noWrap w:val="0"/>
            <w:vAlign w:val="center"/>
          </w:tcPr>
          <w:p w14:paraId="25B07B0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bidi="ar"/>
              </w:rPr>
              <w:t>16559</w:t>
            </w:r>
          </w:p>
        </w:tc>
      </w:tr>
      <w:tr w14:paraId="76079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Borders>
              <w:top w:val="single" w:color="auto" w:sz="4" w:space="0"/>
              <w:left w:val="single" w:color="auto" w:sz="4" w:space="0"/>
              <w:bottom w:val="single" w:color="auto" w:sz="4" w:space="0"/>
              <w:right w:val="single" w:color="auto" w:sz="4" w:space="0"/>
            </w:tcBorders>
            <w:noWrap w:val="0"/>
            <w:vAlign w:val="center"/>
          </w:tcPr>
          <w:p w14:paraId="34E308C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建设性质</w:t>
            </w:r>
          </w:p>
        </w:tc>
        <w:tc>
          <w:tcPr>
            <w:tcW w:w="2839" w:type="dxa"/>
            <w:tcBorders>
              <w:top w:val="single" w:color="auto" w:sz="4" w:space="0"/>
              <w:left w:val="single" w:color="auto" w:sz="4" w:space="0"/>
              <w:bottom w:val="single" w:color="auto" w:sz="4" w:space="0"/>
              <w:right w:val="single" w:color="auto" w:sz="4" w:space="0"/>
            </w:tcBorders>
            <w:noWrap w:val="0"/>
            <w:vAlign w:val="center"/>
          </w:tcPr>
          <w:p w14:paraId="09E0CC2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bidi="ar"/>
              </w:rPr>
              <w:sym w:font="Wingdings 2" w:char="0052"/>
            </w:r>
            <w:r>
              <w:rPr>
                <w:rFonts w:hint="default" w:ascii="Times New Roman" w:hAnsi="Times New Roman" w:eastAsia="宋体" w:cs="Times New Roman"/>
                <w:color w:val="auto"/>
                <w:kern w:val="0"/>
                <w:sz w:val="24"/>
                <w:szCs w:val="24"/>
                <w:highlight w:val="none"/>
                <w:lang w:val="en-US" w:eastAsia="zh-CN" w:bidi="ar"/>
              </w:rPr>
              <w:t>新建（迁建）</w:t>
            </w:r>
          </w:p>
          <w:p w14:paraId="0F166A2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bidi="ar"/>
              </w:rPr>
              <w:sym w:font="Wingdings 2" w:char="00A3"/>
            </w:r>
            <w:r>
              <w:rPr>
                <w:rFonts w:hint="default" w:ascii="Times New Roman" w:hAnsi="Times New Roman" w:eastAsia="宋体" w:cs="Times New Roman"/>
                <w:color w:val="auto"/>
                <w:kern w:val="0"/>
                <w:sz w:val="24"/>
                <w:szCs w:val="24"/>
                <w:highlight w:val="none"/>
                <w:lang w:val="en-US" w:eastAsia="zh-CN" w:bidi="ar"/>
              </w:rPr>
              <w:t>改建</w:t>
            </w:r>
          </w:p>
          <w:p w14:paraId="42A7A6B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bidi="ar"/>
              </w:rPr>
              <w:sym w:font="Wingdings 2" w:char="00A3"/>
            </w:r>
            <w:r>
              <w:rPr>
                <w:rFonts w:hint="default" w:ascii="Times New Roman" w:hAnsi="Times New Roman" w:eastAsia="宋体" w:cs="Times New Roman"/>
                <w:color w:val="auto"/>
                <w:kern w:val="0"/>
                <w:sz w:val="24"/>
                <w:szCs w:val="24"/>
                <w:highlight w:val="none"/>
                <w:lang w:val="en-US" w:eastAsia="zh-CN" w:bidi="ar"/>
              </w:rPr>
              <w:t>扩建</w:t>
            </w:r>
          </w:p>
          <w:p w14:paraId="531AED6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bidi="ar"/>
              </w:rPr>
              <w:sym w:font="Wingdings 2" w:char="00A3"/>
            </w:r>
            <w:r>
              <w:rPr>
                <w:rFonts w:hint="default" w:ascii="Times New Roman" w:hAnsi="Times New Roman" w:eastAsia="宋体" w:cs="Times New Roman"/>
                <w:color w:val="auto"/>
                <w:kern w:val="0"/>
                <w:sz w:val="24"/>
                <w:szCs w:val="24"/>
                <w:highlight w:val="none"/>
                <w:lang w:val="en-US" w:eastAsia="zh-CN" w:bidi="ar"/>
              </w:rPr>
              <w:t>技术改造</w:t>
            </w:r>
          </w:p>
        </w:tc>
        <w:tc>
          <w:tcPr>
            <w:tcW w:w="2107" w:type="dxa"/>
            <w:tcBorders>
              <w:top w:val="single" w:color="auto" w:sz="4" w:space="0"/>
              <w:left w:val="single" w:color="auto" w:sz="4" w:space="0"/>
              <w:bottom w:val="single" w:color="auto" w:sz="4" w:space="0"/>
              <w:right w:val="single" w:color="auto" w:sz="4" w:space="0"/>
            </w:tcBorders>
            <w:noWrap w:val="0"/>
            <w:vAlign w:val="center"/>
          </w:tcPr>
          <w:p w14:paraId="45386BD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建设项目</w:t>
            </w:r>
          </w:p>
          <w:p w14:paraId="343BBE9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申报情形</w:t>
            </w:r>
          </w:p>
        </w:tc>
        <w:tc>
          <w:tcPr>
            <w:tcW w:w="3095" w:type="dxa"/>
            <w:tcBorders>
              <w:top w:val="single" w:color="auto" w:sz="4" w:space="0"/>
              <w:left w:val="single" w:color="auto" w:sz="4" w:space="0"/>
              <w:bottom w:val="single" w:color="auto" w:sz="4" w:space="0"/>
              <w:right w:val="single" w:color="auto" w:sz="4" w:space="0"/>
            </w:tcBorders>
            <w:noWrap w:val="0"/>
            <w:vAlign w:val="top"/>
          </w:tcPr>
          <w:p w14:paraId="7CA4615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bidi="ar"/>
              </w:rPr>
              <w:sym w:font="Wingdings 2" w:char="0052"/>
            </w:r>
            <w:r>
              <w:rPr>
                <w:rFonts w:hint="default" w:ascii="Times New Roman" w:hAnsi="Times New Roman" w:eastAsia="宋体" w:cs="Times New Roman"/>
                <w:color w:val="auto"/>
                <w:kern w:val="0"/>
                <w:sz w:val="24"/>
                <w:szCs w:val="24"/>
                <w:highlight w:val="none"/>
                <w:lang w:val="en-US" w:eastAsia="zh-CN" w:bidi="ar"/>
              </w:rPr>
              <w:t>首次申报项目</w:t>
            </w:r>
          </w:p>
          <w:p w14:paraId="39EE348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bidi="ar"/>
              </w:rPr>
              <w:sym w:font="Wingdings 2" w:char="00A3"/>
            </w:r>
            <w:r>
              <w:rPr>
                <w:rFonts w:hint="default" w:ascii="Times New Roman" w:hAnsi="Times New Roman" w:eastAsia="宋体" w:cs="Times New Roman"/>
                <w:color w:val="auto"/>
                <w:kern w:val="0"/>
                <w:sz w:val="24"/>
                <w:szCs w:val="24"/>
                <w:highlight w:val="none"/>
                <w:lang w:val="en-US" w:eastAsia="zh-CN" w:bidi="ar"/>
              </w:rPr>
              <w:t>不予批准后再次申报项目</w:t>
            </w:r>
          </w:p>
          <w:p w14:paraId="70AFE52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bidi="ar"/>
              </w:rPr>
              <w:sym w:font="Wingdings 2" w:char="00A3"/>
            </w:r>
            <w:r>
              <w:rPr>
                <w:rFonts w:hint="default" w:ascii="Times New Roman" w:hAnsi="Times New Roman" w:eastAsia="宋体" w:cs="Times New Roman"/>
                <w:color w:val="auto"/>
                <w:kern w:val="0"/>
                <w:sz w:val="24"/>
                <w:szCs w:val="24"/>
                <w:highlight w:val="none"/>
                <w:lang w:val="en-US" w:eastAsia="zh-CN" w:bidi="ar"/>
              </w:rPr>
              <w:t>超过五年重新审核项目</w:t>
            </w:r>
          </w:p>
          <w:p w14:paraId="5A9EAE3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bidi="ar"/>
              </w:rPr>
              <w:sym w:font="Wingdings 2" w:char="00A3"/>
            </w:r>
            <w:r>
              <w:rPr>
                <w:rFonts w:hint="default" w:ascii="Times New Roman" w:hAnsi="Times New Roman" w:eastAsia="宋体" w:cs="Times New Roman"/>
                <w:color w:val="auto"/>
                <w:kern w:val="0"/>
                <w:sz w:val="24"/>
                <w:szCs w:val="24"/>
                <w:highlight w:val="none"/>
                <w:lang w:val="en-US" w:eastAsia="zh-CN" w:bidi="ar"/>
              </w:rPr>
              <w:t>重大变动重新报批项目</w:t>
            </w:r>
          </w:p>
        </w:tc>
      </w:tr>
      <w:tr w14:paraId="79165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7" w:type="dxa"/>
            <w:tcBorders>
              <w:top w:val="single" w:color="auto" w:sz="4" w:space="0"/>
              <w:left w:val="single" w:color="auto" w:sz="4" w:space="0"/>
              <w:bottom w:val="single" w:color="auto" w:sz="4" w:space="0"/>
              <w:right w:val="single" w:color="auto" w:sz="4" w:space="0"/>
            </w:tcBorders>
            <w:noWrap w:val="0"/>
            <w:vAlign w:val="top"/>
          </w:tcPr>
          <w:p w14:paraId="756BE93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项目审批（核准/备案）部门（选填）</w:t>
            </w:r>
          </w:p>
        </w:tc>
        <w:tc>
          <w:tcPr>
            <w:tcW w:w="2839" w:type="dxa"/>
            <w:tcBorders>
              <w:top w:val="single" w:color="auto" w:sz="4" w:space="0"/>
              <w:left w:val="single" w:color="auto" w:sz="4" w:space="0"/>
              <w:bottom w:val="single" w:color="auto" w:sz="4" w:space="0"/>
              <w:right w:val="single" w:color="auto" w:sz="4" w:space="0"/>
            </w:tcBorders>
            <w:noWrap w:val="0"/>
            <w:vAlign w:val="center"/>
          </w:tcPr>
          <w:p w14:paraId="6C08AC2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w:t>
            </w:r>
          </w:p>
        </w:tc>
        <w:tc>
          <w:tcPr>
            <w:tcW w:w="2107" w:type="dxa"/>
            <w:tcBorders>
              <w:top w:val="single" w:color="auto" w:sz="4" w:space="0"/>
              <w:left w:val="single" w:color="auto" w:sz="4" w:space="0"/>
              <w:bottom w:val="single" w:color="auto" w:sz="4" w:space="0"/>
              <w:right w:val="single" w:color="auto" w:sz="4" w:space="0"/>
            </w:tcBorders>
            <w:noWrap w:val="0"/>
            <w:vAlign w:val="center"/>
          </w:tcPr>
          <w:p w14:paraId="5CD0DEF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项目审批（核准/备案）文号（选填）</w:t>
            </w:r>
          </w:p>
        </w:tc>
        <w:tc>
          <w:tcPr>
            <w:tcW w:w="3095" w:type="dxa"/>
            <w:tcBorders>
              <w:top w:val="single" w:color="auto" w:sz="4" w:space="0"/>
              <w:left w:val="single" w:color="auto" w:sz="4" w:space="0"/>
              <w:bottom w:val="single" w:color="auto" w:sz="4" w:space="0"/>
              <w:right w:val="single" w:color="auto" w:sz="4" w:space="0"/>
            </w:tcBorders>
            <w:noWrap w:val="0"/>
            <w:vAlign w:val="center"/>
          </w:tcPr>
          <w:p w14:paraId="045DD41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w:t>
            </w:r>
          </w:p>
        </w:tc>
      </w:tr>
      <w:tr w14:paraId="2DA0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Borders>
              <w:top w:val="single" w:color="auto" w:sz="4" w:space="0"/>
              <w:left w:val="single" w:color="auto" w:sz="4" w:space="0"/>
              <w:bottom w:val="single" w:color="auto" w:sz="4" w:space="0"/>
              <w:right w:val="single" w:color="auto" w:sz="4" w:space="0"/>
            </w:tcBorders>
            <w:noWrap w:val="0"/>
            <w:vAlign w:val="center"/>
          </w:tcPr>
          <w:p w14:paraId="03AD314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总投资（万元）</w:t>
            </w:r>
          </w:p>
        </w:tc>
        <w:tc>
          <w:tcPr>
            <w:tcW w:w="2839" w:type="dxa"/>
            <w:tcBorders>
              <w:top w:val="single" w:color="auto" w:sz="4" w:space="0"/>
              <w:left w:val="single" w:color="auto" w:sz="4" w:space="0"/>
              <w:bottom w:val="single" w:color="auto" w:sz="4" w:space="0"/>
              <w:right w:val="single" w:color="auto" w:sz="4" w:space="0"/>
            </w:tcBorders>
            <w:noWrap w:val="0"/>
            <w:vAlign w:val="center"/>
          </w:tcPr>
          <w:p w14:paraId="13AA6CA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500</w:t>
            </w:r>
          </w:p>
        </w:tc>
        <w:tc>
          <w:tcPr>
            <w:tcW w:w="2107" w:type="dxa"/>
            <w:tcBorders>
              <w:top w:val="single" w:color="auto" w:sz="4" w:space="0"/>
              <w:left w:val="single" w:color="auto" w:sz="4" w:space="0"/>
              <w:bottom w:val="single" w:color="auto" w:sz="4" w:space="0"/>
              <w:right w:val="single" w:color="auto" w:sz="4" w:space="0"/>
            </w:tcBorders>
            <w:noWrap w:val="0"/>
            <w:vAlign w:val="center"/>
          </w:tcPr>
          <w:p w14:paraId="00DBF6B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环保投资（万元）</w:t>
            </w:r>
          </w:p>
        </w:tc>
        <w:tc>
          <w:tcPr>
            <w:tcW w:w="3095" w:type="dxa"/>
            <w:tcBorders>
              <w:top w:val="single" w:color="auto" w:sz="4" w:space="0"/>
              <w:left w:val="single" w:color="auto" w:sz="4" w:space="0"/>
              <w:bottom w:val="single" w:color="auto" w:sz="4" w:space="0"/>
              <w:right w:val="single" w:color="auto" w:sz="4" w:space="0"/>
            </w:tcBorders>
            <w:noWrap w:val="0"/>
            <w:vAlign w:val="center"/>
          </w:tcPr>
          <w:p w14:paraId="388CEDD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72</w:t>
            </w:r>
          </w:p>
        </w:tc>
      </w:tr>
      <w:tr w14:paraId="6C0F5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Borders>
              <w:top w:val="single" w:color="auto" w:sz="4" w:space="0"/>
              <w:left w:val="single" w:color="auto" w:sz="4" w:space="0"/>
              <w:bottom w:val="single" w:color="auto" w:sz="4" w:space="0"/>
              <w:right w:val="single" w:color="auto" w:sz="4" w:space="0"/>
            </w:tcBorders>
            <w:noWrap w:val="0"/>
            <w:vAlign w:val="center"/>
          </w:tcPr>
          <w:p w14:paraId="76E9A7C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环保投资占比（%）</w:t>
            </w:r>
          </w:p>
        </w:tc>
        <w:tc>
          <w:tcPr>
            <w:tcW w:w="2839" w:type="dxa"/>
            <w:tcBorders>
              <w:top w:val="single" w:color="auto" w:sz="4" w:space="0"/>
              <w:left w:val="single" w:color="auto" w:sz="4" w:space="0"/>
              <w:bottom w:val="single" w:color="auto" w:sz="4" w:space="0"/>
              <w:right w:val="single" w:color="auto" w:sz="4" w:space="0"/>
            </w:tcBorders>
            <w:noWrap w:val="0"/>
            <w:vAlign w:val="center"/>
          </w:tcPr>
          <w:p w14:paraId="79D19C6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14.4</w:t>
            </w:r>
          </w:p>
        </w:tc>
        <w:tc>
          <w:tcPr>
            <w:tcW w:w="2107" w:type="dxa"/>
            <w:tcBorders>
              <w:top w:val="single" w:color="auto" w:sz="4" w:space="0"/>
              <w:left w:val="single" w:color="auto" w:sz="4" w:space="0"/>
              <w:bottom w:val="single" w:color="auto" w:sz="4" w:space="0"/>
              <w:right w:val="single" w:color="auto" w:sz="4" w:space="0"/>
            </w:tcBorders>
            <w:noWrap w:val="0"/>
            <w:vAlign w:val="center"/>
          </w:tcPr>
          <w:p w14:paraId="1AF252B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施工工期</w:t>
            </w:r>
          </w:p>
        </w:tc>
        <w:tc>
          <w:tcPr>
            <w:tcW w:w="3095" w:type="dxa"/>
            <w:tcBorders>
              <w:top w:val="single" w:color="auto" w:sz="4" w:space="0"/>
              <w:left w:val="single" w:color="auto" w:sz="4" w:space="0"/>
              <w:bottom w:val="single" w:color="auto" w:sz="4" w:space="0"/>
              <w:right w:val="single" w:color="auto" w:sz="4" w:space="0"/>
            </w:tcBorders>
            <w:noWrap w:val="0"/>
            <w:vAlign w:val="center"/>
          </w:tcPr>
          <w:p w14:paraId="36EB9A2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kern w:val="0"/>
                <w:sz w:val="24"/>
                <w:szCs w:val="24"/>
                <w:highlight w:val="none"/>
                <w:lang w:val="en-US" w:eastAsia="zh-CN" w:bidi="ar"/>
              </w:rPr>
              <w:t>50</w:t>
            </w:r>
            <w:r>
              <w:rPr>
                <w:rFonts w:hint="default" w:ascii="Times New Roman" w:hAnsi="Times New Roman" w:eastAsia="宋体" w:cs="Times New Roman"/>
                <w:color w:val="auto"/>
                <w:kern w:val="0"/>
                <w:sz w:val="24"/>
                <w:szCs w:val="24"/>
                <w:highlight w:val="none"/>
                <w:lang w:val="en-US" w:eastAsia="zh-CN" w:bidi="ar"/>
              </w:rPr>
              <w:t>天</w:t>
            </w:r>
          </w:p>
        </w:tc>
      </w:tr>
      <w:tr w14:paraId="17412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Borders>
              <w:top w:val="single" w:color="auto" w:sz="4" w:space="0"/>
              <w:left w:val="single" w:color="auto" w:sz="4" w:space="0"/>
              <w:bottom w:val="single" w:color="auto" w:sz="4" w:space="0"/>
              <w:right w:val="single" w:color="auto" w:sz="4" w:space="0"/>
            </w:tcBorders>
            <w:noWrap w:val="0"/>
            <w:vAlign w:val="top"/>
          </w:tcPr>
          <w:p w14:paraId="65332BA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是否开工建设</w:t>
            </w:r>
          </w:p>
        </w:tc>
        <w:tc>
          <w:tcPr>
            <w:tcW w:w="8041" w:type="dxa"/>
            <w:gridSpan w:val="3"/>
            <w:tcBorders>
              <w:top w:val="single" w:color="auto" w:sz="4" w:space="0"/>
              <w:left w:val="single" w:color="auto" w:sz="4" w:space="0"/>
              <w:bottom w:val="single" w:color="auto" w:sz="4" w:space="0"/>
              <w:right w:val="single" w:color="auto" w:sz="4" w:space="0"/>
            </w:tcBorders>
            <w:noWrap w:val="0"/>
            <w:vAlign w:val="top"/>
          </w:tcPr>
          <w:p w14:paraId="33179F5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bidi="ar"/>
              </w:rPr>
              <w:sym w:font="Wingdings 2" w:char="0052"/>
            </w:r>
            <w:r>
              <w:rPr>
                <w:rFonts w:hint="default" w:ascii="Times New Roman" w:hAnsi="Times New Roman" w:eastAsia="宋体" w:cs="Times New Roman"/>
                <w:color w:val="auto"/>
                <w:kern w:val="0"/>
                <w:sz w:val="24"/>
                <w:szCs w:val="24"/>
                <w:highlight w:val="none"/>
                <w:lang w:val="en-US" w:eastAsia="zh-CN" w:bidi="ar"/>
              </w:rPr>
              <w:t>否</w:t>
            </w:r>
          </w:p>
          <w:p w14:paraId="17EB60C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rPr>
            </w:pPr>
            <w:r>
              <w:rPr>
                <w:rFonts w:hint="eastAsia" w:ascii="Times New Roman" w:hAnsi="Times New Roman" w:eastAsia="宋体" w:cs="Times New Roman"/>
                <w:color w:val="auto"/>
                <w:kern w:val="0"/>
                <w:sz w:val="24"/>
                <w:szCs w:val="24"/>
                <w:highlight w:val="none"/>
                <w:lang w:val="en-US" w:eastAsia="zh-CN" w:bidi="ar"/>
              </w:rPr>
              <w:sym w:font="Wingdings 2" w:char="00A3"/>
            </w:r>
            <w:r>
              <w:rPr>
                <w:rFonts w:hint="default" w:ascii="Times New Roman" w:hAnsi="Times New Roman" w:eastAsia="宋体" w:cs="Times New Roman"/>
                <w:color w:val="auto"/>
                <w:kern w:val="0"/>
                <w:sz w:val="24"/>
                <w:szCs w:val="24"/>
                <w:highlight w:val="none"/>
                <w:lang w:val="en-US" w:eastAsia="zh-CN" w:bidi="ar"/>
              </w:rPr>
              <w:t>是：</w:t>
            </w:r>
          </w:p>
        </w:tc>
      </w:tr>
      <w:tr w14:paraId="217E2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Borders>
              <w:top w:val="single" w:color="auto" w:sz="4" w:space="0"/>
              <w:left w:val="single" w:color="auto" w:sz="4" w:space="0"/>
              <w:bottom w:val="single" w:color="auto" w:sz="4" w:space="0"/>
              <w:right w:val="single" w:color="auto" w:sz="4" w:space="0"/>
            </w:tcBorders>
            <w:noWrap w:val="0"/>
            <w:vAlign w:val="top"/>
          </w:tcPr>
          <w:p w14:paraId="3356832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专项评价设置情况</w:t>
            </w:r>
          </w:p>
        </w:tc>
        <w:tc>
          <w:tcPr>
            <w:tcW w:w="8041" w:type="dxa"/>
            <w:gridSpan w:val="3"/>
            <w:tcBorders>
              <w:top w:val="single" w:color="auto" w:sz="4" w:space="0"/>
              <w:left w:val="single" w:color="auto" w:sz="4" w:space="0"/>
              <w:bottom w:val="single" w:color="auto" w:sz="4" w:space="0"/>
              <w:right w:val="single" w:color="auto" w:sz="4" w:space="0"/>
            </w:tcBorders>
            <w:noWrap w:val="0"/>
            <w:vAlign w:val="top"/>
          </w:tcPr>
          <w:p w14:paraId="0D1ADB6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表1-1 专项评价设置情况表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3723"/>
              <w:gridCol w:w="2241"/>
              <w:gridCol w:w="663"/>
            </w:tblGrid>
            <w:tr w14:paraId="0539A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tcBorders>
                    <w:top w:val="single" w:color="auto" w:sz="4" w:space="0"/>
                    <w:left w:val="single" w:color="auto" w:sz="4" w:space="0"/>
                    <w:bottom w:val="single" w:color="auto" w:sz="4" w:space="0"/>
                    <w:right w:val="single" w:color="auto" w:sz="4" w:space="0"/>
                  </w:tcBorders>
                  <w:noWrap w:val="0"/>
                  <w:vAlign w:val="center"/>
                </w:tcPr>
                <w:p w14:paraId="1F72A03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专项评价的类别</w:t>
                  </w:r>
                </w:p>
              </w:tc>
              <w:tc>
                <w:tcPr>
                  <w:tcW w:w="2382" w:type="pct"/>
                  <w:tcBorders>
                    <w:top w:val="single" w:color="auto" w:sz="4" w:space="0"/>
                    <w:left w:val="single" w:color="auto" w:sz="4" w:space="0"/>
                    <w:bottom w:val="single" w:color="auto" w:sz="4" w:space="0"/>
                    <w:right w:val="single" w:color="auto" w:sz="4" w:space="0"/>
                  </w:tcBorders>
                  <w:noWrap w:val="0"/>
                  <w:vAlign w:val="center"/>
                </w:tcPr>
                <w:p w14:paraId="78F9FCB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涉及项目类别</w:t>
                  </w:r>
                </w:p>
              </w:tc>
              <w:tc>
                <w:tcPr>
                  <w:tcW w:w="1434" w:type="pct"/>
                  <w:tcBorders>
                    <w:top w:val="single" w:color="auto" w:sz="4" w:space="0"/>
                    <w:left w:val="single" w:color="auto" w:sz="4" w:space="0"/>
                    <w:bottom w:val="single" w:color="auto" w:sz="4" w:space="0"/>
                    <w:right w:val="single" w:color="auto" w:sz="4" w:space="0"/>
                  </w:tcBorders>
                  <w:noWrap w:val="0"/>
                  <w:vAlign w:val="center"/>
                </w:tcPr>
                <w:p w14:paraId="3BD2D65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本项目</w:t>
                  </w:r>
                </w:p>
              </w:tc>
              <w:tc>
                <w:tcPr>
                  <w:tcW w:w="424" w:type="pct"/>
                  <w:tcBorders>
                    <w:top w:val="single" w:color="auto" w:sz="4" w:space="0"/>
                    <w:left w:val="single" w:color="auto" w:sz="4" w:space="0"/>
                    <w:bottom w:val="single" w:color="auto" w:sz="4" w:space="0"/>
                    <w:right w:val="single" w:color="auto" w:sz="4" w:space="0"/>
                  </w:tcBorders>
                  <w:noWrap w:val="0"/>
                  <w:vAlign w:val="center"/>
                </w:tcPr>
                <w:p w14:paraId="412BFE9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是否设置</w:t>
                  </w:r>
                </w:p>
              </w:tc>
            </w:tr>
            <w:tr w14:paraId="3C177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tcBorders>
                    <w:top w:val="single" w:color="auto" w:sz="4" w:space="0"/>
                    <w:left w:val="single" w:color="auto" w:sz="4" w:space="0"/>
                    <w:bottom w:val="single" w:color="auto" w:sz="4" w:space="0"/>
                    <w:right w:val="single" w:color="auto" w:sz="4" w:space="0"/>
                  </w:tcBorders>
                  <w:noWrap w:val="0"/>
                  <w:vAlign w:val="center"/>
                </w:tcPr>
                <w:p w14:paraId="1B25E91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地表水</w:t>
                  </w:r>
                </w:p>
              </w:tc>
              <w:tc>
                <w:tcPr>
                  <w:tcW w:w="2382" w:type="pct"/>
                  <w:tcBorders>
                    <w:top w:val="single" w:color="auto" w:sz="4" w:space="0"/>
                    <w:left w:val="single" w:color="auto" w:sz="4" w:space="0"/>
                    <w:bottom w:val="single" w:color="auto" w:sz="4" w:space="0"/>
                    <w:right w:val="single" w:color="auto" w:sz="4" w:space="0"/>
                  </w:tcBorders>
                  <w:noWrap w:val="0"/>
                  <w:vAlign w:val="center"/>
                </w:tcPr>
                <w:p w14:paraId="3957B596">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水利发电：引水式发电、涉及调峰发电的项目；</w:t>
                  </w:r>
                </w:p>
                <w:p w14:paraId="0D53227C">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人工湖、人工湿地：全部；</w:t>
                  </w:r>
                </w:p>
                <w:p w14:paraId="2690A820">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水库：全部；</w:t>
                  </w:r>
                </w:p>
                <w:p w14:paraId="635DF41C">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引水工程：全部（配套的管线工程等除外）；</w:t>
                  </w:r>
                </w:p>
                <w:p w14:paraId="41FA6BBF">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防洪除涝工程：包含水库的项目</w:t>
                  </w:r>
                </w:p>
                <w:p w14:paraId="50E80C6F">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河湖整治：涉及清淤且底泥存在重金属污染的项目</w:t>
                  </w:r>
                </w:p>
              </w:tc>
              <w:tc>
                <w:tcPr>
                  <w:tcW w:w="1434" w:type="pct"/>
                  <w:tcBorders>
                    <w:top w:val="single" w:color="auto" w:sz="4" w:space="0"/>
                    <w:left w:val="single" w:color="auto" w:sz="4" w:space="0"/>
                    <w:bottom w:val="single" w:color="auto" w:sz="4" w:space="0"/>
                    <w:right w:val="single" w:color="auto" w:sz="4" w:space="0"/>
                  </w:tcBorders>
                  <w:noWrap w:val="0"/>
                  <w:vAlign w:val="center"/>
                </w:tcPr>
                <w:p w14:paraId="06CF9D99">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本项目为天然气评价井建设项目，不需开展地表水专项评价。</w:t>
                  </w:r>
                </w:p>
              </w:tc>
              <w:tc>
                <w:tcPr>
                  <w:tcW w:w="424" w:type="pct"/>
                  <w:tcBorders>
                    <w:top w:val="single" w:color="auto" w:sz="4" w:space="0"/>
                    <w:left w:val="single" w:color="auto" w:sz="4" w:space="0"/>
                    <w:bottom w:val="single" w:color="auto" w:sz="4" w:space="0"/>
                    <w:right w:val="single" w:color="auto" w:sz="4" w:space="0"/>
                  </w:tcBorders>
                  <w:noWrap w:val="0"/>
                  <w:vAlign w:val="center"/>
                </w:tcPr>
                <w:p w14:paraId="10BA431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否</w:t>
                  </w:r>
                </w:p>
              </w:tc>
            </w:tr>
            <w:tr w14:paraId="1C1C8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tcBorders>
                    <w:top w:val="single" w:color="auto" w:sz="4" w:space="0"/>
                    <w:left w:val="single" w:color="auto" w:sz="4" w:space="0"/>
                    <w:bottom w:val="single" w:color="auto" w:sz="4" w:space="0"/>
                    <w:right w:val="single" w:color="auto" w:sz="4" w:space="0"/>
                  </w:tcBorders>
                  <w:noWrap w:val="0"/>
                  <w:vAlign w:val="center"/>
                </w:tcPr>
                <w:p w14:paraId="65A7233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地下水</w:t>
                  </w:r>
                </w:p>
              </w:tc>
              <w:tc>
                <w:tcPr>
                  <w:tcW w:w="2382" w:type="pct"/>
                  <w:tcBorders>
                    <w:top w:val="single" w:color="auto" w:sz="4" w:space="0"/>
                    <w:left w:val="single" w:color="auto" w:sz="4" w:space="0"/>
                    <w:bottom w:val="single" w:color="auto" w:sz="4" w:space="0"/>
                    <w:right w:val="single" w:color="auto" w:sz="4" w:space="0"/>
                  </w:tcBorders>
                  <w:noWrap w:val="0"/>
                  <w:vAlign w:val="center"/>
                </w:tcPr>
                <w:p w14:paraId="491D32D2">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陆地石油和天然气开采：全部；</w:t>
                  </w:r>
                </w:p>
                <w:p w14:paraId="0C46DA31">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地下水（含矿泉水）开采：全部；</w:t>
                  </w:r>
                </w:p>
                <w:p w14:paraId="7E0DF906">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水利、水电、交通等：含穿越可溶岩地层隧道的项目</w:t>
                  </w:r>
                </w:p>
              </w:tc>
              <w:tc>
                <w:tcPr>
                  <w:tcW w:w="1434" w:type="pct"/>
                  <w:tcBorders>
                    <w:top w:val="single" w:color="auto" w:sz="4" w:space="0"/>
                    <w:left w:val="single" w:color="auto" w:sz="4" w:space="0"/>
                    <w:bottom w:val="single" w:color="auto" w:sz="4" w:space="0"/>
                    <w:right w:val="single" w:color="auto" w:sz="4" w:space="0"/>
                  </w:tcBorders>
                  <w:noWrap w:val="0"/>
                  <w:vAlign w:val="center"/>
                </w:tcPr>
                <w:p w14:paraId="0ECB0B3A">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本项目为天然气评价井建设项目，不属于天然气开采，无需开展地下水专项评价。</w:t>
                  </w:r>
                </w:p>
              </w:tc>
              <w:tc>
                <w:tcPr>
                  <w:tcW w:w="424" w:type="pct"/>
                  <w:tcBorders>
                    <w:top w:val="single" w:color="auto" w:sz="4" w:space="0"/>
                    <w:left w:val="single" w:color="auto" w:sz="4" w:space="0"/>
                    <w:bottom w:val="single" w:color="auto" w:sz="4" w:space="0"/>
                    <w:right w:val="single" w:color="auto" w:sz="4" w:space="0"/>
                  </w:tcBorders>
                  <w:noWrap w:val="0"/>
                  <w:vAlign w:val="center"/>
                </w:tcPr>
                <w:p w14:paraId="3908EDC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否</w:t>
                  </w:r>
                </w:p>
              </w:tc>
            </w:tr>
            <w:tr w14:paraId="40DC0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tcBorders>
                    <w:top w:val="single" w:color="auto" w:sz="4" w:space="0"/>
                    <w:left w:val="single" w:color="auto" w:sz="4" w:space="0"/>
                    <w:bottom w:val="single" w:color="auto" w:sz="4" w:space="0"/>
                    <w:right w:val="single" w:color="auto" w:sz="4" w:space="0"/>
                  </w:tcBorders>
                  <w:noWrap w:val="0"/>
                  <w:vAlign w:val="center"/>
                </w:tcPr>
                <w:p w14:paraId="7241AD4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生态</w:t>
                  </w:r>
                </w:p>
              </w:tc>
              <w:tc>
                <w:tcPr>
                  <w:tcW w:w="2382" w:type="pct"/>
                  <w:tcBorders>
                    <w:top w:val="single" w:color="auto" w:sz="4" w:space="0"/>
                    <w:left w:val="single" w:color="auto" w:sz="4" w:space="0"/>
                    <w:bottom w:val="single" w:color="auto" w:sz="4" w:space="0"/>
                    <w:right w:val="single" w:color="auto" w:sz="4" w:space="0"/>
                  </w:tcBorders>
                  <w:noWrap w:val="0"/>
                  <w:vAlign w:val="center"/>
                </w:tcPr>
                <w:p w14:paraId="3B1E7598">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涉及环境敏感区（不包括饮用水水源保护区，以居住、医疗卫生、文化教育、科研、行政办公为主要功能的区域，以及文物保护单位）的项目</w:t>
                  </w:r>
                </w:p>
              </w:tc>
              <w:tc>
                <w:tcPr>
                  <w:tcW w:w="1434" w:type="pct"/>
                  <w:tcBorders>
                    <w:top w:val="single" w:color="auto" w:sz="4" w:space="0"/>
                    <w:left w:val="single" w:color="auto" w:sz="4" w:space="0"/>
                    <w:bottom w:val="single" w:color="auto" w:sz="4" w:space="0"/>
                    <w:right w:val="single" w:color="auto" w:sz="4" w:space="0"/>
                  </w:tcBorders>
                  <w:noWrap w:val="0"/>
                  <w:vAlign w:val="center"/>
                </w:tcPr>
                <w:p w14:paraId="57750624">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本项目为天然气评价井建设项目，《建设项目环境影响评价分类管理名录》中针对该类项目无“敏感区”要求。</w:t>
                  </w:r>
                </w:p>
              </w:tc>
              <w:tc>
                <w:tcPr>
                  <w:tcW w:w="424" w:type="pct"/>
                  <w:tcBorders>
                    <w:top w:val="single" w:color="auto" w:sz="4" w:space="0"/>
                    <w:left w:val="single" w:color="auto" w:sz="4" w:space="0"/>
                    <w:bottom w:val="single" w:color="auto" w:sz="4" w:space="0"/>
                    <w:right w:val="single" w:color="auto" w:sz="4" w:space="0"/>
                  </w:tcBorders>
                  <w:noWrap w:val="0"/>
                  <w:vAlign w:val="center"/>
                </w:tcPr>
                <w:p w14:paraId="3F141A5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否</w:t>
                  </w:r>
                </w:p>
              </w:tc>
            </w:tr>
            <w:tr w14:paraId="672B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tcBorders>
                    <w:top w:val="single" w:color="auto" w:sz="4" w:space="0"/>
                    <w:left w:val="single" w:color="auto" w:sz="4" w:space="0"/>
                    <w:bottom w:val="single" w:color="auto" w:sz="4" w:space="0"/>
                    <w:right w:val="single" w:color="auto" w:sz="4" w:space="0"/>
                  </w:tcBorders>
                  <w:noWrap w:val="0"/>
                  <w:vAlign w:val="center"/>
                </w:tcPr>
                <w:p w14:paraId="5C9E826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大气</w:t>
                  </w:r>
                </w:p>
              </w:tc>
              <w:tc>
                <w:tcPr>
                  <w:tcW w:w="2382" w:type="pct"/>
                  <w:tcBorders>
                    <w:top w:val="single" w:color="auto" w:sz="4" w:space="0"/>
                    <w:left w:val="single" w:color="auto" w:sz="4" w:space="0"/>
                    <w:bottom w:val="single" w:color="auto" w:sz="4" w:space="0"/>
                    <w:right w:val="single" w:color="auto" w:sz="4" w:space="0"/>
                  </w:tcBorders>
                  <w:noWrap w:val="0"/>
                  <w:vAlign w:val="center"/>
                </w:tcPr>
                <w:p w14:paraId="2A100430">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油气、液体化工码头：全部；</w:t>
                  </w:r>
                </w:p>
                <w:p w14:paraId="18E36EBA">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干散货（含煤炭、矿石）、件杂、多用途、通用码头：涉及粉尘、挥发性有机物排放的项目</w:t>
                  </w:r>
                </w:p>
              </w:tc>
              <w:tc>
                <w:tcPr>
                  <w:tcW w:w="1434" w:type="pct"/>
                  <w:tcBorders>
                    <w:top w:val="single" w:color="auto" w:sz="4" w:space="0"/>
                    <w:left w:val="single" w:color="auto" w:sz="4" w:space="0"/>
                    <w:bottom w:val="single" w:color="auto" w:sz="4" w:space="0"/>
                    <w:right w:val="single" w:color="auto" w:sz="4" w:space="0"/>
                  </w:tcBorders>
                  <w:noWrap w:val="0"/>
                  <w:vAlign w:val="center"/>
                </w:tcPr>
                <w:p w14:paraId="5F21995F">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本项目为天然气评价井建设项目，不需开展大气专项评价。</w:t>
                  </w:r>
                </w:p>
              </w:tc>
              <w:tc>
                <w:tcPr>
                  <w:tcW w:w="424" w:type="pct"/>
                  <w:tcBorders>
                    <w:top w:val="single" w:color="auto" w:sz="4" w:space="0"/>
                    <w:left w:val="single" w:color="auto" w:sz="4" w:space="0"/>
                    <w:bottom w:val="single" w:color="auto" w:sz="4" w:space="0"/>
                    <w:right w:val="single" w:color="auto" w:sz="4" w:space="0"/>
                  </w:tcBorders>
                  <w:noWrap w:val="0"/>
                  <w:vAlign w:val="center"/>
                </w:tcPr>
                <w:p w14:paraId="571B80A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否</w:t>
                  </w:r>
                </w:p>
              </w:tc>
            </w:tr>
            <w:tr w14:paraId="3EDE5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tcBorders>
                    <w:top w:val="single" w:color="auto" w:sz="4" w:space="0"/>
                    <w:left w:val="single" w:color="auto" w:sz="4" w:space="0"/>
                    <w:bottom w:val="single" w:color="auto" w:sz="4" w:space="0"/>
                    <w:right w:val="single" w:color="auto" w:sz="4" w:space="0"/>
                  </w:tcBorders>
                  <w:noWrap w:val="0"/>
                  <w:vAlign w:val="center"/>
                </w:tcPr>
                <w:p w14:paraId="500A1D4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噪声</w:t>
                  </w:r>
                </w:p>
              </w:tc>
              <w:tc>
                <w:tcPr>
                  <w:tcW w:w="2382" w:type="pct"/>
                  <w:tcBorders>
                    <w:top w:val="single" w:color="auto" w:sz="4" w:space="0"/>
                    <w:left w:val="single" w:color="auto" w:sz="4" w:space="0"/>
                    <w:bottom w:val="single" w:color="auto" w:sz="4" w:space="0"/>
                    <w:right w:val="single" w:color="auto" w:sz="4" w:space="0"/>
                  </w:tcBorders>
                  <w:noWrap w:val="0"/>
                  <w:vAlign w:val="center"/>
                </w:tcPr>
                <w:p w14:paraId="7EA1662B">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公路、铁路、机场等交通运输业涉及环境敏感区（以居住、医疗卫生、文化教育、科研、行政办公为主要功能的区域）的项目；</w:t>
                  </w:r>
                </w:p>
                <w:p w14:paraId="67E5C211">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城市道路（不含维护，不含支路、人行天桥、人行地道）：全部</w:t>
                  </w:r>
                </w:p>
              </w:tc>
              <w:tc>
                <w:tcPr>
                  <w:tcW w:w="1434" w:type="pct"/>
                  <w:tcBorders>
                    <w:top w:val="single" w:color="auto" w:sz="4" w:space="0"/>
                    <w:left w:val="single" w:color="auto" w:sz="4" w:space="0"/>
                    <w:bottom w:val="single" w:color="auto" w:sz="4" w:space="0"/>
                    <w:right w:val="single" w:color="auto" w:sz="4" w:space="0"/>
                  </w:tcBorders>
                  <w:noWrap w:val="0"/>
                  <w:vAlign w:val="center"/>
                </w:tcPr>
                <w:p w14:paraId="05B90A38">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本项目为天然气评价井建设项目，不需开展噪声专项评价。</w:t>
                  </w:r>
                </w:p>
              </w:tc>
              <w:tc>
                <w:tcPr>
                  <w:tcW w:w="424" w:type="pct"/>
                  <w:tcBorders>
                    <w:top w:val="single" w:color="auto" w:sz="4" w:space="0"/>
                    <w:left w:val="single" w:color="auto" w:sz="4" w:space="0"/>
                    <w:bottom w:val="single" w:color="auto" w:sz="4" w:space="0"/>
                    <w:right w:val="single" w:color="auto" w:sz="4" w:space="0"/>
                  </w:tcBorders>
                  <w:noWrap w:val="0"/>
                  <w:vAlign w:val="center"/>
                </w:tcPr>
                <w:p w14:paraId="13AFF45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否</w:t>
                  </w:r>
                </w:p>
              </w:tc>
            </w:tr>
            <w:tr w14:paraId="11FB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tcBorders>
                    <w:top w:val="single" w:color="auto" w:sz="4" w:space="0"/>
                    <w:left w:val="single" w:color="auto" w:sz="4" w:space="0"/>
                    <w:bottom w:val="single" w:color="auto" w:sz="4" w:space="0"/>
                    <w:right w:val="single" w:color="auto" w:sz="4" w:space="0"/>
                  </w:tcBorders>
                  <w:noWrap w:val="0"/>
                  <w:vAlign w:val="center"/>
                </w:tcPr>
                <w:p w14:paraId="588A69A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环境风险</w:t>
                  </w:r>
                </w:p>
              </w:tc>
              <w:tc>
                <w:tcPr>
                  <w:tcW w:w="2382" w:type="pct"/>
                  <w:tcBorders>
                    <w:top w:val="single" w:color="auto" w:sz="4" w:space="0"/>
                    <w:left w:val="single" w:color="auto" w:sz="4" w:space="0"/>
                    <w:bottom w:val="single" w:color="auto" w:sz="4" w:space="0"/>
                    <w:right w:val="single" w:color="auto" w:sz="4" w:space="0"/>
                  </w:tcBorders>
                  <w:noWrap w:val="0"/>
                  <w:vAlign w:val="center"/>
                </w:tcPr>
                <w:p w14:paraId="6F1C5C42">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石油和天然气开采：全部；</w:t>
                  </w:r>
                </w:p>
                <w:p w14:paraId="61AC1923">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油气、液体化工码头：全部；</w:t>
                  </w:r>
                </w:p>
                <w:p w14:paraId="600C8679">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原油、成品油、天然气管线（不含城镇天然气管线、企业厂区内管线），危险化学品输送管线（不含企业厂区内管线）：全部</w:t>
                  </w:r>
                </w:p>
              </w:tc>
              <w:tc>
                <w:tcPr>
                  <w:tcW w:w="1434" w:type="pct"/>
                  <w:tcBorders>
                    <w:top w:val="single" w:color="auto" w:sz="4" w:space="0"/>
                    <w:left w:val="single" w:color="auto" w:sz="4" w:space="0"/>
                    <w:bottom w:val="single" w:color="auto" w:sz="4" w:space="0"/>
                    <w:right w:val="single" w:color="auto" w:sz="4" w:space="0"/>
                  </w:tcBorders>
                  <w:noWrap w:val="0"/>
                  <w:vAlign w:val="center"/>
                </w:tcPr>
                <w:p w14:paraId="0C6E0646">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本项目为天然气评价井建设项目，不属于天然气开采，无需开展环境风险专项评价。</w:t>
                  </w:r>
                </w:p>
              </w:tc>
              <w:tc>
                <w:tcPr>
                  <w:tcW w:w="424" w:type="pct"/>
                  <w:tcBorders>
                    <w:top w:val="single" w:color="auto" w:sz="4" w:space="0"/>
                    <w:left w:val="single" w:color="auto" w:sz="4" w:space="0"/>
                    <w:bottom w:val="single" w:color="auto" w:sz="4" w:space="0"/>
                    <w:right w:val="single" w:color="auto" w:sz="4" w:space="0"/>
                  </w:tcBorders>
                  <w:noWrap w:val="0"/>
                  <w:vAlign w:val="center"/>
                </w:tcPr>
                <w:p w14:paraId="25D6C84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否</w:t>
                  </w:r>
                </w:p>
              </w:tc>
            </w:tr>
          </w:tbl>
          <w:p w14:paraId="02B465D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4"/>
                <w:szCs w:val="24"/>
                <w:highlight w:val="none"/>
                <w:lang w:val="en-US" w:eastAsia="zh-CN"/>
              </w:rPr>
            </w:pPr>
          </w:p>
        </w:tc>
      </w:tr>
      <w:tr w14:paraId="4FF34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Borders>
              <w:top w:val="single" w:color="auto" w:sz="4" w:space="0"/>
              <w:left w:val="single" w:color="auto" w:sz="4" w:space="0"/>
              <w:bottom w:val="single" w:color="auto" w:sz="4" w:space="0"/>
              <w:right w:val="single" w:color="auto" w:sz="4" w:space="0"/>
            </w:tcBorders>
            <w:noWrap w:val="0"/>
            <w:vAlign w:val="center"/>
          </w:tcPr>
          <w:p w14:paraId="0F26D89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规划情况</w:t>
            </w:r>
          </w:p>
        </w:tc>
        <w:tc>
          <w:tcPr>
            <w:tcW w:w="8041" w:type="dxa"/>
            <w:gridSpan w:val="3"/>
            <w:tcBorders>
              <w:top w:val="single" w:color="auto" w:sz="4" w:space="0"/>
              <w:left w:val="single" w:color="auto" w:sz="4" w:space="0"/>
              <w:bottom w:val="single" w:color="auto" w:sz="4" w:space="0"/>
              <w:right w:val="single" w:color="auto" w:sz="4" w:space="0"/>
            </w:tcBorders>
            <w:noWrap w:val="0"/>
            <w:vAlign w:val="center"/>
          </w:tcPr>
          <w:p w14:paraId="6E278F52">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《陕西省矿产资源总体规划（2021-2025年）》</w:t>
            </w:r>
          </w:p>
          <w:p w14:paraId="4173ECEA">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审批情况：陕西省自然资源厅、陕西省发展和改革委员会关于印发《陕西省矿产资源总体规划（2021-2025年）》的通知（陕自然资发[2022]40号）；</w:t>
            </w:r>
          </w:p>
          <w:p w14:paraId="3954D48A">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《榆林市矿产资源总体规划（2021-2025年）》</w:t>
            </w:r>
          </w:p>
          <w:p w14:paraId="567AC460">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审批情况：榆林市人民政府关于印发《榆林市矿产资源总体规划（2021-2025年）》的通知（2023年1月16日）；</w:t>
            </w:r>
          </w:p>
          <w:p w14:paraId="437116D4">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《佳县矿产资源总体规划（2021-2025年）》</w:t>
            </w:r>
          </w:p>
          <w:p w14:paraId="2D8DCA79">
            <w:pPr>
              <w:keepNext w:val="0"/>
              <w:keepLines w:val="0"/>
              <w:widowControl w:val="0"/>
              <w:suppressLineNumbers w:val="0"/>
              <w:spacing w:before="0" w:beforeAutospacing="0" w:after="0" w:afterAutospacing="0" w:line="360" w:lineRule="auto"/>
              <w:ind w:left="0" w:leftChars="0" w:right="0" w:rightChars="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审批情况：佳县人民政府关于印发《佳县矿产资源总体规划</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2021-2025年</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》的通知（2023年6月28日）。</w:t>
            </w:r>
          </w:p>
        </w:tc>
      </w:tr>
      <w:tr w14:paraId="1467C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Borders>
              <w:top w:val="single" w:color="auto" w:sz="4" w:space="0"/>
              <w:left w:val="single" w:color="auto" w:sz="4" w:space="0"/>
              <w:bottom w:val="single" w:color="auto" w:sz="4" w:space="0"/>
              <w:right w:val="single" w:color="auto" w:sz="4" w:space="0"/>
            </w:tcBorders>
            <w:noWrap w:val="0"/>
            <w:vAlign w:val="center"/>
          </w:tcPr>
          <w:p w14:paraId="1848157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规划环境影响</w:t>
            </w:r>
          </w:p>
          <w:p w14:paraId="20AF7EF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评价情况</w:t>
            </w:r>
          </w:p>
        </w:tc>
        <w:tc>
          <w:tcPr>
            <w:tcW w:w="8041" w:type="dxa"/>
            <w:gridSpan w:val="3"/>
            <w:tcBorders>
              <w:top w:val="single" w:color="auto" w:sz="4" w:space="0"/>
              <w:left w:val="single" w:color="auto" w:sz="4" w:space="0"/>
              <w:bottom w:val="single" w:color="auto" w:sz="4" w:space="0"/>
              <w:right w:val="single" w:color="auto" w:sz="4" w:space="0"/>
            </w:tcBorders>
            <w:noWrap w:val="0"/>
            <w:vAlign w:val="center"/>
          </w:tcPr>
          <w:p w14:paraId="6080BEE4">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《陕西省矿产资源总体规划（2021-2025）环境影响报告书》</w:t>
            </w:r>
          </w:p>
          <w:p w14:paraId="23739AF6">
            <w:pPr>
              <w:keepNext w:val="0"/>
              <w:keepLines w:val="0"/>
              <w:widowControl w:val="0"/>
              <w:suppressLineNumbers w:val="0"/>
              <w:spacing w:before="0" w:beforeAutospacing="0" w:after="0" w:afterAutospacing="0" w:line="360" w:lineRule="auto"/>
              <w:ind w:left="0" w:leftChars="0" w:right="0" w:rightChars="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编制单位：陕西煤田地质勘查研究院有限公司，2022年7月</w:t>
            </w:r>
          </w:p>
          <w:p w14:paraId="010624E3">
            <w:pPr>
              <w:keepNext w:val="0"/>
              <w:keepLines w:val="0"/>
              <w:widowControl w:val="0"/>
              <w:suppressLineNumbers w:val="0"/>
              <w:spacing w:before="0" w:beforeAutospacing="0" w:after="0" w:afterAutospacing="0" w:line="360" w:lineRule="auto"/>
              <w:ind w:left="0" w:leftChars="0" w:right="0" w:rightChars="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审查机关：生态环境部</w:t>
            </w:r>
          </w:p>
          <w:p w14:paraId="5E0AC869">
            <w:pPr>
              <w:keepNext w:val="0"/>
              <w:keepLines w:val="0"/>
              <w:widowControl w:val="0"/>
              <w:suppressLineNumbers w:val="0"/>
              <w:spacing w:before="0" w:beforeAutospacing="0" w:after="0" w:afterAutospacing="0" w:line="360" w:lineRule="auto"/>
              <w:ind w:left="0" w:leftChars="0" w:right="0" w:rightChars="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审查文件名称：生态环境部《关于陕西省矿产资源总体规划（2021-2025）环境影响报告书审查意见》文号：环审〔2022〕123号</w:t>
            </w:r>
          </w:p>
        </w:tc>
      </w:tr>
      <w:tr w14:paraId="131D4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Borders>
              <w:top w:val="single" w:color="auto" w:sz="4" w:space="0"/>
              <w:left w:val="single" w:color="auto" w:sz="4" w:space="0"/>
              <w:bottom w:val="single" w:color="auto" w:sz="4" w:space="0"/>
              <w:right w:val="single" w:color="auto" w:sz="4" w:space="0"/>
            </w:tcBorders>
            <w:noWrap w:val="0"/>
            <w:vAlign w:val="center"/>
          </w:tcPr>
          <w:p w14:paraId="7622ACF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规划及规划环境影响评价符合性分析</w:t>
            </w:r>
          </w:p>
        </w:tc>
        <w:tc>
          <w:tcPr>
            <w:tcW w:w="8041" w:type="dxa"/>
            <w:gridSpan w:val="3"/>
            <w:tcBorders>
              <w:top w:val="single" w:color="auto" w:sz="4" w:space="0"/>
              <w:left w:val="single" w:color="auto" w:sz="4" w:space="0"/>
              <w:bottom w:val="single" w:color="auto" w:sz="4" w:space="0"/>
              <w:right w:val="single" w:color="auto" w:sz="4" w:space="0"/>
            </w:tcBorders>
            <w:noWrap w:val="0"/>
            <w:vAlign w:val="center"/>
          </w:tcPr>
          <w:p w14:paraId="3080CEFB">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项目与陕西省矿产资源总体规划及规划环评相符性，榆林市矿产资源总体规划相符性，佳县矿产资源总体规划相符性分析见下表：</w:t>
            </w:r>
          </w:p>
          <w:p w14:paraId="1E301D9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表1-2   项目与规划及规划环评符合性分析一览表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5"/>
              <w:gridCol w:w="3493"/>
              <w:gridCol w:w="2005"/>
              <w:gridCol w:w="832"/>
            </w:tblGrid>
            <w:tr w14:paraId="4B1C8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pct"/>
                  <w:tcBorders>
                    <w:top w:val="single" w:color="auto" w:sz="4" w:space="0"/>
                    <w:left w:val="single" w:color="auto" w:sz="4" w:space="0"/>
                    <w:bottom w:val="single" w:color="auto" w:sz="4" w:space="0"/>
                    <w:right w:val="single" w:color="auto" w:sz="4" w:space="0"/>
                  </w:tcBorders>
                  <w:noWrap w:val="0"/>
                  <w:vAlign w:val="center"/>
                </w:tcPr>
                <w:p w14:paraId="497163F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文件名称</w:t>
                  </w:r>
                </w:p>
              </w:tc>
              <w:tc>
                <w:tcPr>
                  <w:tcW w:w="2234" w:type="pct"/>
                  <w:tcBorders>
                    <w:top w:val="single" w:color="auto" w:sz="4" w:space="0"/>
                    <w:left w:val="single" w:color="auto" w:sz="4" w:space="0"/>
                    <w:bottom w:val="single" w:color="auto" w:sz="4" w:space="0"/>
                    <w:right w:val="single" w:color="auto" w:sz="4" w:space="0"/>
                  </w:tcBorders>
                  <w:noWrap w:val="0"/>
                  <w:vAlign w:val="center"/>
                </w:tcPr>
                <w:p w14:paraId="587AE8D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规划及规划环评相关要求</w:t>
                  </w:r>
                </w:p>
              </w:tc>
              <w:tc>
                <w:tcPr>
                  <w:tcW w:w="1282" w:type="pct"/>
                  <w:tcBorders>
                    <w:top w:val="single" w:color="auto" w:sz="4" w:space="0"/>
                    <w:left w:val="single" w:color="auto" w:sz="4" w:space="0"/>
                    <w:bottom w:val="single" w:color="auto" w:sz="4" w:space="0"/>
                    <w:right w:val="single" w:color="auto" w:sz="4" w:space="0"/>
                  </w:tcBorders>
                  <w:noWrap w:val="0"/>
                  <w:vAlign w:val="center"/>
                </w:tcPr>
                <w:p w14:paraId="4DF3151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本项目情况</w:t>
                  </w:r>
                </w:p>
              </w:tc>
              <w:tc>
                <w:tcPr>
                  <w:tcW w:w="532" w:type="pct"/>
                  <w:tcBorders>
                    <w:top w:val="single" w:color="auto" w:sz="4" w:space="0"/>
                    <w:left w:val="single" w:color="auto" w:sz="4" w:space="0"/>
                    <w:bottom w:val="single" w:color="auto" w:sz="4" w:space="0"/>
                    <w:right w:val="single" w:color="auto" w:sz="4" w:space="0"/>
                  </w:tcBorders>
                  <w:noWrap w:val="0"/>
                  <w:vAlign w:val="center"/>
                </w:tcPr>
                <w:p w14:paraId="33E1775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符合性</w:t>
                  </w:r>
                </w:p>
              </w:tc>
            </w:tr>
            <w:tr w14:paraId="7CA38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pct"/>
                  <w:vMerge w:val="restart"/>
                  <w:tcBorders>
                    <w:top w:val="single" w:color="auto" w:sz="4" w:space="0"/>
                    <w:left w:val="single" w:color="auto" w:sz="4" w:space="0"/>
                    <w:bottom w:val="single" w:color="auto" w:sz="4" w:space="0"/>
                    <w:right w:val="single" w:color="auto" w:sz="4" w:space="0"/>
                  </w:tcBorders>
                  <w:noWrap w:val="0"/>
                  <w:vAlign w:val="center"/>
                </w:tcPr>
                <w:p w14:paraId="49F812F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陕西省矿产资源总体规划（2021-2025年）</w:t>
                  </w:r>
                </w:p>
              </w:tc>
              <w:tc>
                <w:tcPr>
                  <w:tcW w:w="2234" w:type="pct"/>
                  <w:tcBorders>
                    <w:top w:val="single" w:color="auto" w:sz="4" w:space="0"/>
                    <w:left w:val="single" w:color="auto" w:sz="4" w:space="0"/>
                    <w:bottom w:val="single" w:color="auto" w:sz="4" w:space="0"/>
                    <w:right w:val="single" w:color="auto" w:sz="4" w:space="0"/>
                  </w:tcBorders>
                  <w:noWrap w:val="0"/>
                  <w:vAlign w:val="center"/>
                </w:tcPr>
                <w:p w14:paraId="316D88D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推动陕北能源转型升级发展。在鄂尔多斯盆地煤油气盐赋存区，加强石油、天然气、页岩气、煤层气等能源矿产的调查评价，加大石油、天然气勘探力度，稳步提高油气产能。</w:t>
                  </w:r>
                </w:p>
              </w:tc>
              <w:tc>
                <w:tcPr>
                  <w:tcW w:w="2005" w:type="dxa"/>
                  <w:vMerge w:val="restart"/>
                  <w:tcBorders>
                    <w:top w:val="single" w:color="auto" w:sz="4" w:space="0"/>
                    <w:left w:val="single" w:color="auto" w:sz="4" w:space="0"/>
                    <w:bottom w:val="single" w:color="auto" w:sz="4" w:space="0"/>
                    <w:right w:val="single" w:color="auto" w:sz="4" w:space="0"/>
                  </w:tcBorders>
                  <w:noWrap w:val="0"/>
                  <w:vAlign w:val="center"/>
                </w:tcPr>
                <w:p w14:paraId="41A51BE3">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项目</w:t>
                  </w:r>
                  <w:r>
                    <w:rPr>
                      <w:rFonts w:hint="eastAsia" w:ascii="Times New Roman" w:hAnsi="Times New Roman"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个</w:t>
                  </w:r>
                  <w:r>
                    <w:rPr>
                      <w:rFonts w:hint="eastAsia" w:ascii="Times New Roman" w:hAnsi="Times New Roman" w:cs="Times New Roman"/>
                      <w:color w:val="auto"/>
                      <w:kern w:val="0"/>
                      <w:sz w:val="21"/>
                      <w:szCs w:val="21"/>
                      <w:highlight w:val="none"/>
                      <w:lang w:val="en-US" w:eastAsia="zh-CN" w:bidi="ar"/>
                    </w:rPr>
                    <w:t>天然气评价井</w:t>
                  </w:r>
                  <w:r>
                    <w:rPr>
                      <w:rFonts w:hint="default" w:ascii="Times New Roman" w:hAnsi="Times New Roman" w:eastAsia="宋体" w:cs="Times New Roman"/>
                      <w:color w:val="auto"/>
                      <w:kern w:val="0"/>
                      <w:sz w:val="21"/>
                      <w:szCs w:val="21"/>
                      <w:highlight w:val="none"/>
                      <w:lang w:val="en-US" w:eastAsia="zh-CN" w:bidi="ar"/>
                    </w:rPr>
                    <w:t>位于陕甘宁鄂尔多斯盆地煤油气盐赋存区，为天然气</w:t>
                  </w:r>
                  <w:r>
                    <w:rPr>
                      <w:rFonts w:hint="eastAsia" w:ascii="Times New Roman" w:hAnsi="Times New Roman" w:cs="Times New Roman"/>
                      <w:color w:val="auto"/>
                      <w:kern w:val="0"/>
                      <w:sz w:val="21"/>
                      <w:szCs w:val="21"/>
                      <w:highlight w:val="none"/>
                      <w:lang w:val="en-US" w:eastAsia="zh-CN" w:bidi="ar"/>
                    </w:rPr>
                    <w:t>评价井</w:t>
                  </w:r>
                  <w:r>
                    <w:rPr>
                      <w:rFonts w:hint="default" w:ascii="Times New Roman" w:hAnsi="Times New Roman" w:eastAsia="宋体" w:cs="Times New Roman"/>
                      <w:color w:val="auto"/>
                      <w:kern w:val="0"/>
                      <w:sz w:val="21"/>
                      <w:szCs w:val="21"/>
                      <w:highlight w:val="none"/>
                      <w:lang w:val="en-US" w:eastAsia="zh-CN" w:bidi="ar"/>
                    </w:rPr>
                    <w:t>工程，项目的实施有助于加大勘探力度</w:t>
                  </w:r>
                  <w:r>
                    <w:rPr>
                      <w:rFonts w:hint="eastAsia"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促进天然气持续增产</w:t>
                  </w:r>
                </w:p>
              </w:tc>
              <w:tc>
                <w:tcPr>
                  <w:tcW w:w="532" w:type="pct"/>
                  <w:tcBorders>
                    <w:top w:val="single" w:color="auto" w:sz="4" w:space="0"/>
                    <w:left w:val="single" w:color="auto" w:sz="4" w:space="0"/>
                    <w:bottom w:val="single" w:color="auto" w:sz="4" w:space="0"/>
                    <w:right w:val="single" w:color="auto" w:sz="4" w:space="0"/>
                  </w:tcBorders>
                  <w:noWrap w:val="0"/>
                  <w:vAlign w:val="center"/>
                </w:tcPr>
                <w:p w14:paraId="2D28968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7CCCC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pct"/>
                  <w:vMerge w:val="continue"/>
                  <w:tcBorders>
                    <w:top w:val="single" w:color="auto" w:sz="4" w:space="0"/>
                    <w:left w:val="single" w:color="auto" w:sz="4" w:space="0"/>
                    <w:bottom w:val="single" w:color="auto" w:sz="4" w:space="0"/>
                    <w:right w:val="single" w:color="auto" w:sz="4" w:space="0"/>
                  </w:tcBorders>
                  <w:noWrap w:val="0"/>
                  <w:vAlign w:val="center"/>
                </w:tcPr>
                <w:p w14:paraId="2B93A19B">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2234" w:type="pct"/>
                  <w:tcBorders>
                    <w:top w:val="single" w:color="auto" w:sz="4" w:space="0"/>
                    <w:left w:val="single" w:color="auto" w:sz="4" w:space="0"/>
                    <w:bottom w:val="single" w:color="auto" w:sz="4" w:space="0"/>
                    <w:right w:val="single" w:color="auto" w:sz="4" w:space="0"/>
                  </w:tcBorders>
                  <w:noWrap w:val="0"/>
                  <w:vAlign w:val="center"/>
                </w:tcPr>
                <w:p w14:paraId="606515A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按照“稳油增气、常非并举”的部署，推进石油增储稳产、天然气增储扩产、煤层气增储上产。加强鄂尔多斯盆地油气勘查，加大页岩气、煤层气等非常规油气勘查力度，形成新的资源接续区。</w:t>
                  </w:r>
                </w:p>
              </w:tc>
              <w:tc>
                <w:tcPr>
                  <w:tcW w:w="1282" w:type="pct"/>
                  <w:vMerge w:val="continue"/>
                  <w:tcBorders>
                    <w:top w:val="single" w:color="auto" w:sz="4" w:space="0"/>
                    <w:left w:val="single" w:color="auto" w:sz="4" w:space="0"/>
                    <w:bottom w:val="single" w:color="auto" w:sz="4" w:space="0"/>
                    <w:right w:val="single" w:color="auto" w:sz="4" w:space="0"/>
                  </w:tcBorders>
                  <w:noWrap w:val="0"/>
                  <w:vAlign w:val="center"/>
                </w:tcPr>
                <w:p w14:paraId="2AFB87EE">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532" w:type="pct"/>
                  <w:tcBorders>
                    <w:top w:val="single" w:color="auto" w:sz="4" w:space="0"/>
                    <w:left w:val="single" w:color="auto" w:sz="4" w:space="0"/>
                    <w:bottom w:val="single" w:color="auto" w:sz="4" w:space="0"/>
                    <w:right w:val="single" w:color="auto" w:sz="4" w:space="0"/>
                  </w:tcBorders>
                  <w:noWrap w:val="0"/>
                  <w:vAlign w:val="center"/>
                </w:tcPr>
                <w:p w14:paraId="3B0EE06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35F44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pct"/>
                  <w:vMerge w:val="continue"/>
                  <w:tcBorders>
                    <w:top w:val="single" w:color="auto" w:sz="4" w:space="0"/>
                    <w:left w:val="single" w:color="auto" w:sz="4" w:space="0"/>
                    <w:bottom w:val="single" w:color="auto" w:sz="4" w:space="0"/>
                    <w:right w:val="single" w:color="auto" w:sz="4" w:space="0"/>
                  </w:tcBorders>
                  <w:noWrap w:val="0"/>
                  <w:vAlign w:val="center"/>
                </w:tcPr>
                <w:p w14:paraId="2CF2764B">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2234" w:type="pct"/>
                  <w:tcBorders>
                    <w:top w:val="single" w:color="auto" w:sz="4" w:space="0"/>
                    <w:left w:val="single" w:color="auto" w:sz="4" w:space="0"/>
                    <w:bottom w:val="single" w:color="auto" w:sz="4" w:space="0"/>
                    <w:right w:val="single" w:color="auto" w:sz="4" w:space="0"/>
                  </w:tcBorders>
                  <w:noWrap w:val="0"/>
                  <w:vAlign w:val="center"/>
                </w:tcPr>
                <w:p w14:paraId="3872C37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生态保护红线范围内原则上禁止不符合管控要求的矿产资源勘查开采。</w:t>
                  </w:r>
                </w:p>
              </w:tc>
              <w:tc>
                <w:tcPr>
                  <w:tcW w:w="2005" w:type="dxa"/>
                  <w:tcBorders>
                    <w:top w:val="single" w:color="auto" w:sz="4" w:space="0"/>
                    <w:left w:val="single" w:color="auto" w:sz="4" w:space="0"/>
                    <w:bottom w:val="single" w:color="auto" w:sz="4" w:space="0"/>
                    <w:right w:val="single" w:color="auto" w:sz="4" w:space="0"/>
                  </w:tcBorders>
                  <w:noWrap w:val="0"/>
                  <w:vAlign w:val="center"/>
                </w:tcPr>
                <w:p w14:paraId="4E502728">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根据项目榆林市投资项目选址“一张图”控制线检测报告，项目</w:t>
                  </w:r>
                  <w:r>
                    <w:rPr>
                      <w:rFonts w:hint="eastAsia" w:ascii="Times New Roman" w:hAnsi="Times New Roman"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个</w:t>
                  </w:r>
                  <w:r>
                    <w:rPr>
                      <w:rFonts w:hint="eastAsia" w:ascii="Times New Roman" w:hAnsi="Times New Roman" w:cs="Times New Roman"/>
                      <w:color w:val="auto"/>
                      <w:kern w:val="0"/>
                      <w:sz w:val="21"/>
                      <w:szCs w:val="21"/>
                      <w:highlight w:val="none"/>
                      <w:lang w:val="en-US" w:eastAsia="zh-CN" w:bidi="ar"/>
                    </w:rPr>
                    <w:t>天然气评价井</w:t>
                  </w:r>
                  <w:r>
                    <w:rPr>
                      <w:rFonts w:hint="default" w:ascii="Times New Roman" w:hAnsi="Times New Roman" w:eastAsia="宋体" w:cs="Times New Roman"/>
                      <w:color w:val="auto"/>
                      <w:kern w:val="0"/>
                      <w:sz w:val="21"/>
                      <w:szCs w:val="21"/>
                      <w:highlight w:val="none"/>
                      <w:lang w:val="en-US" w:eastAsia="zh-CN" w:bidi="ar"/>
                    </w:rPr>
                    <w:t>不涉及生态红线</w:t>
                  </w:r>
                </w:p>
              </w:tc>
              <w:tc>
                <w:tcPr>
                  <w:tcW w:w="532" w:type="pct"/>
                  <w:tcBorders>
                    <w:top w:val="single" w:color="auto" w:sz="4" w:space="0"/>
                    <w:left w:val="single" w:color="auto" w:sz="4" w:space="0"/>
                    <w:bottom w:val="single" w:color="auto" w:sz="4" w:space="0"/>
                    <w:right w:val="single" w:color="auto" w:sz="4" w:space="0"/>
                  </w:tcBorders>
                  <w:noWrap w:val="0"/>
                  <w:vAlign w:val="center"/>
                </w:tcPr>
                <w:p w14:paraId="41498FD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67FEE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950" w:type="pct"/>
                  <w:vMerge w:val="restart"/>
                  <w:tcBorders>
                    <w:top w:val="single" w:color="auto" w:sz="4" w:space="0"/>
                    <w:left w:val="single" w:color="auto" w:sz="4" w:space="0"/>
                    <w:bottom w:val="single" w:color="auto" w:sz="4" w:space="0"/>
                    <w:right w:val="single" w:color="auto" w:sz="4" w:space="0"/>
                  </w:tcBorders>
                  <w:noWrap w:val="0"/>
                  <w:vAlign w:val="center"/>
                </w:tcPr>
                <w:p w14:paraId="56FCFA2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陕西省矿产资源总体规划（2021-2025年）环境影响报告书</w:t>
                  </w:r>
                </w:p>
              </w:tc>
              <w:tc>
                <w:tcPr>
                  <w:tcW w:w="2234" w:type="pct"/>
                  <w:tcBorders>
                    <w:top w:val="single" w:color="auto" w:sz="4" w:space="0"/>
                    <w:left w:val="single" w:color="auto" w:sz="4" w:space="0"/>
                    <w:bottom w:val="single" w:color="auto" w:sz="4" w:space="0"/>
                    <w:right w:val="single" w:color="auto" w:sz="4" w:space="0"/>
                  </w:tcBorders>
                  <w:noWrap w:val="0"/>
                  <w:vAlign w:val="center"/>
                </w:tcPr>
                <w:p w14:paraId="321D8FF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围绕国家战略性矿产、我省优势和紧缺矿产，引导项目、资金等要素向国家规划矿区和重点勘查区投入，重点勘查石油、天然气、页岩气、煤层气、煤炭、地热、氦气、铁矿、锰矿、铜矿、镍矿、金矿、钴矿、晶质石墨、萤石等矿产。</w:t>
                  </w:r>
                </w:p>
              </w:tc>
              <w:tc>
                <w:tcPr>
                  <w:tcW w:w="1282" w:type="pct"/>
                  <w:tcBorders>
                    <w:top w:val="single" w:color="auto" w:sz="4" w:space="0"/>
                    <w:left w:val="single" w:color="auto" w:sz="4" w:space="0"/>
                    <w:bottom w:val="single" w:color="auto" w:sz="4" w:space="0"/>
                    <w:right w:val="single" w:color="auto" w:sz="4" w:space="0"/>
                  </w:tcBorders>
                  <w:noWrap w:val="0"/>
                  <w:vAlign w:val="center"/>
                </w:tcPr>
                <w:p w14:paraId="73088F5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本项目位于陕西省榆林市佳县，属于天然气评价井建设项目。</w:t>
                  </w:r>
                </w:p>
              </w:tc>
              <w:tc>
                <w:tcPr>
                  <w:tcW w:w="532" w:type="pct"/>
                  <w:tcBorders>
                    <w:top w:val="single" w:color="auto" w:sz="4" w:space="0"/>
                    <w:left w:val="single" w:color="auto" w:sz="4" w:space="0"/>
                    <w:bottom w:val="single" w:color="auto" w:sz="4" w:space="0"/>
                    <w:right w:val="single" w:color="auto" w:sz="4" w:space="0"/>
                  </w:tcBorders>
                  <w:noWrap w:val="0"/>
                  <w:vAlign w:val="center"/>
                </w:tcPr>
                <w:p w14:paraId="50E835F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1DA1D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pct"/>
                  <w:vMerge w:val="continue"/>
                  <w:tcBorders>
                    <w:top w:val="single" w:color="auto" w:sz="4" w:space="0"/>
                    <w:left w:val="single" w:color="auto" w:sz="4" w:space="0"/>
                    <w:bottom w:val="single" w:color="auto" w:sz="4" w:space="0"/>
                    <w:right w:val="single" w:color="auto" w:sz="4" w:space="0"/>
                  </w:tcBorders>
                  <w:noWrap w:val="0"/>
                  <w:vAlign w:val="center"/>
                </w:tcPr>
                <w:p w14:paraId="6A46909F">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2234" w:type="pct"/>
                  <w:tcBorders>
                    <w:top w:val="single" w:color="auto" w:sz="4" w:space="0"/>
                    <w:left w:val="single" w:color="auto" w:sz="4" w:space="0"/>
                    <w:bottom w:val="single" w:color="auto" w:sz="4" w:space="0"/>
                    <w:right w:val="single" w:color="auto" w:sz="4" w:space="0"/>
                  </w:tcBorders>
                  <w:noWrap w:val="0"/>
                  <w:vAlign w:val="center"/>
                </w:tcPr>
                <w:p w14:paraId="0997E9F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从环境本底调查、道路修建和场地平整、驻地建设与管理、勘查施工、环境修复等方面，降低或消除地质勘查对生态环境影响，实现地质勘查和生态环境保护协同共进。</w:t>
                  </w:r>
                </w:p>
              </w:tc>
              <w:tc>
                <w:tcPr>
                  <w:tcW w:w="1282" w:type="pct"/>
                  <w:tcBorders>
                    <w:top w:val="single" w:color="auto" w:sz="4" w:space="0"/>
                    <w:left w:val="single" w:color="auto" w:sz="4" w:space="0"/>
                    <w:bottom w:val="single" w:color="auto" w:sz="4" w:space="0"/>
                    <w:right w:val="single" w:color="auto" w:sz="4" w:space="0"/>
                  </w:tcBorders>
                  <w:noWrap w:val="0"/>
                  <w:vAlign w:val="center"/>
                </w:tcPr>
                <w:p w14:paraId="0507C2B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项目施工过程在划定的施工区建设，利用现有道路，结束后将采取相应措施对临时占地全部进行恢复。</w:t>
                  </w:r>
                </w:p>
              </w:tc>
              <w:tc>
                <w:tcPr>
                  <w:tcW w:w="532" w:type="pct"/>
                  <w:tcBorders>
                    <w:top w:val="single" w:color="auto" w:sz="4" w:space="0"/>
                    <w:left w:val="single" w:color="auto" w:sz="4" w:space="0"/>
                    <w:bottom w:val="single" w:color="auto" w:sz="4" w:space="0"/>
                    <w:right w:val="single" w:color="auto" w:sz="4" w:space="0"/>
                  </w:tcBorders>
                  <w:noWrap w:val="0"/>
                  <w:vAlign w:val="center"/>
                </w:tcPr>
                <w:p w14:paraId="3A2A16B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17B97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pct"/>
                  <w:vMerge w:val="continue"/>
                  <w:tcBorders>
                    <w:top w:val="single" w:color="auto" w:sz="4" w:space="0"/>
                    <w:left w:val="single" w:color="auto" w:sz="4" w:space="0"/>
                    <w:bottom w:val="single" w:color="auto" w:sz="4" w:space="0"/>
                    <w:right w:val="single" w:color="auto" w:sz="4" w:space="0"/>
                  </w:tcBorders>
                  <w:noWrap w:val="0"/>
                  <w:vAlign w:val="center"/>
                </w:tcPr>
                <w:p w14:paraId="6FF94346">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2234" w:type="pct"/>
                  <w:tcBorders>
                    <w:top w:val="single" w:color="auto" w:sz="4" w:space="0"/>
                    <w:left w:val="single" w:color="auto" w:sz="4" w:space="0"/>
                    <w:bottom w:val="single" w:color="auto" w:sz="4" w:space="0"/>
                    <w:right w:val="single" w:color="auto" w:sz="4" w:space="0"/>
                  </w:tcBorders>
                  <w:noWrap w:val="0"/>
                  <w:vAlign w:val="center"/>
                </w:tcPr>
                <w:p w14:paraId="2407D8B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生态保护红线原则上按禁止开发区域的要求进行管理，严禁不符合主体功能定位的各类开发活动，严禁任意改变用途，确保区域生态保护红线的生态功能不降低、面积不减少、性质不改变，维护国家生态安全。认真贯彻落实《中办国办关于划定并严守生态保护红线的若干意见》，严守生态保护红线，依法遵守环境敏感区规定，加强规划空间管制，合法开展矿产资源勘查和开发利用与保护，确保包括生态保护红线在内的生态空间面积不减少、功能不减低、性质不改变。</w:t>
                  </w:r>
                </w:p>
              </w:tc>
              <w:tc>
                <w:tcPr>
                  <w:tcW w:w="1282" w:type="pct"/>
                  <w:tcBorders>
                    <w:top w:val="single" w:color="auto" w:sz="4" w:space="0"/>
                    <w:left w:val="single" w:color="auto" w:sz="4" w:space="0"/>
                    <w:bottom w:val="single" w:color="auto" w:sz="4" w:space="0"/>
                    <w:right w:val="single" w:color="auto" w:sz="4" w:space="0"/>
                  </w:tcBorders>
                  <w:noWrap w:val="0"/>
                  <w:vAlign w:val="center"/>
                </w:tcPr>
                <w:p w14:paraId="0569B5E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根据榆林市投资项目选址“一张图”控制线检测报告，项目</w:t>
                  </w:r>
                  <w:r>
                    <w:rPr>
                      <w:rFonts w:hint="eastAsia" w:ascii="Times New Roman" w:hAnsi="Times New Roman"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个</w:t>
                  </w:r>
                  <w:r>
                    <w:rPr>
                      <w:rFonts w:hint="eastAsia" w:ascii="Times New Roman" w:hAnsi="Times New Roman" w:cs="Times New Roman"/>
                      <w:color w:val="auto"/>
                      <w:kern w:val="0"/>
                      <w:sz w:val="21"/>
                      <w:szCs w:val="21"/>
                      <w:highlight w:val="none"/>
                      <w:lang w:val="en-US" w:eastAsia="zh-CN" w:bidi="ar"/>
                    </w:rPr>
                    <w:t>天然气评价井</w:t>
                  </w:r>
                  <w:r>
                    <w:rPr>
                      <w:rFonts w:hint="default" w:ascii="Times New Roman" w:hAnsi="Times New Roman" w:eastAsia="宋体" w:cs="Times New Roman"/>
                      <w:color w:val="auto"/>
                      <w:kern w:val="0"/>
                      <w:sz w:val="21"/>
                      <w:szCs w:val="21"/>
                      <w:highlight w:val="none"/>
                      <w:lang w:val="en-US" w:eastAsia="zh-CN" w:bidi="ar"/>
                    </w:rPr>
                    <w:t>未占用生态保护红线</w:t>
                  </w:r>
                </w:p>
              </w:tc>
              <w:tc>
                <w:tcPr>
                  <w:tcW w:w="532" w:type="pct"/>
                  <w:tcBorders>
                    <w:top w:val="single" w:color="auto" w:sz="4" w:space="0"/>
                    <w:left w:val="single" w:color="auto" w:sz="4" w:space="0"/>
                    <w:bottom w:val="single" w:color="auto" w:sz="4" w:space="0"/>
                    <w:right w:val="single" w:color="auto" w:sz="4" w:space="0"/>
                  </w:tcBorders>
                  <w:noWrap w:val="0"/>
                  <w:vAlign w:val="center"/>
                </w:tcPr>
                <w:p w14:paraId="6E4E3FB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3F827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pct"/>
                  <w:vMerge w:val="continue"/>
                  <w:tcBorders>
                    <w:top w:val="single" w:color="auto" w:sz="4" w:space="0"/>
                    <w:left w:val="single" w:color="auto" w:sz="4" w:space="0"/>
                    <w:bottom w:val="single" w:color="auto" w:sz="4" w:space="0"/>
                    <w:right w:val="single" w:color="auto" w:sz="4" w:space="0"/>
                  </w:tcBorders>
                  <w:noWrap w:val="0"/>
                  <w:vAlign w:val="center"/>
                </w:tcPr>
                <w:p w14:paraId="61C20031">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2234" w:type="pct"/>
                  <w:tcBorders>
                    <w:top w:val="single" w:color="auto" w:sz="4" w:space="0"/>
                    <w:left w:val="single" w:color="auto" w:sz="4" w:space="0"/>
                    <w:bottom w:val="single" w:color="auto" w:sz="4" w:space="0"/>
                    <w:right w:val="single" w:color="auto" w:sz="4" w:space="0"/>
                  </w:tcBorders>
                  <w:noWrap w:val="0"/>
                  <w:vAlign w:val="center"/>
                </w:tcPr>
                <w:p w14:paraId="773EA76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对位于一般生态空间和水、大气、土壤等优先保护区内现有矿业权，矿产资源勘查开发应严格落实各类生态空间和优先保护区的管控要求，严格控制矿产资源勘查开采活动范围和强度，保证该单元生态系统结构和主要功能不受破坏。</w:t>
                  </w:r>
                </w:p>
              </w:tc>
              <w:tc>
                <w:tcPr>
                  <w:tcW w:w="1282" w:type="pct"/>
                  <w:tcBorders>
                    <w:top w:val="single" w:color="auto" w:sz="4" w:space="0"/>
                    <w:left w:val="single" w:color="auto" w:sz="4" w:space="0"/>
                    <w:bottom w:val="single" w:color="auto" w:sz="4" w:space="0"/>
                    <w:right w:val="single" w:color="auto" w:sz="4" w:space="0"/>
                  </w:tcBorders>
                  <w:noWrap w:val="0"/>
                  <w:vAlign w:val="center"/>
                </w:tcPr>
                <w:p w14:paraId="5975C13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根据《陕西省“三线一单”生态环境管控单元对照分析报告》，本项目</w:t>
                  </w:r>
                  <w:r>
                    <w:rPr>
                      <w:rFonts w:hint="eastAsia" w:ascii="Times New Roman" w:hAnsi="Times New Roman" w:cs="Times New Roman"/>
                      <w:color w:val="auto"/>
                      <w:kern w:val="0"/>
                      <w:sz w:val="21"/>
                      <w:szCs w:val="21"/>
                      <w:highlight w:val="none"/>
                      <w:lang w:val="en-US" w:eastAsia="zh-CN" w:bidi="ar"/>
                    </w:rPr>
                    <w:t>不</w:t>
                  </w:r>
                  <w:r>
                    <w:rPr>
                      <w:rFonts w:hint="default" w:ascii="Times New Roman" w:hAnsi="Times New Roman" w:eastAsia="宋体" w:cs="Times New Roman"/>
                      <w:color w:val="auto"/>
                      <w:kern w:val="0"/>
                      <w:sz w:val="21"/>
                      <w:szCs w:val="21"/>
                      <w:highlight w:val="none"/>
                      <w:lang w:val="en-US" w:eastAsia="zh-CN" w:bidi="ar"/>
                    </w:rPr>
                    <w:t>涉及优先保护单元和</w:t>
                  </w:r>
                  <w:r>
                    <w:rPr>
                      <w:rFonts w:hint="default" w:ascii="Times New Roman" w:hAnsi="Times New Roman"/>
                      <w:color w:val="auto"/>
                      <w:kern w:val="0"/>
                      <w:szCs w:val="21"/>
                      <w:highlight w:val="none"/>
                      <w:lang w:bidi="ar"/>
                    </w:rPr>
                    <w:t>重点管控单元</w:t>
                  </w:r>
                  <w:r>
                    <w:rPr>
                      <w:rFonts w:hint="default" w:ascii="Times New Roman" w:hAnsi="Times New Roman" w:eastAsia="宋体" w:cs="Times New Roman"/>
                      <w:color w:val="auto"/>
                      <w:kern w:val="0"/>
                      <w:sz w:val="21"/>
                      <w:szCs w:val="21"/>
                      <w:highlight w:val="none"/>
                      <w:lang w:val="en-US" w:eastAsia="zh-CN" w:bidi="ar"/>
                    </w:rPr>
                    <w:t>，项目严格落实污染治理设施，不会破坏生态系统的结构和主要功能。</w:t>
                  </w:r>
                </w:p>
              </w:tc>
              <w:tc>
                <w:tcPr>
                  <w:tcW w:w="532" w:type="pct"/>
                  <w:tcBorders>
                    <w:top w:val="single" w:color="auto" w:sz="4" w:space="0"/>
                    <w:left w:val="single" w:color="auto" w:sz="4" w:space="0"/>
                    <w:bottom w:val="single" w:color="auto" w:sz="4" w:space="0"/>
                    <w:right w:val="single" w:color="auto" w:sz="4" w:space="0"/>
                  </w:tcBorders>
                  <w:noWrap w:val="0"/>
                  <w:vAlign w:val="center"/>
                </w:tcPr>
                <w:p w14:paraId="63BA36E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12D58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pct"/>
                  <w:vMerge w:val="continue"/>
                  <w:tcBorders>
                    <w:top w:val="single" w:color="auto" w:sz="4" w:space="0"/>
                    <w:left w:val="single" w:color="auto" w:sz="4" w:space="0"/>
                    <w:bottom w:val="single" w:color="auto" w:sz="4" w:space="0"/>
                    <w:right w:val="single" w:color="auto" w:sz="4" w:space="0"/>
                  </w:tcBorders>
                  <w:noWrap w:val="0"/>
                  <w:vAlign w:val="center"/>
                </w:tcPr>
                <w:p w14:paraId="0285BA30">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2234" w:type="pct"/>
                  <w:tcBorders>
                    <w:top w:val="single" w:color="auto" w:sz="4" w:space="0"/>
                    <w:left w:val="single" w:color="auto" w:sz="4" w:space="0"/>
                    <w:bottom w:val="single" w:color="auto" w:sz="4" w:space="0"/>
                    <w:right w:val="single" w:color="auto" w:sz="4" w:space="0"/>
                  </w:tcBorders>
                  <w:noWrap w:val="0"/>
                  <w:vAlign w:val="center"/>
                </w:tcPr>
                <w:p w14:paraId="4BA3D04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探矿活动结束后，应根据景观相似原则，对探矿活动造成的土壤、植被和地表景观破坏进行恢复。</w:t>
                  </w:r>
                </w:p>
              </w:tc>
              <w:tc>
                <w:tcPr>
                  <w:tcW w:w="1282" w:type="pct"/>
                  <w:tcBorders>
                    <w:top w:val="single" w:color="auto" w:sz="4" w:space="0"/>
                    <w:left w:val="single" w:color="auto" w:sz="4" w:space="0"/>
                    <w:bottom w:val="single" w:color="auto" w:sz="4" w:space="0"/>
                    <w:right w:val="single" w:color="auto" w:sz="4" w:space="0"/>
                  </w:tcBorders>
                  <w:noWrap w:val="0"/>
                  <w:vAlign w:val="center"/>
                </w:tcPr>
                <w:p w14:paraId="7D11C18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项目施工结束后将采取相应措施对临时占地全部进行恢复。</w:t>
                  </w:r>
                </w:p>
              </w:tc>
              <w:tc>
                <w:tcPr>
                  <w:tcW w:w="532" w:type="pct"/>
                  <w:tcBorders>
                    <w:top w:val="single" w:color="auto" w:sz="4" w:space="0"/>
                    <w:left w:val="single" w:color="auto" w:sz="4" w:space="0"/>
                    <w:bottom w:val="single" w:color="auto" w:sz="4" w:space="0"/>
                    <w:right w:val="single" w:color="auto" w:sz="4" w:space="0"/>
                  </w:tcBorders>
                  <w:noWrap w:val="0"/>
                  <w:vAlign w:val="center"/>
                </w:tcPr>
                <w:p w14:paraId="431A201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4C5E9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pct"/>
                  <w:tcBorders>
                    <w:top w:val="single" w:color="auto" w:sz="4" w:space="0"/>
                    <w:left w:val="single" w:color="auto" w:sz="4" w:space="0"/>
                    <w:bottom w:val="single" w:color="auto" w:sz="4" w:space="0"/>
                    <w:right w:val="single" w:color="auto" w:sz="4" w:space="0"/>
                  </w:tcBorders>
                  <w:noWrap w:val="0"/>
                  <w:vAlign w:val="center"/>
                </w:tcPr>
                <w:p w14:paraId="64DF417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陕西省矿产资源总体规划（2021-2025年）环境影响报告书审查意见</w:t>
                  </w:r>
                </w:p>
              </w:tc>
              <w:tc>
                <w:tcPr>
                  <w:tcW w:w="2234" w:type="pct"/>
                  <w:tcBorders>
                    <w:top w:val="single" w:color="auto" w:sz="4" w:space="0"/>
                    <w:left w:val="single" w:color="auto" w:sz="4" w:space="0"/>
                    <w:bottom w:val="single" w:color="auto" w:sz="4" w:space="0"/>
                    <w:right w:val="single" w:color="auto" w:sz="4" w:space="0"/>
                  </w:tcBorders>
                  <w:noWrap w:val="0"/>
                  <w:vAlign w:val="center"/>
                </w:tcPr>
                <w:p w14:paraId="2D1B5B2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严格环境准入，保护区域生态功能。按照陕西省生态环境分区管控方案、生态环境保护规划等新要求，与大气环境优先保护区、水环境优先保护区、农用地优先保护区等存在空间重叠的现有矿业权、勘查规划区块、开采规划区块等，应严格执行相应管控要求，控制勘查、开采活动范围和强度，严格执行绿色勘查、绿色开采及矿山生态保护修复相关要求，确保生态系统结构和主要功能不受破坏。严格控制涉及生物多样性保护优先区域、国家重点生态功能区、国家重要生态功能区、水源涵养区、水土流失重点防治区等区域矿产资源开发活动，并采取相应保护措施，防止加剧对有关生态功能区的不良环境影响。</w:t>
                  </w:r>
                </w:p>
              </w:tc>
              <w:tc>
                <w:tcPr>
                  <w:tcW w:w="1282" w:type="pct"/>
                  <w:tcBorders>
                    <w:top w:val="single" w:color="auto" w:sz="4" w:space="0"/>
                    <w:left w:val="single" w:color="auto" w:sz="4" w:space="0"/>
                    <w:bottom w:val="single" w:color="auto" w:sz="4" w:space="0"/>
                    <w:right w:val="single" w:color="auto" w:sz="4" w:space="0"/>
                  </w:tcBorders>
                  <w:noWrap w:val="0"/>
                  <w:vAlign w:val="center"/>
                </w:tcPr>
                <w:p w14:paraId="069422B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本项目涉及水土流失重点治理区，本次评价提出严格的生态环境保护措施，防止加剧区域水土流失的不良影响。</w:t>
                  </w:r>
                </w:p>
                <w:p w14:paraId="7BA9964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w:t>
                  </w:r>
                  <w:r>
                    <w:rPr>
                      <w:rFonts w:hint="eastAsia" w:ascii="Times New Roman" w:hAnsi="Times New Roman" w:cs="Times New Roman"/>
                      <w:color w:val="auto"/>
                      <w:kern w:val="0"/>
                      <w:sz w:val="21"/>
                      <w:szCs w:val="21"/>
                      <w:highlight w:val="none"/>
                      <w:lang w:val="en-US" w:eastAsia="zh-CN" w:bidi="ar"/>
                    </w:rPr>
                    <w:t>天然气评价井</w:t>
                  </w:r>
                  <w:r>
                    <w:rPr>
                      <w:rFonts w:hint="default" w:ascii="Times New Roman" w:hAnsi="Times New Roman" w:eastAsia="宋体" w:cs="Times New Roman"/>
                      <w:color w:val="auto"/>
                      <w:kern w:val="0"/>
                      <w:sz w:val="21"/>
                      <w:szCs w:val="21"/>
                      <w:highlight w:val="none"/>
                      <w:lang w:val="en-US" w:eastAsia="zh-CN" w:bidi="ar"/>
                    </w:rPr>
                    <w:t>不占用禁止开发区，不涉及生物多样性保护优先区域、国家重点生态功能区、国家重要生态功能区、水源涵养区等区域矿产资源开发活动；</w:t>
                  </w:r>
                  <w:r>
                    <w:rPr>
                      <w:rFonts w:hint="eastAsia" w:ascii="Times New Roman" w:hAnsi="Times New Roman" w:cs="Times New Roman"/>
                      <w:color w:val="auto"/>
                      <w:sz w:val="21"/>
                      <w:szCs w:val="21"/>
                      <w:highlight w:val="none"/>
                      <w:lang w:val="en-US" w:eastAsia="zh-CN"/>
                    </w:rPr>
                    <w:t>施工</w:t>
                  </w:r>
                  <w:r>
                    <w:rPr>
                      <w:rFonts w:hint="default" w:ascii="Times New Roman" w:hAnsi="Times New Roman" w:eastAsia="宋体" w:cs="Times New Roman"/>
                      <w:color w:val="auto"/>
                      <w:sz w:val="21"/>
                      <w:szCs w:val="21"/>
                      <w:highlight w:val="none"/>
                      <w:lang w:eastAsia="zh-CN"/>
                    </w:rPr>
                    <w:t>结束后将采取相应措施进行恢复，可防止加剧对有关生态功能区的不良环境影响。</w:t>
                  </w:r>
                </w:p>
              </w:tc>
              <w:tc>
                <w:tcPr>
                  <w:tcW w:w="532" w:type="pct"/>
                  <w:tcBorders>
                    <w:top w:val="single" w:color="auto" w:sz="4" w:space="0"/>
                    <w:left w:val="single" w:color="auto" w:sz="4" w:space="0"/>
                    <w:bottom w:val="single" w:color="auto" w:sz="4" w:space="0"/>
                    <w:right w:val="single" w:color="auto" w:sz="4" w:space="0"/>
                  </w:tcBorders>
                  <w:noWrap w:val="0"/>
                  <w:vAlign w:val="center"/>
                </w:tcPr>
                <w:p w14:paraId="0F51B36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7A355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pct"/>
                  <w:vMerge w:val="restart"/>
                  <w:tcBorders>
                    <w:top w:val="single" w:color="auto" w:sz="4" w:space="0"/>
                    <w:left w:val="single" w:color="auto" w:sz="4" w:space="0"/>
                    <w:right w:val="single" w:color="auto" w:sz="4" w:space="0"/>
                  </w:tcBorders>
                  <w:noWrap w:val="0"/>
                  <w:vAlign w:val="center"/>
                </w:tcPr>
                <w:p w14:paraId="2BAF2C7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榆林市矿产资源总体规划（2021-2025年）</w:t>
                  </w:r>
                </w:p>
              </w:tc>
              <w:tc>
                <w:tcPr>
                  <w:tcW w:w="2234" w:type="pct"/>
                  <w:tcBorders>
                    <w:top w:val="single" w:color="auto" w:sz="4" w:space="0"/>
                    <w:left w:val="single" w:color="auto" w:sz="4" w:space="0"/>
                    <w:bottom w:val="single" w:color="auto" w:sz="4" w:space="0"/>
                    <w:right w:val="single" w:color="auto" w:sz="4" w:space="0"/>
                  </w:tcBorders>
                  <w:noWrap w:val="0"/>
                  <w:vAlign w:val="center"/>
                </w:tcPr>
                <w:p w14:paraId="472B236D">
                  <w:pPr>
                    <w:pStyle w:val="15"/>
                    <w:keepNext w:val="0"/>
                    <w:keepLines w:val="0"/>
                    <w:widowControl w:val="0"/>
                    <w:numPr>
                      <w:ilvl w:val="0"/>
                      <w:numId w:val="0"/>
                    </w:numPr>
                    <w:suppressLineNumbers w:val="0"/>
                    <w:adjustRightInd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bidi="ar"/>
                    </w:rPr>
                    <w:t>统筹勘察开发保护区域布局：</w:t>
                  </w:r>
                </w:p>
                <w:p w14:paraId="24794DD4">
                  <w:pPr>
                    <w:pStyle w:val="15"/>
                    <w:keepNext w:val="0"/>
                    <w:keepLines w:val="0"/>
                    <w:widowControl w:val="0"/>
                    <w:suppressLineNumbers w:val="0"/>
                    <w:adjustRightInd w:val="0"/>
                    <w:snapToGrid w:val="0"/>
                    <w:spacing w:before="0" w:beforeAutospacing="0" w:after="0" w:afterAutospacing="0"/>
                    <w:ind w:left="0" w:leftChars="0" w:right="0" w:rightChars="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加快神木、榆阳、米脂、佳县岩盐的勘察开发程度，大力推进煤、油、气、盐一体化格局发展。</w:t>
                  </w:r>
                </w:p>
              </w:tc>
              <w:tc>
                <w:tcPr>
                  <w:tcW w:w="1282" w:type="pct"/>
                  <w:tcBorders>
                    <w:top w:val="single" w:color="auto" w:sz="4" w:space="0"/>
                    <w:left w:val="single" w:color="auto" w:sz="4" w:space="0"/>
                    <w:bottom w:val="single" w:color="auto" w:sz="4" w:space="0"/>
                    <w:right w:val="single" w:color="auto" w:sz="4" w:space="0"/>
                  </w:tcBorders>
                  <w:noWrap w:val="0"/>
                  <w:vAlign w:val="center"/>
                </w:tcPr>
                <w:p w14:paraId="2C21CB08">
                  <w:pPr>
                    <w:pStyle w:val="15"/>
                    <w:keepNext w:val="0"/>
                    <w:keepLines w:val="0"/>
                    <w:widowControl w:val="0"/>
                    <w:suppressLineNumbers w:val="0"/>
                    <w:adjustRightInd w:val="0"/>
                    <w:snapToGrid w:val="0"/>
                    <w:spacing w:before="0" w:beforeAutospacing="0" w:after="0" w:afterAutospacing="0"/>
                    <w:ind w:left="0" w:leftChars="0" w:right="0" w:rightChars="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本项目位于佳县金明寺镇，为天然气</w:t>
                  </w:r>
                  <w:r>
                    <w:rPr>
                      <w:rFonts w:hint="eastAsia" w:ascii="Times New Roman" w:hAnsi="Times New Roman" w:cs="Times New Roman"/>
                      <w:color w:val="auto"/>
                      <w:kern w:val="0"/>
                      <w:sz w:val="21"/>
                      <w:szCs w:val="21"/>
                      <w:highlight w:val="none"/>
                      <w:lang w:val="en-US" w:eastAsia="zh-CN" w:bidi="ar"/>
                    </w:rPr>
                    <w:t>评价井建设</w:t>
                  </w:r>
                  <w:r>
                    <w:rPr>
                      <w:rFonts w:hint="default" w:ascii="Times New Roman" w:hAnsi="Times New Roman" w:eastAsia="宋体" w:cs="Times New Roman"/>
                      <w:color w:val="auto"/>
                      <w:kern w:val="0"/>
                      <w:sz w:val="21"/>
                      <w:szCs w:val="21"/>
                      <w:highlight w:val="none"/>
                      <w:lang w:val="en-US" w:eastAsia="zh-CN" w:bidi="ar"/>
                    </w:rPr>
                    <w:t>项目，符合“大力推进煤、油、气、盐一体化格局发展”要求</w:t>
                  </w:r>
                </w:p>
              </w:tc>
              <w:tc>
                <w:tcPr>
                  <w:tcW w:w="532" w:type="pct"/>
                  <w:tcBorders>
                    <w:top w:val="single" w:color="auto" w:sz="4" w:space="0"/>
                    <w:left w:val="single" w:color="auto" w:sz="4" w:space="0"/>
                    <w:bottom w:val="single" w:color="auto" w:sz="4" w:space="0"/>
                    <w:right w:val="single" w:color="auto" w:sz="4" w:space="0"/>
                  </w:tcBorders>
                  <w:noWrap w:val="0"/>
                  <w:vAlign w:val="center"/>
                </w:tcPr>
                <w:p w14:paraId="383F24A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14:paraId="1D156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pct"/>
                  <w:vMerge w:val="continue"/>
                  <w:tcBorders>
                    <w:left w:val="single" w:color="auto" w:sz="4" w:space="0"/>
                    <w:right w:val="single" w:color="auto" w:sz="4" w:space="0"/>
                  </w:tcBorders>
                  <w:noWrap w:val="0"/>
                  <w:vAlign w:val="center"/>
                </w:tcPr>
                <w:p w14:paraId="03B297B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p>
              </w:tc>
              <w:tc>
                <w:tcPr>
                  <w:tcW w:w="2234" w:type="pct"/>
                  <w:tcBorders>
                    <w:top w:val="single" w:color="auto" w:sz="4" w:space="0"/>
                    <w:left w:val="single" w:color="auto" w:sz="4" w:space="0"/>
                    <w:bottom w:val="single" w:color="auto" w:sz="4" w:space="0"/>
                    <w:right w:val="single" w:color="auto" w:sz="4" w:space="0"/>
                  </w:tcBorders>
                  <w:noWrap w:val="0"/>
                  <w:vAlign w:val="center"/>
                </w:tcPr>
                <w:p w14:paraId="775E6D8C">
                  <w:pPr>
                    <w:pStyle w:val="15"/>
                    <w:keepNext w:val="0"/>
                    <w:keepLines w:val="0"/>
                    <w:widowControl w:val="0"/>
                    <w:numPr>
                      <w:ilvl w:val="0"/>
                      <w:numId w:val="0"/>
                    </w:numPr>
                    <w:suppressLineNumbers w:val="0"/>
                    <w:adjustRightInd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bidi="ar"/>
                    </w:rPr>
                    <w:t>明确矿产资源勘查开采调控方向：</w:t>
                  </w:r>
                </w:p>
                <w:p w14:paraId="55F2FFBE">
                  <w:pPr>
                    <w:pStyle w:val="15"/>
                    <w:keepNext w:val="0"/>
                    <w:keepLines w:val="0"/>
                    <w:widowControl w:val="0"/>
                    <w:suppressLineNumbers w:val="0"/>
                    <w:adjustRightInd w:val="0"/>
                    <w:snapToGrid w:val="0"/>
                    <w:spacing w:before="0" w:beforeAutospacing="0" w:after="0" w:afterAutospacing="0"/>
                    <w:ind w:left="0" w:leftChars="0" w:right="0" w:rightChars="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限制勘察高硫煤，勘察区块投放前应做好论证。结合国家战略性矿产、省市优势紧缺矿产的找矿目标及榆林煤、油、气、盐一体化发展格局，重点勘察石油、天然气、煤炭、煤层气、地热等矿产。</w:t>
                  </w:r>
                </w:p>
              </w:tc>
              <w:tc>
                <w:tcPr>
                  <w:tcW w:w="1282" w:type="pct"/>
                  <w:tcBorders>
                    <w:top w:val="single" w:color="auto" w:sz="4" w:space="0"/>
                    <w:left w:val="single" w:color="auto" w:sz="4" w:space="0"/>
                    <w:bottom w:val="single" w:color="auto" w:sz="4" w:space="0"/>
                    <w:right w:val="single" w:color="auto" w:sz="4" w:space="0"/>
                  </w:tcBorders>
                  <w:noWrap w:val="0"/>
                  <w:vAlign w:val="center"/>
                </w:tcPr>
                <w:p w14:paraId="35B7C30D">
                  <w:pPr>
                    <w:pStyle w:val="15"/>
                    <w:keepNext w:val="0"/>
                    <w:keepLines w:val="0"/>
                    <w:widowControl w:val="0"/>
                    <w:suppressLineNumbers w:val="0"/>
                    <w:adjustRightInd w:val="0"/>
                    <w:snapToGrid w:val="0"/>
                    <w:spacing w:before="0" w:beforeAutospacing="0" w:after="0" w:afterAutospacing="0"/>
                    <w:ind w:left="0" w:leftChars="0" w:right="0" w:rightChars="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本项目位于佳县金明寺镇，为天然气</w:t>
                  </w:r>
                  <w:r>
                    <w:rPr>
                      <w:rFonts w:hint="eastAsia" w:ascii="Times New Roman" w:hAnsi="Times New Roman" w:cs="Times New Roman"/>
                      <w:color w:val="auto"/>
                      <w:kern w:val="0"/>
                      <w:sz w:val="21"/>
                      <w:szCs w:val="21"/>
                      <w:highlight w:val="none"/>
                      <w:lang w:val="en-US" w:eastAsia="zh-CN" w:bidi="ar"/>
                    </w:rPr>
                    <w:t>评价井建设</w:t>
                  </w:r>
                  <w:r>
                    <w:rPr>
                      <w:rFonts w:hint="default" w:ascii="Times New Roman" w:hAnsi="Times New Roman" w:eastAsia="宋体" w:cs="Times New Roman"/>
                      <w:color w:val="auto"/>
                      <w:kern w:val="0"/>
                      <w:sz w:val="21"/>
                      <w:szCs w:val="21"/>
                      <w:highlight w:val="none"/>
                      <w:lang w:val="en-US" w:eastAsia="zh-CN" w:bidi="ar"/>
                    </w:rPr>
                    <w:t>项目，符合“重点勘察石油、天然气、煤炭、煤层气、地热等矿产”要求。</w:t>
                  </w:r>
                </w:p>
              </w:tc>
              <w:tc>
                <w:tcPr>
                  <w:tcW w:w="532" w:type="pct"/>
                  <w:tcBorders>
                    <w:top w:val="single" w:color="auto" w:sz="4" w:space="0"/>
                    <w:left w:val="single" w:color="auto" w:sz="4" w:space="0"/>
                    <w:bottom w:val="single" w:color="auto" w:sz="4" w:space="0"/>
                    <w:right w:val="single" w:color="auto" w:sz="4" w:space="0"/>
                  </w:tcBorders>
                  <w:noWrap w:val="0"/>
                  <w:vAlign w:val="center"/>
                </w:tcPr>
                <w:p w14:paraId="47A3DE6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14:paraId="6C09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pct"/>
                  <w:vMerge w:val="continue"/>
                  <w:tcBorders>
                    <w:left w:val="single" w:color="auto" w:sz="4" w:space="0"/>
                    <w:bottom w:val="single" w:color="auto" w:sz="4" w:space="0"/>
                    <w:right w:val="single" w:color="auto" w:sz="4" w:space="0"/>
                  </w:tcBorders>
                  <w:noWrap w:val="0"/>
                  <w:vAlign w:val="center"/>
                </w:tcPr>
                <w:p w14:paraId="5D6B088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p>
              </w:tc>
              <w:tc>
                <w:tcPr>
                  <w:tcW w:w="2234" w:type="pct"/>
                  <w:tcBorders>
                    <w:top w:val="single" w:color="auto" w:sz="4" w:space="0"/>
                    <w:left w:val="single" w:color="auto" w:sz="4" w:space="0"/>
                    <w:bottom w:val="single" w:color="auto" w:sz="4" w:space="0"/>
                    <w:right w:val="single" w:color="auto" w:sz="4" w:space="0"/>
                  </w:tcBorders>
                  <w:noWrap w:val="0"/>
                  <w:vAlign w:val="center"/>
                </w:tcPr>
                <w:p w14:paraId="78718A2C">
                  <w:pPr>
                    <w:pStyle w:val="15"/>
                    <w:keepNext w:val="0"/>
                    <w:keepLines w:val="0"/>
                    <w:widowControl w:val="0"/>
                    <w:suppressLineNumbers w:val="0"/>
                    <w:adjustRightInd w:val="0"/>
                    <w:snapToGrid w:val="0"/>
                    <w:spacing w:before="0" w:beforeAutospacing="0" w:after="0" w:afterAutospacing="0"/>
                    <w:ind w:left="0" w:leftChars="0" w:right="0" w:rightChars="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全面推进地质勘查全过程绿色勘查。勘查工作开展前应不断优化勘查设计，明确绿色勘查工作的具体内容、技术标准要求和保障措施，做好设计审查工作；勘查施工中应采用先进技术、方法、工艺、设备和新材料，积极开展勘查技术与管理的创新；勘查工作结束后，应鼓励提炼出可复制、能推广的绿色勘查经验。通过谋划在前、过程监管、事后总结将绿色勘查贯穿于勘查活动的全过程。</w:t>
                  </w:r>
                </w:p>
              </w:tc>
              <w:tc>
                <w:tcPr>
                  <w:tcW w:w="1282" w:type="pct"/>
                  <w:tcBorders>
                    <w:top w:val="single" w:color="auto" w:sz="4" w:space="0"/>
                    <w:left w:val="single" w:color="auto" w:sz="4" w:space="0"/>
                    <w:bottom w:val="single" w:color="auto" w:sz="4" w:space="0"/>
                    <w:right w:val="single" w:color="auto" w:sz="4" w:space="0"/>
                  </w:tcBorders>
                  <w:noWrap w:val="0"/>
                  <w:vAlign w:val="center"/>
                </w:tcPr>
                <w:p w14:paraId="7712FF06">
                  <w:pPr>
                    <w:pStyle w:val="15"/>
                    <w:keepNext w:val="0"/>
                    <w:keepLines w:val="0"/>
                    <w:widowControl w:val="0"/>
                    <w:suppressLineNumbers w:val="0"/>
                    <w:adjustRightInd w:val="0"/>
                    <w:snapToGrid w:val="0"/>
                    <w:spacing w:before="0" w:beforeAutospacing="0" w:after="0" w:afterAutospacing="0"/>
                    <w:ind w:left="0" w:leftChars="0" w:right="0" w:rightChars="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本项目勘查过程中使用电驱动，属于清洁能源，钻进过程采用水基钻井液，在本项目建设完成后由天然气评价项目部按照要求开展植被恢复工作，符合绿色勘查要求。</w:t>
                  </w:r>
                </w:p>
              </w:tc>
              <w:tc>
                <w:tcPr>
                  <w:tcW w:w="532" w:type="pct"/>
                  <w:tcBorders>
                    <w:top w:val="single" w:color="auto" w:sz="4" w:space="0"/>
                    <w:left w:val="single" w:color="auto" w:sz="4" w:space="0"/>
                    <w:bottom w:val="single" w:color="auto" w:sz="4" w:space="0"/>
                    <w:right w:val="single" w:color="auto" w:sz="4" w:space="0"/>
                  </w:tcBorders>
                  <w:noWrap w:val="0"/>
                  <w:vAlign w:val="center"/>
                </w:tcPr>
                <w:p w14:paraId="5200347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14:paraId="3A05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pct"/>
                  <w:vMerge w:val="restart"/>
                  <w:tcBorders>
                    <w:top w:val="single" w:color="auto" w:sz="4" w:space="0"/>
                    <w:left w:val="single" w:color="auto" w:sz="4" w:space="0"/>
                    <w:right w:val="single" w:color="auto" w:sz="4" w:space="0"/>
                  </w:tcBorders>
                  <w:noWrap w:val="0"/>
                  <w:vAlign w:val="center"/>
                </w:tcPr>
                <w:p w14:paraId="2E68F0C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佳县矿产资源总体规划（2021-2025年）</w:t>
                  </w:r>
                </w:p>
              </w:tc>
              <w:tc>
                <w:tcPr>
                  <w:tcW w:w="2234" w:type="pct"/>
                  <w:tcBorders>
                    <w:top w:val="single" w:color="auto" w:sz="4" w:space="0"/>
                    <w:left w:val="single" w:color="auto" w:sz="4" w:space="0"/>
                    <w:bottom w:val="single" w:color="auto" w:sz="4" w:space="0"/>
                    <w:right w:val="single" w:color="auto" w:sz="4" w:space="0"/>
                  </w:tcBorders>
                  <w:noWrap w:val="0"/>
                  <w:vAlign w:val="center"/>
                </w:tcPr>
                <w:p w14:paraId="40E062CA">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资源勘查程度进一步提高。加强煤炭、天然气、岩盐矿产的勘查评价，增加资源储量，稳步提升资源保障水平。</w:t>
                  </w:r>
                </w:p>
              </w:tc>
              <w:tc>
                <w:tcPr>
                  <w:tcW w:w="1282" w:type="pct"/>
                  <w:tcBorders>
                    <w:top w:val="single" w:color="auto" w:sz="4" w:space="0"/>
                    <w:left w:val="single" w:color="auto" w:sz="4" w:space="0"/>
                    <w:bottom w:val="single" w:color="auto" w:sz="4" w:space="0"/>
                    <w:right w:val="single" w:color="auto" w:sz="4" w:space="0"/>
                  </w:tcBorders>
                  <w:noWrap w:val="0"/>
                  <w:vAlign w:val="center"/>
                </w:tcPr>
                <w:p w14:paraId="07109ACB">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本项目位于佳县金明寺镇，属于天然气评价井建设项目。</w:t>
                  </w:r>
                </w:p>
              </w:tc>
              <w:tc>
                <w:tcPr>
                  <w:tcW w:w="532" w:type="pct"/>
                  <w:tcBorders>
                    <w:top w:val="single" w:color="auto" w:sz="4" w:space="0"/>
                    <w:left w:val="single" w:color="auto" w:sz="4" w:space="0"/>
                    <w:bottom w:val="single" w:color="auto" w:sz="4" w:space="0"/>
                    <w:right w:val="single" w:color="auto" w:sz="4" w:space="0"/>
                  </w:tcBorders>
                  <w:noWrap w:val="0"/>
                  <w:vAlign w:val="center"/>
                </w:tcPr>
                <w:p w14:paraId="74DD0739">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14:paraId="740E8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pct"/>
                  <w:vMerge w:val="continue"/>
                  <w:tcBorders>
                    <w:left w:val="single" w:color="auto" w:sz="4" w:space="0"/>
                    <w:right w:val="single" w:color="auto" w:sz="4" w:space="0"/>
                  </w:tcBorders>
                  <w:noWrap w:val="0"/>
                  <w:vAlign w:val="center"/>
                </w:tcPr>
                <w:p w14:paraId="6B07163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p>
              </w:tc>
              <w:tc>
                <w:tcPr>
                  <w:tcW w:w="2234" w:type="pct"/>
                  <w:tcBorders>
                    <w:top w:val="single" w:color="auto" w:sz="4" w:space="0"/>
                    <w:left w:val="single" w:color="auto" w:sz="4" w:space="0"/>
                    <w:bottom w:val="single" w:color="auto" w:sz="4" w:space="0"/>
                    <w:right w:val="single" w:color="auto" w:sz="4" w:space="0"/>
                  </w:tcBorders>
                  <w:noWrap w:val="0"/>
                  <w:vAlign w:val="center"/>
                </w:tcPr>
                <w:p w14:paraId="089F4FF3">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全面落实黄河流域生态保护和陕北生态安全屏障保护的总体要求，坚持生态保护优先，严守国土空间“三条控制线”，提高准入门槛，坚持绿色勘查、绿色开发，把矿业绿色发展放到首位，促进资源开发与生态环境保护协调发展。</w:t>
                  </w:r>
                </w:p>
              </w:tc>
              <w:tc>
                <w:tcPr>
                  <w:tcW w:w="1282" w:type="pct"/>
                  <w:tcBorders>
                    <w:top w:val="single" w:color="auto" w:sz="4" w:space="0"/>
                    <w:left w:val="single" w:color="auto" w:sz="4" w:space="0"/>
                    <w:bottom w:val="single" w:color="auto" w:sz="4" w:space="0"/>
                    <w:right w:val="single" w:color="auto" w:sz="4" w:space="0"/>
                  </w:tcBorders>
                  <w:noWrap w:val="0"/>
                  <w:vAlign w:val="center"/>
                </w:tcPr>
                <w:p w14:paraId="1EA46F00">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根据榆林市投资项目选址“一张图”控制线检测报告，项目</w:t>
                  </w:r>
                  <w:r>
                    <w:rPr>
                      <w:rFonts w:hint="eastAsia" w:ascii="Times New Roman" w:hAnsi="Times New Roman"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个天然气评价井未占用生态保护红线、永久基本农田，未涉及城镇开发边界。</w:t>
                  </w:r>
                </w:p>
              </w:tc>
              <w:tc>
                <w:tcPr>
                  <w:tcW w:w="532" w:type="pct"/>
                  <w:tcBorders>
                    <w:top w:val="single" w:color="auto" w:sz="4" w:space="0"/>
                    <w:left w:val="single" w:color="auto" w:sz="4" w:space="0"/>
                    <w:bottom w:val="single" w:color="auto" w:sz="4" w:space="0"/>
                    <w:right w:val="single" w:color="auto" w:sz="4" w:space="0"/>
                  </w:tcBorders>
                  <w:noWrap w:val="0"/>
                  <w:vAlign w:val="center"/>
                </w:tcPr>
                <w:p w14:paraId="277ACD26">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14:paraId="20FD0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pct"/>
                  <w:vMerge w:val="continue"/>
                  <w:tcBorders>
                    <w:left w:val="single" w:color="auto" w:sz="4" w:space="0"/>
                    <w:bottom w:val="single" w:color="auto" w:sz="4" w:space="0"/>
                    <w:right w:val="single" w:color="auto" w:sz="4" w:space="0"/>
                  </w:tcBorders>
                  <w:noWrap w:val="0"/>
                  <w:vAlign w:val="center"/>
                </w:tcPr>
                <w:p w14:paraId="7B2E5A3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p>
              </w:tc>
              <w:tc>
                <w:tcPr>
                  <w:tcW w:w="2234" w:type="pct"/>
                  <w:tcBorders>
                    <w:top w:val="single" w:color="auto" w:sz="4" w:space="0"/>
                    <w:left w:val="single" w:color="auto" w:sz="4" w:space="0"/>
                    <w:bottom w:val="single" w:color="auto" w:sz="4" w:space="0"/>
                    <w:right w:val="single" w:color="auto" w:sz="4" w:space="0"/>
                  </w:tcBorders>
                  <w:noWrap w:val="0"/>
                  <w:vAlign w:val="center"/>
                </w:tcPr>
                <w:p w14:paraId="06332377">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环境准入：严格执行环境影响评价制度，在允许矿产开发的区域新建、扩建、改建的矿产资源开采项目，应进行环境影响评价，依法办理审批手续。产业政策准入门槛高于本规划的，以产业政策为准。</w:t>
                  </w:r>
                </w:p>
              </w:tc>
              <w:tc>
                <w:tcPr>
                  <w:tcW w:w="1282" w:type="pct"/>
                  <w:tcBorders>
                    <w:top w:val="single" w:color="auto" w:sz="4" w:space="0"/>
                    <w:left w:val="single" w:color="auto" w:sz="4" w:space="0"/>
                    <w:bottom w:val="single" w:color="auto" w:sz="4" w:space="0"/>
                    <w:right w:val="single" w:color="auto" w:sz="4" w:space="0"/>
                  </w:tcBorders>
                  <w:noWrap w:val="0"/>
                  <w:vAlign w:val="center"/>
                </w:tcPr>
                <w:p w14:paraId="0993A5CE">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长庆油田分公司天然气评价项目部已正式委托我公司开展环境影响评价工作，报告编制完成拟上报榆林市生态环境局佳县分局审批。</w:t>
                  </w:r>
                </w:p>
              </w:tc>
              <w:tc>
                <w:tcPr>
                  <w:tcW w:w="532" w:type="pct"/>
                  <w:tcBorders>
                    <w:top w:val="single" w:color="auto" w:sz="4" w:space="0"/>
                    <w:left w:val="single" w:color="auto" w:sz="4" w:space="0"/>
                    <w:bottom w:val="single" w:color="auto" w:sz="4" w:space="0"/>
                    <w:right w:val="single" w:color="auto" w:sz="4" w:space="0"/>
                  </w:tcBorders>
                  <w:noWrap w:val="0"/>
                  <w:vAlign w:val="center"/>
                </w:tcPr>
                <w:p w14:paraId="2335D158">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bl>
          <w:p w14:paraId="7BA871E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p>
        </w:tc>
      </w:tr>
      <w:tr w14:paraId="1AE9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Borders>
              <w:top w:val="single" w:color="auto" w:sz="4" w:space="0"/>
              <w:left w:val="single" w:color="auto" w:sz="4" w:space="0"/>
              <w:bottom w:val="single" w:color="auto" w:sz="4" w:space="0"/>
              <w:right w:val="single" w:color="auto" w:sz="4" w:space="0"/>
            </w:tcBorders>
            <w:noWrap w:val="0"/>
            <w:vAlign w:val="center"/>
          </w:tcPr>
          <w:p w14:paraId="7DCA0D2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其他符合性分析</w:t>
            </w:r>
          </w:p>
        </w:tc>
        <w:tc>
          <w:tcPr>
            <w:tcW w:w="8041" w:type="dxa"/>
            <w:gridSpan w:val="3"/>
            <w:tcBorders>
              <w:top w:val="single" w:color="auto" w:sz="4" w:space="0"/>
              <w:left w:val="single" w:color="auto" w:sz="4" w:space="0"/>
              <w:bottom w:val="single" w:color="auto" w:sz="4" w:space="0"/>
              <w:right w:val="single" w:color="auto" w:sz="4" w:space="0"/>
            </w:tcBorders>
            <w:noWrap w:val="0"/>
            <w:vAlign w:val="top"/>
          </w:tcPr>
          <w:p w14:paraId="68DF23A7">
            <w:pPr>
              <w:keepNext w:val="0"/>
              <w:keepLines w:val="0"/>
              <w:widowControl w:val="0"/>
              <w:suppressLineNumbers w:val="0"/>
              <w:spacing w:before="0" w:beforeAutospacing="0" w:after="0" w:afterAutospacing="0"/>
              <w:ind w:left="0"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1、产业政策符合性分析</w:t>
            </w:r>
          </w:p>
          <w:p w14:paraId="6133E15D">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属于天然气评价井建设项目，勘探层位涉及二叠系山西组山1，根据《产业结构调整指导目录》（2024年本），属于鼓励类中的“七、石油天然气-1、石油天然气开采：常规石油、天然气勘探与开采，页岩气、页岩油、致密油</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气</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、油砂、天然气水合物等非常规资源勘探开发”。因此，项目建设符合国家和地方产业政策。</w:t>
            </w:r>
            <w:r>
              <w:rPr>
                <w:rFonts w:hint="default" w:ascii="Times New Roman" w:hAnsi="Times New Roman" w:eastAsia="宋体" w:cs="Times New Roman"/>
                <w:color w:val="auto"/>
                <w:sz w:val="24"/>
                <w:szCs w:val="24"/>
                <w:highlight w:val="none"/>
                <w:lang w:val="en-US" w:eastAsia="zh-CN" w:bidi="ar"/>
              </w:rPr>
              <w:t>对照《市场准入负面清单（2025年版）》，本项目不属于禁止准入类，满足许可准入类“（二）采矿业”的准入要求。</w:t>
            </w:r>
          </w:p>
          <w:p w14:paraId="4E148F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根据《关于办理米75-3M等2座天然气井场手续的复函》</w:t>
            </w:r>
            <w:r>
              <w:rPr>
                <w:rFonts w:hint="eastAsia"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vertAlign w:val="baseline"/>
                <w:lang w:val="en-US" w:eastAsia="zh-CN"/>
              </w:rPr>
              <w:t>佳能办函[2026]1号</w:t>
            </w:r>
            <w:r>
              <w:rPr>
                <w:rFonts w:hint="eastAsia" w:ascii="Times New Roman" w:hAnsi="Times New Roman" w:eastAsia="宋体" w:cs="Times New Roman"/>
                <w:color w:val="auto"/>
                <w:sz w:val="24"/>
                <w:szCs w:val="24"/>
                <w:highlight w:val="none"/>
                <w:vertAlign w:val="baseline"/>
                <w:lang w:val="en-US" w:eastAsia="zh-CN"/>
              </w:rPr>
              <w:t>），长庆油田分公司天然气评价项目部在佳县</w:t>
            </w:r>
            <w:r>
              <w:rPr>
                <w:rFonts w:hint="default" w:ascii="Times New Roman" w:hAnsi="Times New Roman" w:eastAsia="宋体" w:cs="Times New Roman"/>
                <w:color w:val="auto"/>
                <w:sz w:val="24"/>
                <w:szCs w:val="24"/>
                <w:highlight w:val="none"/>
                <w:vertAlign w:val="baseline"/>
                <w:lang w:val="en-US" w:eastAsia="zh-CN"/>
              </w:rPr>
              <w:t>金明寺镇双碾沟村实施的米75-3M天然气井场经县政府2025年12月19日油气专题会审核，同意该项目准入。</w:t>
            </w:r>
          </w:p>
          <w:p w14:paraId="36523E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根据202</w:t>
            </w:r>
            <w:r>
              <w:rPr>
                <w:rFonts w:hint="eastAsia" w:ascii="Times New Roman" w:hAnsi="Times New Roman" w:eastAsia="宋体" w:cs="Times New Roman"/>
                <w:color w:val="auto"/>
                <w:sz w:val="24"/>
                <w:szCs w:val="24"/>
                <w:highlight w:val="none"/>
                <w:vertAlign w:val="baseline"/>
                <w:lang w:val="en-US" w:eastAsia="zh-CN"/>
              </w:rPr>
              <w:t>5</w:t>
            </w:r>
            <w:r>
              <w:rPr>
                <w:rFonts w:hint="default" w:ascii="Times New Roman" w:hAnsi="Times New Roman" w:eastAsia="宋体" w:cs="Times New Roman"/>
                <w:color w:val="auto"/>
                <w:sz w:val="24"/>
                <w:szCs w:val="24"/>
                <w:highlight w:val="none"/>
                <w:vertAlign w:val="baseline"/>
                <w:lang w:val="en-US" w:eastAsia="zh-CN"/>
              </w:rPr>
              <w:t>年</w:t>
            </w:r>
            <w:r>
              <w:rPr>
                <w:rFonts w:hint="eastAsia" w:ascii="Times New Roman" w:hAnsi="Times New Roman" w:eastAsia="宋体" w:cs="Times New Roman"/>
                <w:color w:val="auto"/>
                <w:sz w:val="24"/>
                <w:szCs w:val="24"/>
                <w:highlight w:val="none"/>
                <w:vertAlign w:val="baseline"/>
                <w:lang w:val="en-US" w:eastAsia="zh-CN"/>
              </w:rPr>
              <w:t>12</w:t>
            </w:r>
            <w:r>
              <w:rPr>
                <w:rFonts w:hint="default" w:ascii="Times New Roman" w:hAnsi="Times New Roman" w:eastAsia="宋体" w:cs="Times New Roman"/>
                <w:color w:val="auto"/>
                <w:sz w:val="24"/>
                <w:szCs w:val="24"/>
                <w:highlight w:val="none"/>
                <w:vertAlign w:val="baseline"/>
                <w:lang w:val="en-US" w:eastAsia="zh-CN"/>
              </w:rPr>
              <w:t>月</w:t>
            </w:r>
            <w:r>
              <w:rPr>
                <w:rFonts w:hint="eastAsia" w:ascii="Times New Roman" w:hAnsi="Times New Roman" w:eastAsia="宋体" w:cs="Times New Roman"/>
                <w:color w:val="auto"/>
                <w:sz w:val="24"/>
                <w:szCs w:val="24"/>
                <w:highlight w:val="none"/>
                <w:vertAlign w:val="baseline"/>
                <w:lang w:val="en-US" w:eastAsia="zh-CN"/>
              </w:rPr>
              <w:t>19</w:t>
            </w:r>
            <w:r>
              <w:rPr>
                <w:rFonts w:hint="default" w:ascii="Times New Roman" w:hAnsi="Times New Roman" w:eastAsia="宋体" w:cs="Times New Roman"/>
                <w:color w:val="auto"/>
                <w:sz w:val="24"/>
                <w:szCs w:val="24"/>
                <w:highlight w:val="none"/>
                <w:vertAlign w:val="baseline"/>
                <w:lang w:val="en-US" w:eastAsia="zh-CN"/>
              </w:rPr>
              <w:t>日</w:t>
            </w:r>
            <w:r>
              <w:rPr>
                <w:rFonts w:hint="eastAsia" w:ascii="Times New Roman" w:hAnsi="Times New Roman" w:eastAsia="宋体" w:cs="Times New Roman"/>
                <w:color w:val="auto"/>
                <w:sz w:val="24"/>
                <w:szCs w:val="24"/>
                <w:highlight w:val="none"/>
                <w:vertAlign w:val="baseline"/>
                <w:lang w:val="en-US" w:eastAsia="zh-CN"/>
              </w:rPr>
              <w:t>《佳县人民政府专项问题会议纪要第68次》中原则同意长庆油田天然气评价项目部申请的新建井场6座（米172-19、米172-18、米172-21、米75-3M、米41-47、米75-2），包含本项目米75-3M。</w:t>
            </w:r>
          </w:p>
          <w:p w14:paraId="2420AD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综上，本项目符合现行国家及地方产业政策要求。</w:t>
            </w:r>
          </w:p>
          <w:p w14:paraId="5A51DDD4">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2、项目与榆林市“多规合一”符合性分析</w:t>
            </w:r>
          </w:p>
          <w:p w14:paraId="56FD7461">
            <w:pPr>
              <w:pStyle w:val="4"/>
              <w:widowControl/>
              <w:adjustRightInd w:val="0"/>
              <w:snapToGrid w:val="0"/>
              <w:spacing w:line="360" w:lineRule="auto"/>
              <w:ind w:left="0" w:firstLine="480" w:firstLineChars="200"/>
              <w:jc w:val="both"/>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根据榆林市“多规合一”辅助决策服务窗口针对本项目出具的《榆林市投资项目选址“一张图”控制线检测报告》（编号：2026（51</w:t>
            </w:r>
            <w:r>
              <w:rPr>
                <w:rFonts w:hint="eastAsia" w:ascii="Times New Roman" w:hAnsi="Times New Roman" w:eastAsia="宋体" w:cs="Times New Roman"/>
                <w:bCs/>
                <w:color w:val="auto"/>
                <w:sz w:val="24"/>
                <w:szCs w:val="24"/>
                <w:highlight w:val="none"/>
                <w:lang w:val="en-US" w:eastAsia="zh-CN"/>
              </w:rPr>
              <w:t>9</w:t>
            </w:r>
            <w:r>
              <w:rPr>
                <w:rFonts w:hint="default" w:ascii="Times New Roman" w:hAnsi="Times New Roman" w:eastAsia="宋体" w:cs="Times New Roman"/>
                <w:bCs/>
                <w:color w:val="auto"/>
                <w:sz w:val="24"/>
                <w:szCs w:val="24"/>
                <w:highlight w:val="none"/>
                <w:lang w:val="en-US" w:eastAsia="zh-CN"/>
              </w:rPr>
              <w:t>）号，详见附件）可知，本项目所涉及的井场及生活区占地范围</w:t>
            </w:r>
            <w:r>
              <w:rPr>
                <w:rFonts w:hint="eastAsia" w:ascii="Times New Roman" w:hAnsi="Times New Roman" w:eastAsia="宋体" w:cs="Times New Roman"/>
                <w:bCs/>
                <w:color w:val="auto"/>
                <w:sz w:val="24"/>
                <w:szCs w:val="24"/>
                <w:highlight w:val="none"/>
                <w:lang w:val="en-US" w:eastAsia="zh-CN"/>
              </w:rPr>
              <w:t>均</w:t>
            </w:r>
            <w:r>
              <w:rPr>
                <w:rFonts w:hint="default" w:ascii="Times New Roman" w:hAnsi="Times New Roman" w:eastAsia="宋体" w:cs="Times New Roman"/>
                <w:bCs/>
                <w:color w:val="auto"/>
                <w:sz w:val="24"/>
                <w:szCs w:val="24"/>
                <w:highlight w:val="none"/>
                <w:lang w:val="en-US" w:eastAsia="zh-CN"/>
              </w:rPr>
              <w:t>不涉及生态保护红线、永久基本农田及文物保护线，项目相关检测符合性分析见表1-</w:t>
            </w:r>
            <w:r>
              <w:rPr>
                <w:rFonts w:hint="eastAsia" w:ascii="Times New Roman" w:hAnsi="Times New Roman" w:eastAsia="宋体" w:cs="Times New Roman"/>
                <w:bCs/>
                <w:color w:val="auto"/>
                <w:sz w:val="24"/>
                <w:szCs w:val="24"/>
                <w:highlight w:val="none"/>
                <w:lang w:val="en-US" w:eastAsia="zh-CN"/>
              </w:rPr>
              <w:t>3</w:t>
            </w:r>
            <w:r>
              <w:rPr>
                <w:rFonts w:hint="default" w:ascii="Times New Roman" w:hAnsi="Times New Roman" w:eastAsia="宋体" w:cs="Times New Roman"/>
                <w:bCs/>
                <w:color w:val="auto"/>
                <w:sz w:val="24"/>
                <w:szCs w:val="24"/>
                <w:highlight w:val="none"/>
                <w:lang w:eastAsia="zh-CN"/>
              </w:rPr>
              <w:t>。</w:t>
            </w:r>
          </w:p>
          <w:p w14:paraId="65AFDB90">
            <w:pPr>
              <w:pStyle w:val="7"/>
              <w:widowControl/>
              <w:jc w:val="center"/>
              <w:rPr>
                <w:rFonts w:hint="default" w:ascii="Times New Roman" w:hAnsi="Times New Roman" w:eastAsia="宋体" w:cs="Times New Roman"/>
                <w:b/>
                <w:bCs/>
                <w:color w:val="auto"/>
                <w:kern w:val="2"/>
                <w:sz w:val="24"/>
                <w:szCs w:val="24"/>
                <w:highlight w:val="none"/>
                <w:lang w:val="en-US" w:eastAsia="zh-CN"/>
              </w:rPr>
            </w:pPr>
            <w:r>
              <w:rPr>
                <w:rFonts w:hint="default" w:ascii="Times New Roman" w:hAnsi="Times New Roman" w:eastAsia="宋体" w:cs="Times New Roman"/>
                <w:b/>
                <w:bCs/>
                <w:color w:val="auto"/>
                <w:kern w:val="2"/>
                <w:sz w:val="24"/>
                <w:szCs w:val="24"/>
                <w:highlight w:val="none"/>
                <w:lang w:eastAsia="zh-CN"/>
              </w:rPr>
              <w:t>表</w:t>
            </w:r>
            <w:r>
              <w:rPr>
                <w:rFonts w:hint="default" w:ascii="Times New Roman" w:hAnsi="Times New Roman" w:eastAsia="宋体" w:cs="Times New Roman"/>
                <w:b/>
                <w:bCs/>
                <w:color w:val="auto"/>
                <w:kern w:val="2"/>
                <w:sz w:val="24"/>
                <w:szCs w:val="24"/>
                <w:highlight w:val="none"/>
                <w:lang w:val="en-US" w:eastAsia="zh-CN"/>
              </w:rPr>
              <w:t xml:space="preserve">1-4 </w:t>
            </w:r>
            <w:r>
              <w:rPr>
                <w:rFonts w:hint="default" w:ascii="Times New Roman" w:hAnsi="Times New Roman" w:eastAsia="宋体" w:cs="Times New Roman"/>
                <w:b/>
                <w:bCs/>
                <w:color w:val="auto"/>
                <w:kern w:val="2"/>
                <w:sz w:val="24"/>
                <w:szCs w:val="24"/>
                <w:highlight w:val="none"/>
                <w:lang w:eastAsia="zh-CN"/>
              </w:rPr>
              <w:t>本项目与榆林市</w:t>
            </w:r>
            <w:r>
              <w:rPr>
                <w:rFonts w:hint="default" w:ascii="Times New Roman" w:hAnsi="Times New Roman" w:eastAsia="宋体" w:cs="Times New Roman"/>
                <w:b/>
                <w:bCs/>
                <w:color w:val="auto"/>
                <w:kern w:val="2"/>
                <w:sz w:val="24"/>
                <w:szCs w:val="24"/>
                <w:highlight w:val="none"/>
                <w:lang w:val="en-US" w:eastAsia="zh-CN"/>
              </w:rPr>
              <w:t>“</w:t>
            </w:r>
            <w:r>
              <w:rPr>
                <w:rFonts w:hint="default" w:ascii="Times New Roman" w:hAnsi="Times New Roman" w:eastAsia="宋体" w:cs="Times New Roman"/>
                <w:b/>
                <w:bCs/>
                <w:color w:val="auto"/>
                <w:kern w:val="2"/>
                <w:sz w:val="24"/>
                <w:szCs w:val="24"/>
                <w:highlight w:val="none"/>
                <w:lang w:eastAsia="zh-CN"/>
              </w:rPr>
              <w:t>一张图</w:t>
            </w:r>
            <w:r>
              <w:rPr>
                <w:rFonts w:hint="default" w:ascii="Times New Roman" w:hAnsi="Times New Roman" w:eastAsia="宋体" w:cs="Times New Roman"/>
                <w:b/>
                <w:bCs/>
                <w:color w:val="auto"/>
                <w:kern w:val="2"/>
                <w:sz w:val="24"/>
                <w:szCs w:val="24"/>
                <w:highlight w:val="none"/>
                <w:lang w:val="en-US" w:eastAsia="zh-CN"/>
              </w:rPr>
              <w:t>”</w:t>
            </w:r>
            <w:r>
              <w:rPr>
                <w:rFonts w:hint="default" w:ascii="Times New Roman" w:hAnsi="Times New Roman" w:eastAsia="宋体" w:cs="Times New Roman"/>
                <w:b/>
                <w:bCs/>
                <w:color w:val="auto"/>
                <w:kern w:val="2"/>
                <w:sz w:val="24"/>
                <w:szCs w:val="24"/>
                <w:highlight w:val="none"/>
                <w:lang w:eastAsia="zh-CN"/>
              </w:rPr>
              <w:t>控制线检测报告符合性分析表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80"/>
              <w:gridCol w:w="916"/>
              <w:gridCol w:w="3121"/>
              <w:gridCol w:w="1590"/>
              <w:gridCol w:w="1294"/>
              <w:gridCol w:w="511"/>
            </w:tblGrid>
            <w:tr w14:paraId="1786D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43" w:type="pct"/>
                  <w:tcBorders>
                    <w:top w:val="single" w:color="auto" w:sz="4" w:space="0"/>
                    <w:left w:val="single" w:color="auto" w:sz="4" w:space="0"/>
                    <w:bottom w:val="single" w:color="auto" w:sz="4" w:space="0"/>
                    <w:right w:val="single" w:color="auto" w:sz="4" w:space="0"/>
                  </w:tcBorders>
                  <w:noWrap w:val="0"/>
                  <w:vAlign w:val="center"/>
                </w:tcPr>
                <w:p w14:paraId="0F60ED2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序号</w:t>
                  </w:r>
                </w:p>
              </w:tc>
              <w:tc>
                <w:tcPr>
                  <w:tcW w:w="586" w:type="pct"/>
                  <w:tcBorders>
                    <w:top w:val="single" w:color="auto" w:sz="4" w:space="0"/>
                    <w:left w:val="single" w:color="auto" w:sz="4" w:space="0"/>
                    <w:bottom w:val="single" w:color="auto" w:sz="4" w:space="0"/>
                    <w:right w:val="single" w:color="auto" w:sz="4" w:space="0"/>
                  </w:tcBorders>
                  <w:noWrap w:val="0"/>
                  <w:vAlign w:val="center"/>
                </w:tcPr>
                <w:p w14:paraId="162B92F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kern w:val="0"/>
                      <w:sz w:val="21"/>
                      <w:szCs w:val="21"/>
                      <w:highlight w:val="none"/>
                      <w:lang w:val="en-US" w:eastAsia="zh-CN" w:bidi="ar"/>
                    </w:rPr>
                  </w:pPr>
                  <w:r>
                    <w:rPr>
                      <w:rFonts w:hint="default" w:ascii="Times New Roman" w:hAnsi="Times New Roman" w:eastAsia="宋体" w:cs="Times New Roman"/>
                      <w:b/>
                      <w:bCs w:val="0"/>
                      <w:color w:val="auto"/>
                      <w:kern w:val="0"/>
                      <w:sz w:val="21"/>
                      <w:szCs w:val="21"/>
                      <w:highlight w:val="none"/>
                      <w:lang w:val="en-US" w:eastAsia="zh-CN" w:bidi="ar"/>
                    </w:rPr>
                    <w:t>井场</w:t>
                  </w:r>
                </w:p>
              </w:tc>
              <w:tc>
                <w:tcPr>
                  <w:tcW w:w="1996" w:type="pct"/>
                  <w:tcBorders>
                    <w:top w:val="single" w:color="auto" w:sz="4" w:space="0"/>
                    <w:left w:val="single" w:color="auto" w:sz="4" w:space="0"/>
                    <w:bottom w:val="single" w:color="auto" w:sz="4" w:space="0"/>
                    <w:right w:val="single" w:color="auto" w:sz="4" w:space="0"/>
                  </w:tcBorders>
                  <w:noWrap w:val="0"/>
                  <w:vAlign w:val="center"/>
                </w:tcPr>
                <w:p w14:paraId="2FC382F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bidi="ar"/>
                    </w:rPr>
                    <w:t>控制线名称</w:t>
                  </w:r>
                </w:p>
              </w:tc>
              <w:tc>
                <w:tcPr>
                  <w:tcW w:w="1017" w:type="pct"/>
                  <w:tcBorders>
                    <w:top w:val="single" w:color="auto" w:sz="4" w:space="0"/>
                    <w:left w:val="single" w:color="auto" w:sz="4" w:space="0"/>
                    <w:bottom w:val="single" w:color="auto" w:sz="4" w:space="0"/>
                    <w:right w:val="single" w:color="auto" w:sz="4" w:space="0"/>
                  </w:tcBorders>
                  <w:noWrap w:val="0"/>
                  <w:vAlign w:val="center"/>
                </w:tcPr>
                <w:p w14:paraId="01FC331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bidi="ar"/>
                    </w:rPr>
                    <w:t>本项目情况</w:t>
                  </w:r>
                </w:p>
              </w:tc>
              <w:tc>
                <w:tcPr>
                  <w:tcW w:w="828" w:type="pct"/>
                  <w:tcBorders>
                    <w:top w:val="single" w:color="auto" w:sz="4" w:space="0"/>
                    <w:left w:val="single" w:color="auto" w:sz="4" w:space="0"/>
                    <w:bottom w:val="single" w:color="auto" w:sz="4" w:space="0"/>
                    <w:right w:val="single" w:color="auto" w:sz="4" w:space="0"/>
                  </w:tcBorders>
                  <w:noWrap w:val="0"/>
                  <w:vAlign w:val="center"/>
                </w:tcPr>
                <w:p w14:paraId="53B3CEF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bidi="ar"/>
                    </w:rPr>
                    <w:t>采取措施</w:t>
                  </w:r>
                </w:p>
              </w:tc>
              <w:tc>
                <w:tcPr>
                  <w:tcW w:w="327" w:type="pct"/>
                  <w:tcBorders>
                    <w:top w:val="single" w:color="auto" w:sz="4" w:space="0"/>
                    <w:left w:val="single" w:color="auto" w:sz="4" w:space="0"/>
                    <w:bottom w:val="single" w:color="auto" w:sz="4" w:space="0"/>
                    <w:right w:val="single" w:color="auto" w:sz="4" w:space="0"/>
                  </w:tcBorders>
                  <w:noWrap w:val="0"/>
                  <w:vAlign w:val="center"/>
                </w:tcPr>
                <w:p w14:paraId="6C18629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bidi="ar"/>
                    </w:rPr>
                    <w:t>符合性</w:t>
                  </w:r>
                </w:p>
              </w:tc>
            </w:tr>
            <w:tr w14:paraId="6152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 w:hRule="atLeast"/>
                <w:jc w:val="center"/>
              </w:trPr>
              <w:tc>
                <w:tcPr>
                  <w:tcW w:w="243" w:type="pct"/>
                  <w:vMerge w:val="restart"/>
                  <w:tcBorders>
                    <w:top w:val="single" w:color="auto" w:sz="4" w:space="0"/>
                    <w:left w:val="single" w:color="auto" w:sz="4" w:space="0"/>
                    <w:right w:val="single" w:color="auto" w:sz="4" w:space="0"/>
                  </w:tcBorders>
                  <w:noWrap w:val="0"/>
                  <w:vAlign w:val="center"/>
                </w:tcPr>
                <w:p w14:paraId="2D26D7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586" w:type="pct"/>
                  <w:vMerge w:val="restart"/>
                  <w:tcBorders>
                    <w:top w:val="single" w:color="auto" w:sz="4" w:space="0"/>
                    <w:left w:val="single" w:color="auto" w:sz="4" w:space="0"/>
                    <w:right w:val="single" w:color="auto" w:sz="4" w:space="0"/>
                  </w:tcBorders>
                  <w:noWrap w:val="0"/>
                  <w:vAlign w:val="center"/>
                </w:tcPr>
                <w:p w14:paraId="04D3804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Cs/>
                      <w:color w:val="auto"/>
                      <w:sz w:val="21"/>
                      <w:szCs w:val="21"/>
                      <w:highlight w:val="none"/>
                      <w:vertAlign w:val="baseline"/>
                      <w:lang w:val="en-US" w:eastAsia="zh-CN"/>
                    </w:rPr>
                    <w:t>米75-3M评价井</w:t>
                  </w:r>
                </w:p>
              </w:tc>
              <w:tc>
                <w:tcPr>
                  <w:tcW w:w="1996" w:type="pct"/>
                  <w:tcBorders>
                    <w:top w:val="single" w:color="auto" w:sz="4" w:space="0"/>
                    <w:left w:val="single" w:color="auto" w:sz="4" w:space="0"/>
                    <w:right w:val="single" w:color="auto" w:sz="4" w:space="0"/>
                  </w:tcBorders>
                  <w:noWrap w:val="0"/>
                  <w:vAlign w:val="center"/>
                </w:tcPr>
                <w:p w14:paraId="4DC90CE2">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榆阳机场电磁环境保护区分析</w:t>
                  </w:r>
                </w:p>
              </w:tc>
              <w:tc>
                <w:tcPr>
                  <w:tcW w:w="1017" w:type="pct"/>
                  <w:tcBorders>
                    <w:top w:val="single" w:color="auto" w:sz="4" w:space="0"/>
                    <w:left w:val="single" w:color="auto" w:sz="4" w:space="0"/>
                    <w:right w:val="single" w:color="auto" w:sz="4" w:space="0"/>
                  </w:tcBorders>
                  <w:noWrap w:val="0"/>
                  <w:vAlign w:val="center"/>
                </w:tcPr>
                <w:p w14:paraId="12568684">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不涉及</w:t>
                  </w:r>
                </w:p>
              </w:tc>
              <w:tc>
                <w:tcPr>
                  <w:tcW w:w="828" w:type="pct"/>
                  <w:tcBorders>
                    <w:top w:val="single" w:color="auto" w:sz="4" w:space="0"/>
                    <w:left w:val="single" w:color="auto" w:sz="4" w:space="0"/>
                    <w:right w:val="single" w:color="auto" w:sz="4" w:space="0"/>
                  </w:tcBorders>
                  <w:noWrap w:val="0"/>
                  <w:vAlign w:val="center"/>
                </w:tcPr>
                <w:p w14:paraId="6F426925">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w:t>
                  </w:r>
                </w:p>
              </w:tc>
              <w:tc>
                <w:tcPr>
                  <w:tcW w:w="327" w:type="pct"/>
                  <w:tcBorders>
                    <w:top w:val="single" w:color="auto" w:sz="4" w:space="0"/>
                    <w:left w:val="single" w:color="auto" w:sz="4" w:space="0"/>
                    <w:bottom w:val="single" w:color="auto" w:sz="4" w:space="0"/>
                    <w:right w:val="single" w:color="auto" w:sz="4" w:space="0"/>
                  </w:tcBorders>
                  <w:noWrap w:val="0"/>
                  <w:vAlign w:val="center"/>
                </w:tcPr>
                <w:p w14:paraId="2E4A5E5C">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符合</w:t>
                  </w:r>
                </w:p>
              </w:tc>
            </w:tr>
            <w:tr w14:paraId="1FDB8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 w:hRule="atLeast"/>
                <w:jc w:val="center"/>
              </w:trPr>
              <w:tc>
                <w:tcPr>
                  <w:tcW w:w="243" w:type="pct"/>
                  <w:vMerge w:val="continue"/>
                  <w:tcBorders>
                    <w:left w:val="single" w:color="auto" w:sz="4" w:space="0"/>
                    <w:right w:val="single" w:color="auto" w:sz="4" w:space="0"/>
                  </w:tcBorders>
                  <w:noWrap w:val="0"/>
                  <w:vAlign w:val="center"/>
                </w:tcPr>
                <w:p w14:paraId="5DA3720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86" w:type="pct"/>
                  <w:vMerge w:val="continue"/>
                  <w:tcBorders>
                    <w:left w:val="single" w:color="auto" w:sz="4" w:space="0"/>
                    <w:right w:val="single" w:color="auto" w:sz="4" w:space="0"/>
                  </w:tcBorders>
                  <w:noWrap w:val="0"/>
                  <w:vAlign w:val="center"/>
                </w:tcPr>
                <w:p w14:paraId="26B9262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1996" w:type="pct"/>
                  <w:tcBorders>
                    <w:left w:val="single" w:color="auto" w:sz="4" w:space="0"/>
                    <w:right w:val="single" w:color="auto" w:sz="4" w:space="0"/>
                  </w:tcBorders>
                  <w:noWrap w:val="0"/>
                  <w:vAlign w:val="center"/>
                </w:tcPr>
                <w:p w14:paraId="45394711">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kern w:val="0"/>
                      <w:sz w:val="21"/>
                      <w:szCs w:val="21"/>
                      <w:highlight w:val="none"/>
                      <w:lang w:val="en-US" w:eastAsia="zh-CN" w:bidi="ar"/>
                    </w:rPr>
                    <w:t>榆阳机场净空区域分析</w:t>
                  </w:r>
                </w:p>
              </w:tc>
              <w:tc>
                <w:tcPr>
                  <w:tcW w:w="1017" w:type="pct"/>
                  <w:tcBorders>
                    <w:left w:val="single" w:color="auto" w:sz="4" w:space="0"/>
                    <w:right w:val="single" w:color="auto" w:sz="4" w:space="0"/>
                  </w:tcBorders>
                  <w:noWrap w:val="0"/>
                  <w:vAlign w:val="center"/>
                </w:tcPr>
                <w:p w14:paraId="341D334D">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kern w:val="0"/>
                      <w:sz w:val="21"/>
                      <w:szCs w:val="21"/>
                      <w:highlight w:val="none"/>
                      <w:lang w:val="en-US" w:eastAsia="zh-CN" w:bidi="ar"/>
                    </w:rPr>
                    <w:t>不涉及</w:t>
                  </w:r>
                </w:p>
              </w:tc>
              <w:tc>
                <w:tcPr>
                  <w:tcW w:w="828" w:type="pct"/>
                  <w:tcBorders>
                    <w:left w:val="single" w:color="auto" w:sz="4" w:space="0"/>
                    <w:right w:val="single" w:color="auto" w:sz="4" w:space="0"/>
                  </w:tcBorders>
                  <w:noWrap w:val="0"/>
                  <w:vAlign w:val="center"/>
                </w:tcPr>
                <w:p w14:paraId="119493C4">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kern w:val="0"/>
                      <w:sz w:val="21"/>
                      <w:szCs w:val="21"/>
                      <w:highlight w:val="none"/>
                      <w:lang w:val="en-US" w:eastAsia="zh-CN" w:bidi="ar"/>
                    </w:rPr>
                    <w:t>/</w:t>
                  </w:r>
                </w:p>
              </w:tc>
              <w:tc>
                <w:tcPr>
                  <w:tcW w:w="327" w:type="pct"/>
                  <w:tcBorders>
                    <w:top w:val="single" w:color="auto" w:sz="4" w:space="0"/>
                    <w:left w:val="single" w:color="auto" w:sz="4" w:space="0"/>
                    <w:bottom w:val="single" w:color="auto" w:sz="4" w:space="0"/>
                    <w:right w:val="single" w:color="auto" w:sz="4" w:space="0"/>
                  </w:tcBorders>
                  <w:noWrap w:val="0"/>
                  <w:vAlign w:val="center"/>
                </w:tcPr>
                <w:p w14:paraId="12F51291">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符合</w:t>
                  </w:r>
                </w:p>
              </w:tc>
            </w:tr>
            <w:tr w14:paraId="63663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 w:hRule="atLeast"/>
                <w:jc w:val="center"/>
              </w:trPr>
              <w:tc>
                <w:tcPr>
                  <w:tcW w:w="243" w:type="pct"/>
                  <w:vMerge w:val="continue"/>
                  <w:tcBorders>
                    <w:left w:val="single" w:color="auto" w:sz="4" w:space="0"/>
                    <w:right w:val="single" w:color="auto" w:sz="4" w:space="0"/>
                  </w:tcBorders>
                  <w:noWrap w:val="0"/>
                  <w:vAlign w:val="center"/>
                </w:tcPr>
                <w:p w14:paraId="4E296EA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0"/>
                      <w:sz w:val="21"/>
                      <w:szCs w:val="21"/>
                      <w:highlight w:val="none"/>
                      <w:lang w:val="en-US" w:eastAsia="zh-CN" w:bidi="ar"/>
                    </w:rPr>
                  </w:pPr>
                </w:p>
              </w:tc>
              <w:tc>
                <w:tcPr>
                  <w:tcW w:w="586" w:type="pct"/>
                  <w:vMerge w:val="continue"/>
                  <w:tcBorders>
                    <w:left w:val="single" w:color="auto" w:sz="4" w:space="0"/>
                    <w:right w:val="single" w:color="auto" w:sz="4" w:space="0"/>
                  </w:tcBorders>
                  <w:noWrap w:val="0"/>
                  <w:vAlign w:val="center"/>
                </w:tcPr>
                <w:p w14:paraId="4DAFF73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0"/>
                      <w:sz w:val="21"/>
                      <w:szCs w:val="21"/>
                      <w:highlight w:val="none"/>
                      <w:lang w:val="en-US" w:eastAsia="zh-CN" w:bidi="ar"/>
                    </w:rPr>
                  </w:pPr>
                </w:p>
              </w:tc>
              <w:tc>
                <w:tcPr>
                  <w:tcW w:w="1996" w:type="pct"/>
                  <w:tcBorders>
                    <w:left w:val="single" w:color="auto" w:sz="4" w:space="0"/>
                    <w:right w:val="single" w:color="auto" w:sz="4" w:space="0"/>
                  </w:tcBorders>
                  <w:noWrap w:val="0"/>
                  <w:vAlign w:val="center"/>
                </w:tcPr>
                <w:p w14:paraId="7A4291C3">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矿业权现状2023分析</w:t>
                  </w:r>
                </w:p>
              </w:tc>
              <w:tc>
                <w:tcPr>
                  <w:tcW w:w="1017" w:type="pct"/>
                  <w:tcBorders>
                    <w:left w:val="single" w:color="auto" w:sz="4" w:space="0"/>
                    <w:right w:val="single" w:color="auto" w:sz="4" w:space="0"/>
                  </w:tcBorders>
                  <w:noWrap w:val="0"/>
                  <w:vAlign w:val="center"/>
                </w:tcPr>
                <w:p w14:paraId="0B282295">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不涉及</w:t>
                  </w:r>
                </w:p>
              </w:tc>
              <w:tc>
                <w:tcPr>
                  <w:tcW w:w="828" w:type="pct"/>
                  <w:tcBorders>
                    <w:left w:val="single" w:color="auto" w:sz="4" w:space="0"/>
                    <w:right w:val="single" w:color="auto" w:sz="4" w:space="0"/>
                  </w:tcBorders>
                  <w:noWrap w:val="0"/>
                  <w:vAlign w:val="center"/>
                </w:tcPr>
                <w:p w14:paraId="276E7173">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w:t>
                  </w:r>
                </w:p>
              </w:tc>
              <w:tc>
                <w:tcPr>
                  <w:tcW w:w="327" w:type="pct"/>
                  <w:tcBorders>
                    <w:top w:val="single" w:color="auto" w:sz="4" w:space="0"/>
                    <w:left w:val="single" w:color="auto" w:sz="4" w:space="0"/>
                    <w:bottom w:val="single" w:color="auto" w:sz="4" w:space="0"/>
                    <w:right w:val="single" w:color="auto" w:sz="4" w:space="0"/>
                  </w:tcBorders>
                  <w:noWrap w:val="0"/>
                  <w:vAlign w:val="center"/>
                </w:tcPr>
                <w:p w14:paraId="3A5B19E8">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符合</w:t>
                  </w:r>
                </w:p>
              </w:tc>
            </w:tr>
            <w:tr w14:paraId="5BB9E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 w:hRule="atLeast"/>
                <w:jc w:val="center"/>
              </w:trPr>
              <w:tc>
                <w:tcPr>
                  <w:tcW w:w="243" w:type="pct"/>
                  <w:vMerge w:val="continue"/>
                  <w:tcBorders>
                    <w:left w:val="single" w:color="auto" w:sz="4" w:space="0"/>
                    <w:right w:val="single" w:color="auto" w:sz="4" w:space="0"/>
                  </w:tcBorders>
                  <w:noWrap w:val="0"/>
                  <w:vAlign w:val="center"/>
                </w:tcPr>
                <w:p w14:paraId="44BE558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0"/>
                      <w:sz w:val="21"/>
                      <w:szCs w:val="21"/>
                      <w:highlight w:val="none"/>
                      <w:lang w:val="en-US" w:eastAsia="zh-CN" w:bidi="ar"/>
                    </w:rPr>
                  </w:pPr>
                </w:p>
              </w:tc>
              <w:tc>
                <w:tcPr>
                  <w:tcW w:w="586" w:type="pct"/>
                  <w:vMerge w:val="continue"/>
                  <w:tcBorders>
                    <w:left w:val="single" w:color="auto" w:sz="4" w:space="0"/>
                    <w:right w:val="single" w:color="auto" w:sz="4" w:space="0"/>
                  </w:tcBorders>
                  <w:noWrap w:val="0"/>
                  <w:vAlign w:val="center"/>
                </w:tcPr>
                <w:p w14:paraId="3667538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0"/>
                      <w:sz w:val="21"/>
                      <w:szCs w:val="21"/>
                      <w:highlight w:val="none"/>
                      <w:lang w:val="en-US" w:eastAsia="zh-CN" w:bidi="ar"/>
                    </w:rPr>
                  </w:pPr>
                </w:p>
              </w:tc>
              <w:tc>
                <w:tcPr>
                  <w:tcW w:w="1996" w:type="pct"/>
                  <w:tcBorders>
                    <w:left w:val="single" w:color="auto" w:sz="4" w:space="0"/>
                    <w:right w:val="single" w:color="auto" w:sz="4" w:space="0"/>
                  </w:tcBorders>
                  <w:noWrap w:val="0"/>
                  <w:vAlign w:val="center"/>
                </w:tcPr>
                <w:p w14:paraId="3860A7FD">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长城文物保护线分析</w:t>
                  </w:r>
                </w:p>
              </w:tc>
              <w:tc>
                <w:tcPr>
                  <w:tcW w:w="1017" w:type="pct"/>
                  <w:tcBorders>
                    <w:left w:val="single" w:color="auto" w:sz="4" w:space="0"/>
                    <w:right w:val="single" w:color="auto" w:sz="4" w:space="0"/>
                  </w:tcBorders>
                  <w:noWrap w:val="0"/>
                  <w:vAlign w:val="center"/>
                </w:tcPr>
                <w:p w14:paraId="0216C423">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不涉及</w:t>
                  </w:r>
                </w:p>
              </w:tc>
              <w:tc>
                <w:tcPr>
                  <w:tcW w:w="828" w:type="pct"/>
                  <w:tcBorders>
                    <w:left w:val="single" w:color="auto" w:sz="4" w:space="0"/>
                    <w:right w:val="single" w:color="auto" w:sz="4" w:space="0"/>
                  </w:tcBorders>
                  <w:noWrap w:val="0"/>
                  <w:vAlign w:val="center"/>
                </w:tcPr>
                <w:p w14:paraId="5DDC2705">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w:t>
                  </w:r>
                </w:p>
              </w:tc>
              <w:tc>
                <w:tcPr>
                  <w:tcW w:w="327" w:type="pct"/>
                  <w:tcBorders>
                    <w:top w:val="single" w:color="auto" w:sz="4" w:space="0"/>
                    <w:left w:val="single" w:color="auto" w:sz="4" w:space="0"/>
                    <w:bottom w:val="single" w:color="auto" w:sz="4" w:space="0"/>
                    <w:right w:val="single" w:color="auto" w:sz="4" w:space="0"/>
                  </w:tcBorders>
                  <w:noWrap w:val="0"/>
                  <w:vAlign w:val="center"/>
                </w:tcPr>
                <w:p w14:paraId="583E88BE">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符合</w:t>
                  </w:r>
                </w:p>
              </w:tc>
            </w:tr>
            <w:tr w14:paraId="4C7D8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6" w:hRule="atLeast"/>
                <w:jc w:val="center"/>
              </w:trPr>
              <w:tc>
                <w:tcPr>
                  <w:tcW w:w="243" w:type="pct"/>
                  <w:vMerge w:val="continue"/>
                  <w:tcBorders>
                    <w:left w:val="single" w:color="auto" w:sz="4" w:space="0"/>
                    <w:right w:val="single" w:color="auto" w:sz="4" w:space="0"/>
                  </w:tcBorders>
                  <w:noWrap w:val="0"/>
                  <w:vAlign w:val="center"/>
                </w:tcPr>
                <w:p w14:paraId="5C512E2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0"/>
                      <w:sz w:val="21"/>
                      <w:szCs w:val="21"/>
                      <w:highlight w:val="none"/>
                      <w:lang w:val="en-US" w:eastAsia="zh-CN" w:bidi="ar"/>
                    </w:rPr>
                  </w:pPr>
                </w:p>
              </w:tc>
              <w:tc>
                <w:tcPr>
                  <w:tcW w:w="586" w:type="pct"/>
                  <w:vMerge w:val="continue"/>
                  <w:tcBorders>
                    <w:left w:val="single" w:color="auto" w:sz="4" w:space="0"/>
                    <w:right w:val="single" w:color="auto" w:sz="4" w:space="0"/>
                  </w:tcBorders>
                  <w:noWrap w:val="0"/>
                  <w:vAlign w:val="center"/>
                </w:tcPr>
                <w:p w14:paraId="1D1B48C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0"/>
                      <w:sz w:val="21"/>
                      <w:szCs w:val="21"/>
                      <w:highlight w:val="none"/>
                      <w:lang w:val="en-US" w:eastAsia="zh-CN" w:bidi="ar"/>
                    </w:rPr>
                  </w:pPr>
                </w:p>
              </w:tc>
              <w:tc>
                <w:tcPr>
                  <w:tcW w:w="1996" w:type="pct"/>
                  <w:tcBorders>
                    <w:left w:val="single" w:color="auto" w:sz="4" w:space="0"/>
                    <w:right w:val="single" w:color="auto" w:sz="4" w:space="0"/>
                  </w:tcBorders>
                  <w:noWrap w:val="0"/>
                  <w:vAlign w:val="center"/>
                </w:tcPr>
                <w:p w14:paraId="7226AC52">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生态保护红线分析</w:t>
                  </w:r>
                </w:p>
              </w:tc>
              <w:tc>
                <w:tcPr>
                  <w:tcW w:w="1017" w:type="pct"/>
                  <w:tcBorders>
                    <w:left w:val="single" w:color="auto" w:sz="4" w:space="0"/>
                    <w:right w:val="single" w:color="auto" w:sz="4" w:space="0"/>
                  </w:tcBorders>
                  <w:noWrap w:val="0"/>
                  <w:vAlign w:val="center"/>
                </w:tcPr>
                <w:p w14:paraId="644CFAD5">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不涉及</w:t>
                  </w:r>
                </w:p>
              </w:tc>
              <w:tc>
                <w:tcPr>
                  <w:tcW w:w="828" w:type="pct"/>
                  <w:tcBorders>
                    <w:left w:val="single" w:color="auto" w:sz="4" w:space="0"/>
                    <w:right w:val="single" w:color="auto" w:sz="4" w:space="0"/>
                  </w:tcBorders>
                  <w:noWrap w:val="0"/>
                  <w:vAlign w:val="center"/>
                </w:tcPr>
                <w:p w14:paraId="54E29323">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w:t>
                  </w:r>
                </w:p>
              </w:tc>
              <w:tc>
                <w:tcPr>
                  <w:tcW w:w="327" w:type="pct"/>
                  <w:tcBorders>
                    <w:top w:val="single" w:color="auto" w:sz="4" w:space="0"/>
                    <w:left w:val="single" w:color="auto" w:sz="4" w:space="0"/>
                    <w:bottom w:val="single" w:color="auto" w:sz="4" w:space="0"/>
                    <w:right w:val="single" w:color="auto" w:sz="4" w:space="0"/>
                  </w:tcBorders>
                  <w:noWrap w:val="0"/>
                  <w:vAlign w:val="center"/>
                </w:tcPr>
                <w:p w14:paraId="6E4AF06D">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符合</w:t>
                  </w:r>
                </w:p>
              </w:tc>
            </w:tr>
            <w:tr w14:paraId="3A4F9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1" w:hRule="atLeast"/>
                <w:jc w:val="center"/>
              </w:trPr>
              <w:tc>
                <w:tcPr>
                  <w:tcW w:w="243" w:type="pct"/>
                  <w:vMerge w:val="continue"/>
                  <w:tcBorders>
                    <w:left w:val="single" w:color="auto" w:sz="4" w:space="0"/>
                    <w:right w:val="single" w:color="auto" w:sz="4" w:space="0"/>
                  </w:tcBorders>
                  <w:noWrap w:val="0"/>
                  <w:vAlign w:val="center"/>
                </w:tcPr>
                <w:p w14:paraId="1772A91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0"/>
                      <w:sz w:val="21"/>
                      <w:szCs w:val="21"/>
                      <w:highlight w:val="none"/>
                      <w:lang w:val="en-US" w:eastAsia="zh-CN" w:bidi="ar"/>
                    </w:rPr>
                  </w:pPr>
                </w:p>
              </w:tc>
              <w:tc>
                <w:tcPr>
                  <w:tcW w:w="586" w:type="pct"/>
                  <w:vMerge w:val="continue"/>
                  <w:tcBorders>
                    <w:left w:val="single" w:color="auto" w:sz="4" w:space="0"/>
                    <w:right w:val="single" w:color="auto" w:sz="4" w:space="0"/>
                  </w:tcBorders>
                  <w:noWrap w:val="0"/>
                  <w:vAlign w:val="center"/>
                </w:tcPr>
                <w:p w14:paraId="7010E48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0"/>
                      <w:sz w:val="21"/>
                      <w:szCs w:val="21"/>
                      <w:highlight w:val="none"/>
                      <w:lang w:val="en-US" w:eastAsia="zh-CN" w:bidi="ar"/>
                    </w:rPr>
                  </w:pPr>
                </w:p>
              </w:tc>
              <w:tc>
                <w:tcPr>
                  <w:tcW w:w="1996" w:type="pct"/>
                  <w:tcBorders>
                    <w:left w:val="single" w:color="auto" w:sz="4" w:space="0"/>
                    <w:right w:val="single" w:color="auto" w:sz="4" w:space="0"/>
                  </w:tcBorders>
                  <w:noWrap w:val="0"/>
                  <w:vAlign w:val="center"/>
                </w:tcPr>
                <w:p w14:paraId="173FB1C1">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永久基本农田分析</w:t>
                  </w:r>
                </w:p>
              </w:tc>
              <w:tc>
                <w:tcPr>
                  <w:tcW w:w="1017" w:type="pct"/>
                  <w:tcBorders>
                    <w:left w:val="single" w:color="auto" w:sz="4" w:space="0"/>
                    <w:right w:val="single" w:color="auto" w:sz="4" w:space="0"/>
                  </w:tcBorders>
                  <w:noWrap w:val="0"/>
                  <w:vAlign w:val="center"/>
                </w:tcPr>
                <w:p w14:paraId="2AC99EC3">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不涉及</w:t>
                  </w:r>
                </w:p>
              </w:tc>
              <w:tc>
                <w:tcPr>
                  <w:tcW w:w="828" w:type="pct"/>
                  <w:tcBorders>
                    <w:left w:val="single" w:color="auto" w:sz="4" w:space="0"/>
                    <w:right w:val="single" w:color="auto" w:sz="4" w:space="0"/>
                  </w:tcBorders>
                  <w:noWrap w:val="0"/>
                  <w:vAlign w:val="center"/>
                </w:tcPr>
                <w:p w14:paraId="727481D3">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w:t>
                  </w:r>
                </w:p>
              </w:tc>
              <w:tc>
                <w:tcPr>
                  <w:tcW w:w="327" w:type="pct"/>
                  <w:tcBorders>
                    <w:top w:val="single" w:color="auto" w:sz="4" w:space="0"/>
                    <w:left w:val="single" w:color="auto" w:sz="4" w:space="0"/>
                    <w:bottom w:val="single" w:color="auto" w:sz="4" w:space="0"/>
                    <w:right w:val="single" w:color="auto" w:sz="4" w:space="0"/>
                  </w:tcBorders>
                  <w:noWrap w:val="0"/>
                  <w:vAlign w:val="center"/>
                </w:tcPr>
                <w:p w14:paraId="0EE4F3F2">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符合</w:t>
                  </w:r>
                </w:p>
              </w:tc>
            </w:tr>
            <w:tr w14:paraId="008E1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43" w:type="pct"/>
                  <w:vMerge w:val="continue"/>
                  <w:tcBorders>
                    <w:left w:val="single" w:color="auto" w:sz="4" w:space="0"/>
                    <w:right w:val="single" w:color="auto" w:sz="4" w:space="0"/>
                  </w:tcBorders>
                  <w:noWrap w:val="0"/>
                  <w:vAlign w:val="center"/>
                </w:tcPr>
                <w:p w14:paraId="1A3FF65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0"/>
                      <w:sz w:val="21"/>
                      <w:szCs w:val="21"/>
                      <w:highlight w:val="none"/>
                      <w:lang w:val="en-US" w:eastAsia="zh-CN" w:bidi="ar"/>
                    </w:rPr>
                  </w:pPr>
                </w:p>
              </w:tc>
              <w:tc>
                <w:tcPr>
                  <w:tcW w:w="586" w:type="pct"/>
                  <w:vMerge w:val="continue"/>
                  <w:tcBorders>
                    <w:left w:val="single" w:color="auto" w:sz="4" w:space="0"/>
                    <w:right w:val="single" w:color="auto" w:sz="4" w:space="0"/>
                  </w:tcBorders>
                  <w:noWrap w:val="0"/>
                  <w:vAlign w:val="center"/>
                </w:tcPr>
                <w:p w14:paraId="7C54161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0"/>
                      <w:sz w:val="21"/>
                      <w:szCs w:val="21"/>
                      <w:highlight w:val="none"/>
                      <w:lang w:val="en-US" w:eastAsia="zh-CN" w:bidi="ar"/>
                    </w:rPr>
                  </w:pPr>
                </w:p>
              </w:tc>
              <w:tc>
                <w:tcPr>
                  <w:tcW w:w="1996" w:type="pct"/>
                  <w:tcBorders>
                    <w:left w:val="single" w:color="auto" w:sz="4" w:space="0"/>
                    <w:right w:val="single" w:color="auto" w:sz="4" w:space="0"/>
                  </w:tcBorders>
                  <w:noWrap w:val="0"/>
                  <w:vAlign w:val="center"/>
                </w:tcPr>
                <w:p w14:paraId="29E40D98">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土地利用现状2023</w:t>
                  </w:r>
                  <w:r>
                    <w:rPr>
                      <w:rFonts w:hint="eastAsia" w:ascii="Times New Roman" w:hAnsi="Times New Roman" w:cs="Times New Roman"/>
                      <w:bCs/>
                      <w:color w:val="auto"/>
                      <w:kern w:val="0"/>
                      <w:sz w:val="21"/>
                      <w:szCs w:val="21"/>
                      <w:highlight w:val="none"/>
                      <w:lang w:val="en-US" w:eastAsia="zh-CN" w:bidi="ar"/>
                    </w:rPr>
                    <w:t>（</w:t>
                  </w:r>
                  <w:r>
                    <w:rPr>
                      <w:rFonts w:hint="default" w:ascii="Times New Roman" w:hAnsi="Times New Roman" w:eastAsia="宋体" w:cs="Times New Roman"/>
                      <w:bCs/>
                      <w:color w:val="auto"/>
                      <w:kern w:val="0"/>
                      <w:sz w:val="21"/>
                      <w:szCs w:val="21"/>
                      <w:highlight w:val="none"/>
                      <w:lang w:val="en-US" w:eastAsia="zh-CN" w:bidi="ar"/>
                    </w:rPr>
                    <w:t>三调</w:t>
                  </w:r>
                  <w:r>
                    <w:rPr>
                      <w:rFonts w:hint="eastAsia" w:ascii="Times New Roman" w:hAnsi="Times New Roman" w:cs="Times New Roman"/>
                      <w:bCs/>
                      <w:color w:val="auto"/>
                      <w:kern w:val="0"/>
                      <w:sz w:val="21"/>
                      <w:szCs w:val="21"/>
                      <w:highlight w:val="none"/>
                      <w:lang w:val="en-US" w:eastAsia="zh-CN" w:bidi="ar"/>
                    </w:rPr>
                    <w:t>）</w:t>
                  </w:r>
                  <w:r>
                    <w:rPr>
                      <w:rFonts w:hint="default" w:ascii="Times New Roman" w:hAnsi="Times New Roman" w:eastAsia="宋体" w:cs="Times New Roman"/>
                      <w:bCs/>
                      <w:color w:val="auto"/>
                      <w:kern w:val="0"/>
                      <w:sz w:val="21"/>
                      <w:szCs w:val="21"/>
                      <w:highlight w:val="none"/>
                      <w:lang w:val="en-US" w:eastAsia="zh-CN" w:bidi="ar"/>
                    </w:rPr>
                    <w:t>分析</w:t>
                  </w:r>
                </w:p>
              </w:tc>
              <w:tc>
                <w:tcPr>
                  <w:tcW w:w="1017" w:type="pct"/>
                  <w:tcBorders>
                    <w:left w:val="single" w:color="auto" w:sz="4" w:space="0"/>
                    <w:right w:val="single" w:color="auto" w:sz="4" w:space="0"/>
                  </w:tcBorders>
                  <w:noWrap w:val="0"/>
                  <w:vAlign w:val="center"/>
                </w:tcPr>
                <w:p w14:paraId="1D3FF0E7">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其中占用草地1.0212公顷、占用种植园用地</w:t>
                  </w:r>
                </w:p>
                <w:p w14:paraId="19B1B838">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0.6347公顷。</w:t>
                  </w:r>
                </w:p>
              </w:tc>
              <w:tc>
                <w:tcPr>
                  <w:tcW w:w="828" w:type="pct"/>
                  <w:tcBorders>
                    <w:left w:val="single" w:color="auto" w:sz="4" w:space="0"/>
                    <w:right w:val="single" w:color="auto" w:sz="4" w:space="0"/>
                  </w:tcBorders>
                  <w:noWrap w:val="0"/>
                  <w:vAlign w:val="center"/>
                </w:tcPr>
                <w:p w14:paraId="7F7D97F0">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
                    </w:rPr>
                  </w:pPr>
                  <w:r>
                    <w:rPr>
                      <w:rFonts w:hint="eastAsia" w:ascii="Times New Roman" w:hAnsi="Times New Roman" w:cs="Times New Roman"/>
                      <w:bCs/>
                      <w:color w:val="auto"/>
                      <w:kern w:val="0"/>
                      <w:sz w:val="21"/>
                      <w:szCs w:val="21"/>
                      <w:highlight w:val="none"/>
                      <w:lang w:val="en-US" w:eastAsia="zh-CN" w:bidi="ar"/>
                    </w:rPr>
                    <w:t>开工建设前</w:t>
                  </w:r>
                  <w:r>
                    <w:rPr>
                      <w:rFonts w:hint="default" w:ascii="Times New Roman" w:hAnsi="Times New Roman" w:eastAsia="宋体" w:cs="Times New Roman"/>
                      <w:bCs/>
                      <w:color w:val="auto"/>
                      <w:kern w:val="0"/>
                      <w:sz w:val="21"/>
                      <w:szCs w:val="21"/>
                      <w:highlight w:val="none"/>
                      <w:lang w:val="en-US" w:eastAsia="zh-CN" w:bidi="ar"/>
                    </w:rPr>
                    <w:t>办理相关用地手续</w:t>
                  </w:r>
                </w:p>
              </w:tc>
              <w:tc>
                <w:tcPr>
                  <w:tcW w:w="327" w:type="pct"/>
                  <w:tcBorders>
                    <w:top w:val="single" w:color="auto" w:sz="4" w:space="0"/>
                    <w:left w:val="single" w:color="auto" w:sz="4" w:space="0"/>
                    <w:bottom w:val="single" w:color="auto" w:sz="4" w:space="0"/>
                    <w:right w:val="single" w:color="auto" w:sz="4" w:space="0"/>
                  </w:tcBorders>
                  <w:noWrap w:val="0"/>
                  <w:vAlign w:val="center"/>
                </w:tcPr>
                <w:p w14:paraId="10638AB0">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符合</w:t>
                  </w:r>
                </w:p>
              </w:tc>
            </w:tr>
          </w:tbl>
          <w:p w14:paraId="4D820A73">
            <w:pPr>
              <w:pStyle w:val="20"/>
              <w:widowControl/>
              <w:spacing w:before="79" w:beforeLines="25" w:beforeAutospacing="0"/>
              <w:ind w:left="0" w:firstLine="42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由上表可知，</w:t>
            </w:r>
            <w:r>
              <w:rPr>
                <w:rFonts w:hint="default" w:ascii="Times New Roman" w:hAnsi="Times New Roman" w:eastAsia="宋体" w:cs="Times New Roman"/>
                <w:color w:val="auto"/>
                <w:sz w:val="24"/>
                <w:szCs w:val="24"/>
                <w:highlight w:val="none"/>
                <w:lang w:val="en-US" w:eastAsia="zh-CN"/>
              </w:rPr>
              <w:t>本项目所在井场、生活区原占地类型主要为</w:t>
            </w:r>
            <w:r>
              <w:rPr>
                <w:rFonts w:hint="default" w:ascii="Times New Roman" w:hAnsi="Times New Roman" w:eastAsia="宋体" w:cs="Times New Roman"/>
                <w:color w:val="auto"/>
                <w:sz w:val="24"/>
                <w:szCs w:val="24"/>
                <w:highlight w:val="none"/>
                <w:lang w:eastAsia="zh-CN"/>
              </w:rPr>
              <w:t>草地、</w:t>
            </w:r>
            <w:r>
              <w:rPr>
                <w:rFonts w:hint="eastAsia" w:ascii="Times New Roman" w:hAnsi="Times New Roman" w:eastAsia="宋体" w:cs="Times New Roman"/>
                <w:color w:val="auto"/>
                <w:sz w:val="24"/>
                <w:szCs w:val="24"/>
                <w:highlight w:val="none"/>
                <w:lang w:val="en-US" w:eastAsia="zh-CN"/>
              </w:rPr>
              <w:t>种植园</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cs="Times New Roman"/>
                <w:color w:val="auto"/>
                <w:highlight w:val="none"/>
                <w:lang w:val="en-US" w:eastAsia="zh-CN"/>
              </w:rPr>
              <w:t>开工建设前需办理临时用地手续</w:t>
            </w:r>
            <w:r>
              <w:rPr>
                <w:rFonts w:hint="default" w:ascii="Times New Roman" w:hAnsi="Times New Roman" w:cs="Times New Roman"/>
                <w:color w:val="auto"/>
                <w:highlight w:val="none"/>
                <w:lang w:val="en-US" w:eastAsia="zh-CN"/>
              </w:rPr>
              <w:t>，勘探后如有开采价值依法办理自然资源规划部门相关手续</w:t>
            </w:r>
            <w:r>
              <w:rPr>
                <w:rFonts w:hint="default" w:ascii="Times New Roman" w:hAnsi="Times New Roman" w:eastAsia="宋体" w:cs="Times New Roman"/>
                <w:color w:val="auto"/>
                <w:sz w:val="24"/>
                <w:szCs w:val="24"/>
                <w:highlight w:val="none"/>
                <w:lang w:val="en-US" w:eastAsia="zh-CN"/>
              </w:rPr>
              <w:t>。</w:t>
            </w:r>
          </w:p>
          <w:p w14:paraId="25077B3B">
            <w:pPr>
              <w:pStyle w:val="20"/>
              <w:widowControl/>
              <w:ind w:left="0" w:firstLine="42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综上所述，项目建设基本符合榆林市投资项目选址</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一张图</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控制线报告要求。</w:t>
            </w:r>
          </w:p>
          <w:p w14:paraId="299975DE">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3、项目与生态环境分区管控符合性分析</w:t>
            </w:r>
          </w:p>
          <w:p w14:paraId="15813AB6">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根据《陕西省“三线一单”生态环境分区管控应用技术指南：环境影响评价（试行）》（陕环办发〔2022〕76号文），建设项目环评文件涉及“三线一单”生态环境分区管控符合性分析采取“一图一表一说明”的表达方式，对照分析结果，论证建设的符合性。</w:t>
            </w:r>
          </w:p>
          <w:p w14:paraId="0C500479">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①一图</w:t>
            </w:r>
          </w:p>
          <w:p w14:paraId="41ECFC35">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据《榆林市“三线一单”生态环境分区管控方案》，结合“陕西省‘三线一单’数据应用管理平台”分析，本项目位于</w:t>
            </w:r>
            <w:r>
              <w:rPr>
                <w:rFonts w:hint="eastAsia" w:ascii="Times New Roman" w:hAnsi="Times New Roman" w:eastAsia="宋体" w:cs="Times New Roman"/>
                <w:b w:val="0"/>
                <w:bCs w:val="0"/>
                <w:color w:val="auto"/>
                <w:sz w:val="24"/>
                <w:szCs w:val="24"/>
                <w:highlight w:val="none"/>
                <w:vertAlign w:val="baseline"/>
                <w:lang w:val="en-US" w:eastAsia="zh-CN" w:bidi="ar-SA"/>
              </w:rPr>
              <w:t>一般</w:t>
            </w:r>
            <w:r>
              <w:rPr>
                <w:rFonts w:hint="default" w:ascii="Times New Roman" w:hAnsi="Times New Roman" w:eastAsia="宋体" w:cs="Times New Roman"/>
                <w:color w:val="auto"/>
                <w:sz w:val="24"/>
                <w:szCs w:val="24"/>
                <w:highlight w:val="none"/>
                <w:lang w:val="en-US" w:eastAsia="zh-CN"/>
              </w:rPr>
              <w:t>管控单元，项目选址与榆林市“三线一单”生态环境分区管控的位置关系</w:t>
            </w:r>
            <w:r>
              <w:rPr>
                <w:rFonts w:hint="eastAsia" w:ascii="Times New Roman" w:hAnsi="Times New Roman" w:eastAsia="宋体" w:cs="Times New Roman"/>
                <w:color w:val="auto"/>
                <w:sz w:val="24"/>
                <w:szCs w:val="24"/>
                <w:highlight w:val="none"/>
                <w:lang w:val="en-US" w:eastAsia="zh-CN"/>
              </w:rPr>
              <w:t>见附图。</w:t>
            </w:r>
          </w:p>
          <w:p w14:paraId="5BF3C03C">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②一表</w:t>
            </w:r>
          </w:p>
          <w:p w14:paraId="5E43FF3E">
            <w:pPr>
              <w:pStyle w:val="4"/>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eastAsia="zh-CN"/>
              </w:rPr>
              <w:t>表</w:t>
            </w:r>
            <w:r>
              <w:rPr>
                <w:rFonts w:hint="default" w:ascii="Times New Roman" w:hAnsi="Times New Roman" w:eastAsia="宋体" w:cs="Times New Roman"/>
                <w:b/>
                <w:bCs w:val="0"/>
                <w:color w:val="auto"/>
                <w:sz w:val="24"/>
                <w:szCs w:val="24"/>
                <w:highlight w:val="none"/>
                <w:lang w:val="en-US" w:eastAsia="zh-CN"/>
              </w:rPr>
              <w:t xml:space="preserve">1-5 </w:t>
            </w:r>
            <w:r>
              <w:rPr>
                <w:rFonts w:hint="default" w:ascii="Times New Roman" w:hAnsi="Times New Roman" w:eastAsia="宋体" w:cs="Times New Roman"/>
                <w:b/>
                <w:bCs w:val="0"/>
                <w:color w:val="auto"/>
                <w:sz w:val="24"/>
                <w:szCs w:val="24"/>
                <w:highlight w:val="none"/>
                <w:lang w:eastAsia="zh-CN"/>
              </w:rPr>
              <w:t>项目与榆林</w:t>
            </w:r>
            <w:r>
              <w:rPr>
                <w:rFonts w:hint="default" w:ascii="Times New Roman" w:hAnsi="Times New Roman" w:eastAsia="宋体" w:cs="Times New Roman"/>
                <w:b/>
                <w:bCs w:val="0"/>
                <w:color w:val="auto"/>
                <w:sz w:val="24"/>
                <w:szCs w:val="24"/>
                <w:highlight w:val="none"/>
                <w:lang w:val="en-US" w:eastAsia="zh-CN"/>
              </w:rPr>
              <w:t>市“</w:t>
            </w:r>
            <w:r>
              <w:rPr>
                <w:rFonts w:hint="default" w:ascii="Times New Roman" w:hAnsi="Times New Roman" w:eastAsia="宋体" w:cs="Times New Roman"/>
                <w:b/>
                <w:bCs w:val="0"/>
                <w:color w:val="auto"/>
                <w:sz w:val="24"/>
                <w:szCs w:val="24"/>
                <w:highlight w:val="none"/>
                <w:lang w:eastAsia="zh-CN"/>
              </w:rPr>
              <w:t>三线一单</w:t>
            </w:r>
            <w:r>
              <w:rPr>
                <w:rFonts w:hint="default" w:ascii="Times New Roman" w:hAnsi="Times New Roman" w:eastAsia="宋体" w:cs="Times New Roman"/>
                <w:b/>
                <w:bCs w:val="0"/>
                <w:color w:val="auto"/>
                <w:sz w:val="24"/>
                <w:szCs w:val="24"/>
                <w:highlight w:val="none"/>
                <w:lang w:val="en-US" w:eastAsia="zh-CN"/>
              </w:rPr>
              <w:t>”</w:t>
            </w:r>
            <w:r>
              <w:rPr>
                <w:rFonts w:hint="default" w:ascii="Times New Roman" w:hAnsi="Times New Roman" w:eastAsia="宋体" w:cs="Times New Roman"/>
                <w:b/>
                <w:bCs w:val="0"/>
                <w:color w:val="auto"/>
                <w:sz w:val="24"/>
                <w:szCs w:val="24"/>
                <w:highlight w:val="none"/>
                <w:lang w:eastAsia="zh-CN"/>
              </w:rPr>
              <w:t>管控单元比对成果</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8"/>
              <w:gridCol w:w="1123"/>
              <w:gridCol w:w="2092"/>
              <w:gridCol w:w="1956"/>
              <w:gridCol w:w="2053"/>
            </w:tblGrid>
            <w:tr w14:paraId="231C3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6" w:type="pct"/>
                  <w:tcBorders>
                    <w:top w:val="single" w:color="auto" w:sz="4" w:space="0"/>
                    <w:left w:val="single" w:color="auto" w:sz="4" w:space="0"/>
                    <w:bottom w:val="single" w:color="auto" w:sz="4" w:space="0"/>
                    <w:right w:val="single" w:color="auto" w:sz="4" w:space="0"/>
                  </w:tcBorders>
                  <w:noWrap w:val="0"/>
                  <w:vAlign w:val="center"/>
                </w:tcPr>
                <w:p w14:paraId="539DB27E">
                  <w:pPr>
                    <w:pStyle w:val="4"/>
                    <w:widowControl/>
                    <w:adjustRightInd w:val="0"/>
                    <w:snapToGrid w:val="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eastAsia="zh-CN"/>
                    </w:rPr>
                    <w:t>序号</w:t>
                  </w:r>
                </w:p>
              </w:tc>
              <w:tc>
                <w:tcPr>
                  <w:tcW w:w="718" w:type="pct"/>
                  <w:tcBorders>
                    <w:top w:val="single" w:color="auto" w:sz="4" w:space="0"/>
                    <w:left w:val="single" w:color="auto" w:sz="4" w:space="0"/>
                    <w:bottom w:val="single" w:color="auto" w:sz="4" w:space="0"/>
                    <w:right w:val="single" w:color="auto" w:sz="4" w:space="0"/>
                  </w:tcBorders>
                  <w:noWrap w:val="0"/>
                  <w:vAlign w:val="center"/>
                </w:tcPr>
                <w:p w14:paraId="35F05908">
                  <w:pPr>
                    <w:pStyle w:val="4"/>
                    <w:widowControl/>
                    <w:adjustRightInd w:val="0"/>
                    <w:snapToGrid w:val="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eastAsia="zh-CN"/>
                    </w:rPr>
                    <w:t>井号</w:t>
                  </w:r>
                </w:p>
              </w:tc>
              <w:tc>
                <w:tcPr>
                  <w:tcW w:w="1338" w:type="pct"/>
                  <w:tcBorders>
                    <w:top w:val="single" w:color="auto" w:sz="4" w:space="0"/>
                    <w:left w:val="single" w:color="auto" w:sz="4" w:space="0"/>
                    <w:bottom w:val="single" w:color="auto" w:sz="4" w:space="0"/>
                    <w:right w:val="single" w:color="auto" w:sz="4" w:space="0"/>
                  </w:tcBorders>
                  <w:noWrap w:val="0"/>
                  <w:vAlign w:val="center"/>
                </w:tcPr>
                <w:p w14:paraId="76D2F2A4">
                  <w:pPr>
                    <w:pStyle w:val="4"/>
                    <w:widowControl/>
                    <w:adjustRightInd w:val="0"/>
                    <w:snapToGrid w:val="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eastAsia="zh-CN"/>
                    </w:rPr>
                    <w:t>管控单元分类</w:t>
                  </w:r>
                </w:p>
              </w:tc>
              <w:tc>
                <w:tcPr>
                  <w:tcW w:w="1251" w:type="pct"/>
                  <w:tcBorders>
                    <w:top w:val="single" w:color="auto" w:sz="4" w:space="0"/>
                    <w:left w:val="single" w:color="auto" w:sz="4" w:space="0"/>
                    <w:bottom w:val="single" w:color="auto" w:sz="4" w:space="0"/>
                    <w:right w:val="single" w:color="auto" w:sz="4" w:space="0"/>
                  </w:tcBorders>
                  <w:noWrap w:val="0"/>
                  <w:vAlign w:val="center"/>
                </w:tcPr>
                <w:p w14:paraId="456A8194">
                  <w:pPr>
                    <w:pStyle w:val="4"/>
                    <w:widowControl/>
                    <w:adjustRightInd w:val="0"/>
                    <w:snapToGrid w:val="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eastAsia="zh-CN"/>
                    </w:rPr>
                    <w:t>是否涉及</w:t>
                  </w:r>
                </w:p>
              </w:tc>
              <w:tc>
                <w:tcPr>
                  <w:tcW w:w="1313" w:type="pct"/>
                  <w:tcBorders>
                    <w:top w:val="single" w:color="auto" w:sz="4" w:space="0"/>
                    <w:left w:val="single" w:color="auto" w:sz="4" w:space="0"/>
                    <w:bottom w:val="single" w:color="auto" w:sz="4" w:space="0"/>
                    <w:right w:val="single" w:color="auto" w:sz="4" w:space="0"/>
                  </w:tcBorders>
                  <w:noWrap w:val="0"/>
                  <w:vAlign w:val="center"/>
                </w:tcPr>
                <w:p w14:paraId="61FDA3C6">
                  <w:pPr>
                    <w:pStyle w:val="4"/>
                    <w:widowControl/>
                    <w:adjustRightInd w:val="0"/>
                    <w:snapToGrid w:val="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eastAsia="zh-CN"/>
                    </w:rPr>
                    <w:t>面积（</w:t>
                  </w:r>
                  <w:r>
                    <w:rPr>
                      <w:rFonts w:hint="default" w:ascii="Times New Roman" w:hAnsi="Times New Roman" w:eastAsia="宋体" w:cs="Times New Roman"/>
                      <w:b/>
                      <w:bCs w:val="0"/>
                      <w:color w:val="auto"/>
                      <w:sz w:val="21"/>
                      <w:szCs w:val="21"/>
                      <w:highlight w:val="none"/>
                      <w:lang w:val="en-US" w:eastAsia="zh-CN"/>
                    </w:rPr>
                    <w:t>m</w:t>
                  </w:r>
                  <w:r>
                    <w:rPr>
                      <w:rFonts w:hint="default" w:ascii="Times New Roman" w:hAnsi="Times New Roman" w:eastAsia="宋体" w:cs="Times New Roman"/>
                      <w:b/>
                      <w:bCs w:val="0"/>
                      <w:color w:val="auto"/>
                      <w:sz w:val="21"/>
                      <w:szCs w:val="21"/>
                      <w:highlight w:val="none"/>
                      <w:vertAlign w:val="superscript"/>
                      <w:lang w:val="en-US" w:eastAsia="zh-CN"/>
                    </w:rPr>
                    <w:t>2</w:t>
                  </w:r>
                  <w:r>
                    <w:rPr>
                      <w:rFonts w:hint="default" w:ascii="Times New Roman" w:hAnsi="Times New Roman" w:eastAsia="宋体" w:cs="Times New Roman"/>
                      <w:b/>
                      <w:bCs w:val="0"/>
                      <w:color w:val="auto"/>
                      <w:sz w:val="21"/>
                      <w:szCs w:val="21"/>
                      <w:highlight w:val="none"/>
                      <w:lang w:eastAsia="zh-CN"/>
                    </w:rPr>
                    <w:t>）</w:t>
                  </w:r>
                </w:p>
              </w:tc>
            </w:tr>
            <w:tr w14:paraId="48C08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6" w:type="pct"/>
                  <w:vMerge w:val="restart"/>
                  <w:tcBorders>
                    <w:top w:val="single" w:color="auto" w:sz="4" w:space="0"/>
                    <w:left w:val="single" w:color="auto" w:sz="4" w:space="0"/>
                    <w:bottom w:val="single" w:color="auto" w:sz="4" w:space="0"/>
                    <w:right w:val="single" w:color="auto" w:sz="4" w:space="0"/>
                  </w:tcBorders>
                  <w:noWrap w:val="0"/>
                  <w:vAlign w:val="center"/>
                </w:tcPr>
                <w:p w14:paraId="6D1149F6">
                  <w:pPr>
                    <w:pStyle w:val="4"/>
                    <w:widowControl/>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718" w:type="pct"/>
                  <w:vMerge w:val="restart"/>
                  <w:tcBorders>
                    <w:top w:val="single" w:color="auto" w:sz="4" w:space="0"/>
                    <w:left w:val="single" w:color="auto" w:sz="4" w:space="0"/>
                    <w:bottom w:val="single" w:color="auto" w:sz="4" w:space="0"/>
                    <w:right w:val="single" w:color="auto" w:sz="4" w:space="0"/>
                  </w:tcBorders>
                  <w:noWrap w:val="0"/>
                  <w:vAlign w:val="center"/>
                </w:tcPr>
                <w:p w14:paraId="368F7FD4">
                  <w:pPr>
                    <w:pStyle w:val="4"/>
                    <w:widowControl/>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米75-3M</w:t>
                  </w:r>
                </w:p>
              </w:tc>
              <w:tc>
                <w:tcPr>
                  <w:tcW w:w="1338" w:type="pct"/>
                  <w:tcBorders>
                    <w:top w:val="single" w:color="auto" w:sz="4" w:space="0"/>
                    <w:left w:val="single" w:color="auto" w:sz="4" w:space="0"/>
                    <w:bottom w:val="single" w:color="auto" w:sz="4" w:space="0"/>
                    <w:right w:val="single" w:color="auto" w:sz="4" w:space="0"/>
                  </w:tcBorders>
                  <w:noWrap w:val="0"/>
                  <w:vAlign w:val="center"/>
                </w:tcPr>
                <w:p w14:paraId="21136EEB">
                  <w:pPr>
                    <w:pStyle w:val="4"/>
                    <w:widowControl/>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eastAsia="zh-CN"/>
                    </w:rPr>
                    <w:t>优先保护单元</w:t>
                  </w:r>
                </w:p>
              </w:tc>
              <w:tc>
                <w:tcPr>
                  <w:tcW w:w="1251" w:type="pct"/>
                  <w:tcBorders>
                    <w:top w:val="single" w:color="auto" w:sz="4" w:space="0"/>
                    <w:left w:val="single" w:color="auto" w:sz="4" w:space="0"/>
                    <w:bottom w:val="single" w:color="auto" w:sz="4" w:space="0"/>
                    <w:right w:val="single" w:color="auto" w:sz="4" w:space="0"/>
                  </w:tcBorders>
                  <w:noWrap w:val="0"/>
                  <w:vAlign w:val="center"/>
                </w:tcPr>
                <w:p w14:paraId="34935C5A">
                  <w:pPr>
                    <w:pStyle w:val="4"/>
                    <w:widowControl/>
                    <w:adjustRightInd w:val="0"/>
                    <w:snapToGrid w:val="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否</w:t>
                  </w:r>
                </w:p>
              </w:tc>
              <w:tc>
                <w:tcPr>
                  <w:tcW w:w="1313" w:type="pct"/>
                  <w:tcBorders>
                    <w:top w:val="single" w:color="auto" w:sz="4" w:space="0"/>
                    <w:left w:val="single" w:color="auto" w:sz="4" w:space="0"/>
                    <w:bottom w:val="single" w:color="auto" w:sz="4" w:space="0"/>
                    <w:right w:val="single" w:color="auto" w:sz="4" w:space="0"/>
                  </w:tcBorders>
                  <w:noWrap w:val="0"/>
                  <w:vAlign w:val="center"/>
                </w:tcPr>
                <w:p w14:paraId="5310DB4C">
                  <w:pPr>
                    <w:pStyle w:val="4"/>
                    <w:widowControl/>
                    <w:adjustRightInd w:val="0"/>
                    <w:snapToGrid w:val="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r>
            <w:tr w14:paraId="32CC9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6" w:type="pct"/>
                  <w:vMerge w:val="continue"/>
                  <w:tcBorders>
                    <w:top w:val="single" w:color="auto" w:sz="4" w:space="0"/>
                    <w:left w:val="single" w:color="auto" w:sz="4" w:space="0"/>
                    <w:bottom w:val="single" w:color="auto" w:sz="4" w:space="0"/>
                    <w:right w:val="single" w:color="auto" w:sz="4" w:space="0"/>
                  </w:tcBorders>
                  <w:noWrap w:val="0"/>
                  <w:vAlign w:val="center"/>
                </w:tcPr>
                <w:p w14:paraId="63D048C7">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718" w:type="pct"/>
                  <w:vMerge w:val="continue"/>
                  <w:tcBorders>
                    <w:top w:val="single" w:color="auto" w:sz="4" w:space="0"/>
                    <w:left w:val="single" w:color="auto" w:sz="4" w:space="0"/>
                    <w:bottom w:val="single" w:color="auto" w:sz="4" w:space="0"/>
                    <w:right w:val="single" w:color="auto" w:sz="4" w:space="0"/>
                  </w:tcBorders>
                  <w:noWrap w:val="0"/>
                  <w:vAlign w:val="center"/>
                </w:tcPr>
                <w:p w14:paraId="1BD680EB">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338" w:type="pct"/>
                  <w:tcBorders>
                    <w:top w:val="single" w:color="auto" w:sz="4" w:space="0"/>
                    <w:left w:val="single" w:color="auto" w:sz="4" w:space="0"/>
                    <w:bottom w:val="single" w:color="auto" w:sz="4" w:space="0"/>
                    <w:right w:val="single" w:color="auto" w:sz="4" w:space="0"/>
                  </w:tcBorders>
                  <w:noWrap w:val="0"/>
                  <w:vAlign w:val="center"/>
                </w:tcPr>
                <w:p w14:paraId="03ECC50D">
                  <w:pPr>
                    <w:pStyle w:val="4"/>
                    <w:widowControl/>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eastAsia="zh-CN"/>
                    </w:rPr>
                    <w:t>重点管控单元</w:t>
                  </w:r>
                </w:p>
              </w:tc>
              <w:tc>
                <w:tcPr>
                  <w:tcW w:w="1251" w:type="pct"/>
                  <w:tcBorders>
                    <w:top w:val="single" w:color="auto" w:sz="4" w:space="0"/>
                    <w:left w:val="single" w:color="auto" w:sz="4" w:space="0"/>
                    <w:bottom w:val="single" w:color="auto" w:sz="4" w:space="0"/>
                    <w:right w:val="single" w:color="auto" w:sz="4" w:space="0"/>
                  </w:tcBorders>
                  <w:noWrap w:val="0"/>
                  <w:vAlign w:val="center"/>
                </w:tcPr>
                <w:p w14:paraId="4BFBC801">
                  <w:pPr>
                    <w:pStyle w:val="4"/>
                    <w:widowControl/>
                    <w:adjustRightInd w:val="0"/>
                    <w:snapToGrid w:val="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否</w:t>
                  </w:r>
                </w:p>
              </w:tc>
              <w:tc>
                <w:tcPr>
                  <w:tcW w:w="1313" w:type="pct"/>
                  <w:tcBorders>
                    <w:top w:val="single" w:color="auto" w:sz="4" w:space="0"/>
                    <w:left w:val="single" w:color="auto" w:sz="4" w:space="0"/>
                    <w:bottom w:val="single" w:color="auto" w:sz="4" w:space="0"/>
                    <w:right w:val="single" w:color="auto" w:sz="4" w:space="0"/>
                  </w:tcBorders>
                  <w:noWrap w:val="0"/>
                  <w:vAlign w:val="center"/>
                </w:tcPr>
                <w:p w14:paraId="2146BAE4">
                  <w:pPr>
                    <w:pStyle w:val="4"/>
                    <w:widowControl/>
                    <w:adjustRightInd w:val="0"/>
                    <w:snapToGrid w:val="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14:paraId="07C27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6" w:type="pct"/>
                  <w:vMerge w:val="continue"/>
                  <w:tcBorders>
                    <w:top w:val="single" w:color="auto" w:sz="4" w:space="0"/>
                    <w:left w:val="single" w:color="auto" w:sz="4" w:space="0"/>
                    <w:bottom w:val="single" w:color="auto" w:sz="4" w:space="0"/>
                    <w:right w:val="single" w:color="auto" w:sz="4" w:space="0"/>
                  </w:tcBorders>
                  <w:noWrap w:val="0"/>
                  <w:vAlign w:val="center"/>
                </w:tcPr>
                <w:p w14:paraId="47D9E45B">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718" w:type="pct"/>
                  <w:vMerge w:val="continue"/>
                  <w:tcBorders>
                    <w:top w:val="single" w:color="auto" w:sz="4" w:space="0"/>
                    <w:left w:val="single" w:color="auto" w:sz="4" w:space="0"/>
                    <w:bottom w:val="single" w:color="auto" w:sz="4" w:space="0"/>
                    <w:right w:val="single" w:color="auto" w:sz="4" w:space="0"/>
                  </w:tcBorders>
                  <w:noWrap w:val="0"/>
                  <w:vAlign w:val="center"/>
                </w:tcPr>
                <w:p w14:paraId="50AEB77C">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338" w:type="pct"/>
                  <w:tcBorders>
                    <w:top w:val="single" w:color="auto" w:sz="4" w:space="0"/>
                    <w:left w:val="single" w:color="auto" w:sz="4" w:space="0"/>
                    <w:bottom w:val="single" w:color="auto" w:sz="4" w:space="0"/>
                    <w:right w:val="single" w:color="auto" w:sz="4" w:space="0"/>
                  </w:tcBorders>
                  <w:noWrap w:val="0"/>
                  <w:vAlign w:val="center"/>
                </w:tcPr>
                <w:p w14:paraId="329CBCC7">
                  <w:pPr>
                    <w:pStyle w:val="4"/>
                    <w:widowControl/>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eastAsia="zh-CN"/>
                    </w:rPr>
                    <w:t>一般管控单元</w:t>
                  </w:r>
                </w:p>
              </w:tc>
              <w:tc>
                <w:tcPr>
                  <w:tcW w:w="1251" w:type="pct"/>
                  <w:tcBorders>
                    <w:top w:val="single" w:color="auto" w:sz="4" w:space="0"/>
                    <w:left w:val="single" w:color="auto" w:sz="4" w:space="0"/>
                    <w:bottom w:val="single" w:color="auto" w:sz="4" w:space="0"/>
                    <w:right w:val="single" w:color="auto" w:sz="4" w:space="0"/>
                  </w:tcBorders>
                  <w:noWrap w:val="0"/>
                  <w:vAlign w:val="center"/>
                </w:tcPr>
                <w:p w14:paraId="228A98EA">
                  <w:pPr>
                    <w:pStyle w:val="4"/>
                    <w:widowControl/>
                    <w:adjustRightInd w:val="0"/>
                    <w:snapToGrid w:val="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是</w:t>
                  </w:r>
                </w:p>
              </w:tc>
              <w:tc>
                <w:tcPr>
                  <w:tcW w:w="1313" w:type="pct"/>
                  <w:tcBorders>
                    <w:top w:val="single" w:color="auto" w:sz="4" w:space="0"/>
                    <w:left w:val="single" w:color="auto" w:sz="4" w:space="0"/>
                    <w:bottom w:val="single" w:color="auto" w:sz="4" w:space="0"/>
                    <w:right w:val="single" w:color="auto" w:sz="4" w:space="0"/>
                  </w:tcBorders>
                  <w:noWrap w:val="0"/>
                  <w:vAlign w:val="center"/>
                </w:tcPr>
                <w:p w14:paraId="75FA8B98">
                  <w:pPr>
                    <w:pStyle w:val="4"/>
                    <w:widowControl/>
                    <w:adjustRightInd w:val="0"/>
                    <w:snapToGrid w:val="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16556.89</w:t>
                  </w:r>
                </w:p>
              </w:tc>
            </w:tr>
          </w:tbl>
          <w:p w14:paraId="7B5EC2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备注：由于坐标系差异导致“三线一单”比对结果同“多规合一”存在差异。</w:t>
            </w:r>
          </w:p>
          <w:p w14:paraId="125DEC4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表1-6  本项目与“三线一单”符合性分析</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0"/>
              <w:gridCol w:w="5340"/>
              <w:gridCol w:w="952"/>
            </w:tblGrid>
            <w:tr w14:paraId="2122E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pct"/>
                  <w:tcBorders>
                    <w:top w:val="single" w:color="auto" w:sz="4" w:space="0"/>
                    <w:left w:val="single" w:color="auto" w:sz="4" w:space="0"/>
                    <w:bottom w:val="single" w:color="auto" w:sz="4" w:space="0"/>
                    <w:right w:val="single" w:color="auto" w:sz="4" w:space="0"/>
                  </w:tcBorders>
                  <w:noWrap w:val="0"/>
                  <w:vAlign w:val="center"/>
                </w:tcPr>
                <w:p w14:paraId="51F91ED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“三线一单”</w:t>
                  </w:r>
                </w:p>
              </w:tc>
              <w:tc>
                <w:tcPr>
                  <w:tcW w:w="3417" w:type="pct"/>
                  <w:tcBorders>
                    <w:top w:val="single" w:color="auto" w:sz="4" w:space="0"/>
                    <w:left w:val="single" w:color="auto" w:sz="4" w:space="0"/>
                    <w:bottom w:val="single" w:color="auto" w:sz="4" w:space="0"/>
                    <w:right w:val="single" w:color="auto" w:sz="4" w:space="0"/>
                  </w:tcBorders>
                  <w:noWrap w:val="0"/>
                  <w:vAlign w:val="center"/>
                </w:tcPr>
                <w:p w14:paraId="0BBF33B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本项目</w:t>
                  </w:r>
                </w:p>
              </w:tc>
              <w:tc>
                <w:tcPr>
                  <w:tcW w:w="609" w:type="pct"/>
                  <w:tcBorders>
                    <w:top w:val="single" w:color="auto" w:sz="4" w:space="0"/>
                    <w:left w:val="single" w:color="auto" w:sz="4" w:space="0"/>
                    <w:bottom w:val="single" w:color="auto" w:sz="4" w:space="0"/>
                    <w:right w:val="single" w:color="auto" w:sz="4" w:space="0"/>
                  </w:tcBorders>
                  <w:noWrap w:val="0"/>
                  <w:vAlign w:val="center"/>
                </w:tcPr>
                <w:p w14:paraId="40DE6F6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相符性</w:t>
                  </w:r>
                </w:p>
              </w:tc>
            </w:tr>
            <w:tr w14:paraId="3CD80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pct"/>
                  <w:tcBorders>
                    <w:top w:val="single" w:color="auto" w:sz="4" w:space="0"/>
                    <w:left w:val="single" w:color="auto" w:sz="4" w:space="0"/>
                    <w:bottom w:val="single" w:color="auto" w:sz="4" w:space="0"/>
                    <w:right w:val="single" w:color="auto" w:sz="4" w:space="0"/>
                  </w:tcBorders>
                  <w:noWrap w:val="0"/>
                  <w:vAlign w:val="center"/>
                </w:tcPr>
                <w:p w14:paraId="0294683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生态保护红线</w:t>
                  </w:r>
                </w:p>
              </w:tc>
              <w:tc>
                <w:tcPr>
                  <w:tcW w:w="3417" w:type="pct"/>
                  <w:tcBorders>
                    <w:top w:val="single" w:color="auto" w:sz="4" w:space="0"/>
                    <w:left w:val="single" w:color="auto" w:sz="4" w:space="0"/>
                    <w:bottom w:val="single" w:color="auto" w:sz="4" w:space="0"/>
                    <w:right w:val="single" w:color="auto" w:sz="4" w:space="0"/>
                  </w:tcBorders>
                  <w:noWrap w:val="0"/>
                  <w:vAlign w:val="center"/>
                </w:tcPr>
                <w:p w14:paraId="7BE01FA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根据《榆林市投资项目选址“一张图”控制线检测报告》及现场调查结果，本项目各个井场周围无特殊重要生态功能区，不涉及自然保护区、饮用水源保护区、风景名胜区等环境敏感区域，本项目不涉及生态红线。</w:t>
                  </w:r>
                </w:p>
              </w:tc>
              <w:tc>
                <w:tcPr>
                  <w:tcW w:w="609" w:type="pct"/>
                  <w:tcBorders>
                    <w:top w:val="single" w:color="auto" w:sz="4" w:space="0"/>
                    <w:left w:val="single" w:color="auto" w:sz="4" w:space="0"/>
                    <w:bottom w:val="single" w:color="auto" w:sz="4" w:space="0"/>
                    <w:right w:val="single" w:color="auto" w:sz="4" w:space="0"/>
                  </w:tcBorders>
                  <w:noWrap w:val="0"/>
                  <w:vAlign w:val="center"/>
                </w:tcPr>
                <w:p w14:paraId="107F4A9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7CC7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pct"/>
                  <w:tcBorders>
                    <w:top w:val="single" w:color="auto" w:sz="4" w:space="0"/>
                    <w:left w:val="single" w:color="auto" w:sz="4" w:space="0"/>
                    <w:bottom w:val="single" w:color="auto" w:sz="4" w:space="0"/>
                    <w:right w:val="single" w:color="auto" w:sz="4" w:space="0"/>
                  </w:tcBorders>
                  <w:noWrap w:val="0"/>
                  <w:vAlign w:val="center"/>
                </w:tcPr>
                <w:p w14:paraId="4F11428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环境质量底线</w:t>
                  </w:r>
                </w:p>
              </w:tc>
              <w:tc>
                <w:tcPr>
                  <w:tcW w:w="3417" w:type="pct"/>
                  <w:tcBorders>
                    <w:top w:val="single" w:color="auto" w:sz="4" w:space="0"/>
                    <w:left w:val="single" w:color="auto" w:sz="4" w:space="0"/>
                    <w:bottom w:val="single" w:color="auto" w:sz="4" w:space="0"/>
                    <w:right w:val="single" w:color="auto" w:sz="4" w:space="0"/>
                  </w:tcBorders>
                  <w:noWrap w:val="0"/>
                  <w:vAlign w:val="center"/>
                </w:tcPr>
                <w:p w14:paraId="7769C88D">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根据陕西省生态环境厅办公室于202</w:t>
                  </w:r>
                  <w:r>
                    <w:rPr>
                      <w:rFonts w:hint="eastAsia" w:ascii="Times New Roman" w:hAnsi="Times New Roman"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年</w:t>
                  </w:r>
                  <w:r>
                    <w:rPr>
                      <w:rFonts w:hint="eastAsia"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月公开发布的</w:t>
                  </w:r>
                  <w:r>
                    <w:rPr>
                      <w:rFonts w:hint="default" w:ascii="Times New Roman" w:hAnsi="Times New Roman" w:eastAsia="宋体" w:cs="Times New Roman"/>
                      <w:color w:val="auto"/>
                      <w:sz w:val="21"/>
                      <w:szCs w:val="21"/>
                      <w:highlight w:val="none"/>
                      <w:lang w:val="en-US" w:eastAsia="zh-CN"/>
                    </w:rPr>
                    <w:t>《2025年12月及1-12月全省环境空气质量状况》</w:t>
                  </w:r>
                  <w:r>
                    <w:rPr>
                      <w:rFonts w:hint="default" w:ascii="Times New Roman" w:hAnsi="Times New Roman" w:eastAsia="宋体" w:cs="Times New Roman"/>
                      <w:color w:val="auto"/>
                      <w:sz w:val="21"/>
                      <w:szCs w:val="21"/>
                      <w:highlight w:val="none"/>
                    </w:rPr>
                    <w:t>的统计数据可知，榆林市</w:t>
                  </w:r>
                  <w:r>
                    <w:rPr>
                      <w:rFonts w:hint="default" w:ascii="Times New Roman" w:hAnsi="Times New Roman" w:eastAsia="宋体" w:cs="Times New Roman"/>
                      <w:color w:val="auto"/>
                      <w:sz w:val="21"/>
                      <w:szCs w:val="21"/>
                      <w:highlight w:val="none"/>
                      <w:lang w:val="en-US" w:eastAsia="zh-CN"/>
                    </w:rPr>
                    <w:t>佳</w:t>
                  </w:r>
                  <w:r>
                    <w:rPr>
                      <w:rFonts w:hint="default" w:ascii="Times New Roman" w:hAnsi="Times New Roman" w:eastAsia="宋体" w:cs="Times New Roman"/>
                      <w:color w:val="auto"/>
                      <w:sz w:val="21"/>
                      <w:szCs w:val="21"/>
                      <w:highlight w:val="none"/>
                    </w:rPr>
                    <w:t>县大气污染物SO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、CO、PM</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z w:val="21"/>
                      <w:szCs w:val="21"/>
                      <w:highlight w:val="none"/>
                    </w:rPr>
                    <w:t>、O</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年平均浓度和特定</w:t>
                  </w:r>
                  <w:r>
                    <w:rPr>
                      <w:rFonts w:hint="eastAsia" w:ascii="Times New Roman" w:hAnsi="Times New Roman" w:cs="Times New Roman"/>
                      <w:color w:val="auto"/>
                      <w:sz w:val="21"/>
                      <w:szCs w:val="21"/>
                      <w:highlight w:val="none"/>
                      <w:lang w:val="en-US" w:eastAsia="zh-CN"/>
                    </w:rPr>
                    <w:t>平均</w:t>
                  </w:r>
                  <w:r>
                    <w:rPr>
                      <w:rFonts w:hint="default" w:ascii="Times New Roman" w:hAnsi="Times New Roman" w:eastAsia="宋体" w:cs="Times New Roman"/>
                      <w:color w:val="auto"/>
                      <w:sz w:val="21"/>
                      <w:szCs w:val="21"/>
                      <w:highlight w:val="none"/>
                    </w:rPr>
                    <w:t>浓度均达标</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佳</w:t>
                  </w:r>
                  <w:r>
                    <w:rPr>
                      <w:rFonts w:hint="default" w:ascii="Times New Roman" w:hAnsi="Times New Roman" w:eastAsia="宋体" w:cs="Times New Roman"/>
                      <w:color w:val="auto"/>
                      <w:sz w:val="21"/>
                      <w:szCs w:val="21"/>
                      <w:highlight w:val="none"/>
                    </w:rPr>
                    <w:t>县环境空气质量为达标区</w:t>
                  </w:r>
                  <w:r>
                    <w:rPr>
                      <w:rFonts w:hint="default" w:ascii="Times New Roman" w:hAnsi="Times New Roman" w:eastAsia="宋体" w:cs="Times New Roman"/>
                      <w:color w:val="auto"/>
                      <w:sz w:val="21"/>
                      <w:szCs w:val="21"/>
                      <w:highlight w:val="none"/>
                      <w:lang w:eastAsia="zh-CN"/>
                    </w:rPr>
                    <w:t>。本项目施工期较短，施工过程中</w:t>
                  </w:r>
                  <w:r>
                    <w:rPr>
                      <w:rFonts w:hint="default" w:ascii="Times New Roman" w:hAnsi="Times New Roman" w:eastAsia="宋体" w:cs="Times New Roman"/>
                      <w:color w:val="auto"/>
                      <w:sz w:val="21"/>
                      <w:szCs w:val="21"/>
                      <w:highlight w:val="none"/>
                      <w:lang w:val="en-US" w:eastAsia="zh-CN"/>
                    </w:rPr>
                    <w:t>钻井</w:t>
                  </w:r>
                  <w:r>
                    <w:rPr>
                      <w:rFonts w:hint="default" w:ascii="Times New Roman" w:hAnsi="Times New Roman" w:eastAsia="宋体" w:cs="Times New Roman"/>
                      <w:color w:val="auto"/>
                      <w:sz w:val="21"/>
                      <w:szCs w:val="21"/>
                      <w:highlight w:val="none"/>
                      <w:lang w:eastAsia="zh-CN"/>
                    </w:rPr>
                    <w:t>采用电驱动，施工废气排放强度较低，污废水不外排，废水收集罐</w:t>
                  </w:r>
                  <w:r>
                    <w:rPr>
                      <w:rFonts w:hint="default" w:ascii="Times New Roman" w:hAnsi="Times New Roman" w:eastAsia="宋体" w:cs="Times New Roman"/>
                      <w:color w:val="auto"/>
                      <w:sz w:val="21"/>
                      <w:szCs w:val="21"/>
                      <w:highlight w:val="none"/>
                      <w:lang w:val="en-US" w:eastAsia="zh-CN"/>
                    </w:rPr>
                    <w:t>区</w:t>
                  </w:r>
                  <w:r>
                    <w:rPr>
                      <w:rFonts w:hint="default" w:ascii="Times New Roman" w:hAnsi="Times New Roman" w:eastAsia="宋体" w:cs="Times New Roman"/>
                      <w:color w:val="auto"/>
                      <w:sz w:val="21"/>
                      <w:szCs w:val="21"/>
                      <w:highlight w:val="none"/>
                      <w:lang w:eastAsia="zh-CN"/>
                    </w:rPr>
                    <w:t>均做了防渗处理。因此，不会改变区域地表水、地下水的功能，项目的建设符合榆林市的环境质量底线要求。</w:t>
                  </w:r>
                </w:p>
              </w:tc>
              <w:tc>
                <w:tcPr>
                  <w:tcW w:w="609" w:type="pct"/>
                  <w:tcBorders>
                    <w:top w:val="single" w:color="auto" w:sz="4" w:space="0"/>
                    <w:left w:val="single" w:color="auto" w:sz="4" w:space="0"/>
                    <w:bottom w:val="single" w:color="auto" w:sz="4" w:space="0"/>
                    <w:right w:val="single" w:color="auto" w:sz="4" w:space="0"/>
                  </w:tcBorders>
                  <w:noWrap w:val="0"/>
                  <w:vAlign w:val="center"/>
                </w:tcPr>
                <w:p w14:paraId="75469E2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700A6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pct"/>
                  <w:tcBorders>
                    <w:top w:val="single" w:color="auto" w:sz="4" w:space="0"/>
                    <w:left w:val="single" w:color="auto" w:sz="4" w:space="0"/>
                    <w:bottom w:val="single" w:color="auto" w:sz="4" w:space="0"/>
                    <w:right w:val="single" w:color="auto" w:sz="4" w:space="0"/>
                  </w:tcBorders>
                  <w:noWrap w:val="0"/>
                  <w:vAlign w:val="center"/>
                </w:tcPr>
                <w:p w14:paraId="2A5514E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资源利用上线</w:t>
                  </w:r>
                </w:p>
              </w:tc>
              <w:tc>
                <w:tcPr>
                  <w:tcW w:w="3417" w:type="pct"/>
                  <w:tcBorders>
                    <w:top w:val="single" w:color="auto" w:sz="4" w:space="0"/>
                    <w:left w:val="single" w:color="auto" w:sz="4" w:space="0"/>
                    <w:bottom w:val="single" w:color="auto" w:sz="4" w:space="0"/>
                    <w:right w:val="single" w:color="auto" w:sz="4" w:space="0"/>
                  </w:tcBorders>
                  <w:noWrap w:val="0"/>
                  <w:vAlign w:val="center"/>
                </w:tcPr>
                <w:p w14:paraId="1D641B6A">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w:t>
                  </w:r>
                  <w:r>
                    <w:rPr>
                      <w:rFonts w:hint="eastAsia" w:ascii="Times New Roman" w:hAnsi="Times New Roman" w:cs="Times New Roman"/>
                      <w:color w:val="auto"/>
                      <w:kern w:val="0"/>
                      <w:sz w:val="21"/>
                      <w:szCs w:val="21"/>
                      <w:highlight w:val="none"/>
                      <w:lang w:val="en-US" w:eastAsia="zh-CN" w:bidi="ar"/>
                    </w:rPr>
                    <w:t>为天然气评价井建设项目</w:t>
                  </w:r>
                  <w:r>
                    <w:rPr>
                      <w:rFonts w:hint="default" w:ascii="Times New Roman" w:hAnsi="Times New Roman" w:eastAsia="宋体" w:cs="Times New Roman"/>
                      <w:color w:val="auto"/>
                      <w:kern w:val="0"/>
                      <w:sz w:val="21"/>
                      <w:szCs w:val="21"/>
                      <w:highlight w:val="none"/>
                      <w:lang w:val="en-US" w:eastAsia="zh-CN" w:bidi="ar"/>
                    </w:rPr>
                    <w:t>，不涉及资源利用</w:t>
                  </w:r>
                  <w:r>
                    <w:rPr>
                      <w:rFonts w:hint="eastAsia" w:ascii="Times New Roman" w:hAnsi="Times New Roman" w:cs="Times New Roman"/>
                      <w:color w:val="auto"/>
                      <w:kern w:val="0"/>
                      <w:sz w:val="21"/>
                      <w:szCs w:val="21"/>
                      <w:highlight w:val="none"/>
                      <w:lang w:val="en-US" w:eastAsia="zh-CN" w:bidi="ar"/>
                    </w:rPr>
                    <w:t>、开发</w:t>
                  </w:r>
                  <w:r>
                    <w:rPr>
                      <w:rFonts w:hint="default" w:ascii="Times New Roman" w:hAnsi="Times New Roman" w:eastAsia="宋体" w:cs="Times New Roman"/>
                      <w:color w:val="auto"/>
                      <w:kern w:val="0"/>
                      <w:sz w:val="21"/>
                      <w:szCs w:val="21"/>
                      <w:highlight w:val="none"/>
                      <w:lang w:val="en-US" w:eastAsia="zh-CN" w:bidi="ar"/>
                    </w:rPr>
                    <w:t>。</w:t>
                  </w:r>
                </w:p>
              </w:tc>
              <w:tc>
                <w:tcPr>
                  <w:tcW w:w="609" w:type="pct"/>
                  <w:tcBorders>
                    <w:top w:val="single" w:color="auto" w:sz="4" w:space="0"/>
                    <w:left w:val="single" w:color="auto" w:sz="4" w:space="0"/>
                    <w:bottom w:val="single" w:color="auto" w:sz="4" w:space="0"/>
                    <w:right w:val="single" w:color="auto" w:sz="4" w:space="0"/>
                  </w:tcBorders>
                  <w:noWrap w:val="0"/>
                  <w:vAlign w:val="center"/>
                </w:tcPr>
                <w:p w14:paraId="7035CBB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3DBD8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pct"/>
                  <w:tcBorders>
                    <w:top w:val="single" w:color="auto" w:sz="4" w:space="0"/>
                    <w:left w:val="single" w:color="auto" w:sz="4" w:space="0"/>
                    <w:bottom w:val="single" w:color="auto" w:sz="4" w:space="0"/>
                    <w:right w:val="single" w:color="auto" w:sz="4" w:space="0"/>
                  </w:tcBorders>
                  <w:noWrap w:val="0"/>
                  <w:vAlign w:val="center"/>
                </w:tcPr>
                <w:p w14:paraId="516B42D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环境准入负面清单</w:t>
                  </w:r>
                </w:p>
              </w:tc>
              <w:tc>
                <w:tcPr>
                  <w:tcW w:w="3417" w:type="pct"/>
                  <w:tcBorders>
                    <w:top w:val="single" w:color="auto" w:sz="4" w:space="0"/>
                    <w:left w:val="single" w:color="auto" w:sz="4" w:space="0"/>
                    <w:bottom w:val="single" w:color="auto" w:sz="4" w:space="0"/>
                    <w:right w:val="single" w:color="auto" w:sz="4" w:space="0"/>
                  </w:tcBorders>
                  <w:noWrap w:val="0"/>
                  <w:vAlign w:val="center"/>
                </w:tcPr>
                <w:p w14:paraId="26F7D26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本项目符合国家产业政策，工程位于榆林市佳县，不属于《陕西省国家重点生态功能区产业准入负面清单</w:t>
                  </w:r>
                  <w:r>
                    <w:rPr>
                      <w:rFonts w:hint="eastAsia"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试行</w:t>
                  </w:r>
                  <w:r>
                    <w:rPr>
                      <w:rFonts w:hint="eastAsia"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陕发改规划〔2018〕213号</w:t>
                  </w:r>
                  <w:r>
                    <w:rPr>
                      <w:rFonts w:hint="eastAsia"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中重点生态功能区，不属于《榆林市生态环境准入清单（2023年）》中禁止建设类活动。</w:t>
                  </w:r>
                </w:p>
              </w:tc>
              <w:tc>
                <w:tcPr>
                  <w:tcW w:w="609" w:type="pct"/>
                  <w:tcBorders>
                    <w:top w:val="single" w:color="auto" w:sz="4" w:space="0"/>
                    <w:left w:val="single" w:color="auto" w:sz="4" w:space="0"/>
                    <w:bottom w:val="single" w:color="auto" w:sz="4" w:space="0"/>
                    <w:right w:val="single" w:color="auto" w:sz="4" w:space="0"/>
                  </w:tcBorders>
                  <w:noWrap w:val="0"/>
                  <w:vAlign w:val="center"/>
                </w:tcPr>
                <w:p w14:paraId="34982CA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bl>
          <w:p w14:paraId="2231F43F">
            <w:pPr>
              <w:pStyle w:val="15"/>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bCs/>
                <w:color w:val="auto"/>
                <w:sz w:val="24"/>
                <w:szCs w:val="24"/>
                <w:highlight w:val="none"/>
                <w:lang w:val="en-US"/>
              </w:rPr>
            </w:pPr>
            <w:r>
              <w:rPr>
                <w:rFonts w:hint="default" w:ascii="Times New Roman" w:hAnsi="Times New Roman" w:eastAsia="宋体" w:cs="Times New Roman"/>
                <w:b/>
                <w:bCs/>
                <w:color w:val="auto"/>
                <w:kern w:val="0"/>
                <w:sz w:val="24"/>
                <w:szCs w:val="24"/>
                <w:highlight w:val="none"/>
                <w:lang w:val="en-US" w:eastAsia="zh-CN" w:bidi="ar"/>
              </w:rPr>
              <w:t>表1-7 本项目与榆林市生态环境分区管控准入要求符合性分析表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427"/>
              <w:gridCol w:w="427"/>
              <w:gridCol w:w="688"/>
              <w:gridCol w:w="697"/>
              <w:gridCol w:w="2917"/>
              <w:gridCol w:w="1529"/>
              <w:gridCol w:w="427"/>
            </w:tblGrid>
            <w:tr w14:paraId="02F50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8" w:type="pct"/>
                  <w:tcBorders>
                    <w:top w:val="single" w:color="auto" w:sz="4" w:space="0"/>
                    <w:left w:val="single" w:color="auto" w:sz="4" w:space="0"/>
                    <w:bottom w:val="single" w:color="auto" w:sz="4" w:space="0"/>
                    <w:right w:val="single" w:color="auto" w:sz="4" w:space="0"/>
                  </w:tcBorders>
                  <w:noWrap w:val="0"/>
                  <w:vAlign w:val="center"/>
                </w:tcPr>
                <w:p w14:paraId="26EBEDC4">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bidi="ar"/>
                    </w:rPr>
                    <w:t>环境管控单元</w:t>
                  </w:r>
                </w:p>
              </w:tc>
              <w:tc>
                <w:tcPr>
                  <w:tcW w:w="273" w:type="pct"/>
                  <w:tcBorders>
                    <w:top w:val="single" w:color="auto" w:sz="4" w:space="0"/>
                    <w:left w:val="single" w:color="auto" w:sz="4" w:space="0"/>
                    <w:bottom w:val="single" w:color="auto" w:sz="4" w:space="0"/>
                    <w:right w:val="single" w:color="auto" w:sz="4" w:space="0"/>
                  </w:tcBorders>
                  <w:noWrap w:val="0"/>
                  <w:vAlign w:val="center"/>
                </w:tcPr>
                <w:p w14:paraId="66AF1766">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bidi="ar"/>
                    </w:rPr>
                    <w:t>区县</w:t>
                  </w:r>
                </w:p>
              </w:tc>
              <w:tc>
                <w:tcPr>
                  <w:tcW w:w="273" w:type="pct"/>
                  <w:tcBorders>
                    <w:top w:val="single" w:color="auto" w:sz="4" w:space="0"/>
                    <w:left w:val="single" w:color="auto" w:sz="4" w:space="0"/>
                    <w:bottom w:val="single" w:color="auto" w:sz="4" w:space="0"/>
                    <w:right w:val="single" w:color="auto" w:sz="4" w:space="0"/>
                  </w:tcBorders>
                  <w:noWrap w:val="0"/>
                  <w:vAlign w:val="center"/>
                </w:tcPr>
                <w:p w14:paraId="00E2D826">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bidi="ar"/>
                    </w:rPr>
                    <w:t>市区</w:t>
                  </w:r>
                </w:p>
              </w:tc>
              <w:tc>
                <w:tcPr>
                  <w:tcW w:w="440" w:type="pct"/>
                  <w:tcBorders>
                    <w:top w:val="single" w:color="auto" w:sz="4" w:space="0"/>
                    <w:left w:val="single" w:color="auto" w:sz="4" w:space="0"/>
                    <w:bottom w:val="single" w:color="auto" w:sz="4" w:space="0"/>
                    <w:right w:val="single" w:color="auto" w:sz="4" w:space="0"/>
                  </w:tcBorders>
                  <w:noWrap w:val="0"/>
                  <w:vAlign w:val="center"/>
                </w:tcPr>
                <w:p w14:paraId="77E5E619">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bidi="ar"/>
                    </w:rPr>
                    <w:t>单元要素属性</w:t>
                  </w:r>
                </w:p>
              </w:tc>
              <w:tc>
                <w:tcPr>
                  <w:tcW w:w="446" w:type="pct"/>
                  <w:tcBorders>
                    <w:top w:val="single" w:color="auto" w:sz="4" w:space="0"/>
                    <w:left w:val="single" w:color="auto" w:sz="4" w:space="0"/>
                    <w:bottom w:val="single" w:color="auto" w:sz="4" w:space="0"/>
                    <w:right w:val="single" w:color="auto" w:sz="4" w:space="0"/>
                  </w:tcBorders>
                  <w:noWrap w:val="0"/>
                  <w:vAlign w:val="center"/>
                </w:tcPr>
                <w:p w14:paraId="6DE5CFB6">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bidi="ar"/>
                    </w:rPr>
                    <w:t>管控要求分类</w:t>
                  </w:r>
                </w:p>
              </w:tc>
              <w:tc>
                <w:tcPr>
                  <w:tcW w:w="1866" w:type="pct"/>
                  <w:tcBorders>
                    <w:top w:val="single" w:color="auto" w:sz="4" w:space="0"/>
                    <w:left w:val="single" w:color="auto" w:sz="4" w:space="0"/>
                    <w:bottom w:val="single" w:color="auto" w:sz="4" w:space="0"/>
                    <w:right w:val="single" w:color="auto" w:sz="4" w:space="0"/>
                  </w:tcBorders>
                  <w:noWrap w:val="0"/>
                  <w:vAlign w:val="center"/>
                </w:tcPr>
                <w:p w14:paraId="1D8A1E58">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bidi="ar"/>
                    </w:rPr>
                    <w:t>管控要求</w:t>
                  </w:r>
                </w:p>
              </w:tc>
              <w:tc>
                <w:tcPr>
                  <w:tcW w:w="978" w:type="pct"/>
                  <w:tcBorders>
                    <w:top w:val="single" w:color="auto" w:sz="4" w:space="0"/>
                    <w:left w:val="single" w:color="auto" w:sz="4" w:space="0"/>
                    <w:bottom w:val="single" w:color="auto" w:sz="4" w:space="0"/>
                    <w:right w:val="single" w:color="auto" w:sz="4" w:space="0"/>
                  </w:tcBorders>
                  <w:noWrap w:val="0"/>
                  <w:vAlign w:val="center"/>
                </w:tcPr>
                <w:p w14:paraId="547B1E6F">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bidi="ar"/>
                    </w:rPr>
                    <w:t>本项目</w:t>
                  </w:r>
                </w:p>
              </w:tc>
              <w:tc>
                <w:tcPr>
                  <w:tcW w:w="273" w:type="pct"/>
                  <w:tcBorders>
                    <w:top w:val="single" w:color="auto" w:sz="4" w:space="0"/>
                    <w:left w:val="single" w:color="auto" w:sz="4" w:space="0"/>
                    <w:bottom w:val="single" w:color="auto" w:sz="4" w:space="0"/>
                    <w:right w:val="single" w:color="auto" w:sz="4" w:space="0"/>
                  </w:tcBorders>
                  <w:noWrap w:val="0"/>
                  <w:vAlign w:val="center"/>
                </w:tcPr>
                <w:p w14:paraId="35098265">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bidi="ar"/>
                    </w:rPr>
                    <w:t>符合性</w:t>
                  </w:r>
                </w:p>
              </w:tc>
            </w:tr>
            <w:tr w14:paraId="76DEB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8" w:type="pct"/>
                  <w:vMerge w:val="restart"/>
                  <w:tcBorders>
                    <w:top w:val="single" w:color="auto" w:sz="4" w:space="0"/>
                    <w:left w:val="single" w:color="auto" w:sz="4" w:space="0"/>
                    <w:bottom w:val="single" w:color="auto" w:sz="4" w:space="0"/>
                    <w:right w:val="single" w:color="auto" w:sz="4" w:space="0"/>
                  </w:tcBorders>
                  <w:noWrap w:val="0"/>
                  <w:vAlign w:val="center"/>
                </w:tcPr>
                <w:p w14:paraId="52D30ABF">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bidi="ar"/>
                    </w:rPr>
                    <w:t>陕西省榆林市佳县一般管控单元1</w:t>
                  </w:r>
                </w:p>
              </w:tc>
              <w:tc>
                <w:tcPr>
                  <w:tcW w:w="273" w:type="pct"/>
                  <w:vMerge w:val="restart"/>
                  <w:tcBorders>
                    <w:top w:val="single" w:color="auto" w:sz="4" w:space="0"/>
                    <w:left w:val="single" w:color="auto" w:sz="4" w:space="0"/>
                    <w:bottom w:val="single" w:color="auto" w:sz="4" w:space="0"/>
                    <w:right w:val="single" w:color="auto" w:sz="4" w:space="0"/>
                  </w:tcBorders>
                  <w:noWrap w:val="0"/>
                  <w:vAlign w:val="center"/>
                </w:tcPr>
                <w:p w14:paraId="12A4536D">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bidi="ar"/>
                    </w:rPr>
                    <w:t>榆林市</w:t>
                  </w:r>
                </w:p>
              </w:tc>
              <w:tc>
                <w:tcPr>
                  <w:tcW w:w="273" w:type="pct"/>
                  <w:vMerge w:val="restart"/>
                  <w:tcBorders>
                    <w:top w:val="single" w:color="auto" w:sz="4" w:space="0"/>
                    <w:left w:val="single" w:color="auto" w:sz="4" w:space="0"/>
                    <w:bottom w:val="single" w:color="auto" w:sz="4" w:space="0"/>
                    <w:right w:val="single" w:color="auto" w:sz="4" w:space="0"/>
                  </w:tcBorders>
                  <w:noWrap w:val="0"/>
                  <w:vAlign w:val="center"/>
                </w:tcPr>
                <w:p w14:paraId="6EC0F6FC">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bidi="ar"/>
                    </w:rPr>
                    <w:t>佳县</w:t>
                  </w:r>
                </w:p>
              </w:tc>
              <w:tc>
                <w:tcPr>
                  <w:tcW w:w="440" w:type="pct"/>
                  <w:vMerge w:val="restart"/>
                  <w:tcBorders>
                    <w:top w:val="single" w:color="auto" w:sz="4" w:space="0"/>
                    <w:left w:val="single" w:color="auto" w:sz="4" w:space="0"/>
                    <w:bottom w:val="single" w:color="auto" w:sz="4" w:space="0"/>
                    <w:right w:val="single" w:color="auto" w:sz="4" w:space="0"/>
                  </w:tcBorders>
                  <w:noWrap w:val="0"/>
                  <w:vAlign w:val="center"/>
                </w:tcPr>
                <w:p w14:paraId="67B417C9">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kern w:val="0"/>
                      <w:sz w:val="21"/>
                      <w:szCs w:val="21"/>
                      <w:highlight w:val="none"/>
                      <w:lang w:val="en-US" w:eastAsia="zh-CN" w:bidi="ar"/>
                    </w:rPr>
                    <w:t>无</w:t>
                  </w:r>
                </w:p>
              </w:tc>
              <w:tc>
                <w:tcPr>
                  <w:tcW w:w="446" w:type="pct"/>
                  <w:tcBorders>
                    <w:top w:val="single" w:color="auto" w:sz="4" w:space="0"/>
                    <w:left w:val="single" w:color="auto" w:sz="4" w:space="0"/>
                    <w:bottom w:val="single" w:color="auto" w:sz="4" w:space="0"/>
                    <w:right w:val="single" w:color="auto" w:sz="4" w:space="0"/>
                  </w:tcBorders>
                  <w:noWrap w:val="0"/>
                  <w:vAlign w:val="center"/>
                </w:tcPr>
                <w:p w14:paraId="02851963">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
                    </w:rPr>
                  </w:pPr>
                  <w:r>
                    <w:rPr>
                      <w:rFonts w:hint="default" w:ascii="Times New Roman" w:hAnsi="Times New Roman" w:cs="Times New Roman"/>
                      <w:bCs/>
                      <w:color w:val="auto"/>
                      <w:sz w:val="21"/>
                      <w:szCs w:val="21"/>
                      <w:highlight w:val="none"/>
                      <w:vertAlign w:val="baseline"/>
                      <w:lang w:val="en-US" w:eastAsia="zh-CN"/>
                    </w:rPr>
                    <w:t>空间布局约束</w:t>
                  </w:r>
                </w:p>
              </w:tc>
              <w:tc>
                <w:tcPr>
                  <w:tcW w:w="1866" w:type="pct"/>
                  <w:tcBorders>
                    <w:top w:val="single" w:color="auto" w:sz="4" w:space="0"/>
                    <w:left w:val="single" w:color="auto" w:sz="4" w:space="0"/>
                    <w:bottom w:val="single" w:color="auto" w:sz="4" w:space="0"/>
                    <w:right w:val="single" w:color="auto" w:sz="4" w:space="0"/>
                  </w:tcBorders>
                  <w:noWrap w:val="0"/>
                  <w:vAlign w:val="center"/>
                </w:tcPr>
                <w:p w14:paraId="2A8494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cs="Times New Roman"/>
                      <w:bCs/>
                      <w:color w:val="auto"/>
                      <w:sz w:val="21"/>
                      <w:szCs w:val="21"/>
                      <w:highlight w:val="none"/>
                      <w:vertAlign w:val="baseline"/>
                    </w:rPr>
                  </w:pPr>
                  <w:r>
                    <w:rPr>
                      <w:rFonts w:hint="default" w:ascii="Times New Roman" w:hAnsi="Times New Roman" w:cs="Times New Roman"/>
                      <w:bCs/>
                      <w:color w:val="auto"/>
                      <w:sz w:val="21"/>
                      <w:szCs w:val="21"/>
                      <w:highlight w:val="none"/>
                      <w:vertAlign w:val="baseline"/>
                    </w:rPr>
                    <w:t>1.执行榆林市生态环境要素分区总体准入清单中“6.1一般管控单元总体要求”准入要求。</w:t>
                  </w:r>
                </w:p>
                <w:p w14:paraId="2298BF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cs="Times New Roman"/>
                      <w:bCs/>
                      <w:color w:val="auto"/>
                      <w:sz w:val="21"/>
                      <w:szCs w:val="21"/>
                      <w:highlight w:val="none"/>
                      <w:vertAlign w:val="baseline"/>
                    </w:rPr>
                  </w:pPr>
                  <w:r>
                    <w:rPr>
                      <w:rFonts w:hint="default" w:ascii="Times New Roman" w:hAnsi="Times New Roman" w:cs="Times New Roman"/>
                      <w:bCs/>
                      <w:color w:val="auto"/>
                      <w:sz w:val="21"/>
                      <w:szCs w:val="21"/>
                      <w:highlight w:val="none"/>
                      <w:vertAlign w:val="baseline"/>
                    </w:rPr>
                    <w:t>2.农用地优先保护区执行榆林市生态环境要素分区总体准入清单中“4.2农用地优先保护区”准入要求。</w:t>
                  </w:r>
                </w:p>
                <w:p w14:paraId="682E0B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cs="Times New Roman"/>
                      <w:bCs/>
                      <w:color w:val="auto"/>
                      <w:sz w:val="21"/>
                      <w:szCs w:val="21"/>
                      <w:highlight w:val="none"/>
                      <w:vertAlign w:val="baseline"/>
                    </w:rPr>
                  </w:pPr>
                  <w:r>
                    <w:rPr>
                      <w:rFonts w:hint="default" w:ascii="Times New Roman" w:hAnsi="Times New Roman" w:cs="Times New Roman"/>
                      <w:bCs/>
                      <w:color w:val="auto"/>
                      <w:sz w:val="21"/>
                      <w:szCs w:val="21"/>
                      <w:highlight w:val="none"/>
                      <w:vertAlign w:val="baseline"/>
                    </w:rPr>
                    <w:t>3.江河湖库岸线优先保护区执行榆林市生态环境要素分区总体准入清单中“4.3江河湖库岸线优先保护区”准入要求。</w:t>
                  </w:r>
                </w:p>
                <w:p w14:paraId="436AE6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cs="Times New Roman"/>
                      <w:bCs/>
                      <w:color w:val="auto"/>
                      <w:sz w:val="21"/>
                      <w:szCs w:val="21"/>
                      <w:highlight w:val="none"/>
                      <w:vertAlign w:val="baseline"/>
                    </w:rPr>
                  </w:pPr>
                  <w:r>
                    <w:rPr>
                      <w:rFonts w:hint="default" w:ascii="Times New Roman" w:hAnsi="Times New Roman" w:cs="Times New Roman"/>
                      <w:bCs/>
                      <w:color w:val="auto"/>
                      <w:sz w:val="21"/>
                      <w:szCs w:val="21"/>
                      <w:highlight w:val="none"/>
                      <w:vertAlign w:val="baseline"/>
                    </w:rPr>
                    <w:t>4.荒漠化沙化土地优先保护区执行榆林市生态环境要素分区总体准入清单中“4.4荒漠化沙化土地优先保护区”准入要求。</w:t>
                  </w:r>
                </w:p>
                <w:p w14:paraId="57E913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cs="Times New Roman"/>
                      <w:bCs/>
                      <w:color w:val="auto"/>
                      <w:sz w:val="21"/>
                      <w:szCs w:val="21"/>
                      <w:highlight w:val="none"/>
                      <w:vertAlign w:val="baseline"/>
                    </w:rPr>
                    <w:t>5.江河湖库岸线重点管控区执行榆林市生态环境要素分区总体准入清单中“5.14江河湖库岸线重点管控区”中的“空间布局约束”准入要求。</w:t>
                  </w:r>
                </w:p>
              </w:tc>
              <w:tc>
                <w:tcPr>
                  <w:tcW w:w="978" w:type="pct"/>
                  <w:tcBorders>
                    <w:top w:val="single" w:color="auto" w:sz="4" w:space="0"/>
                    <w:left w:val="single" w:color="auto" w:sz="4" w:space="0"/>
                    <w:bottom w:val="single" w:color="auto" w:sz="4" w:space="0"/>
                    <w:right w:val="single" w:color="auto" w:sz="4" w:space="0"/>
                  </w:tcBorders>
                  <w:noWrap w:val="0"/>
                  <w:vAlign w:val="center"/>
                </w:tcPr>
                <w:p w14:paraId="42397209">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both"/>
                    <w:textAlignment w:val="auto"/>
                    <w:rPr>
                      <w:rFonts w:hint="default" w:ascii="Times New Roman" w:hAnsi="Times New Roman" w:eastAsia="宋体" w:cs="Times New Roman"/>
                      <w:bCs/>
                      <w:color w:val="auto"/>
                      <w:kern w:val="0"/>
                      <w:sz w:val="21"/>
                      <w:szCs w:val="21"/>
                      <w:highlight w:val="none"/>
                      <w:vertAlign w:val="baseline"/>
                      <w:lang w:val="en-US" w:eastAsia="zh-CN" w:bidi="ar"/>
                    </w:rPr>
                  </w:pPr>
                  <w:r>
                    <w:rPr>
                      <w:rFonts w:hint="eastAsia" w:ascii="Times New Roman" w:hAnsi="Times New Roman" w:eastAsia="宋体" w:cs="Times New Roman"/>
                      <w:bCs/>
                      <w:color w:val="auto"/>
                      <w:sz w:val="21"/>
                      <w:szCs w:val="21"/>
                      <w:highlight w:val="none"/>
                      <w:vertAlign w:val="baseline"/>
                      <w:lang w:val="en-US" w:eastAsia="zh-CN"/>
                    </w:rPr>
                    <w:t>1、</w:t>
                  </w:r>
                  <w:r>
                    <w:rPr>
                      <w:rFonts w:hint="default" w:ascii="Times New Roman" w:hAnsi="Times New Roman" w:eastAsia="宋体" w:cs="Times New Roman"/>
                      <w:bCs/>
                      <w:color w:val="auto"/>
                      <w:sz w:val="21"/>
                      <w:szCs w:val="21"/>
                      <w:highlight w:val="none"/>
                      <w:vertAlign w:val="baseline"/>
                      <w:lang w:val="en-US" w:eastAsia="zh-CN"/>
                    </w:rPr>
                    <w:t>本项目属于天然气</w:t>
                  </w:r>
                  <w:r>
                    <w:rPr>
                      <w:rFonts w:hint="eastAsia" w:ascii="Times New Roman" w:hAnsi="Times New Roman" w:eastAsia="宋体" w:cs="Times New Roman"/>
                      <w:bCs/>
                      <w:color w:val="auto"/>
                      <w:sz w:val="21"/>
                      <w:szCs w:val="21"/>
                      <w:highlight w:val="none"/>
                      <w:vertAlign w:val="baseline"/>
                      <w:lang w:val="en-US" w:eastAsia="zh-CN"/>
                    </w:rPr>
                    <w:t>评价井钻井</w:t>
                  </w:r>
                  <w:r>
                    <w:rPr>
                      <w:rFonts w:hint="default" w:ascii="Times New Roman" w:hAnsi="Times New Roman" w:eastAsia="宋体" w:cs="Times New Roman"/>
                      <w:bCs/>
                      <w:color w:val="auto"/>
                      <w:sz w:val="21"/>
                      <w:szCs w:val="21"/>
                      <w:highlight w:val="none"/>
                      <w:vertAlign w:val="baseline"/>
                      <w:lang w:val="en-US" w:eastAsia="zh-CN"/>
                    </w:rPr>
                    <w:t>项目，</w:t>
                  </w:r>
                  <w:r>
                    <w:rPr>
                      <w:rFonts w:hint="eastAsia" w:ascii="Times New Roman" w:hAnsi="Times New Roman" w:eastAsia="宋体" w:cs="Times New Roman"/>
                      <w:bCs/>
                      <w:color w:val="auto"/>
                      <w:sz w:val="21"/>
                      <w:szCs w:val="21"/>
                      <w:highlight w:val="none"/>
                      <w:vertAlign w:val="baseline"/>
                      <w:lang w:val="en-US" w:eastAsia="zh-CN"/>
                    </w:rPr>
                    <w:t>位于一般管控单元内；2、本项目不涉及农用地优先保护区；3、本项目不涉及</w:t>
                  </w:r>
                  <w:r>
                    <w:rPr>
                      <w:rFonts w:hint="default" w:ascii="Times New Roman" w:hAnsi="Times New Roman" w:cs="Times New Roman"/>
                      <w:bCs/>
                      <w:color w:val="auto"/>
                      <w:sz w:val="21"/>
                      <w:szCs w:val="21"/>
                      <w:highlight w:val="none"/>
                      <w:vertAlign w:val="baseline"/>
                    </w:rPr>
                    <w:t>江河湖库岸线优先保护区</w:t>
                  </w:r>
                  <w:r>
                    <w:rPr>
                      <w:rFonts w:hint="eastAsia" w:ascii="Times New Roman" w:hAnsi="Times New Roman" w:eastAsia="宋体" w:cs="Times New Roman"/>
                      <w:bCs/>
                      <w:color w:val="auto"/>
                      <w:sz w:val="21"/>
                      <w:szCs w:val="21"/>
                      <w:highlight w:val="none"/>
                      <w:vertAlign w:val="baseline"/>
                      <w:lang w:val="en-US" w:eastAsia="zh-CN"/>
                    </w:rPr>
                    <w:t>；4、根据《陕西省防沙治沙规划》（2021-2030年）</w:t>
                  </w:r>
                  <w:r>
                    <w:rPr>
                      <w:rFonts w:hint="eastAsia" w:ascii="Times New Roman" w:hAnsi="Times New Roman" w:eastAsia="宋体" w:cs="Times New Roman"/>
                      <w:color w:val="auto"/>
                      <w:kern w:val="0"/>
                      <w:sz w:val="21"/>
                      <w:szCs w:val="21"/>
                      <w:highlight w:val="none"/>
                      <w:lang w:val="en-US" w:eastAsia="zh-CN" w:bidi="ar"/>
                    </w:rPr>
                    <w:t>，佳县不涉及土地荒漠化，本次提出了防沙治沙相关要求</w:t>
                  </w:r>
                  <w:r>
                    <w:rPr>
                      <w:rFonts w:hint="eastAsia" w:ascii="Times New Roman" w:hAnsi="Times New Roman" w:eastAsia="宋体" w:cs="Times New Roman"/>
                      <w:bCs/>
                      <w:color w:val="auto"/>
                      <w:sz w:val="21"/>
                      <w:szCs w:val="21"/>
                      <w:highlight w:val="none"/>
                      <w:vertAlign w:val="baseline"/>
                      <w:lang w:val="en-US" w:eastAsia="zh-CN"/>
                    </w:rPr>
                    <w:t>；5、本项目不涉及</w:t>
                  </w:r>
                  <w:r>
                    <w:rPr>
                      <w:rFonts w:hint="default" w:ascii="Times New Roman" w:hAnsi="Times New Roman" w:cs="Times New Roman"/>
                      <w:bCs/>
                      <w:color w:val="auto"/>
                      <w:sz w:val="21"/>
                      <w:szCs w:val="21"/>
                      <w:highlight w:val="none"/>
                      <w:vertAlign w:val="baseline"/>
                    </w:rPr>
                    <w:t>江河湖库岸线优先保护区</w:t>
                  </w:r>
                  <w:r>
                    <w:rPr>
                      <w:rFonts w:hint="eastAsia" w:ascii="Times New Roman" w:hAnsi="Times New Roman" w:eastAsia="宋体" w:cs="Times New Roman"/>
                      <w:color w:val="auto"/>
                      <w:kern w:val="0"/>
                      <w:sz w:val="21"/>
                      <w:szCs w:val="21"/>
                      <w:highlight w:val="none"/>
                      <w:lang w:val="en-US" w:eastAsia="zh-CN" w:bidi="ar"/>
                    </w:rPr>
                    <w:t>。</w:t>
                  </w:r>
                </w:p>
              </w:tc>
              <w:tc>
                <w:tcPr>
                  <w:tcW w:w="273" w:type="pct"/>
                  <w:tcBorders>
                    <w:top w:val="single" w:color="auto" w:sz="4" w:space="0"/>
                    <w:left w:val="single" w:color="auto" w:sz="4" w:space="0"/>
                    <w:bottom w:val="single" w:color="auto" w:sz="4" w:space="0"/>
                    <w:right w:val="single" w:color="auto" w:sz="4" w:space="0"/>
                  </w:tcBorders>
                  <w:noWrap w:val="0"/>
                  <w:vAlign w:val="center"/>
                </w:tcPr>
                <w:p w14:paraId="0B4AC9A9">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
                    </w:rPr>
                  </w:pPr>
                  <w:r>
                    <w:rPr>
                      <w:rFonts w:hint="default" w:ascii="Times New Roman" w:hAnsi="Times New Roman" w:cs="Times New Roman"/>
                      <w:bCs/>
                      <w:color w:val="auto"/>
                      <w:sz w:val="21"/>
                      <w:szCs w:val="21"/>
                      <w:highlight w:val="none"/>
                      <w:vertAlign w:val="baseline"/>
                      <w:lang w:val="en-US" w:eastAsia="zh-CN"/>
                    </w:rPr>
                    <w:t>符合</w:t>
                  </w:r>
                </w:p>
              </w:tc>
            </w:tr>
            <w:tr w14:paraId="703BD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448" w:type="pct"/>
                  <w:vMerge w:val="continue"/>
                  <w:tcBorders>
                    <w:top w:val="single" w:color="auto" w:sz="4" w:space="0"/>
                    <w:left w:val="single" w:color="auto" w:sz="4" w:space="0"/>
                    <w:bottom w:val="single" w:color="auto" w:sz="4" w:space="0"/>
                    <w:right w:val="single" w:color="auto" w:sz="4" w:space="0"/>
                  </w:tcBorders>
                  <w:noWrap w:val="0"/>
                  <w:vAlign w:val="center"/>
                </w:tcPr>
                <w:p w14:paraId="34314997">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273" w:type="pct"/>
                  <w:vMerge w:val="continue"/>
                  <w:tcBorders>
                    <w:top w:val="single" w:color="auto" w:sz="4" w:space="0"/>
                    <w:left w:val="single" w:color="auto" w:sz="4" w:space="0"/>
                    <w:bottom w:val="single" w:color="auto" w:sz="4" w:space="0"/>
                    <w:right w:val="single" w:color="auto" w:sz="4" w:space="0"/>
                  </w:tcBorders>
                  <w:noWrap w:val="0"/>
                  <w:vAlign w:val="center"/>
                </w:tcPr>
                <w:p w14:paraId="009E7DCE">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273" w:type="pct"/>
                  <w:vMerge w:val="continue"/>
                  <w:tcBorders>
                    <w:top w:val="single" w:color="auto" w:sz="4" w:space="0"/>
                    <w:left w:val="single" w:color="auto" w:sz="4" w:space="0"/>
                    <w:bottom w:val="single" w:color="auto" w:sz="4" w:space="0"/>
                    <w:right w:val="single" w:color="auto" w:sz="4" w:space="0"/>
                  </w:tcBorders>
                  <w:noWrap w:val="0"/>
                  <w:vAlign w:val="center"/>
                </w:tcPr>
                <w:p w14:paraId="2E7BD076">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440" w:type="pct"/>
                  <w:vMerge w:val="continue"/>
                  <w:tcBorders>
                    <w:top w:val="single" w:color="auto" w:sz="4" w:space="0"/>
                    <w:left w:val="single" w:color="auto" w:sz="4" w:space="0"/>
                    <w:bottom w:val="single" w:color="auto" w:sz="4" w:space="0"/>
                    <w:right w:val="single" w:color="auto" w:sz="4" w:space="0"/>
                  </w:tcBorders>
                  <w:noWrap w:val="0"/>
                  <w:vAlign w:val="center"/>
                </w:tcPr>
                <w:p w14:paraId="5CA1BC09">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446" w:type="pct"/>
                  <w:tcBorders>
                    <w:top w:val="single" w:color="auto" w:sz="4" w:space="0"/>
                    <w:left w:val="single" w:color="auto" w:sz="4" w:space="0"/>
                    <w:bottom w:val="single" w:color="auto" w:sz="4" w:space="0"/>
                    <w:right w:val="single" w:color="auto" w:sz="4" w:space="0"/>
                  </w:tcBorders>
                  <w:noWrap w:val="0"/>
                  <w:vAlign w:val="center"/>
                </w:tcPr>
                <w:p w14:paraId="2161C6BE">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
                    </w:rPr>
                  </w:pPr>
                  <w:r>
                    <w:rPr>
                      <w:rFonts w:hint="default" w:ascii="Times New Roman" w:hAnsi="Times New Roman" w:cs="Times New Roman"/>
                      <w:bCs/>
                      <w:color w:val="auto"/>
                      <w:sz w:val="21"/>
                      <w:szCs w:val="21"/>
                      <w:highlight w:val="none"/>
                      <w:vertAlign w:val="baseline"/>
                      <w:lang w:val="en-US" w:eastAsia="zh-CN"/>
                    </w:rPr>
                    <w:t>污染物排放管控</w:t>
                  </w:r>
                </w:p>
              </w:tc>
              <w:tc>
                <w:tcPr>
                  <w:tcW w:w="1866" w:type="pct"/>
                  <w:tcBorders>
                    <w:top w:val="single" w:color="auto" w:sz="4" w:space="0"/>
                    <w:left w:val="single" w:color="auto" w:sz="4" w:space="0"/>
                    <w:bottom w:val="single" w:color="auto" w:sz="4" w:space="0"/>
                    <w:right w:val="single" w:color="auto" w:sz="4" w:space="0"/>
                  </w:tcBorders>
                  <w:noWrap w:val="0"/>
                  <w:vAlign w:val="center"/>
                </w:tcPr>
                <w:p w14:paraId="0777827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vertAlign w:val="baseline"/>
                      <w:lang w:val="en-US" w:eastAsia="zh-CN" w:bidi="ar-SA"/>
                    </w:rPr>
                  </w:pPr>
                  <w:r>
                    <w:rPr>
                      <w:rFonts w:hint="eastAsia" w:ascii="Times New Roman" w:hAnsi="Times New Roman" w:cs="Times New Roman"/>
                      <w:bCs/>
                      <w:color w:val="auto"/>
                      <w:sz w:val="21"/>
                      <w:szCs w:val="21"/>
                      <w:highlight w:val="none"/>
                      <w:vertAlign w:val="baseline"/>
                      <w:lang w:val="en-US" w:eastAsia="zh-CN"/>
                    </w:rPr>
                    <w:t>/</w:t>
                  </w:r>
                </w:p>
              </w:tc>
              <w:tc>
                <w:tcPr>
                  <w:tcW w:w="978" w:type="pct"/>
                  <w:tcBorders>
                    <w:top w:val="single" w:color="auto" w:sz="4" w:space="0"/>
                    <w:left w:val="single" w:color="auto" w:sz="4" w:space="0"/>
                    <w:bottom w:val="single" w:color="auto" w:sz="4" w:space="0"/>
                    <w:right w:val="single" w:color="auto" w:sz="4" w:space="0"/>
                  </w:tcBorders>
                  <w:noWrap w:val="0"/>
                  <w:vAlign w:val="center"/>
                </w:tcPr>
                <w:p w14:paraId="75DBB75F">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
                    </w:rPr>
                  </w:pPr>
                  <w:r>
                    <w:rPr>
                      <w:rFonts w:hint="eastAsia" w:ascii="Times New Roman" w:hAnsi="Times New Roman" w:eastAsia="宋体" w:cs="Times New Roman"/>
                      <w:bCs/>
                      <w:color w:val="auto"/>
                      <w:sz w:val="21"/>
                      <w:szCs w:val="21"/>
                      <w:highlight w:val="none"/>
                      <w:vertAlign w:val="baseline"/>
                      <w:lang w:val="en-US" w:eastAsia="zh-CN"/>
                    </w:rPr>
                    <w:t>/</w:t>
                  </w:r>
                </w:p>
              </w:tc>
              <w:tc>
                <w:tcPr>
                  <w:tcW w:w="273" w:type="pct"/>
                  <w:tcBorders>
                    <w:top w:val="single" w:color="auto" w:sz="4" w:space="0"/>
                    <w:left w:val="single" w:color="auto" w:sz="4" w:space="0"/>
                    <w:bottom w:val="single" w:color="auto" w:sz="4" w:space="0"/>
                    <w:right w:val="single" w:color="auto" w:sz="4" w:space="0"/>
                  </w:tcBorders>
                  <w:noWrap w:val="0"/>
                  <w:vAlign w:val="center"/>
                </w:tcPr>
                <w:p w14:paraId="48C23A59">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Calibri" w:cs="Times New Roman"/>
                      <w:bCs/>
                      <w:color w:val="auto"/>
                      <w:kern w:val="0"/>
                      <w:sz w:val="21"/>
                      <w:szCs w:val="21"/>
                      <w:highlight w:val="none"/>
                      <w:vertAlign w:val="baseline"/>
                      <w:lang w:val="en-US" w:eastAsia="zh-CN" w:bidi="ar"/>
                    </w:rPr>
                  </w:pPr>
                  <w:r>
                    <w:rPr>
                      <w:rFonts w:hint="eastAsia" w:ascii="Times New Roman" w:hAnsi="Times New Roman" w:cs="Times New Roman"/>
                      <w:bCs/>
                      <w:color w:val="auto"/>
                      <w:sz w:val="21"/>
                      <w:szCs w:val="21"/>
                      <w:highlight w:val="none"/>
                      <w:vertAlign w:val="baseline"/>
                      <w:lang w:val="en-US" w:eastAsia="zh-CN"/>
                    </w:rPr>
                    <w:t>/</w:t>
                  </w:r>
                </w:p>
              </w:tc>
            </w:tr>
            <w:tr w14:paraId="4B94C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448" w:type="pct"/>
                  <w:vMerge w:val="continue"/>
                  <w:tcBorders>
                    <w:top w:val="single" w:color="auto" w:sz="4" w:space="0"/>
                    <w:left w:val="single" w:color="auto" w:sz="4" w:space="0"/>
                    <w:bottom w:val="single" w:color="auto" w:sz="4" w:space="0"/>
                    <w:right w:val="single" w:color="auto" w:sz="4" w:space="0"/>
                  </w:tcBorders>
                  <w:noWrap w:val="0"/>
                  <w:vAlign w:val="center"/>
                </w:tcPr>
                <w:p w14:paraId="4CB3F535">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273" w:type="pct"/>
                  <w:vMerge w:val="continue"/>
                  <w:tcBorders>
                    <w:top w:val="single" w:color="auto" w:sz="4" w:space="0"/>
                    <w:left w:val="single" w:color="auto" w:sz="4" w:space="0"/>
                    <w:bottom w:val="single" w:color="auto" w:sz="4" w:space="0"/>
                    <w:right w:val="single" w:color="auto" w:sz="4" w:space="0"/>
                  </w:tcBorders>
                  <w:noWrap w:val="0"/>
                  <w:vAlign w:val="center"/>
                </w:tcPr>
                <w:p w14:paraId="7527764E">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273" w:type="pct"/>
                  <w:vMerge w:val="continue"/>
                  <w:tcBorders>
                    <w:top w:val="single" w:color="auto" w:sz="4" w:space="0"/>
                    <w:left w:val="single" w:color="auto" w:sz="4" w:space="0"/>
                    <w:bottom w:val="single" w:color="auto" w:sz="4" w:space="0"/>
                    <w:right w:val="single" w:color="auto" w:sz="4" w:space="0"/>
                  </w:tcBorders>
                  <w:noWrap w:val="0"/>
                  <w:vAlign w:val="center"/>
                </w:tcPr>
                <w:p w14:paraId="6E4D2CF1">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440" w:type="pct"/>
                  <w:vMerge w:val="continue"/>
                  <w:tcBorders>
                    <w:top w:val="single" w:color="auto" w:sz="4" w:space="0"/>
                    <w:left w:val="single" w:color="auto" w:sz="4" w:space="0"/>
                    <w:bottom w:val="single" w:color="auto" w:sz="4" w:space="0"/>
                    <w:right w:val="single" w:color="auto" w:sz="4" w:space="0"/>
                  </w:tcBorders>
                  <w:noWrap w:val="0"/>
                  <w:vAlign w:val="center"/>
                </w:tcPr>
                <w:p w14:paraId="6E2F4DFC">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446" w:type="pct"/>
                  <w:tcBorders>
                    <w:top w:val="single" w:color="auto" w:sz="4" w:space="0"/>
                    <w:left w:val="single" w:color="auto" w:sz="4" w:space="0"/>
                    <w:bottom w:val="single" w:color="auto" w:sz="4" w:space="0"/>
                    <w:right w:val="single" w:color="auto" w:sz="4" w:space="0"/>
                  </w:tcBorders>
                  <w:noWrap w:val="0"/>
                  <w:vAlign w:val="center"/>
                </w:tcPr>
                <w:p w14:paraId="2BA1A6DD">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Calibri" w:cs="Times New Roman"/>
                      <w:bCs/>
                      <w:color w:val="auto"/>
                      <w:kern w:val="0"/>
                      <w:sz w:val="21"/>
                      <w:szCs w:val="21"/>
                      <w:highlight w:val="none"/>
                      <w:vertAlign w:val="baseline"/>
                      <w:lang w:val="en-US" w:eastAsia="zh-CN" w:bidi="ar"/>
                    </w:rPr>
                  </w:pPr>
                  <w:r>
                    <w:rPr>
                      <w:rFonts w:hint="default" w:ascii="Times New Roman" w:hAnsi="Times New Roman" w:cs="Times New Roman"/>
                      <w:bCs/>
                      <w:color w:val="auto"/>
                      <w:sz w:val="21"/>
                      <w:szCs w:val="21"/>
                      <w:highlight w:val="none"/>
                      <w:vertAlign w:val="baseline"/>
                      <w:lang w:val="en-US" w:eastAsia="zh-CN"/>
                    </w:rPr>
                    <w:t>环境风险防控</w:t>
                  </w:r>
                </w:p>
              </w:tc>
              <w:tc>
                <w:tcPr>
                  <w:tcW w:w="1866" w:type="pct"/>
                  <w:tcBorders>
                    <w:top w:val="single" w:color="auto" w:sz="4" w:space="0"/>
                    <w:left w:val="single" w:color="auto" w:sz="4" w:space="0"/>
                    <w:bottom w:val="single" w:color="auto" w:sz="4" w:space="0"/>
                    <w:right w:val="single" w:color="auto" w:sz="4" w:space="0"/>
                  </w:tcBorders>
                  <w:noWrap w:val="0"/>
                  <w:vAlign w:val="center"/>
                </w:tcPr>
                <w:p w14:paraId="3ED91016">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bCs/>
                      <w:color w:val="auto"/>
                      <w:sz w:val="21"/>
                      <w:szCs w:val="21"/>
                      <w:highlight w:val="none"/>
                      <w:vertAlign w:val="baseline"/>
                      <w:lang w:val="en-US" w:eastAsia="zh-CN"/>
                    </w:rPr>
                    <w:t>/</w:t>
                  </w:r>
                </w:p>
              </w:tc>
              <w:tc>
                <w:tcPr>
                  <w:tcW w:w="978" w:type="pct"/>
                  <w:tcBorders>
                    <w:top w:val="single" w:color="auto" w:sz="4" w:space="0"/>
                    <w:left w:val="single" w:color="auto" w:sz="4" w:space="0"/>
                    <w:bottom w:val="single" w:color="auto" w:sz="4" w:space="0"/>
                    <w:right w:val="single" w:color="auto" w:sz="4" w:space="0"/>
                  </w:tcBorders>
                  <w:noWrap w:val="0"/>
                  <w:vAlign w:val="center"/>
                </w:tcPr>
                <w:p w14:paraId="5AC48210">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
                    </w:rPr>
                  </w:pPr>
                  <w:r>
                    <w:rPr>
                      <w:rFonts w:hint="eastAsia" w:ascii="Times New Roman" w:hAnsi="Times New Roman" w:cs="Times New Roman"/>
                      <w:bCs/>
                      <w:color w:val="auto"/>
                      <w:sz w:val="21"/>
                      <w:szCs w:val="21"/>
                      <w:highlight w:val="none"/>
                      <w:vertAlign w:val="baseline"/>
                      <w:lang w:val="en-US" w:eastAsia="zh-CN"/>
                    </w:rPr>
                    <w:t>/</w:t>
                  </w:r>
                </w:p>
              </w:tc>
              <w:tc>
                <w:tcPr>
                  <w:tcW w:w="273" w:type="pct"/>
                  <w:tcBorders>
                    <w:top w:val="single" w:color="auto" w:sz="4" w:space="0"/>
                    <w:left w:val="single" w:color="auto" w:sz="4" w:space="0"/>
                    <w:bottom w:val="single" w:color="auto" w:sz="4" w:space="0"/>
                    <w:right w:val="single" w:color="auto" w:sz="4" w:space="0"/>
                  </w:tcBorders>
                  <w:noWrap w:val="0"/>
                  <w:vAlign w:val="center"/>
                </w:tcPr>
                <w:p w14:paraId="63F7929F">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Calibri" w:cs="Times New Roman"/>
                      <w:bCs/>
                      <w:color w:val="auto"/>
                      <w:kern w:val="0"/>
                      <w:sz w:val="21"/>
                      <w:szCs w:val="21"/>
                      <w:highlight w:val="none"/>
                      <w:vertAlign w:val="baseline"/>
                      <w:lang w:val="en-US" w:eastAsia="zh-CN" w:bidi="ar"/>
                    </w:rPr>
                  </w:pPr>
                  <w:r>
                    <w:rPr>
                      <w:rFonts w:hint="eastAsia" w:ascii="Times New Roman" w:hAnsi="Times New Roman" w:cs="Times New Roman"/>
                      <w:bCs/>
                      <w:color w:val="auto"/>
                      <w:sz w:val="21"/>
                      <w:szCs w:val="21"/>
                      <w:highlight w:val="none"/>
                      <w:vertAlign w:val="baseline"/>
                      <w:lang w:val="en-US" w:eastAsia="zh-CN"/>
                    </w:rPr>
                    <w:t>/</w:t>
                  </w:r>
                </w:p>
              </w:tc>
            </w:tr>
            <w:tr w14:paraId="4834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8" w:hRule="atLeast"/>
              </w:trPr>
              <w:tc>
                <w:tcPr>
                  <w:tcW w:w="448" w:type="pct"/>
                  <w:vMerge w:val="continue"/>
                  <w:tcBorders>
                    <w:top w:val="single" w:color="auto" w:sz="4" w:space="0"/>
                    <w:left w:val="single" w:color="auto" w:sz="4" w:space="0"/>
                    <w:bottom w:val="single" w:color="auto" w:sz="4" w:space="0"/>
                    <w:right w:val="single" w:color="auto" w:sz="4" w:space="0"/>
                  </w:tcBorders>
                  <w:noWrap w:val="0"/>
                  <w:vAlign w:val="center"/>
                </w:tcPr>
                <w:p w14:paraId="61864146">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273" w:type="pct"/>
                  <w:vMerge w:val="continue"/>
                  <w:tcBorders>
                    <w:top w:val="single" w:color="auto" w:sz="4" w:space="0"/>
                    <w:left w:val="single" w:color="auto" w:sz="4" w:space="0"/>
                    <w:bottom w:val="single" w:color="auto" w:sz="4" w:space="0"/>
                    <w:right w:val="single" w:color="auto" w:sz="4" w:space="0"/>
                  </w:tcBorders>
                  <w:noWrap w:val="0"/>
                  <w:vAlign w:val="center"/>
                </w:tcPr>
                <w:p w14:paraId="34F2F113">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273" w:type="pct"/>
                  <w:vMerge w:val="continue"/>
                  <w:tcBorders>
                    <w:top w:val="single" w:color="auto" w:sz="4" w:space="0"/>
                    <w:left w:val="single" w:color="auto" w:sz="4" w:space="0"/>
                    <w:bottom w:val="single" w:color="auto" w:sz="4" w:space="0"/>
                    <w:right w:val="single" w:color="auto" w:sz="4" w:space="0"/>
                  </w:tcBorders>
                  <w:noWrap w:val="0"/>
                  <w:vAlign w:val="center"/>
                </w:tcPr>
                <w:p w14:paraId="311D9E37">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440" w:type="pct"/>
                  <w:vMerge w:val="continue"/>
                  <w:tcBorders>
                    <w:top w:val="single" w:color="auto" w:sz="4" w:space="0"/>
                    <w:left w:val="single" w:color="auto" w:sz="4" w:space="0"/>
                    <w:bottom w:val="single" w:color="auto" w:sz="4" w:space="0"/>
                    <w:right w:val="single" w:color="auto" w:sz="4" w:space="0"/>
                  </w:tcBorders>
                  <w:noWrap w:val="0"/>
                  <w:vAlign w:val="center"/>
                </w:tcPr>
                <w:p w14:paraId="55FEF561">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446" w:type="pct"/>
                  <w:tcBorders>
                    <w:top w:val="single" w:color="auto" w:sz="4" w:space="0"/>
                    <w:left w:val="single" w:color="auto" w:sz="4" w:space="0"/>
                    <w:bottom w:val="single" w:color="auto" w:sz="4" w:space="0"/>
                    <w:right w:val="single" w:color="auto" w:sz="4" w:space="0"/>
                  </w:tcBorders>
                  <w:noWrap w:val="0"/>
                  <w:vAlign w:val="center"/>
                </w:tcPr>
                <w:p w14:paraId="7392EAAC">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Calibri" w:cs="Times New Roman"/>
                      <w:bCs/>
                      <w:color w:val="auto"/>
                      <w:kern w:val="0"/>
                      <w:sz w:val="21"/>
                      <w:szCs w:val="21"/>
                      <w:highlight w:val="none"/>
                      <w:vertAlign w:val="baseline"/>
                      <w:lang w:val="en-US" w:eastAsia="zh-CN" w:bidi="ar"/>
                    </w:rPr>
                  </w:pPr>
                  <w:r>
                    <w:rPr>
                      <w:rFonts w:hint="default" w:ascii="Times New Roman" w:hAnsi="Times New Roman" w:cs="Times New Roman"/>
                      <w:bCs/>
                      <w:color w:val="auto"/>
                      <w:sz w:val="21"/>
                      <w:szCs w:val="21"/>
                      <w:highlight w:val="none"/>
                      <w:vertAlign w:val="baseline"/>
                      <w:lang w:val="en-US" w:eastAsia="zh-CN"/>
                    </w:rPr>
                    <w:t>资源开发效率要求</w:t>
                  </w:r>
                </w:p>
              </w:tc>
              <w:tc>
                <w:tcPr>
                  <w:tcW w:w="1866" w:type="pct"/>
                  <w:tcBorders>
                    <w:top w:val="single" w:color="auto" w:sz="4" w:space="0"/>
                    <w:left w:val="single" w:color="auto" w:sz="4" w:space="0"/>
                    <w:bottom w:val="single" w:color="auto" w:sz="4" w:space="0"/>
                    <w:right w:val="single" w:color="auto" w:sz="4" w:space="0"/>
                  </w:tcBorders>
                  <w:noWrap w:val="0"/>
                  <w:vAlign w:val="center"/>
                </w:tcPr>
                <w:p w14:paraId="5487E236">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bCs/>
                      <w:color w:val="auto"/>
                      <w:sz w:val="21"/>
                      <w:szCs w:val="21"/>
                      <w:highlight w:val="none"/>
                      <w:vertAlign w:val="baseline"/>
                      <w:lang w:val="en-US" w:eastAsia="zh-CN"/>
                    </w:rPr>
                    <w:t>/</w:t>
                  </w:r>
                </w:p>
              </w:tc>
              <w:tc>
                <w:tcPr>
                  <w:tcW w:w="978" w:type="pct"/>
                  <w:tcBorders>
                    <w:top w:val="single" w:color="auto" w:sz="4" w:space="0"/>
                    <w:left w:val="single" w:color="auto" w:sz="4" w:space="0"/>
                    <w:bottom w:val="single" w:color="auto" w:sz="4" w:space="0"/>
                    <w:right w:val="single" w:color="auto" w:sz="4" w:space="0"/>
                  </w:tcBorders>
                  <w:noWrap w:val="0"/>
                  <w:vAlign w:val="center"/>
                </w:tcPr>
                <w:p w14:paraId="3E71C41C">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
                    </w:rPr>
                  </w:pPr>
                  <w:r>
                    <w:rPr>
                      <w:rFonts w:hint="eastAsia" w:ascii="Times New Roman" w:hAnsi="Times New Roman" w:cs="Times New Roman"/>
                      <w:bCs/>
                      <w:color w:val="auto"/>
                      <w:sz w:val="21"/>
                      <w:szCs w:val="21"/>
                      <w:highlight w:val="none"/>
                      <w:vertAlign w:val="baseline"/>
                      <w:lang w:val="en-US" w:eastAsia="zh-CN"/>
                    </w:rPr>
                    <w:t>/</w:t>
                  </w:r>
                </w:p>
              </w:tc>
              <w:tc>
                <w:tcPr>
                  <w:tcW w:w="273" w:type="pct"/>
                  <w:tcBorders>
                    <w:top w:val="single" w:color="auto" w:sz="4" w:space="0"/>
                    <w:left w:val="single" w:color="auto" w:sz="4" w:space="0"/>
                    <w:bottom w:val="single" w:color="auto" w:sz="4" w:space="0"/>
                    <w:right w:val="single" w:color="auto" w:sz="4" w:space="0"/>
                  </w:tcBorders>
                  <w:noWrap w:val="0"/>
                  <w:vAlign w:val="center"/>
                </w:tcPr>
                <w:p w14:paraId="799A151E">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Calibri" w:cs="Times New Roman"/>
                      <w:bCs/>
                      <w:color w:val="auto"/>
                      <w:kern w:val="0"/>
                      <w:sz w:val="21"/>
                      <w:szCs w:val="21"/>
                      <w:highlight w:val="none"/>
                      <w:vertAlign w:val="baseline"/>
                      <w:lang w:val="en-US" w:eastAsia="zh-CN" w:bidi="ar"/>
                    </w:rPr>
                  </w:pPr>
                  <w:r>
                    <w:rPr>
                      <w:rFonts w:hint="eastAsia" w:ascii="Times New Roman" w:hAnsi="Times New Roman" w:cs="Times New Roman"/>
                      <w:bCs/>
                      <w:color w:val="auto"/>
                      <w:sz w:val="21"/>
                      <w:szCs w:val="21"/>
                      <w:highlight w:val="none"/>
                      <w:vertAlign w:val="baseline"/>
                      <w:lang w:val="en-US" w:eastAsia="zh-CN"/>
                    </w:rPr>
                    <w:t>/</w:t>
                  </w:r>
                </w:p>
              </w:tc>
            </w:tr>
          </w:tbl>
          <w:p w14:paraId="37F1168A">
            <w:pPr>
              <w:pStyle w:val="15"/>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bidi="ar"/>
              </w:rPr>
              <w:t>③一说明</w:t>
            </w:r>
          </w:p>
          <w:p w14:paraId="4A8EEE1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本项目位于榆林市“三线一单”生态环境分区中佳县</w:t>
            </w:r>
            <w:r>
              <w:rPr>
                <w:rFonts w:hint="eastAsia" w:ascii="Times New Roman" w:hAnsi="Times New Roman" w:eastAsia="宋体" w:cs="Times New Roman"/>
                <w:bCs/>
                <w:color w:val="auto"/>
                <w:sz w:val="24"/>
                <w:szCs w:val="24"/>
                <w:highlight w:val="none"/>
                <w:vertAlign w:val="baseline"/>
                <w:lang w:val="en-US" w:eastAsia="zh-CN"/>
              </w:rPr>
              <w:t>一般</w:t>
            </w:r>
            <w:r>
              <w:rPr>
                <w:rFonts w:hint="default" w:ascii="Times New Roman" w:hAnsi="Times New Roman" w:eastAsia="宋体" w:cs="Times New Roman"/>
                <w:bCs/>
                <w:color w:val="auto"/>
                <w:sz w:val="24"/>
                <w:szCs w:val="24"/>
                <w:highlight w:val="none"/>
                <w:vertAlign w:val="baseline"/>
                <w:lang w:val="en-US" w:eastAsia="zh-CN"/>
              </w:rPr>
              <w:t>管控单元</w:t>
            </w:r>
            <w:r>
              <w:rPr>
                <w:rFonts w:hint="default" w:ascii="Times New Roman" w:hAnsi="Times New Roman" w:eastAsia="宋体" w:cs="Times New Roman"/>
                <w:bCs/>
                <w:color w:val="auto"/>
                <w:sz w:val="24"/>
                <w:highlight w:val="none"/>
                <w:lang w:val="en-US" w:eastAsia="zh-CN"/>
              </w:rPr>
              <w:t>，对照表1-7中的管控要求，建设项目符合榆林市生态环境准入清单各管控单元的环境分区管控的要求。</w:t>
            </w:r>
          </w:p>
          <w:p w14:paraId="7729CFDE">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4、其他符合性分析</w:t>
            </w:r>
          </w:p>
          <w:p w14:paraId="51768CC1">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项目与相关政策的符合性分析见下表：</w:t>
            </w:r>
          </w:p>
          <w:p w14:paraId="39119F4B">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kern w:val="0"/>
                <w:sz w:val="24"/>
                <w:szCs w:val="24"/>
                <w:highlight w:val="none"/>
                <w:lang w:val="en-US" w:eastAsia="zh-CN" w:bidi="ar"/>
              </w:rPr>
            </w:pPr>
          </w:p>
          <w:p w14:paraId="4EC871A4">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kern w:val="0"/>
                <w:sz w:val="24"/>
                <w:szCs w:val="24"/>
                <w:highlight w:val="none"/>
                <w:lang w:val="en-US" w:eastAsia="zh-CN" w:bidi="ar"/>
              </w:rPr>
            </w:pPr>
          </w:p>
          <w:p w14:paraId="730A73BE">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表1-8 项目与相关政策符合性分析一览表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2235"/>
              <w:gridCol w:w="2742"/>
              <w:gridCol w:w="1967"/>
              <w:gridCol w:w="441"/>
            </w:tblGrid>
            <w:tr w14:paraId="5921C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tcBorders>
                    <w:top w:val="single" w:color="auto" w:sz="4" w:space="0"/>
                    <w:left w:val="single" w:color="auto" w:sz="4" w:space="0"/>
                    <w:bottom w:val="single" w:color="auto" w:sz="4" w:space="0"/>
                    <w:right w:val="single" w:color="auto" w:sz="4" w:space="0"/>
                  </w:tcBorders>
                  <w:noWrap w:val="0"/>
                  <w:vAlign w:val="center"/>
                </w:tcPr>
                <w:p w14:paraId="7152EBC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序号</w:t>
                  </w:r>
                </w:p>
              </w:tc>
              <w:tc>
                <w:tcPr>
                  <w:tcW w:w="1430" w:type="pct"/>
                  <w:tcBorders>
                    <w:top w:val="single" w:color="auto" w:sz="4" w:space="0"/>
                    <w:left w:val="single" w:color="auto" w:sz="4" w:space="0"/>
                    <w:bottom w:val="single" w:color="auto" w:sz="4" w:space="0"/>
                    <w:right w:val="single" w:color="auto" w:sz="4" w:space="0"/>
                  </w:tcBorders>
                  <w:noWrap w:val="0"/>
                  <w:vAlign w:val="center"/>
                </w:tcPr>
                <w:p w14:paraId="42AD33B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政策名称</w:t>
                  </w:r>
                </w:p>
              </w:tc>
              <w:tc>
                <w:tcPr>
                  <w:tcW w:w="1754" w:type="pct"/>
                  <w:tcBorders>
                    <w:top w:val="single" w:color="auto" w:sz="4" w:space="0"/>
                    <w:left w:val="single" w:color="auto" w:sz="4" w:space="0"/>
                    <w:bottom w:val="single" w:color="auto" w:sz="4" w:space="0"/>
                    <w:right w:val="single" w:color="auto" w:sz="4" w:space="0"/>
                  </w:tcBorders>
                  <w:noWrap w:val="0"/>
                  <w:vAlign w:val="center"/>
                </w:tcPr>
                <w:p w14:paraId="055267E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政策要求（摘录）</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7549C5E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本项目情况</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732135D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符合性</w:t>
                  </w:r>
                </w:p>
              </w:tc>
            </w:tr>
            <w:tr w14:paraId="67006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tcBorders>
                    <w:top w:val="single" w:color="auto" w:sz="4" w:space="0"/>
                    <w:left w:val="single" w:color="auto" w:sz="4" w:space="0"/>
                    <w:bottom w:val="single" w:color="auto" w:sz="4" w:space="0"/>
                    <w:right w:val="single" w:color="auto" w:sz="4" w:space="0"/>
                  </w:tcBorders>
                  <w:noWrap w:val="0"/>
                  <w:vAlign w:val="center"/>
                </w:tcPr>
                <w:p w14:paraId="3098B74E">
                  <w:pPr>
                    <w:keepNext w:val="0"/>
                    <w:keepLines w:val="0"/>
                    <w:widowControl w:val="0"/>
                    <w:suppressLineNumbers w:val="0"/>
                    <w:spacing w:before="0" w:beforeAutospacing="0" w:after="0" w:afterAutospacing="0"/>
                    <w:ind w:left="425" w:right="0" w:hanging="425"/>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w:t>
                  </w:r>
                </w:p>
              </w:tc>
              <w:tc>
                <w:tcPr>
                  <w:tcW w:w="1430" w:type="pct"/>
                  <w:tcBorders>
                    <w:top w:val="single" w:color="auto" w:sz="4" w:space="0"/>
                    <w:left w:val="single" w:color="auto" w:sz="4" w:space="0"/>
                    <w:bottom w:val="single" w:color="auto" w:sz="4" w:space="0"/>
                    <w:right w:val="single" w:color="auto" w:sz="4" w:space="0"/>
                  </w:tcBorders>
                  <w:noWrap w:val="0"/>
                  <w:vAlign w:val="center"/>
                </w:tcPr>
                <w:p w14:paraId="7DC46C2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《中华人民共和国防沙治沙法（2018修正）》</w:t>
                  </w:r>
                </w:p>
              </w:tc>
              <w:tc>
                <w:tcPr>
                  <w:tcW w:w="1754" w:type="pct"/>
                  <w:tcBorders>
                    <w:top w:val="single" w:color="auto" w:sz="4" w:space="0"/>
                    <w:left w:val="single" w:color="auto" w:sz="4" w:space="0"/>
                    <w:bottom w:val="single" w:color="auto" w:sz="4" w:space="0"/>
                    <w:right w:val="single" w:color="auto" w:sz="4" w:space="0"/>
                  </w:tcBorders>
                  <w:noWrap w:val="0"/>
                  <w:vAlign w:val="center"/>
                </w:tcPr>
                <w:p w14:paraId="605E3CA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第二十一条 在沙化土地范围内从事开发建设活动的，必须事先就该项目可能对当地及相关地区生态产生的影响进行环境影响评价，依法提交环境影响报告；环境影响报告应当包括有关防沙治沙的内容。</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5B38AF7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本项目建设区域不涉及沙化土地。本次评价分析可能造成的生态影响，并提出保持水土、防治土地荒漠化及土地沙化的防治措施。</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36BCBBC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0C6FD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tcBorders>
                    <w:top w:val="single" w:color="auto" w:sz="4" w:space="0"/>
                    <w:left w:val="single" w:color="auto" w:sz="4" w:space="0"/>
                    <w:bottom w:val="single" w:color="auto" w:sz="4" w:space="0"/>
                    <w:right w:val="single" w:color="auto" w:sz="4" w:space="0"/>
                  </w:tcBorders>
                  <w:noWrap w:val="0"/>
                  <w:vAlign w:val="center"/>
                </w:tcPr>
                <w:p w14:paraId="316CD83E">
                  <w:pPr>
                    <w:keepNext w:val="0"/>
                    <w:keepLines w:val="0"/>
                    <w:widowControl w:val="0"/>
                    <w:suppressLineNumbers w:val="0"/>
                    <w:spacing w:before="0" w:beforeAutospacing="0" w:after="0" w:afterAutospacing="0"/>
                    <w:ind w:left="425" w:right="0" w:hanging="425"/>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w:t>
                  </w:r>
                </w:p>
              </w:tc>
              <w:tc>
                <w:tcPr>
                  <w:tcW w:w="1430" w:type="pct"/>
                  <w:vMerge w:val="restart"/>
                  <w:tcBorders>
                    <w:top w:val="single" w:color="auto" w:sz="4" w:space="0"/>
                    <w:left w:val="single" w:color="auto" w:sz="4" w:space="0"/>
                    <w:bottom w:val="single" w:color="auto" w:sz="4" w:space="0"/>
                    <w:right w:val="single" w:color="auto" w:sz="4" w:space="0"/>
                  </w:tcBorders>
                  <w:noWrap w:val="0"/>
                  <w:vAlign w:val="center"/>
                </w:tcPr>
                <w:p w14:paraId="38AD605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《陕西省煤炭石油天然气开发生态环境保护条例》</w:t>
                  </w:r>
                </w:p>
              </w:tc>
              <w:tc>
                <w:tcPr>
                  <w:tcW w:w="1754" w:type="pct"/>
                  <w:tcBorders>
                    <w:top w:val="single" w:color="auto" w:sz="4" w:space="0"/>
                    <w:left w:val="single" w:color="auto" w:sz="4" w:space="0"/>
                    <w:bottom w:val="single" w:color="auto" w:sz="4" w:space="0"/>
                    <w:right w:val="single" w:color="auto" w:sz="4" w:space="0"/>
                  </w:tcBorders>
                  <w:noWrap w:val="0"/>
                  <w:vAlign w:val="center"/>
                </w:tcPr>
                <w:p w14:paraId="1DE3B9C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第十二条 省人民政府及其有关行政主管部门在编制能源产业发展规划和矿产资源开发规划时，应当按照本省国土空间规划、生态环境保护规划以及本省确定的生态保护红线、环境质量底线、资源利用上线和生态环境准入清单要求，合理确定煤炭、石油、天然气开发区域、规模和强度。</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699D63B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本项目不涉及生态红线，项目满足环境质量底线、资源利用上线和生态环境准入清单要求</w:t>
                  </w:r>
                  <w:r>
                    <w:rPr>
                      <w:rFonts w:hint="eastAsia" w:ascii="Times New Roman" w:hAnsi="Times New Roman" w:eastAsia="宋体" w:cs="Times New Roman"/>
                      <w:color w:val="auto"/>
                      <w:sz w:val="21"/>
                      <w:szCs w:val="21"/>
                      <w:highlight w:val="none"/>
                      <w:vertAlign w:val="baseline"/>
                      <w:lang w:val="en-US" w:eastAsia="zh-CN"/>
                    </w:rPr>
                    <w:t>。</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1176745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3E38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op w:val="single" w:color="auto" w:sz="4" w:space="0"/>
                    <w:left w:val="single" w:color="auto" w:sz="4" w:space="0"/>
                    <w:bottom w:val="single" w:color="auto" w:sz="4" w:space="0"/>
                    <w:right w:val="single" w:color="auto" w:sz="4" w:space="0"/>
                  </w:tcBorders>
                  <w:noWrap w:val="0"/>
                  <w:vAlign w:val="center"/>
                </w:tcPr>
                <w:p w14:paraId="00885A80">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430" w:type="pct"/>
                  <w:vMerge w:val="continue"/>
                  <w:tcBorders>
                    <w:top w:val="single" w:color="auto" w:sz="4" w:space="0"/>
                    <w:left w:val="single" w:color="auto" w:sz="4" w:space="0"/>
                    <w:bottom w:val="single" w:color="auto" w:sz="4" w:space="0"/>
                    <w:right w:val="single" w:color="auto" w:sz="4" w:space="0"/>
                  </w:tcBorders>
                  <w:noWrap w:val="0"/>
                  <w:vAlign w:val="center"/>
                </w:tcPr>
                <w:p w14:paraId="0D0D2E73">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754" w:type="pct"/>
                  <w:tcBorders>
                    <w:top w:val="single" w:color="auto" w:sz="4" w:space="0"/>
                    <w:left w:val="single" w:color="auto" w:sz="4" w:space="0"/>
                    <w:bottom w:val="single" w:color="auto" w:sz="4" w:space="0"/>
                    <w:right w:val="single" w:color="auto" w:sz="4" w:space="0"/>
                  </w:tcBorders>
                  <w:noWrap w:val="0"/>
                  <w:vAlign w:val="center"/>
                </w:tcPr>
                <w:p w14:paraId="767C1BA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第十三条 禁止在居民区和国务院或者省人民政府划定的重要水源涵养区、饮用水水源保护区，国家公园，自然保护区，风景名胜区、森林公园、地质公园、草原公园、湿地公园等自然公园、文物保护单位等区域内进行煤炭、石油、天然气开发。</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00587A8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本项目位于榆林市</w:t>
                  </w:r>
                  <w:r>
                    <w:rPr>
                      <w:rFonts w:hint="eastAsia" w:ascii="Times New Roman" w:hAnsi="Times New Roman" w:eastAsia="宋体" w:cs="Times New Roman"/>
                      <w:color w:val="auto"/>
                      <w:sz w:val="21"/>
                      <w:szCs w:val="21"/>
                      <w:highlight w:val="none"/>
                      <w:vertAlign w:val="baseline"/>
                      <w:lang w:val="en-US" w:eastAsia="zh-CN"/>
                    </w:rPr>
                    <w:t>佳县金明寺镇</w:t>
                  </w:r>
                  <w:r>
                    <w:rPr>
                      <w:rFonts w:hint="default"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建设结束</w:t>
                  </w:r>
                  <w:r>
                    <w:rPr>
                      <w:rFonts w:hint="default" w:ascii="Times New Roman" w:hAnsi="Times New Roman" w:eastAsia="宋体" w:cs="Times New Roman"/>
                      <w:color w:val="auto"/>
                      <w:sz w:val="21"/>
                      <w:szCs w:val="21"/>
                      <w:highlight w:val="none"/>
                      <w:vertAlign w:val="baseline"/>
                      <w:lang w:val="en-US" w:eastAsia="zh-CN"/>
                    </w:rPr>
                    <w:t>后</w:t>
                  </w:r>
                  <w:r>
                    <w:rPr>
                      <w:rFonts w:hint="eastAsia" w:ascii="Times New Roman" w:hAnsi="Times New Roman" w:eastAsia="宋体" w:cs="Times New Roman"/>
                      <w:color w:val="auto"/>
                      <w:sz w:val="21"/>
                      <w:szCs w:val="21"/>
                      <w:highlight w:val="none"/>
                      <w:vertAlign w:val="baseline"/>
                      <w:lang w:val="en-US" w:eastAsia="zh-CN"/>
                    </w:rPr>
                    <w:t>若</w:t>
                  </w:r>
                  <w:r>
                    <w:rPr>
                      <w:rFonts w:hint="default" w:ascii="Times New Roman" w:hAnsi="Times New Roman" w:eastAsia="宋体" w:cs="Times New Roman"/>
                      <w:color w:val="auto"/>
                      <w:sz w:val="21"/>
                      <w:szCs w:val="21"/>
                      <w:highlight w:val="none"/>
                      <w:vertAlign w:val="baseline"/>
                      <w:lang w:val="en-US" w:eastAsia="zh-CN"/>
                    </w:rPr>
                    <w:t>采取永久封井，</w:t>
                  </w:r>
                  <w:r>
                    <w:rPr>
                      <w:rFonts w:hint="eastAsia" w:ascii="Times New Roman" w:hAnsi="Times New Roman" w:eastAsia="宋体" w:cs="Times New Roman"/>
                      <w:color w:val="auto"/>
                      <w:sz w:val="21"/>
                      <w:szCs w:val="21"/>
                      <w:highlight w:val="none"/>
                      <w:vertAlign w:val="baseline"/>
                      <w:lang w:val="en-US" w:eastAsia="zh-CN"/>
                    </w:rPr>
                    <w:t>则项目为临时占地；若</w:t>
                  </w:r>
                  <w:r>
                    <w:rPr>
                      <w:rFonts w:hint="default" w:ascii="Times New Roman" w:hAnsi="Times New Roman" w:eastAsia="宋体" w:cs="Times New Roman"/>
                      <w:color w:val="auto"/>
                      <w:sz w:val="21"/>
                      <w:szCs w:val="21"/>
                      <w:highlight w:val="none"/>
                      <w:vertAlign w:val="baseline"/>
                      <w:lang w:val="en-US" w:eastAsia="zh-CN"/>
                    </w:rPr>
                    <w:t>采取临时封井，除预留转成生产井所需的面积</w:t>
                  </w:r>
                  <w:r>
                    <w:rPr>
                      <w:rFonts w:hint="eastAsia" w:ascii="Times New Roman" w:hAnsi="Times New Roman" w:eastAsia="宋体" w:cs="Times New Roman"/>
                      <w:color w:val="auto"/>
                      <w:sz w:val="21"/>
                      <w:szCs w:val="21"/>
                      <w:highlight w:val="none"/>
                      <w:vertAlign w:val="baseline"/>
                      <w:lang w:val="en-US" w:eastAsia="zh-CN"/>
                    </w:rPr>
                    <w:t>为永久占地</w:t>
                  </w:r>
                  <w:r>
                    <w:rPr>
                      <w:rFonts w:hint="default" w:ascii="Times New Roman" w:hAnsi="Times New Roman" w:eastAsia="宋体" w:cs="Times New Roman"/>
                      <w:color w:val="auto"/>
                      <w:sz w:val="21"/>
                      <w:szCs w:val="21"/>
                      <w:highlight w:val="none"/>
                      <w:vertAlign w:val="baseline"/>
                      <w:lang w:val="en-US" w:eastAsia="zh-CN"/>
                    </w:rPr>
                    <w:t>，其他区域</w:t>
                  </w:r>
                  <w:r>
                    <w:rPr>
                      <w:rFonts w:hint="eastAsia" w:ascii="Times New Roman" w:hAnsi="Times New Roman" w:eastAsia="宋体" w:cs="Times New Roman"/>
                      <w:color w:val="auto"/>
                      <w:sz w:val="21"/>
                      <w:szCs w:val="21"/>
                      <w:highlight w:val="none"/>
                      <w:vertAlign w:val="baseline"/>
                      <w:lang w:val="en-US" w:eastAsia="zh-CN"/>
                    </w:rPr>
                    <w:t>为临时占地</w:t>
                  </w:r>
                  <w:r>
                    <w:rPr>
                      <w:rFonts w:hint="default" w:ascii="Times New Roman" w:hAnsi="Times New Roman" w:eastAsia="宋体" w:cs="Times New Roman"/>
                      <w:color w:val="auto"/>
                      <w:kern w:val="0"/>
                      <w:sz w:val="21"/>
                      <w:szCs w:val="21"/>
                      <w:highlight w:val="none"/>
                      <w:lang w:val="en-US" w:eastAsia="zh-CN" w:bidi="ar"/>
                    </w:rPr>
                    <w:t>，不涉及重要水源涵养区、饮用水水源保护区，国家公园、自然保护区、风景名胜区、森林公园、地质公园、草原公园、湿地公园等自然公园、文物保护单位等区域。</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4A4AD3E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56A4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op w:val="single" w:color="auto" w:sz="4" w:space="0"/>
                    <w:left w:val="single" w:color="auto" w:sz="4" w:space="0"/>
                    <w:bottom w:val="single" w:color="auto" w:sz="4" w:space="0"/>
                    <w:right w:val="single" w:color="auto" w:sz="4" w:space="0"/>
                  </w:tcBorders>
                  <w:noWrap w:val="0"/>
                  <w:vAlign w:val="center"/>
                </w:tcPr>
                <w:p w14:paraId="050CF3AB">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430" w:type="pct"/>
                  <w:vMerge w:val="continue"/>
                  <w:tcBorders>
                    <w:top w:val="single" w:color="auto" w:sz="4" w:space="0"/>
                    <w:left w:val="single" w:color="auto" w:sz="4" w:space="0"/>
                    <w:bottom w:val="single" w:color="auto" w:sz="4" w:space="0"/>
                    <w:right w:val="single" w:color="auto" w:sz="4" w:space="0"/>
                  </w:tcBorders>
                  <w:noWrap w:val="0"/>
                  <w:vAlign w:val="center"/>
                </w:tcPr>
                <w:p w14:paraId="11DB7DE0">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754" w:type="pct"/>
                  <w:tcBorders>
                    <w:top w:val="single" w:color="auto" w:sz="4" w:space="0"/>
                    <w:left w:val="single" w:color="auto" w:sz="4" w:space="0"/>
                    <w:bottom w:val="single" w:color="auto" w:sz="4" w:space="0"/>
                    <w:right w:val="single" w:color="auto" w:sz="4" w:space="0"/>
                  </w:tcBorders>
                  <w:noWrap w:val="0"/>
                  <w:vAlign w:val="center"/>
                </w:tcPr>
                <w:p w14:paraId="7F237EC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第十六条 新建、扩建、改建煤炭、石油、天然气开发建设项目，建设单位应当在项目开工建设前编制环境影响评价文件，按照建设项目环境影响评价分级管理目录规定，报有审批权的生态环境行政主管部门审批。实行相对集中行政许可权的地方，审批机关应当将审批文件同时抄送项目所在地同级生态环境行政主管部门。</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0FAC3C7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长庆油田分公司天然气评价项目部已正式委托我公司进行环境影响评价工作，拟上报榆林市生态环境局佳县分局审批。</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5970576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1E343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op w:val="single" w:color="auto" w:sz="4" w:space="0"/>
                    <w:left w:val="single" w:color="auto" w:sz="4" w:space="0"/>
                    <w:bottom w:val="single" w:color="auto" w:sz="4" w:space="0"/>
                    <w:right w:val="single" w:color="auto" w:sz="4" w:space="0"/>
                  </w:tcBorders>
                  <w:noWrap w:val="0"/>
                  <w:vAlign w:val="center"/>
                </w:tcPr>
                <w:p w14:paraId="3E778F83">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430" w:type="pct"/>
                  <w:vMerge w:val="continue"/>
                  <w:tcBorders>
                    <w:top w:val="single" w:color="auto" w:sz="4" w:space="0"/>
                    <w:left w:val="single" w:color="auto" w:sz="4" w:space="0"/>
                    <w:bottom w:val="single" w:color="auto" w:sz="4" w:space="0"/>
                    <w:right w:val="single" w:color="auto" w:sz="4" w:space="0"/>
                  </w:tcBorders>
                  <w:noWrap w:val="0"/>
                  <w:vAlign w:val="center"/>
                </w:tcPr>
                <w:p w14:paraId="36711041">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754" w:type="pct"/>
                  <w:tcBorders>
                    <w:top w:val="single" w:color="auto" w:sz="4" w:space="0"/>
                    <w:left w:val="single" w:color="auto" w:sz="4" w:space="0"/>
                    <w:bottom w:val="single" w:color="auto" w:sz="4" w:space="0"/>
                    <w:right w:val="single" w:color="auto" w:sz="4" w:space="0"/>
                  </w:tcBorders>
                  <w:noWrap w:val="0"/>
                  <w:vAlign w:val="center"/>
                </w:tcPr>
                <w:p w14:paraId="2B80D4F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第二十六条 石油、天然气开发单位应当对开采过程中产生的钻井废水、压裂返排液、采出水按照国家有关规定进行无害化处理，经处理达到标准的，按照经批准的环境影响评价文件要求排放或者回注。石油采出水应当同层回注，不得外排。</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17E6B9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本项目天然气</w:t>
                  </w:r>
                  <w:r>
                    <w:rPr>
                      <w:rFonts w:hint="eastAsia" w:ascii="Times New Roman" w:hAnsi="Times New Roman" w:eastAsia="宋体" w:cs="Times New Roman"/>
                      <w:color w:val="auto"/>
                      <w:sz w:val="21"/>
                      <w:szCs w:val="21"/>
                      <w:highlight w:val="none"/>
                      <w:vertAlign w:val="baseline"/>
                      <w:lang w:val="en-US" w:eastAsia="zh-CN"/>
                    </w:rPr>
                    <w:t>评价井建设</w:t>
                  </w:r>
                  <w:r>
                    <w:rPr>
                      <w:rFonts w:hint="default" w:ascii="Times New Roman" w:hAnsi="Times New Roman" w:eastAsia="宋体" w:cs="Times New Roman"/>
                      <w:color w:val="auto"/>
                      <w:sz w:val="21"/>
                      <w:szCs w:val="21"/>
                      <w:highlight w:val="none"/>
                      <w:vertAlign w:val="baseline"/>
                      <w:lang w:val="en-US" w:eastAsia="zh-CN"/>
                    </w:rPr>
                    <w:t>过程产生的钻井废水、</w:t>
                  </w:r>
                  <w:r>
                    <w:rPr>
                      <w:rFonts w:hint="default" w:ascii="Times New Roman" w:hAnsi="Times New Roman" w:eastAsia="宋体" w:cs="Times New Roman"/>
                      <w:b w:val="0"/>
                      <w:bCs w:val="0"/>
                      <w:color w:val="auto"/>
                      <w:sz w:val="21"/>
                      <w:szCs w:val="21"/>
                      <w:highlight w:val="none"/>
                      <w:vertAlign w:val="baseline"/>
                      <w:lang w:val="en-US" w:eastAsia="zh-CN"/>
                    </w:rPr>
                    <w:t>洗井废水</w:t>
                  </w:r>
                  <w:r>
                    <w:rPr>
                      <w:rFonts w:hint="eastAsia" w:ascii="Times New Roman" w:hAnsi="Times New Roman" w:eastAsia="宋体" w:cs="Times New Roman"/>
                      <w:b w:val="0"/>
                      <w:bCs w:val="0"/>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压裂返排液</w:t>
                  </w:r>
                  <w:r>
                    <w:rPr>
                      <w:rFonts w:hint="eastAsia" w:ascii="Times New Roman" w:hAnsi="Times New Roman" w:eastAsia="宋体" w:cs="Times New Roman"/>
                      <w:b w:val="0"/>
                      <w:bCs w:val="0"/>
                      <w:color w:val="auto"/>
                      <w:sz w:val="21"/>
                      <w:szCs w:val="21"/>
                      <w:highlight w:val="none"/>
                      <w:vertAlign w:val="baseline"/>
                      <w:lang w:val="en-US" w:eastAsia="zh-CN"/>
                    </w:rPr>
                    <w:t>、射孔废水、</w:t>
                  </w:r>
                  <w:r>
                    <w:rPr>
                      <w:rFonts w:hint="eastAsia" w:cs="Times New Roman"/>
                      <w:color w:val="auto"/>
                      <w:sz w:val="21"/>
                      <w:szCs w:val="21"/>
                      <w:highlight w:val="none"/>
                      <w:lang w:val="en-US" w:eastAsia="zh-CN"/>
                    </w:rPr>
                    <w:t>放喷废水</w:t>
                  </w:r>
                  <w:r>
                    <w:rPr>
                      <w:rFonts w:hint="default" w:ascii="Times New Roman" w:hAnsi="Times New Roman" w:eastAsia="宋体" w:cs="Times New Roman"/>
                      <w:bCs/>
                      <w:color w:val="auto"/>
                      <w:sz w:val="21"/>
                      <w:szCs w:val="21"/>
                      <w:highlight w:val="none"/>
                      <w:vertAlign w:val="baseline"/>
                      <w:lang w:val="en-US" w:eastAsia="zh-CN"/>
                    </w:rPr>
                    <w:t>等</w:t>
                  </w:r>
                  <w:r>
                    <w:rPr>
                      <w:rFonts w:hint="default" w:ascii="Times New Roman" w:hAnsi="Times New Roman" w:eastAsia="宋体" w:cs="Times New Roman"/>
                      <w:color w:val="auto"/>
                      <w:sz w:val="21"/>
                      <w:szCs w:val="21"/>
                      <w:highlight w:val="none"/>
                      <w:vertAlign w:val="baseline"/>
                      <w:lang w:val="en-US" w:eastAsia="zh-CN"/>
                    </w:rPr>
                    <w:t>交</w:t>
                  </w:r>
                  <w:r>
                    <w:rPr>
                      <w:rFonts w:hint="eastAsia" w:ascii="Times New Roman" w:hAnsi="Times New Roman" w:eastAsia="宋体" w:cs="Times New Roman"/>
                      <w:color w:val="auto"/>
                      <w:sz w:val="21"/>
                      <w:szCs w:val="21"/>
                      <w:highlight w:val="none"/>
                      <w:vertAlign w:val="baseline"/>
                      <w:lang w:val="en-US" w:eastAsia="zh-CN"/>
                    </w:rPr>
                    <w:t>协议的有能力单位</w:t>
                  </w:r>
                  <w:r>
                    <w:rPr>
                      <w:rFonts w:hint="default" w:ascii="Times New Roman" w:hAnsi="Times New Roman" w:eastAsia="宋体" w:cs="Times New Roman"/>
                      <w:color w:val="auto"/>
                      <w:sz w:val="21"/>
                      <w:szCs w:val="21"/>
                      <w:highlight w:val="none"/>
                      <w:vertAlign w:val="baseline"/>
                      <w:lang w:val="en-US" w:eastAsia="zh-CN"/>
                    </w:rPr>
                    <w:t>处置。</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104C606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60A46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op w:val="single" w:color="auto" w:sz="4" w:space="0"/>
                    <w:left w:val="single" w:color="auto" w:sz="4" w:space="0"/>
                    <w:bottom w:val="single" w:color="auto" w:sz="4" w:space="0"/>
                    <w:right w:val="single" w:color="auto" w:sz="4" w:space="0"/>
                  </w:tcBorders>
                  <w:noWrap w:val="0"/>
                  <w:vAlign w:val="center"/>
                </w:tcPr>
                <w:p w14:paraId="115FC999">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430" w:type="pct"/>
                  <w:vMerge w:val="continue"/>
                  <w:tcBorders>
                    <w:top w:val="single" w:color="auto" w:sz="4" w:space="0"/>
                    <w:left w:val="single" w:color="auto" w:sz="4" w:space="0"/>
                    <w:bottom w:val="single" w:color="auto" w:sz="4" w:space="0"/>
                    <w:right w:val="single" w:color="auto" w:sz="4" w:space="0"/>
                  </w:tcBorders>
                  <w:noWrap w:val="0"/>
                  <w:vAlign w:val="center"/>
                </w:tcPr>
                <w:p w14:paraId="3F947430">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754" w:type="pct"/>
                  <w:tcBorders>
                    <w:top w:val="single" w:color="auto" w:sz="4" w:space="0"/>
                    <w:left w:val="single" w:color="auto" w:sz="4" w:space="0"/>
                    <w:bottom w:val="single" w:color="auto" w:sz="4" w:space="0"/>
                    <w:right w:val="single" w:color="auto" w:sz="4" w:space="0"/>
                  </w:tcBorders>
                  <w:noWrap w:val="0"/>
                  <w:vAlign w:val="center"/>
                </w:tcPr>
                <w:p w14:paraId="7D16E3D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第二十九条 煤炭、石油、天然气开发单位收集、贮存、运输、利用和处置危险废物，应当严格执行国家和本省有关规定，不得将危险废物交由不具备资质的单位处置。</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2EB6AB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本项目产生的危险废物委托有资质单位处理</w:t>
                  </w:r>
                  <w:r>
                    <w:rPr>
                      <w:rFonts w:hint="eastAsia" w:ascii="Times New Roman" w:hAnsi="Times New Roman" w:eastAsia="宋体" w:cs="Times New Roman"/>
                      <w:color w:val="auto"/>
                      <w:sz w:val="21"/>
                      <w:szCs w:val="21"/>
                      <w:highlight w:val="none"/>
                      <w:vertAlign w:val="baseline"/>
                      <w:lang w:val="en-US" w:eastAsia="zh-CN"/>
                    </w:rPr>
                    <w:t>。</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2170BC1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0150B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op w:val="single" w:color="auto" w:sz="4" w:space="0"/>
                    <w:left w:val="single" w:color="auto" w:sz="4" w:space="0"/>
                    <w:bottom w:val="single" w:color="auto" w:sz="4" w:space="0"/>
                    <w:right w:val="single" w:color="auto" w:sz="4" w:space="0"/>
                  </w:tcBorders>
                  <w:noWrap w:val="0"/>
                  <w:vAlign w:val="center"/>
                </w:tcPr>
                <w:p w14:paraId="12C79608">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430" w:type="pct"/>
                  <w:vMerge w:val="continue"/>
                  <w:tcBorders>
                    <w:top w:val="single" w:color="auto" w:sz="4" w:space="0"/>
                    <w:left w:val="single" w:color="auto" w:sz="4" w:space="0"/>
                    <w:bottom w:val="single" w:color="auto" w:sz="4" w:space="0"/>
                    <w:right w:val="single" w:color="auto" w:sz="4" w:space="0"/>
                  </w:tcBorders>
                  <w:noWrap w:val="0"/>
                  <w:vAlign w:val="center"/>
                </w:tcPr>
                <w:p w14:paraId="33AB4961">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754" w:type="pct"/>
                  <w:tcBorders>
                    <w:top w:val="single" w:color="auto" w:sz="4" w:space="0"/>
                    <w:left w:val="single" w:color="auto" w:sz="4" w:space="0"/>
                    <w:bottom w:val="single" w:color="auto" w:sz="4" w:space="0"/>
                    <w:right w:val="single" w:color="auto" w:sz="4" w:space="0"/>
                  </w:tcBorders>
                  <w:noWrap w:val="0"/>
                  <w:vAlign w:val="center"/>
                </w:tcPr>
                <w:p w14:paraId="2E713DFF">
                  <w:pPr>
                    <w:pStyle w:val="21"/>
                    <w:widowControl/>
                    <w:adjustRightInd/>
                    <w:snapToGrid/>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石油、天然气开发单位对开采过程中产生的废弃泥浆、岩屑等工业固体废物应当集中收集、处置。</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4711381D">
                  <w:pPr>
                    <w:pStyle w:val="21"/>
                    <w:widowControl/>
                    <w:adjustRightInd/>
                    <w:snapToGrid/>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
                    </w:rPr>
                    <w:t>本项目施工场地设有移动式泥饼和岩屑收集罐，对产生的废弃泥浆和岩屑进行集中收集，待施工结束后，委托</w:t>
                  </w:r>
                  <w:r>
                    <w:rPr>
                      <w:rFonts w:hint="eastAsia" w:cs="Times New Roman"/>
                      <w:color w:val="auto"/>
                      <w:sz w:val="21"/>
                      <w:szCs w:val="21"/>
                      <w:highlight w:val="none"/>
                      <w:lang w:val="en-US" w:eastAsia="zh-CN" w:bidi="ar"/>
                    </w:rPr>
                    <w:t>协议的有能力单位</w:t>
                  </w:r>
                  <w:r>
                    <w:rPr>
                      <w:rFonts w:hint="default" w:ascii="Times New Roman" w:hAnsi="Times New Roman" w:eastAsia="宋体" w:cs="Times New Roman"/>
                      <w:color w:val="auto"/>
                      <w:sz w:val="21"/>
                      <w:szCs w:val="21"/>
                      <w:highlight w:val="none"/>
                      <w:lang w:val="en-US" w:eastAsia="zh-CN" w:bidi="ar"/>
                    </w:rPr>
                    <w:t>处置。</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19B4C7B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49E54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op w:val="single" w:color="auto" w:sz="4" w:space="0"/>
                    <w:left w:val="single" w:color="auto" w:sz="4" w:space="0"/>
                    <w:bottom w:val="single" w:color="auto" w:sz="4" w:space="0"/>
                    <w:right w:val="single" w:color="auto" w:sz="4" w:space="0"/>
                  </w:tcBorders>
                  <w:noWrap w:val="0"/>
                  <w:vAlign w:val="center"/>
                </w:tcPr>
                <w:p w14:paraId="4838CE47">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430" w:type="pct"/>
                  <w:vMerge w:val="continue"/>
                  <w:tcBorders>
                    <w:top w:val="single" w:color="auto" w:sz="4" w:space="0"/>
                    <w:left w:val="single" w:color="auto" w:sz="4" w:space="0"/>
                    <w:bottom w:val="single" w:color="auto" w:sz="4" w:space="0"/>
                    <w:right w:val="single" w:color="auto" w:sz="4" w:space="0"/>
                  </w:tcBorders>
                  <w:noWrap w:val="0"/>
                  <w:vAlign w:val="center"/>
                </w:tcPr>
                <w:p w14:paraId="7E49B0D8">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754" w:type="pct"/>
                  <w:tcBorders>
                    <w:top w:val="single" w:color="auto" w:sz="4" w:space="0"/>
                    <w:left w:val="single" w:color="auto" w:sz="4" w:space="0"/>
                    <w:bottom w:val="single" w:color="auto" w:sz="4" w:space="0"/>
                    <w:right w:val="single" w:color="auto" w:sz="4" w:space="0"/>
                  </w:tcBorders>
                  <w:noWrap w:val="0"/>
                  <w:vAlign w:val="center"/>
                </w:tcPr>
                <w:p w14:paraId="7C337443">
                  <w:pPr>
                    <w:pStyle w:val="21"/>
                    <w:widowControl/>
                    <w:adjustRightInd/>
                    <w:snapToGrid/>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天然气井选点测试放喷，应当综合考虑气候、风向、安全等因素合理选点，远离居民区和建筑物，排出的气体应当点燃焚烧。</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26D0CEBB">
                  <w:pPr>
                    <w:pStyle w:val="21"/>
                    <w:widowControl/>
                    <w:adjustRightInd/>
                    <w:snapToGrid/>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测试放喷的天然气经专用放喷管线引至</w:t>
                  </w:r>
                  <w:r>
                    <w:rPr>
                      <w:rFonts w:hint="eastAsia" w:cs="Times New Roman"/>
                      <w:color w:val="auto"/>
                      <w:sz w:val="21"/>
                      <w:szCs w:val="21"/>
                      <w:highlight w:val="none"/>
                      <w:lang w:val="en-US" w:eastAsia="zh-CN"/>
                    </w:rPr>
                    <w:t>放喷罐</w:t>
                  </w:r>
                  <w:r>
                    <w:rPr>
                      <w:rFonts w:hint="default" w:ascii="Times New Roman" w:hAnsi="Times New Roman" w:eastAsia="宋体" w:cs="Times New Roman"/>
                      <w:color w:val="auto"/>
                      <w:sz w:val="21"/>
                      <w:szCs w:val="21"/>
                      <w:highlight w:val="none"/>
                      <w:lang w:val="en-US" w:eastAsia="zh-CN"/>
                    </w:rPr>
                    <w:t>后点火燃烧，放喷时要选择合适的时间，在天气晴朗且风较大的天气进行，便于废气扩散</w:t>
                  </w:r>
                  <w:r>
                    <w:rPr>
                      <w:rFonts w:hint="eastAsia" w:cs="Times New Roman"/>
                      <w:color w:val="auto"/>
                      <w:sz w:val="21"/>
                      <w:szCs w:val="21"/>
                      <w:highlight w:val="none"/>
                      <w:lang w:val="en-US" w:eastAsia="zh-CN"/>
                    </w:rPr>
                    <w:t>。</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1349B62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6E9D2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op w:val="single" w:color="auto" w:sz="4" w:space="0"/>
                    <w:left w:val="single" w:color="auto" w:sz="4" w:space="0"/>
                    <w:bottom w:val="single" w:color="auto" w:sz="4" w:space="0"/>
                    <w:right w:val="single" w:color="auto" w:sz="4" w:space="0"/>
                  </w:tcBorders>
                  <w:noWrap w:val="0"/>
                  <w:vAlign w:val="center"/>
                </w:tcPr>
                <w:p w14:paraId="3D301804">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430" w:type="pct"/>
                  <w:vMerge w:val="continue"/>
                  <w:tcBorders>
                    <w:top w:val="single" w:color="auto" w:sz="4" w:space="0"/>
                    <w:left w:val="single" w:color="auto" w:sz="4" w:space="0"/>
                    <w:bottom w:val="single" w:color="auto" w:sz="4" w:space="0"/>
                    <w:right w:val="single" w:color="auto" w:sz="4" w:space="0"/>
                  </w:tcBorders>
                  <w:noWrap w:val="0"/>
                  <w:vAlign w:val="center"/>
                </w:tcPr>
                <w:p w14:paraId="74659E0D">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754" w:type="pct"/>
                  <w:tcBorders>
                    <w:top w:val="single" w:color="auto" w:sz="4" w:space="0"/>
                    <w:left w:val="single" w:color="auto" w:sz="4" w:space="0"/>
                    <w:bottom w:val="single" w:color="auto" w:sz="4" w:space="0"/>
                    <w:right w:val="single" w:color="auto" w:sz="4" w:space="0"/>
                  </w:tcBorders>
                  <w:noWrap w:val="0"/>
                  <w:vAlign w:val="center"/>
                </w:tcPr>
                <w:p w14:paraId="681DAD9E">
                  <w:pPr>
                    <w:pStyle w:val="21"/>
                    <w:widowControl/>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煤炭、石油、天然气勘探开发中使用放射性同位素和射线装置的，应当依照放射性污染防治法律、法规的规定办理辐射安全许可证。放射性同位素和放射性废物的运输、储存、保管和封装等活动，按照放射性污染防治法律、法规的相关规定执行。</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7ACEC516">
                  <w:pPr>
                    <w:pStyle w:val="21"/>
                    <w:widowControl/>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本次天然气</w:t>
                  </w:r>
                  <w:r>
                    <w:rPr>
                      <w:rFonts w:hint="eastAsia" w:cs="Times New Roman"/>
                      <w:color w:val="auto"/>
                      <w:sz w:val="21"/>
                      <w:szCs w:val="21"/>
                      <w:highlight w:val="none"/>
                      <w:lang w:val="en-US" w:eastAsia="zh-CN"/>
                    </w:rPr>
                    <w:t>评价井建设项目</w:t>
                  </w:r>
                  <w:r>
                    <w:rPr>
                      <w:rFonts w:hint="default" w:ascii="Times New Roman" w:hAnsi="Times New Roman" w:eastAsia="宋体" w:cs="Times New Roman"/>
                      <w:color w:val="auto"/>
                      <w:sz w:val="21"/>
                      <w:szCs w:val="21"/>
                      <w:highlight w:val="none"/>
                      <w:lang w:eastAsia="zh-CN"/>
                    </w:rPr>
                    <w:t>不使用放射性同位素和射线装置。</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31032FA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42030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tcBorders>
                    <w:top w:val="single" w:color="auto" w:sz="4" w:space="0"/>
                    <w:left w:val="single" w:color="auto" w:sz="4" w:space="0"/>
                    <w:bottom w:val="single" w:color="auto" w:sz="4" w:space="0"/>
                    <w:right w:val="single" w:color="auto" w:sz="4" w:space="0"/>
                  </w:tcBorders>
                  <w:noWrap w:val="0"/>
                  <w:vAlign w:val="center"/>
                </w:tcPr>
                <w:p w14:paraId="2CFE2232">
                  <w:pPr>
                    <w:keepNext w:val="0"/>
                    <w:keepLines w:val="0"/>
                    <w:widowControl w:val="0"/>
                    <w:suppressLineNumbers w:val="0"/>
                    <w:spacing w:before="0" w:beforeAutospacing="0" w:after="0" w:afterAutospacing="0"/>
                    <w:ind w:left="425" w:right="0" w:hanging="425"/>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3</w:t>
                  </w:r>
                </w:p>
              </w:tc>
              <w:tc>
                <w:tcPr>
                  <w:tcW w:w="1430" w:type="pct"/>
                  <w:vMerge w:val="restart"/>
                  <w:tcBorders>
                    <w:top w:val="single" w:color="auto" w:sz="4" w:space="0"/>
                    <w:left w:val="single" w:color="auto" w:sz="4" w:space="0"/>
                    <w:bottom w:val="single" w:color="auto" w:sz="4" w:space="0"/>
                    <w:right w:val="single" w:color="auto" w:sz="4" w:space="0"/>
                  </w:tcBorders>
                  <w:noWrap w:val="0"/>
                  <w:vAlign w:val="center"/>
                </w:tcPr>
                <w:p w14:paraId="441B232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《石油天然气开采业污染防治技术政策》</w:t>
                  </w:r>
                </w:p>
              </w:tc>
              <w:tc>
                <w:tcPr>
                  <w:tcW w:w="1754" w:type="pct"/>
                  <w:tcBorders>
                    <w:top w:val="single" w:color="auto" w:sz="4" w:space="0"/>
                    <w:left w:val="single" w:color="auto" w:sz="4" w:space="0"/>
                    <w:bottom w:val="single" w:color="auto" w:sz="4" w:space="0"/>
                    <w:right w:val="single" w:color="auto" w:sz="4" w:space="0"/>
                  </w:tcBorders>
                  <w:noWrap w:val="0"/>
                  <w:vAlign w:val="center"/>
                </w:tcPr>
                <w:p w14:paraId="168EAE0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在环境敏感区进行石油天然气勘探、开采的，要在开发前对生态、环境影响进行充分论证，并严格执行环境影响评价文件的要求，积极采取缓解生态、环境破坏的措施。</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3E1A562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本项目在钻井前进行环境影响评价，并积极落实所在评价井井场环评阶段提出的生态保护与恢复措施。</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675C600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06059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op w:val="single" w:color="auto" w:sz="4" w:space="0"/>
                    <w:left w:val="single" w:color="auto" w:sz="4" w:space="0"/>
                    <w:bottom w:val="single" w:color="auto" w:sz="4" w:space="0"/>
                    <w:right w:val="single" w:color="auto" w:sz="4" w:space="0"/>
                  </w:tcBorders>
                  <w:noWrap w:val="0"/>
                  <w:vAlign w:val="center"/>
                </w:tcPr>
                <w:p w14:paraId="7AEE4ACA">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430" w:type="pct"/>
                  <w:vMerge w:val="continue"/>
                  <w:tcBorders>
                    <w:top w:val="single" w:color="auto" w:sz="4" w:space="0"/>
                    <w:left w:val="single" w:color="auto" w:sz="4" w:space="0"/>
                    <w:bottom w:val="single" w:color="auto" w:sz="4" w:space="0"/>
                    <w:right w:val="single" w:color="auto" w:sz="4" w:space="0"/>
                  </w:tcBorders>
                  <w:noWrap w:val="0"/>
                  <w:vAlign w:val="center"/>
                </w:tcPr>
                <w:p w14:paraId="18ED96CD">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754" w:type="pct"/>
                  <w:tcBorders>
                    <w:top w:val="single" w:color="auto" w:sz="4" w:space="0"/>
                    <w:left w:val="single" w:color="auto" w:sz="4" w:space="0"/>
                    <w:bottom w:val="single" w:color="auto" w:sz="4" w:space="0"/>
                    <w:right w:val="single" w:color="auto" w:sz="4" w:space="0"/>
                  </w:tcBorders>
                  <w:noWrap w:val="0"/>
                  <w:vAlign w:val="center"/>
                </w:tcPr>
                <w:p w14:paraId="16C1B0B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在油气勘探过程中，宜使用环保型炸药和可控震源，应采取防渗等措施预防燃料泄漏对环境的污染</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08EFEF8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项目属于天然气评价井项目，</w:t>
                  </w:r>
                  <w:r>
                    <w:rPr>
                      <w:rFonts w:hint="eastAsia" w:ascii="Times New Roman" w:hAnsi="Times New Roman" w:cs="Times New Roman"/>
                      <w:color w:val="auto"/>
                      <w:kern w:val="0"/>
                      <w:sz w:val="21"/>
                      <w:szCs w:val="21"/>
                      <w:highlight w:val="none"/>
                      <w:lang w:val="en-US" w:eastAsia="zh-CN" w:bidi="ar"/>
                    </w:rPr>
                    <w:t>勘探评价</w:t>
                  </w:r>
                  <w:r>
                    <w:rPr>
                      <w:rFonts w:hint="default" w:ascii="Times New Roman" w:hAnsi="Times New Roman" w:eastAsia="宋体" w:cs="Times New Roman"/>
                      <w:color w:val="auto"/>
                      <w:kern w:val="0"/>
                      <w:sz w:val="21"/>
                      <w:szCs w:val="21"/>
                      <w:highlight w:val="none"/>
                      <w:lang w:val="en-US" w:eastAsia="zh-CN" w:bidi="ar"/>
                    </w:rPr>
                    <w:t>方式为钻探井，钻机采用电驱动机。</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0868AA7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29537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op w:val="single" w:color="auto" w:sz="4" w:space="0"/>
                    <w:left w:val="single" w:color="auto" w:sz="4" w:space="0"/>
                    <w:bottom w:val="single" w:color="auto" w:sz="4" w:space="0"/>
                    <w:right w:val="single" w:color="auto" w:sz="4" w:space="0"/>
                  </w:tcBorders>
                  <w:noWrap w:val="0"/>
                  <w:vAlign w:val="center"/>
                </w:tcPr>
                <w:p w14:paraId="6605D54F">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430" w:type="pct"/>
                  <w:vMerge w:val="continue"/>
                  <w:tcBorders>
                    <w:top w:val="single" w:color="auto" w:sz="4" w:space="0"/>
                    <w:left w:val="single" w:color="auto" w:sz="4" w:space="0"/>
                    <w:bottom w:val="single" w:color="auto" w:sz="4" w:space="0"/>
                    <w:right w:val="single" w:color="auto" w:sz="4" w:space="0"/>
                  </w:tcBorders>
                  <w:noWrap w:val="0"/>
                  <w:vAlign w:val="center"/>
                </w:tcPr>
                <w:p w14:paraId="08C1C21B">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754" w:type="pct"/>
                  <w:tcBorders>
                    <w:top w:val="single" w:color="auto" w:sz="4" w:space="0"/>
                    <w:left w:val="single" w:color="auto" w:sz="4" w:space="0"/>
                    <w:bottom w:val="single" w:color="auto" w:sz="4" w:space="0"/>
                    <w:right w:val="single" w:color="auto" w:sz="4" w:space="0"/>
                  </w:tcBorders>
                  <w:noWrap w:val="0"/>
                  <w:vAlign w:val="center"/>
                </w:tcPr>
                <w:p w14:paraId="169BC1C2">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钻井过程中，鼓励采用环境友好的钻井液体系；配备完善的固控设备，钻井液循环率达到95%以上；钻井过程产生的废水应回用。</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0C8ED24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本项目使用水基钻井泥浆，钻井废水用于配置泥浆，循环使用，钻井液循环使用率要求达到95%以上。</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762AD05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1B34F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op w:val="single" w:color="auto" w:sz="4" w:space="0"/>
                    <w:left w:val="single" w:color="auto" w:sz="4" w:space="0"/>
                    <w:bottom w:val="single" w:color="auto" w:sz="4" w:space="0"/>
                    <w:right w:val="single" w:color="auto" w:sz="4" w:space="0"/>
                  </w:tcBorders>
                  <w:noWrap w:val="0"/>
                  <w:vAlign w:val="center"/>
                </w:tcPr>
                <w:p w14:paraId="3B5B955C">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430" w:type="pct"/>
                  <w:vMerge w:val="continue"/>
                  <w:tcBorders>
                    <w:top w:val="single" w:color="auto" w:sz="4" w:space="0"/>
                    <w:left w:val="single" w:color="auto" w:sz="4" w:space="0"/>
                    <w:bottom w:val="single" w:color="auto" w:sz="4" w:space="0"/>
                    <w:right w:val="single" w:color="auto" w:sz="4" w:space="0"/>
                  </w:tcBorders>
                  <w:noWrap w:val="0"/>
                  <w:vAlign w:val="center"/>
                </w:tcPr>
                <w:p w14:paraId="7F96EA95">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754" w:type="pct"/>
                  <w:tcBorders>
                    <w:top w:val="single" w:color="auto" w:sz="4" w:space="0"/>
                    <w:left w:val="single" w:color="auto" w:sz="4" w:space="0"/>
                    <w:bottom w:val="single" w:color="auto" w:sz="4" w:space="0"/>
                    <w:right w:val="single" w:color="auto" w:sz="4" w:space="0"/>
                  </w:tcBorders>
                  <w:noWrap w:val="0"/>
                  <w:vAlign w:val="center"/>
                </w:tcPr>
                <w:p w14:paraId="35F780AD">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在井下作业过程中，酸化液和压裂液宜集中配制，酸化残液、压裂残液和返排液应回收利用或进行无害化处置，压裂放喷返排入罐率应达到100%。酸化、压裂作业和试油（气）过程应采取防喷、地面管线防刺、防漏、防溢等措施。</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04BF8D5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本项目压裂返排液等交</w:t>
                  </w:r>
                  <w:r>
                    <w:rPr>
                      <w:rFonts w:hint="eastAsia" w:ascii="Times New Roman" w:hAnsi="Times New Roman" w:cs="Times New Roman"/>
                      <w:color w:val="auto"/>
                      <w:kern w:val="0"/>
                      <w:sz w:val="21"/>
                      <w:szCs w:val="21"/>
                      <w:highlight w:val="none"/>
                      <w:lang w:val="en-US" w:eastAsia="zh-CN" w:bidi="ar"/>
                    </w:rPr>
                    <w:t>协议的资质单位</w:t>
                  </w:r>
                  <w:r>
                    <w:rPr>
                      <w:rFonts w:hint="default" w:ascii="Times New Roman" w:hAnsi="Times New Roman" w:eastAsia="宋体" w:cs="Times New Roman"/>
                      <w:color w:val="auto"/>
                      <w:kern w:val="0"/>
                      <w:sz w:val="21"/>
                      <w:szCs w:val="21"/>
                      <w:highlight w:val="none"/>
                      <w:lang w:val="en-US" w:eastAsia="zh-CN" w:bidi="ar"/>
                    </w:rPr>
                    <w:t>处置，压裂作业和试气过程采取防喷、地面管线防刺、防漏、防溢等措施。本项目</w:t>
                  </w:r>
                  <w:r>
                    <w:rPr>
                      <w:rFonts w:hint="eastAsia" w:ascii="Times New Roman" w:hAnsi="Times New Roman" w:cs="Times New Roman"/>
                      <w:color w:val="auto"/>
                      <w:kern w:val="0"/>
                      <w:sz w:val="21"/>
                      <w:szCs w:val="21"/>
                      <w:highlight w:val="none"/>
                      <w:lang w:val="en-US" w:eastAsia="zh-CN" w:bidi="ar"/>
                    </w:rPr>
                    <w:t>建设</w:t>
                  </w:r>
                  <w:r>
                    <w:rPr>
                      <w:rFonts w:hint="default" w:ascii="Times New Roman" w:hAnsi="Times New Roman" w:eastAsia="宋体" w:cs="Times New Roman"/>
                      <w:color w:val="auto"/>
                      <w:kern w:val="0"/>
                      <w:sz w:val="21"/>
                      <w:szCs w:val="21"/>
                      <w:highlight w:val="none"/>
                      <w:lang w:val="en-US" w:eastAsia="zh-CN" w:bidi="ar"/>
                    </w:rPr>
                    <w:t>过程中不涉及酸化作业。</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0E0D71B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5CD8E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op w:val="single" w:color="auto" w:sz="4" w:space="0"/>
                    <w:left w:val="single" w:color="auto" w:sz="4" w:space="0"/>
                    <w:bottom w:val="single" w:color="auto" w:sz="4" w:space="0"/>
                    <w:right w:val="single" w:color="auto" w:sz="4" w:space="0"/>
                  </w:tcBorders>
                  <w:noWrap w:val="0"/>
                  <w:vAlign w:val="center"/>
                </w:tcPr>
                <w:p w14:paraId="7836F89E">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430" w:type="pct"/>
                  <w:vMerge w:val="continue"/>
                  <w:tcBorders>
                    <w:top w:val="single" w:color="auto" w:sz="4" w:space="0"/>
                    <w:left w:val="single" w:color="auto" w:sz="4" w:space="0"/>
                    <w:bottom w:val="single" w:color="auto" w:sz="4" w:space="0"/>
                    <w:right w:val="single" w:color="auto" w:sz="4" w:space="0"/>
                  </w:tcBorders>
                  <w:noWrap w:val="0"/>
                  <w:vAlign w:val="center"/>
                </w:tcPr>
                <w:p w14:paraId="24C32133">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754" w:type="pct"/>
                  <w:tcBorders>
                    <w:top w:val="single" w:color="auto" w:sz="4" w:space="0"/>
                    <w:left w:val="single" w:color="auto" w:sz="4" w:space="0"/>
                    <w:bottom w:val="single" w:color="auto" w:sz="4" w:space="0"/>
                    <w:right w:val="single" w:color="auto" w:sz="4" w:space="0"/>
                  </w:tcBorders>
                  <w:noWrap w:val="0"/>
                  <w:vAlign w:val="center"/>
                </w:tcPr>
                <w:p w14:paraId="66D32EE8">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油气田企业应对勘探开发过程进行环境风险因素识别，制定突发环境事件应急预案并定期进行演练。应开展特征污染物监测工作，采取环境风险防范和应急措施，防止发生由突发性油气泄漏产生的环境事故。</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305D248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本项目突发环境事件应急预案纳入中国石油天然气股份有限公司长庆油田分公司</w:t>
                  </w:r>
                  <w:r>
                    <w:rPr>
                      <w:rFonts w:hint="eastAsia" w:ascii="Times New Roman" w:hAnsi="Times New Roman" w:cs="Times New Roman"/>
                      <w:color w:val="auto"/>
                      <w:kern w:val="0"/>
                      <w:sz w:val="21"/>
                      <w:szCs w:val="21"/>
                      <w:highlight w:val="none"/>
                      <w:lang w:val="en-US" w:eastAsia="zh-CN" w:bidi="ar"/>
                    </w:rPr>
                    <w:t>第二采气厂厂</w:t>
                  </w:r>
                  <w:r>
                    <w:rPr>
                      <w:rFonts w:hint="default" w:ascii="Times New Roman" w:hAnsi="Times New Roman" w:eastAsia="宋体" w:cs="Times New Roman"/>
                      <w:color w:val="auto"/>
                      <w:kern w:val="0"/>
                      <w:sz w:val="21"/>
                      <w:szCs w:val="21"/>
                      <w:highlight w:val="none"/>
                      <w:lang w:val="en-US" w:eastAsia="zh-CN" w:bidi="ar"/>
                    </w:rPr>
                    <w:t>突发环境事件应急预案中。</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7CD2980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53DD3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tcBorders>
                    <w:top w:val="single" w:color="auto" w:sz="4" w:space="0"/>
                    <w:left w:val="single" w:color="auto" w:sz="4" w:space="0"/>
                    <w:bottom w:val="single" w:color="auto" w:sz="4" w:space="0"/>
                    <w:right w:val="single" w:color="auto" w:sz="4" w:space="0"/>
                  </w:tcBorders>
                  <w:noWrap w:val="0"/>
                  <w:vAlign w:val="center"/>
                </w:tcPr>
                <w:p w14:paraId="73703ADE">
                  <w:pPr>
                    <w:keepNext w:val="0"/>
                    <w:keepLines w:val="0"/>
                    <w:widowControl w:val="0"/>
                    <w:suppressLineNumbers w:val="0"/>
                    <w:spacing w:before="0" w:beforeAutospacing="0" w:after="0" w:afterAutospacing="0"/>
                    <w:ind w:left="425" w:right="0" w:hanging="425"/>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4</w:t>
                  </w:r>
                </w:p>
              </w:tc>
              <w:tc>
                <w:tcPr>
                  <w:tcW w:w="1430" w:type="pct"/>
                  <w:vMerge w:val="restart"/>
                  <w:tcBorders>
                    <w:top w:val="single" w:color="auto" w:sz="4" w:space="0"/>
                    <w:left w:val="single" w:color="auto" w:sz="4" w:space="0"/>
                    <w:bottom w:val="single" w:color="auto" w:sz="4" w:space="0"/>
                    <w:right w:val="single" w:color="auto" w:sz="4" w:space="0"/>
                  </w:tcBorders>
                  <w:noWrap w:val="0"/>
                  <w:vAlign w:val="center"/>
                </w:tcPr>
                <w:p w14:paraId="13E99C2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《生态环境部关于进一步加强石油天然气行业环境影响评价管理的通知》</w:t>
                  </w:r>
                </w:p>
              </w:tc>
              <w:tc>
                <w:tcPr>
                  <w:tcW w:w="1754" w:type="pct"/>
                  <w:tcBorders>
                    <w:top w:val="single" w:color="auto" w:sz="4" w:space="0"/>
                    <w:left w:val="single" w:color="auto" w:sz="4" w:space="0"/>
                    <w:bottom w:val="single" w:color="auto" w:sz="4" w:space="0"/>
                    <w:right w:val="single" w:color="auto" w:sz="4" w:space="0"/>
                  </w:tcBorders>
                  <w:noWrap w:val="0"/>
                  <w:vAlign w:val="center"/>
                </w:tcPr>
                <w:p w14:paraId="496A73D3">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三）规划环评应当结合油气开发区域的资源环境特征、主体功能区规划、自然保护地、生态保护红线管控等要求，切实维护生态系统完整性和稳定性，明确禁止开发区域和规划实施的资源环境制约因素，合理确定开发方案，明确预防和减轻不良环境影响的对策措施。</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376C606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本项目属于天然气评价井项目，</w:t>
                  </w:r>
                  <w:r>
                    <w:rPr>
                      <w:rFonts w:hint="eastAsia" w:ascii="Times New Roman" w:hAnsi="Times New Roman" w:cs="Times New Roman"/>
                      <w:color w:val="auto"/>
                      <w:kern w:val="0"/>
                      <w:sz w:val="21"/>
                      <w:szCs w:val="21"/>
                      <w:highlight w:val="none"/>
                      <w:lang w:val="en-US" w:eastAsia="zh-CN" w:bidi="ar"/>
                    </w:rPr>
                    <w:t>不属于规划环评，且本项目</w:t>
                  </w:r>
                  <w:r>
                    <w:rPr>
                      <w:rFonts w:hint="default" w:ascii="Times New Roman" w:hAnsi="Times New Roman" w:eastAsia="宋体" w:cs="Times New Roman"/>
                      <w:color w:val="auto"/>
                      <w:kern w:val="0"/>
                      <w:sz w:val="21"/>
                      <w:szCs w:val="21"/>
                      <w:highlight w:val="none"/>
                      <w:lang w:val="en-US" w:eastAsia="zh-CN" w:bidi="ar"/>
                    </w:rPr>
                    <w:t>不涉及水源涵养区、饮用水水源保护区，国家公园，自然保护区，风景名胜区、森林公园、地质公园、湿地公园等自然公园、文物保护单位等。</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25E4B21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404E1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op w:val="single" w:color="auto" w:sz="4" w:space="0"/>
                    <w:left w:val="single" w:color="auto" w:sz="4" w:space="0"/>
                    <w:bottom w:val="single" w:color="auto" w:sz="4" w:space="0"/>
                    <w:right w:val="single" w:color="auto" w:sz="4" w:space="0"/>
                  </w:tcBorders>
                  <w:noWrap w:val="0"/>
                  <w:vAlign w:val="center"/>
                </w:tcPr>
                <w:p w14:paraId="521BCDEA">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430" w:type="pct"/>
                  <w:vMerge w:val="continue"/>
                  <w:tcBorders>
                    <w:top w:val="single" w:color="auto" w:sz="4" w:space="0"/>
                    <w:left w:val="single" w:color="auto" w:sz="4" w:space="0"/>
                    <w:bottom w:val="single" w:color="auto" w:sz="4" w:space="0"/>
                    <w:right w:val="single" w:color="auto" w:sz="4" w:space="0"/>
                  </w:tcBorders>
                  <w:noWrap w:val="0"/>
                  <w:vAlign w:val="center"/>
                </w:tcPr>
                <w:p w14:paraId="3E431CCA">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754" w:type="pct"/>
                  <w:tcBorders>
                    <w:top w:val="single" w:color="auto" w:sz="4" w:space="0"/>
                    <w:left w:val="single" w:color="auto" w:sz="4" w:space="0"/>
                    <w:bottom w:val="single" w:color="auto" w:sz="4" w:space="0"/>
                    <w:right w:val="single" w:color="auto" w:sz="4" w:space="0"/>
                  </w:tcBorders>
                  <w:noWrap w:val="0"/>
                  <w:vAlign w:val="center"/>
                </w:tcPr>
                <w:p w14:paraId="13B6B630">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（五）未确定产能建设规模的陆地油气开采新区块，建设勘探井应当依法编制环境影响报告表。</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676FD9E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本项目所在区块不属于新区块，建设单位已取得采矿许可证，本项目为区块范围内新层位</w:t>
                  </w:r>
                  <w:r>
                    <w:rPr>
                      <w:rFonts w:hint="eastAsia" w:ascii="Times New Roman" w:hAnsi="Times New Roman" w:cs="Times New Roman"/>
                      <w:color w:val="auto"/>
                      <w:kern w:val="0"/>
                      <w:sz w:val="21"/>
                      <w:szCs w:val="21"/>
                      <w:highlight w:val="none"/>
                      <w:lang w:val="en-US" w:eastAsia="zh-CN" w:bidi="ar"/>
                    </w:rPr>
                    <w:t>天然气评价</w:t>
                  </w:r>
                  <w:r>
                    <w:rPr>
                      <w:rFonts w:hint="default"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sz w:val="21"/>
                      <w:szCs w:val="21"/>
                      <w:highlight w:val="none"/>
                      <w:lang w:val="en-US" w:eastAsia="zh-CN" w:bidi="ar"/>
                    </w:rPr>
                    <w:t>为后期产能项目提供依据，设本次评价井，并依法委托编制环境影响报告表</w:t>
                  </w:r>
                  <w:r>
                    <w:rPr>
                      <w:rFonts w:hint="default" w:ascii="Times New Roman" w:hAnsi="Times New Roman" w:eastAsia="宋体" w:cs="Times New Roman"/>
                      <w:color w:val="auto"/>
                      <w:kern w:val="0"/>
                      <w:sz w:val="21"/>
                      <w:szCs w:val="21"/>
                      <w:highlight w:val="none"/>
                      <w:lang w:val="en-US" w:eastAsia="zh-CN" w:bidi="ar"/>
                    </w:rPr>
                    <w:t>。</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72AB448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6AF39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op w:val="single" w:color="auto" w:sz="4" w:space="0"/>
                    <w:left w:val="single" w:color="auto" w:sz="4" w:space="0"/>
                    <w:bottom w:val="single" w:color="auto" w:sz="4" w:space="0"/>
                    <w:right w:val="single" w:color="auto" w:sz="4" w:space="0"/>
                  </w:tcBorders>
                  <w:noWrap w:val="0"/>
                  <w:vAlign w:val="center"/>
                </w:tcPr>
                <w:p w14:paraId="1DDC214A">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430" w:type="pct"/>
                  <w:vMerge w:val="continue"/>
                  <w:tcBorders>
                    <w:top w:val="single" w:color="auto" w:sz="4" w:space="0"/>
                    <w:left w:val="single" w:color="auto" w:sz="4" w:space="0"/>
                    <w:bottom w:val="single" w:color="auto" w:sz="4" w:space="0"/>
                    <w:right w:val="single" w:color="auto" w:sz="4" w:space="0"/>
                  </w:tcBorders>
                  <w:noWrap w:val="0"/>
                  <w:vAlign w:val="center"/>
                </w:tcPr>
                <w:p w14:paraId="17496043">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754" w:type="pct"/>
                  <w:tcBorders>
                    <w:top w:val="single" w:color="auto" w:sz="4" w:space="0"/>
                    <w:left w:val="single" w:color="auto" w:sz="4" w:space="0"/>
                    <w:bottom w:val="single" w:color="auto" w:sz="4" w:space="0"/>
                    <w:right w:val="single" w:color="auto" w:sz="4" w:space="0"/>
                  </w:tcBorders>
                  <w:noWrap w:val="0"/>
                  <w:vAlign w:val="center"/>
                </w:tcPr>
                <w:p w14:paraId="6118F4C6">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（七）涉及向地表水体排放污染物的陆地油气开采项目，应当符合国家和地方污染物排放标准，满足重点污染物排放总量控制要求。</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2EC4ACB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本项目生活污水和施工废水均不外排。</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04F7B52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245F2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op w:val="single" w:color="auto" w:sz="4" w:space="0"/>
                    <w:left w:val="single" w:color="auto" w:sz="4" w:space="0"/>
                    <w:bottom w:val="single" w:color="auto" w:sz="4" w:space="0"/>
                    <w:right w:val="single" w:color="auto" w:sz="4" w:space="0"/>
                  </w:tcBorders>
                  <w:noWrap w:val="0"/>
                  <w:vAlign w:val="center"/>
                </w:tcPr>
                <w:p w14:paraId="4FA5CBA4">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430" w:type="pct"/>
                  <w:vMerge w:val="continue"/>
                  <w:tcBorders>
                    <w:top w:val="single" w:color="auto" w:sz="4" w:space="0"/>
                    <w:left w:val="single" w:color="auto" w:sz="4" w:space="0"/>
                    <w:bottom w:val="single" w:color="auto" w:sz="4" w:space="0"/>
                    <w:right w:val="single" w:color="auto" w:sz="4" w:space="0"/>
                  </w:tcBorders>
                  <w:noWrap w:val="0"/>
                  <w:vAlign w:val="center"/>
                </w:tcPr>
                <w:p w14:paraId="632BE31C">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754" w:type="pct"/>
                  <w:tcBorders>
                    <w:top w:val="single" w:color="auto" w:sz="4" w:space="0"/>
                    <w:left w:val="single" w:color="auto" w:sz="4" w:space="0"/>
                    <w:bottom w:val="single" w:color="auto" w:sz="4" w:space="0"/>
                    <w:right w:val="single" w:color="auto" w:sz="4" w:space="0"/>
                  </w:tcBorders>
                  <w:noWrap w:val="0"/>
                  <w:vAlign w:val="center"/>
                </w:tcPr>
                <w:p w14:paraId="727A87A2">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（九）油气开采产生的废弃油基泥浆、含油钻屑及其他固体废物，应当遵循减量化、资源化、无害化原则，按照国家和地方有关固体废物的管理规定进行处置。</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179F164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本项目采用水基泥浆钻井液，不产生废弃油基泥浆、含油钻屑。</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3547270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3A9DA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op w:val="single" w:color="auto" w:sz="4" w:space="0"/>
                    <w:left w:val="single" w:color="auto" w:sz="4" w:space="0"/>
                    <w:bottom w:val="single" w:color="auto" w:sz="4" w:space="0"/>
                    <w:right w:val="single" w:color="auto" w:sz="4" w:space="0"/>
                  </w:tcBorders>
                  <w:noWrap w:val="0"/>
                  <w:vAlign w:val="center"/>
                </w:tcPr>
                <w:p w14:paraId="01199529">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430" w:type="pct"/>
                  <w:vMerge w:val="continue"/>
                  <w:tcBorders>
                    <w:top w:val="single" w:color="auto" w:sz="4" w:space="0"/>
                    <w:left w:val="single" w:color="auto" w:sz="4" w:space="0"/>
                    <w:bottom w:val="single" w:color="auto" w:sz="4" w:space="0"/>
                    <w:right w:val="single" w:color="auto" w:sz="4" w:space="0"/>
                  </w:tcBorders>
                  <w:noWrap w:val="0"/>
                  <w:vAlign w:val="center"/>
                </w:tcPr>
                <w:p w14:paraId="09FCEB0F">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754" w:type="pct"/>
                  <w:tcBorders>
                    <w:top w:val="single" w:color="auto" w:sz="4" w:space="0"/>
                    <w:left w:val="single" w:color="auto" w:sz="4" w:space="0"/>
                    <w:bottom w:val="single" w:color="auto" w:sz="4" w:space="0"/>
                    <w:right w:val="single" w:color="auto" w:sz="4" w:space="0"/>
                  </w:tcBorders>
                  <w:noWrap w:val="0"/>
                  <w:vAlign w:val="center"/>
                </w:tcPr>
                <w:p w14:paraId="1D7284A3">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十）陆地油气开采项目的建设单位应当对挥发性有机物液体储存和装载损失、废水液面逸散、设备与管线组件泄漏、非正常工况等挥发性有机物无组织排放源进行有效管控，通过采取设备密闭、废气有效收集及配套高效末端处理设施等措施，有效控制挥发性有机物和恶臭气体无组织排放。</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1F52380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本项目为天然气</w:t>
                  </w:r>
                  <w:r>
                    <w:rPr>
                      <w:rFonts w:hint="eastAsia" w:ascii="Times New Roman" w:hAnsi="Times New Roman" w:eastAsia="宋体" w:cs="Times New Roman"/>
                      <w:color w:val="auto"/>
                      <w:sz w:val="21"/>
                      <w:szCs w:val="21"/>
                      <w:highlight w:val="none"/>
                      <w:vertAlign w:val="baseline"/>
                      <w:lang w:val="en-US" w:eastAsia="zh-CN"/>
                    </w:rPr>
                    <w:t>评价井</w:t>
                  </w:r>
                  <w:r>
                    <w:rPr>
                      <w:rFonts w:hint="default" w:ascii="Times New Roman" w:hAnsi="Times New Roman" w:eastAsia="宋体" w:cs="Times New Roman"/>
                      <w:color w:val="auto"/>
                      <w:sz w:val="21"/>
                      <w:szCs w:val="21"/>
                      <w:highlight w:val="none"/>
                      <w:vertAlign w:val="baseline"/>
                      <w:lang w:val="en-US" w:eastAsia="zh-CN"/>
                    </w:rPr>
                    <w:t>项目</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cs="Times New Roman"/>
                      <w:color w:val="auto"/>
                      <w:kern w:val="0"/>
                      <w:sz w:val="21"/>
                      <w:szCs w:val="21"/>
                      <w:highlight w:val="none"/>
                      <w:lang w:val="en-US" w:eastAsia="zh-CN" w:bidi="ar"/>
                    </w:rPr>
                    <w:t>基本不产生</w:t>
                  </w:r>
                  <w:r>
                    <w:rPr>
                      <w:rFonts w:hint="default" w:ascii="Times New Roman" w:hAnsi="Times New Roman" w:eastAsia="宋体" w:cs="Times New Roman"/>
                      <w:color w:val="auto"/>
                      <w:kern w:val="0"/>
                      <w:sz w:val="21"/>
                      <w:szCs w:val="21"/>
                      <w:highlight w:val="none"/>
                      <w:lang w:val="en-US" w:eastAsia="zh-CN" w:bidi="ar"/>
                    </w:rPr>
                    <w:t>挥发性有机物</w:t>
                  </w:r>
                  <w:r>
                    <w:rPr>
                      <w:rFonts w:hint="eastAsia" w:ascii="Times New Roman" w:hAnsi="Times New Roman" w:eastAsia="宋体" w:cs="Times New Roman"/>
                      <w:color w:val="auto"/>
                      <w:kern w:val="0"/>
                      <w:sz w:val="21"/>
                      <w:szCs w:val="21"/>
                      <w:highlight w:val="none"/>
                      <w:lang w:val="en-US" w:eastAsia="zh-CN" w:bidi="ar"/>
                    </w:rPr>
                    <w:t>，涉及有机物料（润滑油等）均密闭保存，有效控制</w:t>
                  </w:r>
                  <w:r>
                    <w:rPr>
                      <w:rFonts w:hint="default" w:ascii="Times New Roman" w:hAnsi="Times New Roman" w:eastAsia="宋体" w:cs="Times New Roman"/>
                      <w:color w:val="auto"/>
                      <w:kern w:val="0"/>
                      <w:sz w:val="21"/>
                      <w:szCs w:val="21"/>
                      <w:highlight w:val="none"/>
                      <w:lang w:val="en-US" w:eastAsia="zh-CN" w:bidi="ar"/>
                    </w:rPr>
                    <w:t>挥发性有机物</w:t>
                  </w:r>
                  <w:r>
                    <w:rPr>
                      <w:rFonts w:hint="eastAsia" w:ascii="Times New Roman" w:hAnsi="Times New Roman" w:eastAsia="宋体" w:cs="Times New Roman"/>
                      <w:color w:val="auto"/>
                      <w:kern w:val="0"/>
                      <w:sz w:val="21"/>
                      <w:szCs w:val="21"/>
                      <w:highlight w:val="none"/>
                      <w:lang w:val="en-US" w:eastAsia="zh-CN" w:bidi="ar"/>
                    </w:rPr>
                    <w:t>无组织排放</w:t>
                  </w:r>
                  <w:r>
                    <w:rPr>
                      <w:rFonts w:hint="default" w:ascii="Times New Roman" w:hAnsi="Times New Roman" w:eastAsia="宋体" w:cs="Times New Roman"/>
                      <w:color w:val="auto"/>
                      <w:kern w:val="0"/>
                      <w:sz w:val="21"/>
                      <w:szCs w:val="21"/>
                      <w:highlight w:val="none"/>
                      <w:lang w:val="en-US" w:eastAsia="zh-CN" w:bidi="ar"/>
                    </w:rPr>
                    <w:t>。</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369CB20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430B6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op w:val="single" w:color="auto" w:sz="4" w:space="0"/>
                    <w:left w:val="single" w:color="auto" w:sz="4" w:space="0"/>
                    <w:bottom w:val="single" w:color="auto" w:sz="4" w:space="0"/>
                    <w:right w:val="single" w:color="auto" w:sz="4" w:space="0"/>
                  </w:tcBorders>
                  <w:noWrap w:val="0"/>
                  <w:vAlign w:val="center"/>
                </w:tcPr>
                <w:p w14:paraId="54176333">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430" w:type="pct"/>
                  <w:vMerge w:val="continue"/>
                  <w:tcBorders>
                    <w:top w:val="single" w:color="auto" w:sz="4" w:space="0"/>
                    <w:left w:val="single" w:color="auto" w:sz="4" w:space="0"/>
                    <w:bottom w:val="single" w:color="auto" w:sz="4" w:space="0"/>
                    <w:right w:val="single" w:color="auto" w:sz="4" w:space="0"/>
                  </w:tcBorders>
                  <w:noWrap w:val="0"/>
                  <w:vAlign w:val="center"/>
                </w:tcPr>
                <w:p w14:paraId="173178E4">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754" w:type="pct"/>
                  <w:tcBorders>
                    <w:top w:val="single" w:color="auto" w:sz="4" w:space="0"/>
                    <w:left w:val="single" w:color="auto" w:sz="4" w:space="0"/>
                    <w:bottom w:val="single" w:color="auto" w:sz="4" w:space="0"/>
                    <w:right w:val="single" w:color="auto" w:sz="4" w:space="0"/>
                  </w:tcBorders>
                  <w:noWrap w:val="0"/>
                  <w:vAlign w:val="center"/>
                </w:tcPr>
                <w:p w14:paraId="38D68FBB">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十一）施工期应当尽量减少施工占地、缩短施工时间、选择合理施工方式、落实环境敏感区管控要求以及其他生态环境保护措施，降低生态环境影响。钻井和压裂设备应当优先使用网电、高标准清洁燃油，减少废气排放。选用低噪声设备，避免噪声扰民。施工结束后，应当及时落实环评提出的生态保护措施。</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5CD9DDF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项目选址合理，施工期较短，项目地周边</w:t>
                  </w:r>
                  <w:r>
                    <w:rPr>
                      <w:rFonts w:hint="eastAsia" w:ascii="Times New Roman" w:hAnsi="Times New Roman" w:eastAsia="宋体" w:cs="Times New Roman"/>
                      <w:color w:val="auto"/>
                      <w:sz w:val="21"/>
                      <w:szCs w:val="21"/>
                      <w:highlight w:val="none"/>
                      <w:vertAlign w:val="baseline"/>
                      <w:lang w:val="en-US" w:eastAsia="zh-CN"/>
                    </w:rPr>
                    <w:t>2</w:t>
                  </w:r>
                  <w:r>
                    <w:rPr>
                      <w:rFonts w:hint="default" w:ascii="Times New Roman" w:hAnsi="Times New Roman" w:eastAsia="宋体" w:cs="Times New Roman"/>
                      <w:color w:val="auto"/>
                      <w:sz w:val="21"/>
                      <w:szCs w:val="21"/>
                      <w:highlight w:val="none"/>
                      <w:vertAlign w:val="baseline"/>
                      <w:lang w:val="en-US" w:eastAsia="zh-CN"/>
                    </w:rPr>
                    <w:t>00m范围内无环境敏感目标。项目选用低噪声设备，</w:t>
                  </w:r>
                  <w:r>
                    <w:rPr>
                      <w:rFonts w:hint="eastAsia" w:ascii="Times New Roman" w:hAnsi="Times New Roman" w:eastAsia="宋体" w:cs="Times New Roman"/>
                      <w:color w:val="auto"/>
                      <w:sz w:val="21"/>
                      <w:szCs w:val="21"/>
                      <w:highlight w:val="none"/>
                      <w:vertAlign w:val="baseline"/>
                      <w:lang w:val="en-US" w:eastAsia="zh-CN"/>
                    </w:rPr>
                    <w:t>评价</w:t>
                  </w:r>
                  <w:r>
                    <w:rPr>
                      <w:rFonts w:hint="default" w:ascii="Times New Roman" w:hAnsi="Times New Roman" w:eastAsia="宋体" w:cs="Times New Roman"/>
                      <w:color w:val="auto"/>
                      <w:sz w:val="21"/>
                      <w:szCs w:val="21"/>
                      <w:highlight w:val="none"/>
                      <w:vertAlign w:val="baseline"/>
                      <w:lang w:val="en-US" w:eastAsia="zh-CN"/>
                    </w:rPr>
                    <w:t>结束后进行生态恢复</w:t>
                  </w:r>
                  <w:r>
                    <w:rPr>
                      <w:rFonts w:hint="eastAsia" w:ascii="Times New Roman" w:hAnsi="Times New Roman" w:eastAsia="宋体" w:cs="Times New Roman"/>
                      <w:color w:val="auto"/>
                      <w:sz w:val="21"/>
                      <w:szCs w:val="21"/>
                      <w:highlight w:val="none"/>
                      <w:vertAlign w:val="baseline"/>
                      <w:lang w:val="en-US" w:eastAsia="zh-CN"/>
                    </w:rPr>
                    <w:t>。</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476256E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23397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tcBorders>
                    <w:top w:val="single" w:color="auto" w:sz="4" w:space="0"/>
                    <w:left w:val="single" w:color="auto" w:sz="4" w:space="0"/>
                    <w:bottom w:val="single" w:color="auto" w:sz="4" w:space="0"/>
                    <w:right w:val="single" w:color="auto" w:sz="4" w:space="0"/>
                  </w:tcBorders>
                  <w:noWrap w:val="0"/>
                  <w:vAlign w:val="center"/>
                </w:tcPr>
                <w:p w14:paraId="213C7C95">
                  <w:pPr>
                    <w:keepNext w:val="0"/>
                    <w:keepLines w:val="0"/>
                    <w:widowControl w:val="0"/>
                    <w:suppressLineNumbers w:val="0"/>
                    <w:spacing w:before="0" w:beforeAutospacing="0" w:after="0" w:afterAutospacing="0"/>
                    <w:ind w:left="425" w:right="0" w:hanging="425"/>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5</w:t>
                  </w:r>
                </w:p>
              </w:tc>
              <w:tc>
                <w:tcPr>
                  <w:tcW w:w="1430" w:type="pct"/>
                  <w:vMerge w:val="restart"/>
                  <w:tcBorders>
                    <w:top w:val="single" w:color="auto" w:sz="4" w:space="0"/>
                    <w:left w:val="single" w:color="auto" w:sz="4" w:space="0"/>
                    <w:bottom w:val="single" w:color="auto" w:sz="4" w:space="0"/>
                    <w:right w:val="single" w:color="auto" w:sz="4" w:space="0"/>
                  </w:tcBorders>
                  <w:noWrap w:val="0"/>
                  <w:vAlign w:val="center"/>
                </w:tcPr>
                <w:p w14:paraId="7CF7575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《陕西省石油天然气开采项目环境影响评价文件审批要点》</w:t>
                  </w:r>
                </w:p>
              </w:tc>
              <w:tc>
                <w:tcPr>
                  <w:tcW w:w="1754" w:type="pct"/>
                  <w:tcBorders>
                    <w:top w:val="single" w:color="auto" w:sz="4" w:space="0"/>
                    <w:left w:val="single" w:color="auto" w:sz="4" w:space="0"/>
                    <w:bottom w:val="single" w:color="auto" w:sz="4" w:space="0"/>
                    <w:right w:val="single" w:color="auto" w:sz="4" w:space="0"/>
                  </w:tcBorders>
                  <w:noWrap w:val="0"/>
                  <w:vAlign w:val="center"/>
                </w:tcPr>
                <w:p w14:paraId="51AF8D95">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禁止在居民区和国务院或者省人民政府划定的重要水源涵养区、饮用水水源保护区，国家公园，自然保护区，风景名胜区、森林公园、地质公园、湿地公园等自然公园、文物保护单位等区域内进行石油、天然气开发。</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046B84F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本项目不涉及占用生态红线，不涉及占用水源涵养区、饮用水水源保护区，国家公园，自然保护区，风景名胜区、森林公园、地质公园、湿地公园等自然公园、文物保护单位等。</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54680C9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09FD1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op w:val="single" w:color="auto" w:sz="4" w:space="0"/>
                    <w:left w:val="single" w:color="auto" w:sz="4" w:space="0"/>
                    <w:bottom w:val="single" w:color="auto" w:sz="4" w:space="0"/>
                    <w:right w:val="single" w:color="auto" w:sz="4" w:space="0"/>
                  </w:tcBorders>
                  <w:noWrap w:val="0"/>
                  <w:vAlign w:val="center"/>
                </w:tcPr>
                <w:p w14:paraId="772762E0">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430" w:type="pct"/>
                  <w:vMerge w:val="continue"/>
                  <w:tcBorders>
                    <w:top w:val="single" w:color="auto" w:sz="4" w:space="0"/>
                    <w:left w:val="single" w:color="auto" w:sz="4" w:space="0"/>
                    <w:bottom w:val="single" w:color="auto" w:sz="4" w:space="0"/>
                    <w:right w:val="single" w:color="auto" w:sz="4" w:space="0"/>
                  </w:tcBorders>
                  <w:noWrap w:val="0"/>
                  <w:vAlign w:val="center"/>
                </w:tcPr>
                <w:p w14:paraId="1A3BF119">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754" w:type="pct"/>
                  <w:tcBorders>
                    <w:top w:val="single" w:color="auto" w:sz="4" w:space="0"/>
                    <w:left w:val="single" w:color="auto" w:sz="4" w:space="0"/>
                    <w:bottom w:val="single" w:color="auto" w:sz="4" w:space="0"/>
                    <w:right w:val="single" w:color="auto" w:sz="4" w:space="0"/>
                  </w:tcBorders>
                  <w:noWrap w:val="0"/>
                  <w:vAlign w:val="center"/>
                </w:tcPr>
                <w:p w14:paraId="0FD9F388">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油气开采企业应对永久停用、拆除或弃置的各类井、管道等工程设施落实封堵、土壤及地下水修复、生态修复等措施。</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0E129CD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
                    </w:rPr>
                    <w:t>本项目为天然气评价井项目，当评价井不具有开发价值时，采取永久封井，对井场按照环评要求将临时占地恢复原状；当评价井具有开发价值时，采取临时封井，除预留转成生产井所需的面积外，其他区域按照环评要求恢复原有植被和生态景观，使区域生态景观和谐一致。</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7E32BBC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4C002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op w:val="single" w:color="auto" w:sz="4" w:space="0"/>
                    <w:left w:val="single" w:color="auto" w:sz="4" w:space="0"/>
                    <w:bottom w:val="single" w:color="auto" w:sz="4" w:space="0"/>
                    <w:right w:val="single" w:color="auto" w:sz="4" w:space="0"/>
                  </w:tcBorders>
                  <w:noWrap w:val="0"/>
                  <w:vAlign w:val="center"/>
                </w:tcPr>
                <w:p w14:paraId="0F6BE362">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430" w:type="pct"/>
                  <w:vMerge w:val="continue"/>
                  <w:tcBorders>
                    <w:top w:val="single" w:color="auto" w:sz="4" w:space="0"/>
                    <w:left w:val="single" w:color="auto" w:sz="4" w:space="0"/>
                    <w:bottom w:val="single" w:color="auto" w:sz="4" w:space="0"/>
                    <w:right w:val="single" w:color="auto" w:sz="4" w:space="0"/>
                  </w:tcBorders>
                  <w:noWrap w:val="0"/>
                  <w:vAlign w:val="center"/>
                </w:tcPr>
                <w:p w14:paraId="05DD3728">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754" w:type="pct"/>
                  <w:tcBorders>
                    <w:top w:val="single" w:color="auto" w:sz="4" w:space="0"/>
                    <w:left w:val="single" w:color="auto" w:sz="4" w:space="0"/>
                    <w:bottom w:val="single" w:color="auto" w:sz="4" w:space="0"/>
                    <w:right w:val="single" w:color="auto" w:sz="4" w:space="0"/>
                  </w:tcBorders>
                  <w:noWrap w:val="0"/>
                  <w:vAlign w:val="center"/>
                </w:tcPr>
                <w:p w14:paraId="2108765D">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涉及废水回注的油气开采项目，应当论证回注的环境可行性，不得回注与油气开采无关的废水。</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0F9B148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本项目为天然气评价井项目，不涉及废水回注。</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2F6AF35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62DA1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tcBorders>
                    <w:top w:val="single" w:color="auto" w:sz="4" w:space="0"/>
                    <w:left w:val="single" w:color="auto" w:sz="4" w:space="0"/>
                    <w:bottom w:val="single" w:color="auto" w:sz="4" w:space="0"/>
                    <w:right w:val="single" w:color="auto" w:sz="4" w:space="0"/>
                  </w:tcBorders>
                  <w:noWrap w:val="0"/>
                  <w:vAlign w:val="center"/>
                </w:tcPr>
                <w:p w14:paraId="0AEDFC24">
                  <w:pPr>
                    <w:keepNext w:val="0"/>
                    <w:keepLines w:val="0"/>
                    <w:widowControl w:val="0"/>
                    <w:suppressLineNumbers w:val="0"/>
                    <w:spacing w:before="0" w:beforeAutospacing="0" w:after="0" w:afterAutospacing="0"/>
                    <w:ind w:left="425" w:right="0" w:hanging="425"/>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6</w:t>
                  </w:r>
                </w:p>
              </w:tc>
              <w:tc>
                <w:tcPr>
                  <w:tcW w:w="1430" w:type="pct"/>
                  <w:tcBorders>
                    <w:top w:val="single" w:color="auto" w:sz="4" w:space="0"/>
                    <w:left w:val="single" w:color="auto" w:sz="4" w:space="0"/>
                    <w:bottom w:val="single" w:color="auto" w:sz="4" w:space="0"/>
                    <w:right w:val="single" w:color="auto" w:sz="4" w:space="0"/>
                  </w:tcBorders>
                  <w:noWrap w:val="0"/>
                  <w:vAlign w:val="center"/>
                </w:tcPr>
                <w:p w14:paraId="39AF5CB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《陕西省加强陕北地区环境保护的若干意见》</w:t>
                  </w:r>
                </w:p>
              </w:tc>
              <w:tc>
                <w:tcPr>
                  <w:tcW w:w="1754" w:type="pct"/>
                  <w:tcBorders>
                    <w:top w:val="single" w:color="auto" w:sz="4" w:space="0"/>
                    <w:left w:val="single" w:color="auto" w:sz="4" w:space="0"/>
                    <w:bottom w:val="single" w:color="auto" w:sz="4" w:space="0"/>
                    <w:right w:val="single" w:color="auto" w:sz="4" w:space="0"/>
                  </w:tcBorders>
                  <w:noWrap w:val="0"/>
                  <w:vAlign w:val="center"/>
                </w:tcPr>
                <w:p w14:paraId="082B1607">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城市规划区、生态防护区、试验区、自然保护区内不得开采煤、气、油、盐；城市饮用水水源一、二级保护区、革命圣地遗址、风景名胜区等具有特殊保护价值的地区，不得新建各类有污染的项目。</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471198B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项目建设内容不在城市规划区、生态防护区、试验区、自然保护区、一二级水源保护区内、革命圣地遗址、风景名胜区等具有特殊保护价值的地区内。</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66B5DF0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397A5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tcBorders>
                    <w:top w:val="single" w:color="auto" w:sz="4" w:space="0"/>
                    <w:left w:val="single" w:color="auto" w:sz="4" w:space="0"/>
                    <w:bottom w:val="single" w:color="auto" w:sz="4" w:space="0"/>
                    <w:right w:val="single" w:color="auto" w:sz="4" w:space="0"/>
                  </w:tcBorders>
                  <w:noWrap w:val="0"/>
                  <w:vAlign w:val="center"/>
                </w:tcPr>
                <w:p w14:paraId="33909B63">
                  <w:pPr>
                    <w:keepNext w:val="0"/>
                    <w:keepLines w:val="0"/>
                    <w:widowControl w:val="0"/>
                    <w:suppressLineNumbers w:val="0"/>
                    <w:spacing w:before="0" w:beforeAutospacing="0" w:after="0" w:afterAutospacing="0"/>
                    <w:ind w:left="425" w:right="0" w:hanging="425"/>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7</w:t>
                  </w:r>
                </w:p>
              </w:tc>
              <w:tc>
                <w:tcPr>
                  <w:tcW w:w="1430" w:type="pct"/>
                  <w:tcBorders>
                    <w:top w:val="single" w:color="auto" w:sz="4" w:space="0"/>
                    <w:left w:val="single" w:color="auto" w:sz="4" w:space="0"/>
                    <w:bottom w:val="single" w:color="auto" w:sz="4" w:space="0"/>
                    <w:right w:val="single" w:color="auto" w:sz="4" w:space="0"/>
                  </w:tcBorders>
                  <w:noWrap w:val="0"/>
                  <w:vAlign w:val="center"/>
                </w:tcPr>
                <w:p w14:paraId="71ABC93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《陕西省防沙治沙规划（2021-2030年）》</w:t>
                  </w:r>
                </w:p>
              </w:tc>
              <w:tc>
                <w:tcPr>
                  <w:tcW w:w="1754" w:type="pct"/>
                  <w:tcBorders>
                    <w:top w:val="single" w:color="auto" w:sz="4" w:space="0"/>
                    <w:left w:val="single" w:color="auto" w:sz="4" w:space="0"/>
                    <w:bottom w:val="single" w:color="auto" w:sz="4" w:space="0"/>
                    <w:right w:val="single" w:color="auto" w:sz="4" w:space="0"/>
                  </w:tcBorders>
                  <w:noWrap w:val="0"/>
                  <w:vAlign w:val="center"/>
                </w:tcPr>
                <w:p w14:paraId="2A04A0BC">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（四）黄土</w:t>
                  </w:r>
                  <w:r>
                    <w:rPr>
                      <w:rFonts w:hint="eastAsia"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丘陵</w:t>
                  </w:r>
                  <w:r>
                    <w:rPr>
                      <w:rFonts w:hint="eastAsia"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覆沙治理区</w:t>
                  </w:r>
                </w:p>
                <w:p w14:paraId="64D7B246">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本区地处长城沿线毛乌素沙地治理区东南，包括榆阳、横山、神木、府谷、佳县5个县</w:t>
                  </w:r>
                  <w:r>
                    <w:rPr>
                      <w:rFonts w:hint="eastAsia"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市、区</w:t>
                  </w:r>
                  <w:r>
                    <w:rPr>
                      <w:rFonts w:hint="eastAsia"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46个乡镇，总面积920091.25公顷，占规划总面积的25.02%，其中沙化土地面积57931.05公顷。本区为沙地与黄土梁峁的过渡带，沟壑纵横深切，梁涧兼存，尤其是黄河沿线石质山区地势陡峭，侵蚀模数大;该区气候干燥，有效降水少，植被覆盖率低，水蚀、风蚀荒漠化并存。</w:t>
                  </w:r>
                </w:p>
                <w:p w14:paraId="32EFE202">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主攻方向：保持水土，防治土地荒漠化和</w:t>
                  </w:r>
                  <w:r>
                    <w:rPr>
                      <w:rFonts w:hint="default" w:ascii="Times New Roman" w:hAnsi="Times New Roman" w:eastAsia="宋体" w:cs="Times New Roman"/>
                      <w:color w:val="auto"/>
                      <w:kern w:val="0"/>
                      <w:sz w:val="21"/>
                      <w:szCs w:val="21"/>
                      <w:highlight w:val="none"/>
                      <w:lang w:val="en-US" w:eastAsia="zh-CN" w:bidi="ar"/>
                    </w:rPr>
                    <w:t>沙化。加强困难立地造林和飞播造林技术研究示范。重点营造防风固沙林和水土保持林，发展兼有生态经济功用的树种，加大经济林提质增效力度。环城市矿区、乡镇、村庄营造景观防护林，农田、河道营造农田防护林、护岸林，加快绿化速度，提高植被覆盖度。</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174E7EAA">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本项目位于佳县</w:t>
                  </w:r>
                  <w:r>
                    <w:rPr>
                      <w:rFonts w:hint="eastAsia" w:ascii="Times New Roman" w:hAnsi="Times New Roman" w:cs="Times New Roman"/>
                      <w:color w:val="auto"/>
                      <w:kern w:val="0"/>
                      <w:sz w:val="21"/>
                      <w:szCs w:val="21"/>
                      <w:highlight w:val="none"/>
                      <w:lang w:val="en-US" w:eastAsia="zh-CN" w:bidi="ar"/>
                    </w:rPr>
                    <w:t>金明寺</w:t>
                  </w:r>
                  <w:r>
                    <w:rPr>
                      <w:rFonts w:hint="default" w:ascii="Times New Roman" w:hAnsi="Times New Roman" w:eastAsia="宋体" w:cs="Times New Roman"/>
                      <w:color w:val="auto"/>
                      <w:kern w:val="0"/>
                      <w:sz w:val="21"/>
                      <w:szCs w:val="21"/>
                      <w:highlight w:val="none"/>
                      <w:lang w:val="en-US" w:eastAsia="zh-CN" w:bidi="ar"/>
                    </w:rPr>
                    <w:t>镇。根据陕西省防沙治沙规划（2021-2030年）附表5，本项目位于黄土（丘陵）覆沙治理区，不涉及沙化土地封禁保区。本报告已提出保持水土、防治土地荒漠化及土地沙化的防治措施。</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0E3B3B8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033D3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tcBorders>
                    <w:top w:val="single" w:color="auto" w:sz="4" w:space="0"/>
                    <w:left w:val="single" w:color="auto" w:sz="4" w:space="0"/>
                    <w:bottom w:val="single" w:color="auto" w:sz="4" w:space="0"/>
                    <w:right w:val="single" w:color="auto" w:sz="4" w:space="0"/>
                  </w:tcBorders>
                  <w:noWrap w:val="0"/>
                  <w:vAlign w:val="center"/>
                </w:tcPr>
                <w:p w14:paraId="692694C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8</w:t>
                  </w:r>
                </w:p>
              </w:tc>
              <w:tc>
                <w:tcPr>
                  <w:tcW w:w="1430" w:type="pct"/>
                  <w:tcBorders>
                    <w:top w:val="single" w:color="auto" w:sz="4" w:space="0"/>
                    <w:left w:val="single" w:color="auto" w:sz="4" w:space="0"/>
                    <w:bottom w:val="single" w:color="auto" w:sz="4" w:space="0"/>
                    <w:right w:val="single" w:color="auto" w:sz="4" w:space="0"/>
                  </w:tcBorders>
                  <w:noWrap w:val="0"/>
                  <w:vAlign w:val="center"/>
                </w:tcPr>
                <w:p w14:paraId="6A8E13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《固体废物综合治理行动计划》</w:t>
                  </w:r>
                </w:p>
              </w:tc>
              <w:tc>
                <w:tcPr>
                  <w:tcW w:w="1754" w:type="pct"/>
                  <w:tcBorders>
                    <w:top w:val="single" w:color="auto" w:sz="4" w:space="0"/>
                    <w:left w:val="single" w:color="auto" w:sz="4" w:space="0"/>
                    <w:bottom w:val="single" w:color="auto" w:sz="4" w:space="0"/>
                    <w:right w:val="single" w:color="auto" w:sz="4" w:space="0"/>
                  </w:tcBorders>
                  <w:noWrap w:val="0"/>
                  <w:vAlign w:val="center"/>
                </w:tcPr>
                <w:p w14:paraId="0FCEED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四)加强工业固体废物规范化管理。完善工业固体废物管理台账制度，强化全链条跟踪管控。推行工业固体废物分类收集贮存，防范混堆混排。禁止向生活垃圾收集设施中投放工业固体废物。严格执行工业固体废物、危险废物跨省转移审批制度。规范各类企业危险废物收集管理。</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2FC94A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本项目泥饼、钻井岩屑分别暂存于移动式收集罐内，施工结束后委托协议的有能力单位外运处理；废机油及废防渗膜暂存于撬装式危废贮存库，委托有资质单位进行处置；废包装袋及</w:t>
                  </w:r>
                  <w:r>
                    <w:rPr>
                      <w:rFonts w:hint="default" w:ascii="Times New Roman" w:hAnsi="Times New Roman" w:eastAsia="宋体" w:cs="Times New Roman"/>
                      <w:color w:val="auto"/>
                      <w:kern w:val="0"/>
                      <w:sz w:val="21"/>
                      <w:szCs w:val="21"/>
                      <w:highlight w:val="none"/>
                      <w:lang w:val="en-US" w:eastAsia="zh-CN" w:bidi="ar"/>
                    </w:rPr>
                    <w:t>不</w:t>
                  </w:r>
                  <w:r>
                    <w:rPr>
                      <w:rFonts w:hint="eastAsia" w:ascii="Times New Roman" w:hAnsi="Times New Roman" w:eastAsia="宋体" w:cs="Times New Roman"/>
                      <w:color w:val="auto"/>
                      <w:kern w:val="0"/>
                      <w:sz w:val="21"/>
                      <w:szCs w:val="21"/>
                      <w:highlight w:val="none"/>
                      <w:lang w:val="en-US" w:eastAsia="zh-CN" w:bidi="ar"/>
                    </w:rPr>
                    <w:t>含油废防渗膜集中收集后交由物资回收公司进行回收再利用；生活垃圾经垃圾桶收集后定期交佳县环卫部门处理。本次评价要求建立</w:t>
                  </w:r>
                  <w:r>
                    <w:rPr>
                      <w:rFonts w:hint="default" w:ascii="Times New Roman" w:hAnsi="Times New Roman" w:eastAsia="宋体" w:cs="Times New Roman"/>
                      <w:color w:val="auto"/>
                      <w:kern w:val="0"/>
                      <w:sz w:val="21"/>
                      <w:szCs w:val="21"/>
                      <w:highlight w:val="none"/>
                      <w:lang w:val="en-US" w:eastAsia="zh-CN" w:bidi="ar"/>
                    </w:rPr>
                    <w:t>工业固体废物管理台账</w:t>
                  </w:r>
                  <w:r>
                    <w:rPr>
                      <w:rFonts w:hint="eastAsia" w:ascii="Times New Roman" w:hAnsi="Times New Roman" w:eastAsia="宋体" w:cs="Times New Roman"/>
                      <w:color w:val="auto"/>
                      <w:kern w:val="0"/>
                      <w:sz w:val="21"/>
                      <w:szCs w:val="21"/>
                      <w:highlight w:val="none"/>
                      <w:lang w:val="en-US" w:eastAsia="zh-CN" w:bidi="ar"/>
                    </w:rPr>
                    <w:t>，强化全链条跟踪管控；</w:t>
                  </w:r>
                  <w:r>
                    <w:rPr>
                      <w:rFonts w:hint="default" w:ascii="Times New Roman" w:hAnsi="Times New Roman" w:eastAsia="宋体" w:cs="Times New Roman"/>
                      <w:b w:val="0"/>
                      <w:bCs w:val="0"/>
                      <w:color w:val="auto"/>
                      <w:kern w:val="0"/>
                      <w:sz w:val="21"/>
                      <w:szCs w:val="21"/>
                      <w:highlight w:val="none"/>
                      <w:lang w:val="en-US" w:eastAsia="zh-CN" w:bidi="ar"/>
                    </w:rPr>
                    <w:t>严格执行工业固体废物、危险废物跨省转移审批制度</w:t>
                  </w:r>
                  <w:r>
                    <w:rPr>
                      <w:rFonts w:hint="eastAsia" w:ascii="Times New Roman" w:hAnsi="Times New Roman" w:eastAsia="宋体" w:cs="Times New Roman"/>
                      <w:b w:val="0"/>
                      <w:bCs w:val="0"/>
                      <w:color w:val="auto"/>
                      <w:kern w:val="0"/>
                      <w:sz w:val="21"/>
                      <w:szCs w:val="21"/>
                      <w:highlight w:val="none"/>
                      <w:lang w:val="en-US" w:eastAsia="zh-CN" w:bidi="ar"/>
                    </w:rPr>
                    <w:t>，</w:t>
                  </w:r>
                  <w:r>
                    <w:rPr>
                      <w:rFonts w:hint="default" w:ascii="Times New Roman" w:hAnsi="Times New Roman" w:eastAsia="宋体" w:cs="Times New Roman"/>
                      <w:b w:val="0"/>
                      <w:bCs w:val="0"/>
                      <w:color w:val="auto"/>
                      <w:kern w:val="0"/>
                      <w:sz w:val="21"/>
                      <w:szCs w:val="21"/>
                      <w:highlight w:val="none"/>
                      <w:lang w:val="en-US" w:eastAsia="zh-CN" w:bidi="ar"/>
                    </w:rPr>
                    <w:t>规范各类企业危险废物收集管理。</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192F2C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符合</w:t>
                  </w:r>
                </w:p>
              </w:tc>
            </w:tr>
            <w:tr w14:paraId="59388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tcBorders>
                    <w:top w:val="single" w:color="auto" w:sz="4" w:space="0"/>
                    <w:left w:val="single" w:color="auto" w:sz="4" w:space="0"/>
                    <w:bottom w:val="single" w:color="auto" w:sz="4" w:space="0"/>
                    <w:right w:val="single" w:color="auto" w:sz="4" w:space="0"/>
                  </w:tcBorders>
                  <w:noWrap w:val="0"/>
                  <w:vAlign w:val="center"/>
                </w:tcPr>
                <w:p w14:paraId="2365947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left"/>
                    <w:textAlignment w:val="auto"/>
                    <w:rPr>
                      <w:rFonts w:hint="eastAsia"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9</w:t>
                  </w:r>
                </w:p>
              </w:tc>
              <w:tc>
                <w:tcPr>
                  <w:tcW w:w="1430" w:type="pct"/>
                  <w:tcBorders>
                    <w:top w:val="single" w:color="auto" w:sz="4" w:space="0"/>
                    <w:left w:val="single" w:color="auto" w:sz="4" w:space="0"/>
                    <w:bottom w:val="single" w:color="auto" w:sz="4" w:space="0"/>
                    <w:right w:val="single" w:color="auto" w:sz="4" w:space="0"/>
                  </w:tcBorders>
                  <w:noWrap w:val="0"/>
                  <w:vAlign w:val="center"/>
                </w:tcPr>
                <w:p w14:paraId="020E40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Cs w:val="21"/>
                      <w:highlight w:val="none"/>
                    </w:rPr>
                    <w:t>石油天然气开采业固体废物污染控制技术规范（试行）HJ 1461—2026</w:t>
                  </w:r>
                </w:p>
              </w:tc>
              <w:tc>
                <w:tcPr>
                  <w:tcW w:w="1754" w:type="pct"/>
                  <w:tcBorders>
                    <w:top w:val="single" w:color="auto" w:sz="4" w:space="0"/>
                    <w:left w:val="single" w:color="auto" w:sz="4" w:space="0"/>
                    <w:bottom w:val="single" w:color="auto" w:sz="4" w:space="0"/>
                    <w:right w:val="single" w:color="auto" w:sz="4" w:space="0"/>
                  </w:tcBorders>
                  <w:noWrap w:val="0"/>
                  <w:vAlign w:val="center"/>
                </w:tcPr>
                <w:p w14:paraId="59D2F1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1 含油废物与水基岩屑分开收集。水基岩屑中磺化钻井岩屑单独收集处理，造斜井段和目的层井段等特殊工段及非正常工况下产生的聚合物钻井岩屑单独收集处理。</w:t>
                  </w:r>
                </w:p>
                <w:p w14:paraId="11FC02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2 水基岩屑随钻固液分离后收集，其中磺化钻井岩屑先破胶脱稳处理，分离后的水基岩屑含水率宜小于 60%，分离后的液相宜在钻井现场循环利用。</w:t>
                  </w:r>
                </w:p>
                <w:p w14:paraId="41BDB9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3 水基岩屑需要在作业现场临时贮存的，贮存场地的防渗性能满足GB 18599的要求。综合考虑降雨量、蒸发量等因素，因地制宜采取必要的防雨、防尘措施。转移过程中采取防遗撒、防扬尘、防泄漏的措施。</w:t>
                  </w:r>
                </w:p>
                <w:p w14:paraId="6075FC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4 含油废物的收集、贮存、转移等环节采取防雨、防渗、防泄漏等措施。属于挥发性有机物（VOCs）物料的，采取有效措施减少 VOCs 的无组织排放。</w:t>
                  </w:r>
                </w:p>
                <w:p w14:paraId="358188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5 剩余固相的转移采取防遗撒、防扬尘、防泄漏的措施。剩余固相和回收的矿物油收集、贮存、转移过程的其他要求，根据其管理属性分别执行相关环境保护规定和标准的要求。</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21836F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本项目无</w:t>
                  </w:r>
                  <w:r>
                    <w:rPr>
                      <w:rFonts w:hint="default" w:ascii="Times New Roman" w:hAnsi="Times New Roman" w:eastAsia="宋体" w:cs="Times New Roman"/>
                      <w:color w:val="auto"/>
                      <w:kern w:val="0"/>
                      <w:szCs w:val="21"/>
                      <w:highlight w:val="none"/>
                      <w:lang w:bidi="ar"/>
                    </w:rPr>
                    <w:t>磺化钻</w:t>
                  </w:r>
                  <w:r>
                    <w:rPr>
                      <w:rFonts w:hint="eastAsia" w:ascii="Times New Roman" w:hAnsi="Times New Roman" w:eastAsia="宋体" w:cs="Times New Roman"/>
                      <w:color w:val="auto"/>
                      <w:kern w:val="0"/>
                      <w:szCs w:val="21"/>
                      <w:highlight w:val="none"/>
                      <w:lang w:val="en-US" w:eastAsia="zh-CN" w:bidi="ar"/>
                    </w:rPr>
                    <w:t>工艺；</w:t>
                  </w:r>
                  <w:r>
                    <w:rPr>
                      <w:rFonts w:hint="eastAsia" w:ascii="Times New Roman" w:hAnsi="Times New Roman" w:eastAsia="宋体" w:cs="Times New Roman"/>
                      <w:color w:val="auto"/>
                      <w:kern w:val="0"/>
                      <w:sz w:val="21"/>
                      <w:szCs w:val="21"/>
                      <w:highlight w:val="none"/>
                      <w:lang w:val="en-US" w:eastAsia="zh-CN" w:bidi="ar"/>
                    </w:rPr>
                    <w:t>本项目泥饼、钻井岩屑分别暂存于移动式收集罐内，施工结束后委托协议的有能力单位外运处理；泥饼、钻井岩屑暂存场所做好</w:t>
                  </w:r>
                  <w:r>
                    <w:rPr>
                      <w:rFonts w:hint="default" w:ascii="Times New Roman" w:hAnsi="Times New Roman" w:eastAsia="宋体" w:cs="Times New Roman"/>
                      <w:color w:val="auto"/>
                      <w:kern w:val="0"/>
                      <w:szCs w:val="21"/>
                      <w:highlight w:val="none"/>
                      <w:lang w:bidi="ar"/>
                    </w:rPr>
                    <w:t>防雨、防尘</w:t>
                  </w:r>
                  <w:r>
                    <w:rPr>
                      <w:rFonts w:hint="eastAsia" w:ascii="Times New Roman" w:hAnsi="Times New Roman" w:eastAsia="宋体" w:cs="Times New Roman"/>
                      <w:color w:val="auto"/>
                      <w:kern w:val="0"/>
                      <w:szCs w:val="21"/>
                      <w:highlight w:val="none"/>
                      <w:lang w:eastAsia="zh-CN" w:bidi="ar"/>
                    </w:rPr>
                    <w:t>、</w:t>
                  </w:r>
                  <w:r>
                    <w:rPr>
                      <w:rFonts w:hint="eastAsia" w:ascii="Times New Roman" w:hAnsi="Times New Roman" w:eastAsia="宋体" w:cs="Times New Roman"/>
                      <w:color w:val="auto"/>
                      <w:kern w:val="0"/>
                      <w:szCs w:val="21"/>
                      <w:highlight w:val="none"/>
                      <w:lang w:val="en-US" w:eastAsia="zh-CN" w:bidi="ar"/>
                    </w:rPr>
                    <w:t>防渗</w:t>
                  </w:r>
                  <w:r>
                    <w:rPr>
                      <w:rFonts w:hint="default" w:ascii="Times New Roman" w:hAnsi="Times New Roman" w:eastAsia="宋体" w:cs="Times New Roman"/>
                      <w:color w:val="auto"/>
                      <w:kern w:val="0"/>
                      <w:szCs w:val="21"/>
                      <w:highlight w:val="none"/>
                      <w:lang w:bidi="ar"/>
                    </w:rPr>
                    <w:t>措施</w:t>
                  </w:r>
                  <w:r>
                    <w:rPr>
                      <w:rFonts w:hint="eastAsia" w:ascii="Times New Roman" w:hAnsi="Times New Roman" w:eastAsia="宋体" w:cs="Times New Roman"/>
                      <w:color w:val="auto"/>
                      <w:kern w:val="0"/>
                      <w:szCs w:val="21"/>
                      <w:highlight w:val="none"/>
                      <w:lang w:eastAsia="zh-CN" w:bidi="ar"/>
                    </w:rPr>
                    <w:t>。</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4E2D98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3F0E0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tcBorders>
                    <w:top w:val="single" w:color="auto" w:sz="4" w:space="0"/>
                    <w:left w:val="single" w:color="auto" w:sz="4" w:space="0"/>
                    <w:bottom w:val="single" w:color="auto" w:sz="4" w:space="0"/>
                    <w:right w:val="single" w:color="auto" w:sz="4" w:space="0"/>
                  </w:tcBorders>
                  <w:noWrap w:val="0"/>
                  <w:vAlign w:val="center"/>
                </w:tcPr>
                <w:p w14:paraId="0F790418">
                  <w:pPr>
                    <w:keepNext w:val="0"/>
                    <w:keepLines w:val="0"/>
                    <w:widowControl w:val="0"/>
                    <w:suppressLineNumbers w:val="0"/>
                    <w:spacing w:before="0" w:beforeAutospacing="0" w:after="0" w:afterAutospacing="0"/>
                    <w:ind w:left="425" w:right="0" w:hanging="425"/>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10</w:t>
                  </w:r>
                </w:p>
              </w:tc>
              <w:tc>
                <w:tcPr>
                  <w:tcW w:w="1430" w:type="pct"/>
                  <w:tcBorders>
                    <w:top w:val="single" w:color="auto" w:sz="4" w:space="0"/>
                    <w:left w:val="single" w:color="auto" w:sz="4" w:space="0"/>
                    <w:bottom w:val="single" w:color="auto" w:sz="4" w:space="0"/>
                    <w:right w:val="single" w:color="auto" w:sz="4" w:space="0"/>
                  </w:tcBorders>
                  <w:noWrap w:val="0"/>
                  <w:vAlign w:val="center"/>
                </w:tcPr>
                <w:p w14:paraId="4D56312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《陕西省固体废物污染防治专项整治行动方案》</w:t>
                  </w:r>
                </w:p>
              </w:tc>
              <w:tc>
                <w:tcPr>
                  <w:tcW w:w="1754" w:type="pct"/>
                  <w:tcBorders>
                    <w:top w:val="single" w:color="auto" w:sz="4" w:space="0"/>
                    <w:left w:val="single" w:color="auto" w:sz="4" w:space="0"/>
                    <w:bottom w:val="single" w:color="auto" w:sz="4" w:space="0"/>
                    <w:right w:val="single" w:color="auto" w:sz="4" w:space="0"/>
                  </w:tcBorders>
                  <w:noWrap w:val="0"/>
                  <w:vAlign w:val="center"/>
                </w:tcPr>
                <w:p w14:paraId="5D1EF43C">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落实产废企业污染防治主体责任。固体废物产生企业要对固体废物处置全过程负责，细化管理台账、落实申报登记制度，如实申报固体废物利用处置最终去向，实行申报登记信息承诺制，向社会公开固体废物产生种类、数量、利用、处置情况及承诺书等信息，接受社会监督。</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3E15FDF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项目产生的废弃岩屑、泥饼运输过程实施全程GPS定位及监控，严禁运输过程中随意掩埋、抛洒废弃钻井岩屑、泥饼。</w:t>
                  </w:r>
                  <w:r>
                    <w:rPr>
                      <w:rFonts w:hint="eastAsia" w:ascii="Times New Roman" w:hAnsi="Times New Roman" w:cs="Times New Roman"/>
                      <w:color w:val="auto"/>
                      <w:kern w:val="0"/>
                      <w:sz w:val="21"/>
                      <w:szCs w:val="21"/>
                      <w:highlight w:val="none"/>
                      <w:lang w:val="en-US" w:eastAsia="zh-CN" w:bidi="ar"/>
                    </w:rPr>
                    <w:t>协议的有能力单位</w:t>
                  </w:r>
                  <w:r>
                    <w:rPr>
                      <w:rFonts w:hint="default" w:ascii="Times New Roman" w:hAnsi="Times New Roman" w:eastAsia="宋体" w:cs="Times New Roman"/>
                      <w:color w:val="auto"/>
                      <w:kern w:val="0"/>
                      <w:sz w:val="21"/>
                      <w:szCs w:val="21"/>
                      <w:highlight w:val="none"/>
                      <w:lang w:val="en-US" w:eastAsia="zh-CN" w:bidi="ar"/>
                    </w:rPr>
                    <w:t>负责废弃泥饼、岩屑从产生地至合法处置场之间的运输以及运输过程中的污染防治，并应按照规定向榆林市生态环境局佳县分局提供废物的产生量、实际流向和处置等有关资料。危险废物暂存于撬装式危废贮存库中，定期交有资质单位处理，并进行台账记录。</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061DCAF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5EBD3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tcBorders>
                    <w:top w:val="single" w:color="auto" w:sz="4" w:space="0"/>
                    <w:left w:val="single" w:color="auto" w:sz="4" w:space="0"/>
                    <w:bottom w:val="single" w:color="auto" w:sz="4" w:space="0"/>
                    <w:right w:val="single" w:color="auto" w:sz="4" w:space="0"/>
                  </w:tcBorders>
                  <w:noWrap w:val="0"/>
                  <w:vAlign w:val="center"/>
                </w:tcPr>
                <w:p w14:paraId="06BC7166">
                  <w:pPr>
                    <w:keepNext w:val="0"/>
                    <w:keepLines w:val="0"/>
                    <w:widowControl w:val="0"/>
                    <w:suppressLineNumbers w:val="0"/>
                    <w:spacing w:before="0" w:beforeAutospacing="0" w:after="0" w:afterAutospacing="0"/>
                    <w:ind w:left="425" w:right="0" w:hanging="425"/>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11</w:t>
                  </w:r>
                </w:p>
              </w:tc>
              <w:tc>
                <w:tcPr>
                  <w:tcW w:w="1430" w:type="pct"/>
                  <w:tcBorders>
                    <w:top w:val="single" w:color="auto" w:sz="4" w:space="0"/>
                    <w:left w:val="single" w:color="auto" w:sz="4" w:space="0"/>
                    <w:bottom w:val="single" w:color="auto" w:sz="4" w:space="0"/>
                    <w:right w:val="single" w:color="auto" w:sz="4" w:space="0"/>
                  </w:tcBorders>
                  <w:noWrap w:val="0"/>
                  <w:vAlign w:val="center"/>
                </w:tcPr>
                <w:p w14:paraId="01D282E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《榆林市油气开采废弃物不落地集中处置推广项目建设管理指南（试行）的通知》</w:t>
                  </w:r>
                </w:p>
              </w:tc>
              <w:tc>
                <w:tcPr>
                  <w:tcW w:w="1754" w:type="pct"/>
                  <w:tcBorders>
                    <w:top w:val="single" w:color="auto" w:sz="4" w:space="0"/>
                    <w:left w:val="single" w:color="auto" w:sz="4" w:space="0"/>
                    <w:bottom w:val="single" w:color="auto" w:sz="4" w:space="0"/>
                    <w:right w:val="single" w:color="auto" w:sz="4" w:space="0"/>
                  </w:tcBorders>
                  <w:noWrap w:val="0"/>
                  <w:vAlign w:val="center"/>
                </w:tcPr>
                <w:p w14:paraId="13E2C4BD">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油气钻井现场配备移动式泥浆罐（槽）、振动筛、废弃泥浆混凝压滤机等预处理设备，泥渣、岩屑堆放场完成底部防渗处理，设置50公分防水围堰及堆场遮盖防雨设施。废弃泥浆岩屑经破乳、混凝、压滤后，含水率不高于50%，固相、液相废弃物在井场完井后10天内必须运往推广区域集中处置场所。废弃泥浆上清液、压裂返排液、渗滤收集液统一收集，送联合站、试点项目或集中处置站处理后回用于配制钻井液或压裂液，剩余部分由回注井实施同层达标回注。</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5CCF88F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
                    </w:rPr>
                    <w:t>本项目钻井现场设置有移动式泥饼和岩屑收集罐，收集罐底部进行防渗处理并设置围堰。压裂返排液、钻井废水等暂存于收集罐，在井下作业完成3天内交</w:t>
                  </w:r>
                  <w:r>
                    <w:rPr>
                      <w:rFonts w:hint="eastAsia" w:ascii="Times New Roman" w:hAnsi="Times New Roman" w:cs="Times New Roman"/>
                      <w:color w:val="auto"/>
                      <w:sz w:val="21"/>
                      <w:szCs w:val="21"/>
                      <w:highlight w:val="none"/>
                      <w:lang w:val="en-US" w:eastAsia="zh-CN" w:bidi="ar"/>
                    </w:rPr>
                    <w:t>协议的</w:t>
                  </w:r>
                  <w:r>
                    <w:rPr>
                      <w:rFonts w:hint="eastAsia" w:cs="Times New Roman"/>
                      <w:color w:val="auto"/>
                      <w:sz w:val="21"/>
                      <w:szCs w:val="21"/>
                      <w:highlight w:val="none"/>
                      <w:lang w:val="en-US" w:eastAsia="zh-CN"/>
                    </w:rPr>
                    <w:t>有能力单位</w:t>
                  </w:r>
                  <w:r>
                    <w:rPr>
                      <w:rFonts w:hint="default" w:ascii="Times New Roman" w:hAnsi="Times New Roman" w:eastAsia="宋体" w:cs="Times New Roman"/>
                      <w:color w:val="auto"/>
                      <w:sz w:val="21"/>
                      <w:szCs w:val="21"/>
                      <w:highlight w:val="none"/>
                      <w:lang w:val="en-US" w:eastAsia="zh-CN" w:bidi="ar"/>
                    </w:rPr>
                    <w:t>处置；泥浆和岩屑在完井后3天内由</w:t>
                  </w:r>
                  <w:r>
                    <w:rPr>
                      <w:rFonts w:hint="eastAsia" w:ascii="Times New Roman" w:hAnsi="Times New Roman" w:cs="Times New Roman"/>
                      <w:color w:val="auto"/>
                      <w:kern w:val="0"/>
                      <w:sz w:val="21"/>
                      <w:szCs w:val="21"/>
                      <w:highlight w:val="none"/>
                      <w:lang w:val="en-US" w:eastAsia="zh-CN" w:bidi="ar"/>
                    </w:rPr>
                    <w:t>协议的有能力单位</w:t>
                  </w:r>
                  <w:r>
                    <w:rPr>
                      <w:rFonts w:hint="default" w:ascii="Times New Roman" w:hAnsi="Times New Roman" w:eastAsia="宋体" w:cs="Times New Roman"/>
                      <w:color w:val="auto"/>
                      <w:sz w:val="21"/>
                      <w:szCs w:val="21"/>
                      <w:highlight w:val="none"/>
                      <w:lang w:val="en-US" w:eastAsia="zh-CN" w:bidi="ar"/>
                    </w:rPr>
                    <w:t>拉运处置。</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169B9AD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4B64B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tcBorders>
                    <w:top w:val="single" w:color="auto" w:sz="4" w:space="0"/>
                    <w:left w:val="single" w:color="auto" w:sz="4" w:space="0"/>
                    <w:bottom w:val="single" w:color="auto" w:sz="4" w:space="0"/>
                    <w:right w:val="single" w:color="auto" w:sz="4" w:space="0"/>
                  </w:tcBorders>
                  <w:noWrap w:val="0"/>
                  <w:vAlign w:val="center"/>
                </w:tcPr>
                <w:p w14:paraId="2FCD50AF">
                  <w:pPr>
                    <w:keepNext w:val="0"/>
                    <w:keepLines w:val="0"/>
                    <w:widowControl w:val="0"/>
                    <w:suppressLineNumbers w:val="0"/>
                    <w:spacing w:before="0" w:beforeAutospacing="0" w:after="0" w:afterAutospacing="0"/>
                    <w:ind w:left="425" w:right="0" w:hanging="425"/>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w:t>
                  </w:r>
                  <w:r>
                    <w:rPr>
                      <w:rFonts w:hint="eastAsia" w:ascii="Times New Roman" w:hAnsi="Times New Roman" w:cs="Times New Roman"/>
                      <w:color w:val="auto"/>
                      <w:kern w:val="0"/>
                      <w:sz w:val="21"/>
                      <w:szCs w:val="21"/>
                      <w:highlight w:val="none"/>
                      <w:lang w:val="en-US" w:eastAsia="zh-CN" w:bidi="ar"/>
                    </w:rPr>
                    <w:t>2</w:t>
                  </w:r>
                </w:p>
              </w:tc>
              <w:tc>
                <w:tcPr>
                  <w:tcW w:w="1430" w:type="pct"/>
                  <w:tcBorders>
                    <w:top w:val="single" w:color="auto" w:sz="4" w:space="0"/>
                    <w:left w:val="single" w:color="auto" w:sz="4" w:space="0"/>
                    <w:bottom w:val="single" w:color="auto" w:sz="4" w:space="0"/>
                    <w:right w:val="single" w:color="auto" w:sz="4" w:space="0"/>
                  </w:tcBorders>
                  <w:noWrap w:val="0"/>
                  <w:vAlign w:val="center"/>
                </w:tcPr>
                <w:p w14:paraId="4C3880E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《榆林市油（气）开采废弃物处置环保暂行管理办法》</w:t>
                  </w:r>
                </w:p>
              </w:tc>
              <w:tc>
                <w:tcPr>
                  <w:tcW w:w="1754" w:type="pct"/>
                  <w:tcBorders>
                    <w:top w:val="single" w:color="auto" w:sz="4" w:space="0"/>
                    <w:left w:val="single" w:color="auto" w:sz="4" w:space="0"/>
                    <w:bottom w:val="single" w:color="auto" w:sz="4" w:space="0"/>
                    <w:right w:val="single" w:color="auto" w:sz="4" w:space="0"/>
                  </w:tcBorders>
                  <w:noWrap w:val="0"/>
                  <w:vAlign w:val="center"/>
                </w:tcPr>
                <w:p w14:paraId="79E6A0F4">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井场要在钻井前配备废弃钻井泥浆岩屑地上移动式收集设施，对钻井过程中废弃钻井泥浆岩屑进行不落地收集，收集设施不得混合收集其它废弃物；废弃钻井泥浆岩屑需在油（气）井完井后3天内，由防渗漏、防抛洒、防扬尘的运输车辆统一运送至油（气）开采废弃物集中处置场所处置</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18EC45A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
                    </w:rPr>
                    <w:t>本项目钻井现场设置移动式泥饼和岩屑收集罐，在完井后3天内由</w:t>
                  </w:r>
                  <w:r>
                    <w:rPr>
                      <w:rFonts w:hint="eastAsia" w:ascii="Times New Roman" w:hAnsi="Times New Roman" w:cs="Times New Roman"/>
                      <w:color w:val="auto"/>
                      <w:kern w:val="0"/>
                      <w:sz w:val="21"/>
                      <w:szCs w:val="21"/>
                      <w:highlight w:val="none"/>
                      <w:lang w:val="en-US" w:eastAsia="zh-CN" w:bidi="ar"/>
                    </w:rPr>
                    <w:t>协议的有能力单位</w:t>
                  </w:r>
                  <w:r>
                    <w:rPr>
                      <w:rFonts w:hint="default" w:ascii="Times New Roman" w:hAnsi="Times New Roman" w:eastAsia="宋体" w:cs="Times New Roman"/>
                      <w:color w:val="auto"/>
                      <w:sz w:val="21"/>
                      <w:szCs w:val="21"/>
                      <w:highlight w:val="none"/>
                      <w:lang w:val="en-US" w:eastAsia="zh-CN" w:bidi="ar"/>
                    </w:rPr>
                    <w:t>拉运处置。</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18851E4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657D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tcBorders>
                    <w:top w:val="single" w:color="auto" w:sz="4" w:space="0"/>
                    <w:left w:val="single" w:color="auto" w:sz="4" w:space="0"/>
                    <w:bottom w:val="single" w:color="auto" w:sz="4" w:space="0"/>
                    <w:right w:val="single" w:color="auto" w:sz="4" w:space="0"/>
                  </w:tcBorders>
                  <w:noWrap w:val="0"/>
                  <w:vAlign w:val="center"/>
                </w:tcPr>
                <w:p w14:paraId="796AC71F">
                  <w:pPr>
                    <w:keepNext w:val="0"/>
                    <w:keepLines w:val="0"/>
                    <w:widowControl w:val="0"/>
                    <w:suppressLineNumbers w:val="0"/>
                    <w:spacing w:before="0" w:beforeAutospacing="0" w:after="0" w:afterAutospacing="0"/>
                    <w:ind w:left="425" w:right="0" w:hanging="425"/>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w:t>
                  </w:r>
                  <w:r>
                    <w:rPr>
                      <w:rFonts w:hint="eastAsia" w:ascii="Times New Roman" w:hAnsi="Times New Roman" w:cs="Times New Roman"/>
                      <w:color w:val="auto"/>
                      <w:kern w:val="0"/>
                      <w:sz w:val="21"/>
                      <w:szCs w:val="21"/>
                      <w:highlight w:val="none"/>
                      <w:lang w:val="en-US" w:eastAsia="zh-CN" w:bidi="ar"/>
                    </w:rPr>
                    <w:t>3</w:t>
                  </w:r>
                </w:p>
              </w:tc>
              <w:tc>
                <w:tcPr>
                  <w:tcW w:w="1430" w:type="pct"/>
                  <w:vMerge w:val="restart"/>
                  <w:tcBorders>
                    <w:top w:val="single" w:color="auto" w:sz="4" w:space="0"/>
                    <w:left w:val="single" w:color="auto" w:sz="4" w:space="0"/>
                    <w:bottom w:val="single" w:color="auto" w:sz="4" w:space="0"/>
                    <w:right w:val="single" w:color="auto" w:sz="4" w:space="0"/>
                  </w:tcBorders>
                  <w:noWrap w:val="0"/>
                  <w:vAlign w:val="center"/>
                </w:tcPr>
                <w:p w14:paraId="4634CD7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《陆上石油天然气开采钻井废物处置污染控制技术要求》</w:t>
                  </w:r>
                </w:p>
              </w:tc>
              <w:tc>
                <w:tcPr>
                  <w:tcW w:w="1754" w:type="pct"/>
                  <w:tcBorders>
                    <w:top w:val="single" w:color="auto" w:sz="4" w:space="0"/>
                    <w:left w:val="single" w:color="auto" w:sz="4" w:space="0"/>
                    <w:bottom w:val="single" w:color="auto" w:sz="4" w:space="0"/>
                    <w:right w:val="single" w:color="auto" w:sz="4" w:space="0"/>
                  </w:tcBorders>
                  <w:noWrap w:val="0"/>
                  <w:vAlign w:val="center"/>
                </w:tcPr>
                <w:p w14:paraId="59EBCA63">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钻井废物的收集、贮存、利用、处置，以及处钻井废物处置工程的选址、设计、施工、验收和运行应符合国家和地方固体废物污染防治法律法规与标准要求。</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47AF95F0">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
                    </w:rPr>
                    <w:t>本项目属于天然气评价井项目，仅涉及施工期，钻井产生的污染物均有妥善处置去向，不会对周边环境产生不良影响。项目钻井废水、洗井废水等委托</w:t>
                  </w:r>
                  <w:r>
                    <w:rPr>
                      <w:rFonts w:hint="eastAsia" w:ascii="Times New Roman" w:hAnsi="Times New Roman" w:cs="Times New Roman"/>
                      <w:color w:val="auto"/>
                      <w:sz w:val="21"/>
                      <w:szCs w:val="21"/>
                      <w:highlight w:val="none"/>
                      <w:lang w:val="en-US" w:eastAsia="zh-CN" w:bidi="ar"/>
                    </w:rPr>
                    <w:t>协议的</w:t>
                  </w:r>
                  <w:r>
                    <w:rPr>
                      <w:rFonts w:hint="eastAsia" w:cs="Times New Roman"/>
                      <w:color w:val="auto"/>
                      <w:sz w:val="21"/>
                      <w:szCs w:val="21"/>
                      <w:highlight w:val="none"/>
                      <w:lang w:val="en-US" w:eastAsia="zh-CN"/>
                    </w:rPr>
                    <w:t>有能力单位</w:t>
                  </w:r>
                  <w:r>
                    <w:rPr>
                      <w:rFonts w:hint="default" w:ascii="Times New Roman" w:hAnsi="Times New Roman" w:eastAsia="宋体" w:cs="Times New Roman"/>
                      <w:color w:val="auto"/>
                      <w:sz w:val="21"/>
                      <w:szCs w:val="21"/>
                      <w:highlight w:val="none"/>
                      <w:lang w:val="en-US" w:eastAsia="zh-CN" w:bidi="ar"/>
                    </w:rPr>
                    <w:t>外运处理；项目废弃泥浆、岩屑委托</w:t>
                  </w:r>
                  <w:r>
                    <w:rPr>
                      <w:rFonts w:hint="eastAsia" w:ascii="Times New Roman" w:hAnsi="Times New Roman" w:cs="Times New Roman"/>
                      <w:color w:val="auto"/>
                      <w:sz w:val="21"/>
                      <w:szCs w:val="21"/>
                      <w:highlight w:val="none"/>
                      <w:lang w:val="en-US" w:eastAsia="zh-CN" w:bidi="ar"/>
                    </w:rPr>
                    <w:t>协议的有能力单位</w:t>
                  </w:r>
                  <w:r>
                    <w:rPr>
                      <w:rFonts w:hint="default" w:ascii="Times New Roman" w:hAnsi="Times New Roman" w:eastAsia="宋体" w:cs="Times New Roman"/>
                      <w:color w:val="auto"/>
                      <w:sz w:val="21"/>
                      <w:szCs w:val="21"/>
                      <w:highlight w:val="none"/>
                      <w:lang w:val="en-US" w:eastAsia="zh-CN" w:bidi="ar"/>
                    </w:rPr>
                    <w:t>外运处理。其他一般固废回收综合利用。危险废物交有资质单位处理。</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02D4134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74D44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op w:val="single" w:color="auto" w:sz="4" w:space="0"/>
                    <w:left w:val="single" w:color="auto" w:sz="4" w:space="0"/>
                    <w:bottom w:val="single" w:color="auto" w:sz="4" w:space="0"/>
                    <w:right w:val="single" w:color="auto" w:sz="4" w:space="0"/>
                  </w:tcBorders>
                  <w:noWrap w:val="0"/>
                  <w:vAlign w:val="center"/>
                </w:tcPr>
                <w:p w14:paraId="2EA5B42D">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430" w:type="pct"/>
                  <w:vMerge w:val="continue"/>
                  <w:tcBorders>
                    <w:top w:val="single" w:color="auto" w:sz="4" w:space="0"/>
                    <w:left w:val="single" w:color="auto" w:sz="4" w:space="0"/>
                    <w:bottom w:val="single" w:color="auto" w:sz="4" w:space="0"/>
                    <w:right w:val="single" w:color="auto" w:sz="4" w:space="0"/>
                  </w:tcBorders>
                  <w:noWrap w:val="0"/>
                  <w:vAlign w:val="center"/>
                </w:tcPr>
                <w:p w14:paraId="4B73B99C">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754" w:type="pct"/>
                  <w:tcBorders>
                    <w:top w:val="single" w:color="auto" w:sz="4" w:space="0"/>
                    <w:left w:val="single" w:color="auto" w:sz="4" w:space="0"/>
                    <w:bottom w:val="single" w:color="auto" w:sz="4" w:space="0"/>
                    <w:right w:val="single" w:color="auto" w:sz="4" w:space="0"/>
                  </w:tcBorders>
                  <w:noWrap w:val="0"/>
                  <w:vAlign w:val="center"/>
                </w:tcPr>
                <w:p w14:paraId="7265A929">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对水基钻井液体系钻井废物宜实施固液分离处置，优先考虑钻井液回收。</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7830C63C">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本项目采用水基钻井液，钻井废水经泥浆循环系统固液分离后，将钻井液再次打入井内循环使用。</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1E03165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092DA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op w:val="single" w:color="auto" w:sz="4" w:space="0"/>
                    <w:left w:val="single" w:color="auto" w:sz="4" w:space="0"/>
                    <w:bottom w:val="single" w:color="auto" w:sz="4" w:space="0"/>
                    <w:right w:val="single" w:color="auto" w:sz="4" w:space="0"/>
                  </w:tcBorders>
                  <w:noWrap w:val="0"/>
                  <w:vAlign w:val="center"/>
                </w:tcPr>
                <w:p w14:paraId="02059280">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430" w:type="pct"/>
                  <w:vMerge w:val="continue"/>
                  <w:tcBorders>
                    <w:top w:val="single" w:color="auto" w:sz="4" w:space="0"/>
                    <w:left w:val="single" w:color="auto" w:sz="4" w:space="0"/>
                    <w:bottom w:val="single" w:color="auto" w:sz="4" w:space="0"/>
                    <w:right w:val="single" w:color="auto" w:sz="4" w:space="0"/>
                  </w:tcBorders>
                  <w:noWrap w:val="0"/>
                  <w:vAlign w:val="center"/>
                </w:tcPr>
                <w:p w14:paraId="11E081A8">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754" w:type="pct"/>
                  <w:tcBorders>
                    <w:top w:val="single" w:color="auto" w:sz="4" w:space="0"/>
                    <w:left w:val="single" w:color="auto" w:sz="4" w:space="0"/>
                    <w:bottom w:val="single" w:color="auto" w:sz="4" w:space="0"/>
                    <w:right w:val="single" w:color="auto" w:sz="4" w:space="0"/>
                  </w:tcBorders>
                  <w:noWrap w:val="0"/>
                  <w:vAlign w:val="center"/>
                </w:tcPr>
                <w:p w14:paraId="56E01054">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处置过程保护场地周边地表水，地下水、土壤、空气、植被以及野生动植物栖息环境，避免造成环境污染和生态破坏；对钻井废弃物宜采取现场不落地收集措施。</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13673377">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bidi="ar"/>
                    </w:rPr>
                    <w:t>项目钻井废水、洗井废水委托</w:t>
                  </w:r>
                  <w:r>
                    <w:rPr>
                      <w:rFonts w:hint="eastAsia" w:ascii="Times New Roman" w:hAnsi="Times New Roman" w:cs="Times New Roman"/>
                      <w:color w:val="auto"/>
                      <w:sz w:val="21"/>
                      <w:szCs w:val="21"/>
                      <w:highlight w:val="none"/>
                      <w:lang w:val="en-US" w:eastAsia="zh-CN" w:bidi="ar"/>
                    </w:rPr>
                    <w:t>协议的</w:t>
                  </w:r>
                  <w:r>
                    <w:rPr>
                      <w:rFonts w:hint="eastAsia" w:cs="Times New Roman"/>
                      <w:color w:val="auto"/>
                      <w:sz w:val="21"/>
                      <w:szCs w:val="21"/>
                      <w:highlight w:val="none"/>
                      <w:lang w:val="en-US" w:eastAsia="zh-CN"/>
                    </w:rPr>
                    <w:t>有能力单位</w:t>
                  </w:r>
                  <w:r>
                    <w:rPr>
                      <w:rFonts w:hint="default" w:ascii="Times New Roman" w:hAnsi="Times New Roman" w:eastAsia="宋体" w:cs="Times New Roman"/>
                      <w:color w:val="auto"/>
                      <w:sz w:val="21"/>
                      <w:szCs w:val="21"/>
                      <w:highlight w:val="none"/>
                      <w:lang w:val="en-US" w:eastAsia="zh-CN" w:bidi="ar"/>
                    </w:rPr>
                    <w:t>外运处理；废弃泥浆、钻井岩屑交由</w:t>
                  </w:r>
                  <w:r>
                    <w:rPr>
                      <w:rFonts w:hint="eastAsia" w:ascii="Times New Roman" w:hAnsi="Times New Roman" w:cs="Times New Roman"/>
                      <w:color w:val="auto"/>
                      <w:sz w:val="21"/>
                      <w:szCs w:val="21"/>
                      <w:highlight w:val="none"/>
                      <w:lang w:val="en-US" w:eastAsia="zh-CN" w:bidi="ar"/>
                    </w:rPr>
                    <w:t>协议的有能力单位</w:t>
                  </w:r>
                  <w:r>
                    <w:rPr>
                      <w:rFonts w:hint="default" w:ascii="Times New Roman" w:hAnsi="Times New Roman" w:eastAsia="宋体" w:cs="Times New Roman"/>
                      <w:color w:val="auto"/>
                      <w:sz w:val="21"/>
                      <w:szCs w:val="21"/>
                      <w:highlight w:val="none"/>
                      <w:lang w:val="en-US" w:eastAsia="zh-CN" w:bidi="ar"/>
                    </w:rPr>
                    <w:t>外运处理。钻井过程产生的各类废物均能够得到合理处置，对周边环境影响较小</w:t>
                  </w:r>
                  <w:r>
                    <w:rPr>
                      <w:rFonts w:hint="default" w:ascii="Times New Roman" w:hAnsi="Times New Roman" w:eastAsia="宋体" w:cs="Times New Roman"/>
                      <w:color w:val="auto"/>
                      <w:kern w:val="0"/>
                      <w:sz w:val="21"/>
                      <w:szCs w:val="21"/>
                      <w:highlight w:val="none"/>
                      <w:lang w:val="en-US" w:eastAsia="zh-CN" w:bidi="ar"/>
                    </w:rPr>
                    <w:t>。</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473DC2D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66AB0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tcBorders>
                    <w:top w:val="single" w:color="auto" w:sz="4" w:space="0"/>
                    <w:left w:val="single" w:color="auto" w:sz="4" w:space="0"/>
                    <w:bottom w:val="single" w:color="auto" w:sz="4" w:space="0"/>
                    <w:right w:val="single" w:color="auto" w:sz="4" w:space="0"/>
                  </w:tcBorders>
                  <w:noWrap w:val="0"/>
                  <w:vAlign w:val="center"/>
                </w:tcPr>
                <w:p w14:paraId="3717F3D5">
                  <w:pPr>
                    <w:keepNext w:val="0"/>
                    <w:keepLines w:val="0"/>
                    <w:widowControl w:val="0"/>
                    <w:suppressLineNumbers w:val="0"/>
                    <w:spacing w:before="0" w:beforeAutospacing="0" w:after="0" w:afterAutospacing="0"/>
                    <w:ind w:left="425" w:right="0" w:hanging="425"/>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w:t>
                  </w:r>
                  <w:r>
                    <w:rPr>
                      <w:rFonts w:hint="eastAsia" w:ascii="Times New Roman" w:hAnsi="Times New Roman" w:cs="Times New Roman"/>
                      <w:color w:val="auto"/>
                      <w:kern w:val="0"/>
                      <w:sz w:val="21"/>
                      <w:szCs w:val="21"/>
                      <w:highlight w:val="none"/>
                      <w:lang w:val="en-US" w:eastAsia="zh-CN" w:bidi="ar"/>
                    </w:rPr>
                    <w:t>4</w:t>
                  </w:r>
                </w:p>
              </w:tc>
              <w:tc>
                <w:tcPr>
                  <w:tcW w:w="1430" w:type="pct"/>
                  <w:vMerge w:val="restart"/>
                  <w:tcBorders>
                    <w:top w:val="single" w:color="auto" w:sz="4" w:space="0"/>
                    <w:left w:val="single" w:color="auto" w:sz="4" w:space="0"/>
                    <w:bottom w:val="single" w:color="auto" w:sz="4" w:space="0"/>
                    <w:right w:val="single" w:color="auto" w:sz="4" w:space="0"/>
                  </w:tcBorders>
                  <w:noWrap w:val="0"/>
                  <w:vAlign w:val="center"/>
                </w:tcPr>
                <w:p w14:paraId="61588A1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《石油天然气钻井井控技术规范》（GB/T31-33-2014）</w:t>
                  </w:r>
                </w:p>
              </w:tc>
              <w:tc>
                <w:tcPr>
                  <w:tcW w:w="1754" w:type="pct"/>
                  <w:tcBorders>
                    <w:top w:val="single" w:color="auto" w:sz="4" w:space="0"/>
                    <w:left w:val="single" w:color="auto" w:sz="4" w:space="0"/>
                    <w:bottom w:val="single" w:color="auto" w:sz="4" w:space="0"/>
                    <w:right w:val="single" w:color="auto" w:sz="4" w:space="0"/>
                  </w:tcBorders>
                  <w:noWrap w:val="0"/>
                  <w:vAlign w:val="center"/>
                </w:tcPr>
                <w:p w14:paraId="496A3507">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油气井井口距高压线及其他永久性设施不小于75m；距民宅不小于100m；距铁路及高速公路不小于200m；距学校、医院、油库、人口密集及高危场所等不小于500m。</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277655B0">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
                    </w:rPr>
                    <w:t>本项目评价井拟建地附近75m内无高压线及其他永久性设施、100m内无民宅、200m内无铁路及高速公路、500m内无学校、医院、油库、人口密集及高危场所等。</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174ABC6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5FE7C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273" w:type="pct"/>
                  <w:vMerge w:val="continue"/>
                  <w:tcBorders>
                    <w:top w:val="single" w:color="auto" w:sz="4" w:space="0"/>
                    <w:left w:val="single" w:color="auto" w:sz="4" w:space="0"/>
                    <w:bottom w:val="single" w:color="auto" w:sz="4" w:space="0"/>
                    <w:right w:val="single" w:color="auto" w:sz="4" w:space="0"/>
                  </w:tcBorders>
                  <w:noWrap w:val="0"/>
                  <w:vAlign w:val="center"/>
                </w:tcPr>
                <w:p w14:paraId="49049874">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430" w:type="pct"/>
                  <w:vMerge w:val="continue"/>
                  <w:tcBorders>
                    <w:top w:val="single" w:color="auto" w:sz="4" w:space="0"/>
                    <w:left w:val="single" w:color="auto" w:sz="4" w:space="0"/>
                    <w:bottom w:val="single" w:color="auto" w:sz="4" w:space="0"/>
                    <w:right w:val="single" w:color="auto" w:sz="4" w:space="0"/>
                  </w:tcBorders>
                  <w:noWrap w:val="0"/>
                  <w:vAlign w:val="center"/>
                </w:tcPr>
                <w:p w14:paraId="43E563A6">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754" w:type="pct"/>
                  <w:tcBorders>
                    <w:top w:val="single" w:color="auto" w:sz="4" w:space="0"/>
                    <w:left w:val="single" w:color="auto" w:sz="4" w:space="0"/>
                    <w:bottom w:val="single" w:color="auto" w:sz="4" w:space="0"/>
                    <w:right w:val="single" w:color="auto" w:sz="4" w:space="0"/>
                  </w:tcBorders>
                  <w:noWrap w:val="0"/>
                  <w:vAlign w:val="center"/>
                </w:tcPr>
                <w:p w14:paraId="23B8C527">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油气井之间的井口间距不小于2m；高压油气井，高含硫油气井井口距其他井口之间的距离大于钻进本井所用钻机的钻台长度，且不小于8m。</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0C3CC9F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项目</w:t>
                  </w:r>
                  <w:r>
                    <w:rPr>
                      <w:rFonts w:hint="default" w:ascii="Times New Roman" w:hAnsi="Times New Roman" w:eastAsia="宋体" w:cs="Times New Roman"/>
                      <w:color w:val="auto"/>
                      <w:sz w:val="21"/>
                      <w:szCs w:val="21"/>
                      <w:highlight w:val="none"/>
                      <w:vertAlign w:val="baseline"/>
                      <w:lang w:val="en-US" w:eastAsia="zh-CN"/>
                    </w:rPr>
                    <w:t>共计</w:t>
                  </w:r>
                  <w:r>
                    <w:rPr>
                      <w:rFonts w:hint="eastAsia" w:ascii="Times New Roman" w:hAnsi="Times New Roman" w:eastAsia="宋体" w:cs="Times New Roman"/>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val="en-US" w:eastAsia="zh-CN"/>
                    </w:rPr>
                    <w:t>口天然气评价井</w:t>
                  </w:r>
                  <w:r>
                    <w:rPr>
                      <w:rFonts w:hint="default" w:ascii="Times New Roman" w:hAnsi="Times New Roman" w:eastAsia="宋体" w:cs="Times New Roman"/>
                      <w:color w:val="auto"/>
                      <w:kern w:val="0"/>
                      <w:sz w:val="21"/>
                      <w:szCs w:val="21"/>
                      <w:highlight w:val="none"/>
                      <w:lang w:val="en-US" w:eastAsia="zh-CN" w:bidi="ar"/>
                    </w:rPr>
                    <w:t>。</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79B7504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02DBC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op w:val="single" w:color="auto" w:sz="4" w:space="0"/>
                    <w:left w:val="single" w:color="auto" w:sz="4" w:space="0"/>
                    <w:bottom w:val="single" w:color="auto" w:sz="4" w:space="0"/>
                    <w:right w:val="single" w:color="auto" w:sz="4" w:space="0"/>
                  </w:tcBorders>
                  <w:noWrap w:val="0"/>
                  <w:vAlign w:val="center"/>
                </w:tcPr>
                <w:p w14:paraId="2B77A041">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430" w:type="pct"/>
                  <w:vMerge w:val="continue"/>
                  <w:tcBorders>
                    <w:top w:val="single" w:color="auto" w:sz="4" w:space="0"/>
                    <w:left w:val="single" w:color="auto" w:sz="4" w:space="0"/>
                    <w:bottom w:val="single" w:color="auto" w:sz="4" w:space="0"/>
                    <w:right w:val="single" w:color="auto" w:sz="4" w:space="0"/>
                  </w:tcBorders>
                  <w:noWrap w:val="0"/>
                  <w:vAlign w:val="center"/>
                </w:tcPr>
                <w:p w14:paraId="5B29F4BE">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754" w:type="pct"/>
                  <w:tcBorders>
                    <w:top w:val="single" w:color="auto" w:sz="4" w:space="0"/>
                    <w:left w:val="single" w:color="auto" w:sz="4" w:space="0"/>
                    <w:bottom w:val="single" w:color="auto" w:sz="4" w:space="0"/>
                    <w:right w:val="single" w:color="auto" w:sz="4" w:space="0"/>
                  </w:tcBorders>
                  <w:noWrap w:val="0"/>
                  <w:vAlign w:val="center"/>
                </w:tcPr>
                <w:p w14:paraId="21C40150">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井筒与地下矿产采掘坑道、矿井通道之间的距离不小于100m。</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0B27491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本项目附近无地下矿产采掘坑道。</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040D6C6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22D95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tcBorders>
                    <w:top w:val="single" w:color="auto" w:sz="4" w:space="0"/>
                    <w:left w:val="single" w:color="auto" w:sz="4" w:space="0"/>
                    <w:bottom w:val="single" w:color="auto" w:sz="4" w:space="0"/>
                    <w:right w:val="single" w:color="auto" w:sz="4" w:space="0"/>
                  </w:tcBorders>
                  <w:noWrap w:val="0"/>
                  <w:vAlign w:val="center"/>
                </w:tcPr>
                <w:p w14:paraId="46B9C4C7">
                  <w:pPr>
                    <w:keepNext w:val="0"/>
                    <w:keepLines w:val="0"/>
                    <w:widowControl w:val="0"/>
                    <w:suppressLineNumbers w:val="0"/>
                    <w:spacing w:before="0" w:beforeAutospacing="0" w:after="0" w:afterAutospacing="0"/>
                    <w:ind w:left="425" w:right="0" w:hanging="425"/>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w:t>
                  </w:r>
                  <w:r>
                    <w:rPr>
                      <w:rFonts w:hint="eastAsia" w:ascii="Times New Roman" w:hAnsi="Times New Roman" w:cs="Times New Roman"/>
                      <w:color w:val="auto"/>
                      <w:kern w:val="0"/>
                      <w:sz w:val="21"/>
                      <w:szCs w:val="21"/>
                      <w:highlight w:val="none"/>
                      <w:lang w:val="en-US" w:eastAsia="zh-CN" w:bidi="ar"/>
                    </w:rPr>
                    <w:t>5</w:t>
                  </w:r>
                </w:p>
              </w:tc>
              <w:tc>
                <w:tcPr>
                  <w:tcW w:w="1430" w:type="pct"/>
                  <w:tcBorders>
                    <w:top w:val="single" w:color="auto" w:sz="4" w:space="0"/>
                    <w:left w:val="single" w:color="auto" w:sz="4" w:space="0"/>
                    <w:bottom w:val="single" w:color="auto" w:sz="4" w:space="0"/>
                    <w:right w:val="single" w:color="auto" w:sz="4" w:space="0"/>
                  </w:tcBorders>
                  <w:noWrap w:val="0"/>
                  <w:vAlign w:val="center"/>
                </w:tcPr>
                <w:p w14:paraId="021C844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《石油天然气工程项目用地控制指标》（国土资规【2016】14号）</w:t>
                  </w:r>
                </w:p>
              </w:tc>
              <w:tc>
                <w:tcPr>
                  <w:tcW w:w="1754" w:type="pct"/>
                  <w:tcBorders>
                    <w:top w:val="single" w:color="auto" w:sz="4" w:space="0"/>
                    <w:left w:val="single" w:color="auto" w:sz="4" w:space="0"/>
                    <w:bottom w:val="single" w:color="auto" w:sz="4" w:space="0"/>
                    <w:right w:val="single" w:color="auto" w:sz="4" w:space="0"/>
                  </w:tcBorders>
                  <w:noWrap w:val="0"/>
                  <w:vAlign w:val="center"/>
                </w:tcPr>
                <w:p w14:paraId="0CE9F06D">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进井场道路用地指保证建井及生产期内通往井场的各型车辆安全通行，并能满足抢险车辆通行的新建或扩建道路所占用的土地。</w:t>
                  </w:r>
                </w:p>
                <w:p w14:paraId="05FCBF0D">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进井场道路用地按道路宽度乘以道路长度进行计算。进井场道路路基用地宽度指标不应大于4.5m，边沟、护坡、防洪坝、挡土墙、错车道等用地按实际情况计算。</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77D47E95">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本项目利用现有道路，不新建施工便道。</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4732B93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289E6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tcBorders>
                    <w:top w:val="single" w:color="auto" w:sz="4" w:space="0"/>
                    <w:left w:val="single" w:color="auto" w:sz="4" w:space="0"/>
                    <w:bottom w:val="single" w:color="auto" w:sz="4" w:space="0"/>
                    <w:right w:val="single" w:color="auto" w:sz="4" w:space="0"/>
                  </w:tcBorders>
                  <w:noWrap w:val="0"/>
                  <w:vAlign w:val="center"/>
                </w:tcPr>
                <w:p w14:paraId="7828375A">
                  <w:pPr>
                    <w:keepNext w:val="0"/>
                    <w:keepLines w:val="0"/>
                    <w:widowControl w:val="0"/>
                    <w:suppressLineNumbers w:val="0"/>
                    <w:spacing w:before="0" w:beforeAutospacing="0" w:after="0" w:afterAutospacing="0"/>
                    <w:ind w:left="425" w:right="0" w:hanging="425"/>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w:t>
                  </w:r>
                  <w:r>
                    <w:rPr>
                      <w:rFonts w:hint="eastAsia" w:ascii="Times New Roman" w:hAnsi="Times New Roman" w:cs="Times New Roman"/>
                      <w:color w:val="auto"/>
                      <w:kern w:val="0"/>
                      <w:sz w:val="21"/>
                      <w:szCs w:val="21"/>
                      <w:highlight w:val="none"/>
                      <w:lang w:val="en-US" w:eastAsia="zh-CN" w:bidi="ar"/>
                    </w:rPr>
                    <w:t>6</w:t>
                  </w:r>
                </w:p>
              </w:tc>
              <w:tc>
                <w:tcPr>
                  <w:tcW w:w="1430" w:type="pct"/>
                  <w:vMerge w:val="restart"/>
                  <w:tcBorders>
                    <w:top w:val="single" w:color="auto" w:sz="4" w:space="0"/>
                    <w:left w:val="single" w:color="auto" w:sz="4" w:space="0"/>
                    <w:bottom w:val="single" w:color="auto" w:sz="4" w:space="0"/>
                    <w:right w:val="single" w:color="auto" w:sz="4" w:space="0"/>
                  </w:tcBorders>
                  <w:noWrap w:val="0"/>
                  <w:vAlign w:val="center"/>
                </w:tcPr>
                <w:p w14:paraId="6444695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榆林市生态环境局关于印发《榆林市油气开发压裂返排液处置管理规定》的通知（榆政环发【2023】71号）</w:t>
                  </w:r>
                </w:p>
              </w:tc>
              <w:tc>
                <w:tcPr>
                  <w:tcW w:w="1754" w:type="pct"/>
                  <w:tcBorders>
                    <w:top w:val="single" w:color="auto" w:sz="4" w:space="0"/>
                    <w:left w:val="single" w:color="auto" w:sz="4" w:space="0"/>
                    <w:bottom w:val="single" w:color="auto" w:sz="4" w:space="0"/>
                    <w:right w:val="single" w:color="auto" w:sz="4" w:space="0"/>
                  </w:tcBorders>
                  <w:noWrap w:val="0"/>
                  <w:vAlign w:val="center"/>
                </w:tcPr>
                <w:p w14:paraId="47F6F10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油气开发企业是油气开发压裂返排液污染防治的责任主体，要将压裂返排液处置纳入油气开发项目生态环境保护总体规划及突发环境事件应急预案，制定油气开发压裂返排液治理方案。</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5AF6B72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本项目施工过程中将压裂返排液处置纳入油气开发项目生态环境保护总体规划及突发环境事件应急预案中，并且制定压裂返排液治理方案，能够确保压裂返排液得到合理处置。</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7437897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6F5E7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op w:val="single" w:color="auto" w:sz="4" w:space="0"/>
                    <w:left w:val="single" w:color="auto" w:sz="4" w:space="0"/>
                    <w:bottom w:val="single" w:color="auto" w:sz="4" w:space="0"/>
                    <w:right w:val="single" w:color="auto" w:sz="4" w:space="0"/>
                  </w:tcBorders>
                  <w:noWrap w:val="0"/>
                  <w:vAlign w:val="center"/>
                </w:tcPr>
                <w:p w14:paraId="0DD196CC">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430" w:type="pct"/>
                  <w:vMerge w:val="continue"/>
                  <w:tcBorders>
                    <w:top w:val="single" w:color="auto" w:sz="4" w:space="0"/>
                    <w:left w:val="single" w:color="auto" w:sz="4" w:space="0"/>
                    <w:bottom w:val="single" w:color="auto" w:sz="4" w:space="0"/>
                    <w:right w:val="single" w:color="auto" w:sz="4" w:space="0"/>
                  </w:tcBorders>
                  <w:noWrap w:val="0"/>
                  <w:vAlign w:val="center"/>
                </w:tcPr>
                <w:p w14:paraId="4E8BFA13">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754" w:type="pct"/>
                  <w:tcBorders>
                    <w:top w:val="single" w:color="auto" w:sz="4" w:space="0"/>
                    <w:left w:val="single" w:color="auto" w:sz="4" w:space="0"/>
                    <w:bottom w:val="single" w:color="auto" w:sz="4" w:space="0"/>
                    <w:right w:val="single" w:color="auto" w:sz="4" w:space="0"/>
                  </w:tcBorders>
                  <w:noWrap w:val="0"/>
                  <w:vAlign w:val="center"/>
                </w:tcPr>
                <w:p w14:paraId="7DD7B01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无法自行处置压裂返排液的油气开发企业或井下作业总包单位，可与第三方单位签订压裂返排液处置协议，处置协议应明确双方污染防治责任。</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20F3C06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本项目已签订压裂返排液处置合同，合同中已明确双方污染防治责任。</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2468AE3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56DCD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op w:val="single" w:color="auto" w:sz="4" w:space="0"/>
                    <w:left w:val="single" w:color="auto" w:sz="4" w:space="0"/>
                    <w:bottom w:val="single" w:color="auto" w:sz="4" w:space="0"/>
                    <w:right w:val="single" w:color="auto" w:sz="4" w:space="0"/>
                  </w:tcBorders>
                  <w:noWrap w:val="0"/>
                  <w:vAlign w:val="center"/>
                </w:tcPr>
                <w:p w14:paraId="18264E62">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430" w:type="pct"/>
                  <w:vMerge w:val="continue"/>
                  <w:tcBorders>
                    <w:top w:val="single" w:color="auto" w:sz="4" w:space="0"/>
                    <w:left w:val="single" w:color="auto" w:sz="4" w:space="0"/>
                    <w:bottom w:val="single" w:color="auto" w:sz="4" w:space="0"/>
                    <w:right w:val="single" w:color="auto" w:sz="4" w:space="0"/>
                  </w:tcBorders>
                  <w:noWrap w:val="0"/>
                  <w:vAlign w:val="center"/>
                </w:tcPr>
                <w:p w14:paraId="13B9CBCF">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754" w:type="pct"/>
                  <w:tcBorders>
                    <w:top w:val="single" w:color="auto" w:sz="4" w:space="0"/>
                    <w:left w:val="single" w:color="auto" w:sz="4" w:space="0"/>
                    <w:bottom w:val="single" w:color="auto" w:sz="4" w:space="0"/>
                    <w:right w:val="single" w:color="auto" w:sz="4" w:space="0"/>
                  </w:tcBorders>
                  <w:noWrap w:val="0"/>
                  <w:vAlign w:val="center"/>
                </w:tcPr>
                <w:p w14:paraId="3734D15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油气开发压裂返排液处置项目的中水用于油田同层回注的，油田回注单位应制定中水回注计划，计划要与回注区域油气开发总体规划及生产回注方案相符，明确回注水质、水量、压强及回注时限等相关指标，其中回注水水质需符合国家相关行业或者企业标准。</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698C61C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本项目不涉及中水回注。</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0858ECB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41644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273" w:type="pct"/>
                  <w:vMerge w:val="restart"/>
                  <w:tcBorders>
                    <w:top w:val="single" w:color="auto" w:sz="4" w:space="0"/>
                    <w:left w:val="single" w:color="auto" w:sz="4" w:space="0"/>
                    <w:right w:val="single" w:color="auto" w:sz="4" w:space="0"/>
                  </w:tcBorders>
                  <w:noWrap w:val="0"/>
                  <w:vAlign w:val="center"/>
                </w:tcPr>
                <w:p w14:paraId="67874A34">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7</w:t>
                  </w:r>
                </w:p>
              </w:tc>
              <w:tc>
                <w:tcPr>
                  <w:tcW w:w="1430" w:type="pct"/>
                  <w:vMerge w:val="restart"/>
                  <w:tcBorders>
                    <w:top w:val="single" w:color="auto" w:sz="4" w:space="0"/>
                    <w:left w:val="single" w:color="auto" w:sz="4" w:space="0"/>
                    <w:right w:val="single" w:color="auto" w:sz="4" w:space="0"/>
                  </w:tcBorders>
                  <w:noWrap w:val="0"/>
                  <w:vAlign w:val="center"/>
                </w:tcPr>
                <w:p w14:paraId="61CBBEB5">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榆林市矿产资源总体规划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（2021-2025年）</w:t>
                  </w:r>
                </w:p>
              </w:tc>
              <w:tc>
                <w:tcPr>
                  <w:tcW w:w="1754" w:type="pct"/>
                  <w:tcBorders>
                    <w:top w:val="single" w:color="auto" w:sz="4" w:space="0"/>
                    <w:left w:val="single" w:color="auto" w:sz="4" w:space="0"/>
                    <w:bottom w:val="single" w:color="auto" w:sz="4" w:space="0"/>
                    <w:right w:val="single" w:color="auto" w:sz="4" w:space="0"/>
                  </w:tcBorders>
                  <w:noWrap w:val="0"/>
                  <w:vAlign w:val="center"/>
                </w:tcPr>
                <w:p w14:paraId="469561AF">
                  <w:pPr>
                    <w:pStyle w:val="15"/>
                    <w:keepNext w:val="0"/>
                    <w:keepLines w:val="0"/>
                    <w:widowControl w:val="0"/>
                    <w:numPr>
                      <w:ilvl w:val="0"/>
                      <w:numId w:val="1"/>
                    </w:numPr>
                    <w:suppressLineNumbers w:val="0"/>
                    <w:adjustRightInd w:val="0"/>
                    <w:snapToGrid w:val="0"/>
                    <w:spacing w:before="0" w:beforeAutospacing="0" w:after="0" w:afterAutospacing="0"/>
                    <w:ind w:left="0" w:right="0" w:firstLine="0"/>
                    <w:jc w:val="both"/>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统筹勘察开发保护区域布局</w:t>
                  </w:r>
                </w:p>
                <w:p w14:paraId="58AC4254">
                  <w:pPr>
                    <w:pStyle w:val="15"/>
                    <w:keepNext w:val="0"/>
                    <w:keepLines w:val="0"/>
                    <w:widowControl w:val="0"/>
                    <w:suppressLineNumbers w:val="0"/>
                    <w:adjustRightInd w:val="0"/>
                    <w:snapToGrid w:val="0"/>
                    <w:spacing w:before="0" w:beforeAutospacing="0" w:after="0" w:afterAutospacing="0"/>
                    <w:ind w:left="0" w:leftChars="0" w:right="0" w:rightChars="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
                    </w:rPr>
                    <w:t>加快神木、榆阳、米脂、佳县岩盐的勘察开发程度，大力推进煤、油、气、盐一体化格局发展。</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1A4A2FD4">
                  <w:pPr>
                    <w:pStyle w:val="15"/>
                    <w:keepNext w:val="0"/>
                    <w:keepLines w:val="0"/>
                    <w:widowControl w:val="0"/>
                    <w:suppressLineNumbers w:val="0"/>
                    <w:adjustRightInd w:val="0"/>
                    <w:snapToGrid w:val="0"/>
                    <w:spacing w:before="0" w:beforeAutospacing="0" w:after="0" w:afterAutospacing="0"/>
                    <w:ind w:left="0" w:leftChars="0" w:right="0" w:right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本项目位于佳县</w:t>
                  </w:r>
                  <w:r>
                    <w:rPr>
                      <w:rFonts w:hint="eastAsia" w:ascii="Times New Roman" w:hAnsi="Times New Roman" w:cs="Times New Roman"/>
                      <w:color w:val="auto"/>
                      <w:kern w:val="0"/>
                      <w:sz w:val="21"/>
                      <w:szCs w:val="21"/>
                      <w:highlight w:val="none"/>
                      <w:lang w:val="en-US" w:eastAsia="zh-CN" w:bidi="ar"/>
                    </w:rPr>
                    <w:t>金明寺</w:t>
                  </w:r>
                  <w:r>
                    <w:rPr>
                      <w:rFonts w:hint="default" w:ascii="Times New Roman" w:hAnsi="Times New Roman" w:eastAsia="宋体" w:cs="Times New Roman"/>
                      <w:color w:val="auto"/>
                      <w:kern w:val="0"/>
                      <w:sz w:val="21"/>
                      <w:szCs w:val="21"/>
                      <w:highlight w:val="none"/>
                      <w:lang w:val="en-US" w:eastAsia="zh-CN" w:bidi="ar"/>
                    </w:rPr>
                    <w:t>镇，为天然气</w:t>
                  </w:r>
                  <w:r>
                    <w:rPr>
                      <w:rFonts w:hint="eastAsia" w:ascii="Times New Roman" w:hAnsi="Times New Roman" w:cs="Times New Roman"/>
                      <w:color w:val="auto"/>
                      <w:kern w:val="0"/>
                      <w:sz w:val="21"/>
                      <w:szCs w:val="21"/>
                      <w:highlight w:val="none"/>
                      <w:lang w:val="en-US" w:eastAsia="zh-CN" w:bidi="ar"/>
                    </w:rPr>
                    <w:t>评价井建设</w:t>
                  </w:r>
                  <w:r>
                    <w:rPr>
                      <w:rFonts w:hint="default" w:ascii="Times New Roman" w:hAnsi="Times New Roman" w:eastAsia="宋体" w:cs="Times New Roman"/>
                      <w:color w:val="auto"/>
                      <w:kern w:val="0"/>
                      <w:sz w:val="21"/>
                      <w:szCs w:val="21"/>
                      <w:highlight w:val="none"/>
                      <w:lang w:val="en-US" w:eastAsia="zh-CN" w:bidi="ar"/>
                    </w:rPr>
                    <w:t>项目，符合“大力推进煤、油、气、盐一体化格局发展”要求。</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6B9811F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14:paraId="3A213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273" w:type="pct"/>
                  <w:vMerge w:val="continue"/>
                  <w:tcBorders>
                    <w:left w:val="single" w:color="auto" w:sz="4" w:space="0"/>
                    <w:right w:val="single" w:color="auto" w:sz="4" w:space="0"/>
                  </w:tcBorders>
                  <w:noWrap w:val="0"/>
                  <w:vAlign w:val="center"/>
                </w:tcPr>
                <w:p w14:paraId="4E3B396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1430" w:type="pct"/>
                  <w:vMerge w:val="continue"/>
                  <w:tcBorders>
                    <w:left w:val="single" w:color="auto" w:sz="4" w:space="0"/>
                    <w:right w:val="single" w:color="auto" w:sz="4" w:space="0"/>
                  </w:tcBorders>
                  <w:noWrap w:val="0"/>
                  <w:vAlign w:val="center"/>
                </w:tcPr>
                <w:p w14:paraId="4F3077E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1754" w:type="pct"/>
                  <w:tcBorders>
                    <w:top w:val="single" w:color="auto" w:sz="4" w:space="0"/>
                    <w:left w:val="single" w:color="auto" w:sz="4" w:space="0"/>
                    <w:bottom w:val="single" w:color="auto" w:sz="4" w:space="0"/>
                    <w:right w:val="single" w:color="auto" w:sz="4" w:space="0"/>
                  </w:tcBorders>
                  <w:noWrap w:val="0"/>
                  <w:vAlign w:val="center"/>
                </w:tcPr>
                <w:p w14:paraId="532C6CA6">
                  <w:pPr>
                    <w:pStyle w:val="15"/>
                    <w:keepNext w:val="0"/>
                    <w:keepLines w:val="0"/>
                    <w:widowControl w:val="0"/>
                    <w:numPr>
                      <w:ilvl w:val="0"/>
                      <w:numId w:val="2"/>
                    </w:numPr>
                    <w:suppressLineNumbers w:val="0"/>
                    <w:adjustRightInd w:val="0"/>
                    <w:snapToGrid w:val="0"/>
                    <w:spacing w:before="0" w:beforeAutospacing="0" w:after="0" w:afterAutospacing="0"/>
                    <w:ind w:left="0" w:right="0" w:firstLine="0"/>
                    <w:jc w:val="both"/>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明确矿产资源勘查开采调控方向</w:t>
                  </w:r>
                </w:p>
                <w:p w14:paraId="7BFBA6F0">
                  <w:pPr>
                    <w:pStyle w:val="15"/>
                    <w:keepNext w:val="0"/>
                    <w:keepLines w:val="0"/>
                    <w:widowControl w:val="0"/>
                    <w:suppressLineNumbers w:val="0"/>
                    <w:adjustRightInd w:val="0"/>
                    <w:snapToGrid w:val="0"/>
                    <w:spacing w:before="0" w:beforeAutospacing="0" w:after="0" w:afterAutospacing="0"/>
                    <w:ind w:left="0" w:leftChars="0" w:right="0" w:rightChars="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
                    </w:rPr>
                    <w:t>限制勘察高硫煤，勘察区块投放前应做好论证。结合国家战略性矿产、省市优势紧缺矿产的找矿目标及榆林煤、油、气、盐一体化发展格局，重点勘察石油、天然气、煤炭、煤层气、地热等矿产。</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764341C1">
                  <w:pPr>
                    <w:pStyle w:val="15"/>
                    <w:keepNext w:val="0"/>
                    <w:keepLines w:val="0"/>
                    <w:widowControl w:val="0"/>
                    <w:suppressLineNumbers w:val="0"/>
                    <w:adjustRightInd w:val="0"/>
                    <w:snapToGrid w:val="0"/>
                    <w:spacing w:before="0" w:beforeAutospacing="0" w:after="0" w:afterAutospacing="0"/>
                    <w:ind w:left="0" w:leftChars="0" w:right="0" w:rightChars="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
                    </w:rPr>
                    <w:t>本项目位于佳县</w:t>
                  </w:r>
                  <w:r>
                    <w:rPr>
                      <w:rFonts w:hint="eastAsia" w:ascii="Times New Roman" w:hAnsi="Times New Roman" w:cs="Times New Roman"/>
                      <w:color w:val="auto"/>
                      <w:kern w:val="0"/>
                      <w:sz w:val="21"/>
                      <w:szCs w:val="21"/>
                      <w:highlight w:val="none"/>
                      <w:lang w:val="en-US" w:eastAsia="zh-CN" w:bidi="ar"/>
                    </w:rPr>
                    <w:t>金明寺</w:t>
                  </w:r>
                  <w:r>
                    <w:rPr>
                      <w:rFonts w:hint="default" w:ascii="Times New Roman" w:hAnsi="Times New Roman" w:eastAsia="宋体" w:cs="Times New Roman"/>
                      <w:color w:val="auto"/>
                      <w:kern w:val="0"/>
                      <w:sz w:val="21"/>
                      <w:szCs w:val="21"/>
                      <w:highlight w:val="none"/>
                      <w:lang w:val="en-US" w:eastAsia="zh-CN" w:bidi="ar"/>
                    </w:rPr>
                    <w:t>镇，为天然气</w:t>
                  </w:r>
                  <w:r>
                    <w:rPr>
                      <w:rFonts w:hint="eastAsia" w:ascii="Times New Roman" w:hAnsi="Times New Roman" w:cs="Times New Roman"/>
                      <w:color w:val="auto"/>
                      <w:kern w:val="0"/>
                      <w:sz w:val="21"/>
                      <w:szCs w:val="21"/>
                      <w:highlight w:val="none"/>
                      <w:lang w:val="en-US" w:eastAsia="zh-CN" w:bidi="ar"/>
                    </w:rPr>
                    <w:t>评价井建设</w:t>
                  </w:r>
                  <w:r>
                    <w:rPr>
                      <w:rFonts w:hint="default" w:ascii="Times New Roman" w:hAnsi="Times New Roman" w:eastAsia="宋体" w:cs="Times New Roman"/>
                      <w:color w:val="auto"/>
                      <w:kern w:val="0"/>
                      <w:sz w:val="21"/>
                      <w:szCs w:val="21"/>
                      <w:highlight w:val="none"/>
                      <w:lang w:val="en-US" w:eastAsia="zh-CN" w:bidi="ar"/>
                    </w:rPr>
                    <w:t>项目，符合“重点勘察石油、天然气、煤炭、煤层气、地热等矿产”要求。</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575ADB4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3F8F7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273" w:type="pct"/>
                  <w:vMerge w:val="continue"/>
                  <w:tcBorders>
                    <w:left w:val="single" w:color="auto" w:sz="4" w:space="0"/>
                    <w:bottom w:val="single" w:color="auto" w:sz="4" w:space="0"/>
                    <w:right w:val="single" w:color="auto" w:sz="4" w:space="0"/>
                  </w:tcBorders>
                  <w:noWrap w:val="0"/>
                  <w:vAlign w:val="center"/>
                </w:tcPr>
                <w:p w14:paraId="1194ABE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1430" w:type="pct"/>
                  <w:vMerge w:val="continue"/>
                  <w:tcBorders>
                    <w:left w:val="single" w:color="auto" w:sz="4" w:space="0"/>
                    <w:bottom w:val="single" w:color="auto" w:sz="4" w:space="0"/>
                    <w:right w:val="single" w:color="auto" w:sz="4" w:space="0"/>
                  </w:tcBorders>
                  <w:noWrap w:val="0"/>
                  <w:vAlign w:val="center"/>
                </w:tcPr>
                <w:p w14:paraId="5C3BCD7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1754" w:type="pct"/>
                  <w:tcBorders>
                    <w:top w:val="single" w:color="auto" w:sz="4" w:space="0"/>
                    <w:left w:val="single" w:color="auto" w:sz="4" w:space="0"/>
                    <w:bottom w:val="single" w:color="auto" w:sz="4" w:space="0"/>
                    <w:right w:val="single" w:color="auto" w:sz="4" w:space="0"/>
                  </w:tcBorders>
                  <w:noWrap w:val="0"/>
                  <w:vAlign w:val="center"/>
                </w:tcPr>
                <w:p w14:paraId="1701BB0B">
                  <w:pPr>
                    <w:pStyle w:val="15"/>
                    <w:keepNext w:val="0"/>
                    <w:keepLines w:val="0"/>
                    <w:widowControl w:val="0"/>
                    <w:suppressLineNumbers w:val="0"/>
                    <w:adjustRightInd w:val="0"/>
                    <w:snapToGrid w:val="0"/>
                    <w:spacing w:before="0" w:beforeAutospacing="0" w:after="0" w:afterAutospacing="0"/>
                    <w:ind w:left="0" w:leftChars="0" w:right="0" w:rightChars="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
                    </w:rPr>
                    <w:t>全面推进地质勘查全过程绿色勘查。勘查工作开展前应不断优化勘查设计，明确绿色勘查工作的具体内容、技术标准要求和保障措施，做好设计审查工作；勘查施工中应采用先进技术、方法、工艺、设备和新材料，积极开展勘查技术与管理的创新；勘查工作结束后，应鼓励提炼出可复制、能推广的绿色勘查经验。通过谋划在前、过程监管、事后总结将绿色勘查贯穿于勘查活动的全过程。</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166E83CC">
                  <w:pPr>
                    <w:pStyle w:val="15"/>
                    <w:keepNext w:val="0"/>
                    <w:keepLines w:val="0"/>
                    <w:widowControl w:val="0"/>
                    <w:suppressLineNumbers w:val="0"/>
                    <w:adjustRightInd w:val="0"/>
                    <w:snapToGrid w:val="0"/>
                    <w:spacing w:before="0" w:beforeAutospacing="0" w:after="0" w:afterAutospacing="0"/>
                    <w:ind w:left="0" w:leftChars="0" w:right="0" w:rightChars="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
                    </w:rPr>
                    <w:t>本项目勘查过程中使用电驱动，属于清洁能源，钻进过程采用水基钻井液，工程结束后对场地进行绿化恢复，符合绿色勘查要求。</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544E1CC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6CBA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tcBorders>
                    <w:top w:val="single" w:color="auto" w:sz="4" w:space="0"/>
                    <w:left w:val="single" w:color="auto" w:sz="4" w:space="0"/>
                    <w:bottom w:val="single" w:color="auto" w:sz="4" w:space="0"/>
                    <w:right w:val="single" w:color="auto" w:sz="4" w:space="0"/>
                  </w:tcBorders>
                  <w:noWrap w:val="0"/>
                  <w:vAlign w:val="center"/>
                </w:tcPr>
                <w:p w14:paraId="5A5C56F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18</w:t>
                  </w:r>
                </w:p>
              </w:tc>
              <w:tc>
                <w:tcPr>
                  <w:tcW w:w="1430" w:type="pct"/>
                  <w:vMerge w:val="restart"/>
                  <w:tcBorders>
                    <w:top w:val="single" w:color="auto" w:sz="4" w:space="0"/>
                    <w:left w:val="single" w:color="auto" w:sz="4" w:space="0"/>
                    <w:bottom w:val="single" w:color="auto" w:sz="4" w:space="0"/>
                    <w:right w:val="single" w:color="auto" w:sz="4" w:space="0"/>
                  </w:tcBorders>
                  <w:noWrap w:val="0"/>
                  <w:vAlign w:val="center"/>
                </w:tcPr>
                <w:p w14:paraId="6DA77A0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《榆林市关于开展油气开采废弃物集中处置的通知》</w:t>
                  </w:r>
                </w:p>
              </w:tc>
              <w:tc>
                <w:tcPr>
                  <w:tcW w:w="1754" w:type="pct"/>
                  <w:tcBorders>
                    <w:top w:val="single" w:color="auto" w:sz="4" w:space="0"/>
                    <w:left w:val="single" w:color="auto" w:sz="4" w:space="0"/>
                    <w:bottom w:val="single" w:color="auto" w:sz="4" w:space="0"/>
                    <w:right w:val="single" w:color="auto" w:sz="4" w:space="0"/>
                  </w:tcBorders>
                  <w:noWrap w:val="0"/>
                  <w:vAlign w:val="center"/>
                </w:tcPr>
                <w:p w14:paraId="4C684CCB">
                  <w:pPr>
                    <w:pStyle w:val="21"/>
                    <w:widowControl/>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申报登记：根据《中华人民共和国固体废物污染环境防治法》及《中华人民共和国水污染防治法》相关规定，油气开发业主单位在井场钻井作业</w:t>
                  </w: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eastAsia="zh-CN"/>
                    </w:rPr>
                    <w:t>日前，须向所在县区环保局报送《榆林市油气开采废弃物申报表》（见附件</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），就单井油气开采废弃物产生情况及</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三统一</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实施计划进行申报，同时报市局备案。</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27896EFF">
                  <w:pPr>
                    <w:pStyle w:val="21"/>
                    <w:widowControl/>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本项目拟在井场钻井作业</w:t>
                  </w: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eastAsia="zh-CN"/>
                    </w:rPr>
                    <w:t>日前向榆林市生态环境局佳县</w:t>
                  </w:r>
                  <w:r>
                    <w:rPr>
                      <w:rFonts w:hint="default" w:ascii="Times New Roman" w:hAnsi="Times New Roman" w:eastAsia="宋体" w:cs="Times New Roman"/>
                      <w:color w:val="auto"/>
                      <w:sz w:val="21"/>
                      <w:szCs w:val="21"/>
                      <w:highlight w:val="none"/>
                      <w:lang w:val="en-US" w:eastAsia="zh-CN"/>
                    </w:rPr>
                    <w:t>分局</w:t>
                  </w:r>
                  <w:r>
                    <w:rPr>
                      <w:rFonts w:hint="default" w:ascii="Times New Roman" w:hAnsi="Times New Roman" w:eastAsia="宋体" w:cs="Times New Roman"/>
                      <w:color w:val="auto"/>
                      <w:sz w:val="21"/>
                      <w:szCs w:val="21"/>
                      <w:highlight w:val="none"/>
                      <w:lang w:eastAsia="zh-CN"/>
                    </w:rPr>
                    <w:t>报送《榆林市油气开采废弃物申报表》就单井油气开采废弃物产生情况及</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三统一</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实施计划进行申报，同时报市局备案。</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7CB15A9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2EB85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op w:val="single" w:color="auto" w:sz="4" w:space="0"/>
                    <w:left w:val="single" w:color="auto" w:sz="4" w:space="0"/>
                    <w:bottom w:val="single" w:color="auto" w:sz="4" w:space="0"/>
                    <w:right w:val="single" w:color="auto" w:sz="4" w:space="0"/>
                  </w:tcBorders>
                  <w:noWrap w:val="0"/>
                  <w:vAlign w:val="center"/>
                </w:tcPr>
                <w:p w14:paraId="2A1A8B2B">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430" w:type="pct"/>
                  <w:vMerge w:val="continue"/>
                  <w:tcBorders>
                    <w:top w:val="single" w:color="auto" w:sz="4" w:space="0"/>
                    <w:left w:val="single" w:color="auto" w:sz="4" w:space="0"/>
                    <w:bottom w:val="single" w:color="auto" w:sz="4" w:space="0"/>
                    <w:right w:val="single" w:color="auto" w:sz="4" w:space="0"/>
                  </w:tcBorders>
                  <w:noWrap w:val="0"/>
                  <w:vAlign w:val="center"/>
                </w:tcPr>
                <w:p w14:paraId="6906D296">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754" w:type="pct"/>
                  <w:tcBorders>
                    <w:top w:val="single" w:color="auto" w:sz="4" w:space="0"/>
                    <w:left w:val="single" w:color="auto" w:sz="4" w:space="0"/>
                    <w:bottom w:val="single" w:color="auto" w:sz="4" w:space="0"/>
                    <w:right w:val="single" w:color="auto" w:sz="4" w:space="0"/>
                  </w:tcBorders>
                  <w:noWrap w:val="0"/>
                  <w:vAlign w:val="center"/>
                </w:tcPr>
                <w:p w14:paraId="0E4C6CDC">
                  <w:pPr>
                    <w:pStyle w:val="21"/>
                    <w:widowControl/>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管理台帐：根据《陕西省煤炭石油天然气开发环境保护条例》及《陕西省固体废物污染环境防治条例》相关规定，油气开发业主单位要建立健全污染环境防治责任制度，采取油气开采废弃物防扬散、防流失、防渗漏或者其他防止污染环境的收集措施，分类贮存。</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2FD0971A">
                  <w:pPr>
                    <w:pStyle w:val="21"/>
                    <w:widowControl/>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
                    </w:rPr>
                    <w:t>长庆油田分公司天然气评价项目部设专职人员进行安全环保管理。在施工期制定安全环境管理制度，贯彻执行国家和地方各项环保方针，政策和法规，并采取天然气开采废弃物防扬散、防流失、防渗漏或者其他防止污染环境的收集措施，分类贮存</w:t>
                  </w:r>
                  <w:r>
                    <w:rPr>
                      <w:rFonts w:hint="default" w:ascii="Times New Roman" w:hAnsi="Times New Roman" w:eastAsia="宋体" w:cs="Times New Roman"/>
                      <w:color w:val="auto"/>
                      <w:sz w:val="21"/>
                      <w:szCs w:val="21"/>
                      <w:highlight w:val="none"/>
                      <w:lang w:eastAsia="zh-CN"/>
                    </w:rPr>
                    <w:t>。</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3499E07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09AF5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op w:val="single" w:color="auto" w:sz="4" w:space="0"/>
                    <w:left w:val="single" w:color="auto" w:sz="4" w:space="0"/>
                    <w:bottom w:val="single" w:color="auto" w:sz="4" w:space="0"/>
                    <w:right w:val="single" w:color="auto" w:sz="4" w:space="0"/>
                  </w:tcBorders>
                  <w:noWrap w:val="0"/>
                  <w:vAlign w:val="center"/>
                </w:tcPr>
                <w:p w14:paraId="682051E1">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430" w:type="pct"/>
                  <w:vMerge w:val="continue"/>
                  <w:tcBorders>
                    <w:top w:val="single" w:color="auto" w:sz="4" w:space="0"/>
                    <w:left w:val="single" w:color="auto" w:sz="4" w:space="0"/>
                    <w:bottom w:val="single" w:color="auto" w:sz="4" w:space="0"/>
                    <w:right w:val="single" w:color="auto" w:sz="4" w:space="0"/>
                  </w:tcBorders>
                  <w:noWrap w:val="0"/>
                  <w:vAlign w:val="center"/>
                </w:tcPr>
                <w:p w14:paraId="7B0B6143">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754" w:type="pct"/>
                  <w:tcBorders>
                    <w:top w:val="single" w:color="auto" w:sz="4" w:space="0"/>
                    <w:left w:val="single" w:color="auto" w:sz="4" w:space="0"/>
                    <w:bottom w:val="single" w:color="auto" w:sz="4" w:space="0"/>
                    <w:right w:val="single" w:color="auto" w:sz="4" w:space="0"/>
                  </w:tcBorders>
                  <w:noWrap w:val="0"/>
                  <w:vAlign w:val="center"/>
                </w:tcPr>
                <w:p w14:paraId="0DC7BB3E">
                  <w:pPr>
                    <w:pStyle w:val="21"/>
                    <w:widowControl/>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处理处置：根据《中华人民共和国固体废物污染环境防治法》、《中华人民共和国水污染防治法》及《陕西省固体废物污染环境防治条例》相关规定，油气开发业主单位应对油气开采废弃物加以利用，对不能利用的，委托有资质单位进行规范化处置，严禁就地固化掩埋。</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5EFFC308">
                  <w:pPr>
                    <w:pStyle w:val="21"/>
                    <w:widowControl/>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项目泥浆上清液排入地上移动式污水罐，用于配制泥浆，循环使用，对钻井完不能利用的交</w:t>
                  </w:r>
                  <w:r>
                    <w:rPr>
                      <w:rFonts w:hint="eastAsia" w:cs="Times New Roman"/>
                      <w:color w:val="auto"/>
                      <w:sz w:val="21"/>
                      <w:szCs w:val="21"/>
                      <w:highlight w:val="none"/>
                      <w:lang w:eastAsia="zh-CN"/>
                    </w:rPr>
                    <w:t>协议的</w:t>
                  </w:r>
                  <w:r>
                    <w:rPr>
                      <w:rFonts w:hint="eastAsia" w:cs="Times New Roman"/>
                      <w:color w:val="auto"/>
                      <w:sz w:val="21"/>
                      <w:szCs w:val="21"/>
                      <w:highlight w:val="none"/>
                      <w:lang w:val="en-US" w:eastAsia="zh-CN"/>
                    </w:rPr>
                    <w:t>有能力单位</w:t>
                  </w:r>
                  <w:r>
                    <w:rPr>
                      <w:rFonts w:hint="default" w:ascii="Times New Roman" w:hAnsi="Times New Roman" w:eastAsia="宋体" w:cs="Times New Roman"/>
                      <w:color w:val="auto"/>
                      <w:sz w:val="21"/>
                      <w:szCs w:val="21"/>
                      <w:highlight w:val="none"/>
                      <w:lang w:eastAsia="zh-CN"/>
                    </w:rPr>
                    <w:t>处理。</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7DFC84F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6D0E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tcBorders>
                    <w:top w:val="single" w:color="auto" w:sz="4" w:space="0"/>
                    <w:left w:val="single" w:color="auto" w:sz="4" w:space="0"/>
                    <w:right w:val="single" w:color="auto" w:sz="4" w:space="0"/>
                  </w:tcBorders>
                  <w:noWrap w:val="0"/>
                  <w:vAlign w:val="center"/>
                </w:tcPr>
                <w:p w14:paraId="4A927EFA">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19</w:t>
                  </w:r>
                </w:p>
              </w:tc>
              <w:tc>
                <w:tcPr>
                  <w:tcW w:w="1430" w:type="pct"/>
                  <w:vMerge w:val="restart"/>
                  <w:tcBorders>
                    <w:top w:val="single" w:color="auto" w:sz="4" w:space="0"/>
                    <w:left w:val="single" w:color="auto" w:sz="4" w:space="0"/>
                    <w:right w:val="single" w:color="auto" w:sz="4" w:space="0"/>
                  </w:tcBorders>
                  <w:noWrap w:val="0"/>
                  <w:vAlign w:val="center"/>
                </w:tcPr>
                <w:p w14:paraId="3295C9D8">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《表土剥离及其再利用技术要求》</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GB/T45107-2024</w:t>
                  </w:r>
                  <w:r>
                    <w:rPr>
                      <w:rFonts w:hint="default" w:ascii="Times New Roman" w:hAnsi="Times New Roman" w:eastAsia="宋体" w:cs="Times New Roman"/>
                      <w:color w:val="auto"/>
                      <w:sz w:val="21"/>
                      <w:szCs w:val="21"/>
                      <w:highlight w:val="none"/>
                      <w:lang w:eastAsia="zh-CN"/>
                    </w:rPr>
                    <w:t>）</w:t>
                  </w:r>
                </w:p>
              </w:tc>
              <w:tc>
                <w:tcPr>
                  <w:tcW w:w="1754" w:type="pct"/>
                  <w:tcBorders>
                    <w:top w:val="single" w:color="auto" w:sz="4" w:space="0"/>
                    <w:left w:val="single" w:color="auto" w:sz="4" w:space="0"/>
                    <w:bottom w:val="single" w:color="auto" w:sz="4" w:space="0"/>
                    <w:right w:val="single" w:color="auto" w:sz="4" w:space="0"/>
                  </w:tcBorders>
                  <w:noWrap w:val="0"/>
                  <w:vAlign w:val="center"/>
                </w:tcPr>
                <w:p w14:paraId="03DF20A7">
                  <w:pPr>
                    <w:pStyle w:val="21"/>
                    <w:widowControl/>
                    <w:ind w:left="0" w:leftChars="0" w:right="0" w:rightChars="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eastAsia="zh-CN"/>
                    </w:rPr>
                    <w:t>剥离的表土不能做到“即剥即用”时</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应进行剥离表土的储存，储存时间不超过3年。</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5B2F7064">
                  <w:pPr>
                    <w:pStyle w:val="21"/>
                    <w:widowControl/>
                    <w:ind w:left="0" w:leftChars="0" w:right="0" w:rightChars="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eastAsia="zh-CN"/>
                    </w:rPr>
                    <w:t>本项目</w:t>
                  </w:r>
                  <w:r>
                    <w:rPr>
                      <w:rFonts w:hint="default" w:ascii="Times New Roman" w:hAnsi="Times New Roman" w:eastAsia="宋体" w:cs="Times New Roman"/>
                      <w:color w:val="auto"/>
                      <w:sz w:val="21"/>
                      <w:szCs w:val="21"/>
                      <w:highlight w:val="none"/>
                      <w:lang w:val="en-US" w:eastAsia="zh-CN"/>
                    </w:rPr>
                    <w:t>所在的评价井井场已设置</w:t>
                  </w:r>
                  <w:r>
                    <w:rPr>
                      <w:rFonts w:hint="default" w:ascii="Times New Roman" w:hAnsi="Times New Roman" w:eastAsia="宋体" w:cs="Times New Roman"/>
                      <w:color w:val="auto"/>
                      <w:sz w:val="21"/>
                      <w:szCs w:val="21"/>
                      <w:highlight w:val="none"/>
                      <w:lang w:eastAsia="zh-CN"/>
                    </w:rPr>
                    <w:t>表土临时堆放场</w:t>
                  </w:r>
                  <w:r>
                    <w:rPr>
                      <w:rFonts w:hint="default" w:ascii="Times New Roman" w:hAnsi="Times New Roman" w:eastAsia="宋体" w:cs="Times New Roman"/>
                      <w:color w:val="auto"/>
                      <w:sz w:val="21"/>
                      <w:szCs w:val="21"/>
                      <w:highlight w:val="none"/>
                      <w:lang w:val="en-US" w:eastAsia="zh-CN"/>
                    </w:rPr>
                    <w:t>储存在井场推平阶段产生的表土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天然气评价项目部</w:t>
                  </w:r>
                  <w:r>
                    <w:rPr>
                      <w:rFonts w:hint="default" w:ascii="Times New Roman" w:hAnsi="Times New Roman" w:eastAsia="宋体" w:cs="Times New Roman"/>
                      <w:color w:val="auto"/>
                      <w:sz w:val="21"/>
                      <w:szCs w:val="21"/>
                      <w:highlight w:val="none"/>
                      <w:lang w:eastAsia="zh-CN"/>
                    </w:rPr>
                    <w:t>在</w:t>
                  </w:r>
                  <w:r>
                    <w:rPr>
                      <w:rFonts w:hint="default" w:ascii="Times New Roman" w:hAnsi="Times New Roman" w:eastAsia="宋体" w:cs="Times New Roman"/>
                      <w:color w:val="auto"/>
                      <w:sz w:val="21"/>
                      <w:szCs w:val="21"/>
                      <w:highlight w:val="none"/>
                      <w:lang w:val="en-US" w:eastAsia="zh-CN"/>
                    </w:rPr>
                    <w:t>本项目作业</w:t>
                  </w:r>
                  <w:r>
                    <w:rPr>
                      <w:rFonts w:hint="default" w:ascii="Times New Roman" w:hAnsi="Times New Roman" w:eastAsia="宋体" w:cs="Times New Roman"/>
                      <w:color w:val="auto"/>
                      <w:sz w:val="21"/>
                      <w:szCs w:val="21"/>
                      <w:highlight w:val="none"/>
                      <w:lang w:eastAsia="zh-CN"/>
                    </w:rPr>
                    <w:t>完成后</w:t>
                  </w:r>
                  <w:r>
                    <w:rPr>
                      <w:rFonts w:hint="default" w:ascii="Times New Roman" w:hAnsi="Times New Roman" w:eastAsia="宋体" w:cs="Times New Roman"/>
                      <w:color w:val="auto"/>
                      <w:sz w:val="21"/>
                      <w:szCs w:val="21"/>
                      <w:highlight w:val="none"/>
                      <w:lang w:val="en-US" w:eastAsia="zh-CN"/>
                    </w:rPr>
                    <w:t>用于</w:t>
                  </w:r>
                  <w:r>
                    <w:rPr>
                      <w:rFonts w:hint="default" w:ascii="Times New Roman" w:hAnsi="Times New Roman" w:eastAsia="宋体" w:cs="Times New Roman"/>
                      <w:color w:val="auto"/>
                      <w:sz w:val="21"/>
                      <w:szCs w:val="21"/>
                      <w:highlight w:val="none"/>
                      <w:lang w:eastAsia="zh-CN"/>
                    </w:rPr>
                    <w:t>恢复场地，储存时间不超过</w:t>
                  </w:r>
                  <w:r>
                    <w:rPr>
                      <w:rFonts w:hint="default" w:ascii="Times New Roman" w:hAnsi="Times New Roman" w:eastAsia="宋体" w:cs="Times New Roman"/>
                      <w:color w:val="auto"/>
                      <w:sz w:val="21"/>
                      <w:szCs w:val="21"/>
                      <w:highlight w:val="none"/>
                      <w:lang w:val="en-US" w:eastAsia="zh-CN"/>
                    </w:rPr>
                    <w:t>3年。</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4C1BE414">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14:paraId="3546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left w:val="single" w:color="auto" w:sz="4" w:space="0"/>
                    <w:bottom w:val="single" w:color="auto" w:sz="4" w:space="0"/>
                    <w:right w:val="single" w:color="auto" w:sz="4" w:space="0"/>
                  </w:tcBorders>
                  <w:noWrap w:val="0"/>
                  <w:vAlign w:val="center"/>
                </w:tcPr>
                <w:p w14:paraId="02E1CB39">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p>
              </w:tc>
              <w:tc>
                <w:tcPr>
                  <w:tcW w:w="1430" w:type="pct"/>
                  <w:vMerge w:val="continue"/>
                  <w:tcBorders>
                    <w:left w:val="single" w:color="auto" w:sz="4" w:space="0"/>
                    <w:bottom w:val="single" w:color="auto" w:sz="4" w:space="0"/>
                    <w:right w:val="single" w:color="auto" w:sz="4" w:space="0"/>
                  </w:tcBorders>
                  <w:noWrap w:val="0"/>
                  <w:vAlign w:val="center"/>
                </w:tcPr>
                <w:p w14:paraId="590D790D">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754" w:type="pct"/>
                  <w:tcBorders>
                    <w:top w:val="single" w:color="auto" w:sz="4" w:space="0"/>
                    <w:left w:val="single" w:color="auto" w:sz="4" w:space="0"/>
                    <w:bottom w:val="single" w:color="auto" w:sz="4" w:space="0"/>
                    <w:right w:val="single" w:color="auto" w:sz="4" w:space="0"/>
                  </w:tcBorders>
                  <w:noWrap w:val="0"/>
                  <w:vAlign w:val="center"/>
                </w:tcPr>
                <w:p w14:paraId="76FF87AE">
                  <w:pPr>
                    <w:pStyle w:val="21"/>
                    <w:widowControl/>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储存区内表土堆放紧凑，减少占地面积；储存区的表土堆设置为台体或圆锥体</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最大坡度不应超过</w:t>
                  </w:r>
                  <w:r>
                    <w:rPr>
                      <w:rFonts w:hint="default" w:ascii="Times New Roman" w:hAnsi="Times New Roman" w:eastAsia="宋体"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竖向：水平），堆体宽度或直径宜小于20m</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单个堆体的体积不应大于5000m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eastAsia="zh-CN"/>
                    </w:rPr>
                    <w:t>；</w:t>
                  </w:r>
                </w:p>
                <w:p w14:paraId="14B40EBE">
                  <w:pPr>
                    <w:pStyle w:val="21"/>
                    <w:widowControl/>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堆放高度满足堆体稳定性的设计要求，高度不超过4m；土质黏重的，最高不超过5m；堆放1年以上的</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为确保堆放过程中表土能保持生物活性和结构稳定，降低堆土高度。</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5135E35A">
                  <w:pPr>
                    <w:pStyle w:val="21"/>
                    <w:widowControl/>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本项目</w:t>
                  </w:r>
                  <w:r>
                    <w:rPr>
                      <w:rFonts w:hint="default" w:ascii="Times New Roman" w:hAnsi="Times New Roman" w:eastAsia="宋体" w:cs="Times New Roman"/>
                      <w:color w:val="auto"/>
                      <w:sz w:val="21"/>
                      <w:szCs w:val="21"/>
                      <w:highlight w:val="none"/>
                      <w:lang w:val="en-US" w:eastAsia="zh-CN"/>
                    </w:rPr>
                    <w:t>所在的评价井井场</w:t>
                  </w:r>
                  <w:r>
                    <w:rPr>
                      <w:rFonts w:hint="default" w:ascii="Times New Roman" w:hAnsi="Times New Roman" w:eastAsia="宋体" w:cs="Times New Roman"/>
                      <w:color w:val="auto"/>
                      <w:sz w:val="21"/>
                      <w:szCs w:val="21"/>
                      <w:highlight w:val="none"/>
                      <w:lang w:eastAsia="zh-CN"/>
                    </w:rPr>
                    <w:t>临时堆土场单个堆体体积不大于</w:t>
                  </w:r>
                  <w:r>
                    <w:rPr>
                      <w:rFonts w:hint="default" w:ascii="Times New Roman" w:hAnsi="Times New Roman" w:eastAsia="宋体" w:cs="Times New Roman"/>
                      <w:color w:val="auto"/>
                      <w:sz w:val="21"/>
                      <w:szCs w:val="21"/>
                      <w:highlight w:val="none"/>
                      <w:lang w:val="en-US" w:eastAsia="zh-CN"/>
                    </w:rPr>
                    <w:t>5000方，高度不高于3m。</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5A3EF32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14:paraId="61D73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tcBorders>
                    <w:left w:val="single" w:color="auto" w:sz="4" w:space="0"/>
                    <w:right w:val="single" w:color="auto" w:sz="4" w:space="0"/>
                  </w:tcBorders>
                  <w:noWrap w:val="0"/>
                  <w:vAlign w:val="center"/>
                </w:tcPr>
                <w:p w14:paraId="68B1608F">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0</w:t>
                  </w:r>
                </w:p>
              </w:tc>
              <w:tc>
                <w:tcPr>
                  <w:tcW w:w="1430" w:type="pct"/>
                  <w:vMerge w:val="restart"/>
                  <w:tcBorders>
                    <w:left w:val="single" w:color="auto" w:sz="4" w:space="0"/>
                    <w:right w:val="single" w:color="auto" w:sz="4" w:space="0"/>
                  </w:tcBorders>
                  <w:noWrap w:val="0"/>
                  <w:vAlign w:val="center"/>
                </w:tcPr>
                <w:p w14:paraId="73640717">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《关于规范临时用地管理的通知》自然资规[2021]2号</w:t>
                  </w:r>
                </w:p>
              </w:tc>
              <w:tc>
                <w:tcPr>
                  <w:tcW w:w="1754" w:type="pct"/>
                  <w:tcBorders>
                    <w:top w:val="single" w:color="auto" w:sz="4" w:space="0"/>
                    <w:left w:val="single" w:color="auto" w:sz="4" w:space="0"/>
                    <w:bottom w:val="single" w:color="auto" w:sz="4" w:space="0"/>
                    <w:right w:val="single" w:color="auto" w:sz="4" w:space="0"/>
                  </w:tcBorders>
                  <w:noWrap w:val="0"/>
                  <w:vAlign w:val="center"/>
                </w:tcPr>
                <w:p w14:paraId="4CC7CD46">
                  <w:pPr>
                    <w:pStyle w:val="21"/>
                    <w:widowControl/>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建设项目施工、地质勘查使用临时用地时应坚持“用多少、批多少、占多少、恢复多少”，尽量不占或者少占耕地。</w:t>
                  </w:r>
                </w:p>
              </w:tc>
              <w:tc>
                <w:tcPr>
                  <w:tcW w:w="1258" w:type="pct"/>
                  <w:vMerge w:val="restart"/>
                  <w:tcBorders>
                    <w:top w:val="single" w:color="auto" w:sz="4" w:space="0"/>
                    <w:left w:val="single" w:color="auto" w:sz="4" w:space="0"/>
                    <w:right w:val="single" w:color="auto" w:sz="4" w:space="0"/>
                  </w:tcBorders>
                  <w:noWrap w:val="0"/>
                  <w:vAlign w:val="center"/>
                </w:tcPr>
                <w:p w14:paraId="7EAF9CA8">
                  <w:pPr>
                    <w:pStyle w:val="21"/>
                    <w:widowControl/>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本项目位于榆林市</w:t>
                  </w:r>
                  <w:r>
                    <w:rPr>
                      <w:rFonts w:hint="eastAsia" w:ascii="Times New Roman" w:hAnsi="Times New Roman" w:eastAsia="宋体" w:cs="Times New Roman"/>
                      <w:color w:val="auto"/>
                      <w:sz w:val="21"/>
                      <w:szCs w:val="21"/>
                      <w:highlight w:val="none"/>
                      <w:vertAlign w:val="baseline"/>
                      <w:lang w:val="en-US" w:eastAsia="zh-CN"/>
                    </w:rPr>
                    <w:t>佳县金明寺镇</w:t>
                  </w:r>
                  <w:r>
                    <w:rPr>
                      <w:rFonts w:hint="default"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建设</w:t>
                  </w:r>
                  <w:r>
                    <w:rPr>
                      <w:rFonts w:hint="default" w:ascii="Times New Roman" w:hAnsi="Times New Roman" w:eastAsia="宋体" w:cs="Times New Roman"/>
                      <w:color w:val="auto"/>
                      <w:sz w:val="21"/>
                      <w:szCs w:val="21"/>
                      <w:highlight w:val="none"/>
                      <w:vertAlign w:val="baseline"/>
                      <w:lang w:val="en-US" w:eastAsia="zh-CN"/>
                    </w:rPr>
                    <w:t>后</w:t>
                  </w:r>
                  <w:r>
                    <w:rPr>
                      <w:rFonts w:hint="eastAsia" w:ascii="Times New Roman" w:hAnsi="Times New Roman" w:eastAsia="宋体" w:cs="Times New Roman"/>
                      <w:color w:val="auto"/>
                      <w:sz w:val="21"/>
                      <w:szCs w:val="21"/>
                      <w:highlight w:val="none"/>
                      <w:vertAlign w:val="baseline"/>
                      <w:lang w:val="en-US" w:eastAsia="zh-CN"/>
                    </w:rPr>
                    <w:t>若</w:t>
                  </w:r>
                  <w:r>
                    <w:rPr>
                      <w:rFonts w:hint="default" w:ascii="Times New Roman" w:hAnsi="Times New Roman" w:eastAsia="宋体" w:cs="Times New Roman"/>
                      <w:color w:val="auto"/>
                      <w:sz w:val="21"/>
                      <w:szCs w:val="21"/>
                      <w:highlight w:val="none"/>
                      <w:vertAlign w:val="baseline"/>
                      <w:lang w:val="en-US" w:eastAsia="zh-CN"/>
                    </w:rPr>
                    <w:t>采取永久封井，</w:t>
                  </w:r>
                  <w:r>
                    <w:rPr>
                      <w:rFonts w:hint="eastAsia" w:ascii="Times New Roman" w:hAnsi="Times New Roman" w:eastAsia="宋体" w:cs="Times New Roman"/>
                      <w:color w:val="auto"/>
                      <w:sz w:val="21"/>
                      <w:szCs w:val="21"/>
                      <w:highlight w:val="none"/>
                      <w:vertAlign w:val="baseline"/>
                      <w:lang w:val="en-US" w:eastAsia="zh-CN"/>
                    </w:rPr>
                    <w:t>则项目为临时占地，开工建设前办理临时占地手续，建设完成后进行生态恢复；若</w:t>
                  </w:r>
                  <w:r>
                    <w:rPr>
                      <w:rFonts w:hint="default" w:ascii="Times New Roman" w:hAnsi="Times New Roman" w:eastAsia="宋体" w:cs="Times New Roman"/>
                      <w:color w:val="auto"/>
                      <w:sz w:val="21"/>
                      <w:szCs w:val="21"/>
                      <w:highlight w:val="none"/>
                      <w:vertAlign w:val="baseline"/>
                      <w:lang w:val="en-US" w:eastAsia="zh-CN"/>
                    </w:rPr>
                    <w:t>采取临时封井，预留转成生产井所需的面积</w:t>
                  </w:r>
                  <w:r>
                    <w:rPr>
                      <w:rFonts w:hint="eastAsia" w:ascii="Times New Roman" w:hAnsi="Times New Roman" w:eastAsia="宋体" w:cs="Times New Roman"/>
                      <w:color w:val="auto"/>
                      <w:sz w:val="21"/>
                      <w:szCs w:val="21"/>
                      <w:highlight w:val="none"/>
                      <w:vertAlign w:val="baseline"/>
                      <w:lang w:val="en-US" w:eastAsia="zh-CN"/>
                    </w:rPr>
                    <w:t>为永久占地，依法办理相关手续</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66CFE0C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14:paraId="58876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left w:val="single" w:color="auto" w:sz="4" w:space="0"/>
                    <w:right w:val="single" w:color="auto" w:sz="4" w:space="0"/>
                  </w:tcBorders>
                  <w:noWrap w:val="0"/>
                  <w:vAlign w:val="center"/>
                </w:tcPr>
                <w:p w14:paraId="661661E1">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p>
              </w:tc>
              <w:tc>
                <w:tcPr>
                  <w:tcW w:w="1430" w:type="pct"/>
                  <w:vMerge w:val="continue"/>
                  <w:tcBorders>
                    <w:left w:val="single" w:color="auto" w:sz="4" w:space="0"/>
                    <w:right w:val="single" w:color="auto" w:sz="4" w:space="0"/>
                  </w:tcBorders>
                  <w:noWrap w:val="0"/>
                  <w:vAlign w:val="center"/>
                </w:tcPr>
                <w:p w14:paraId="35BE4079">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754" w:type="pct"/>
                  <w:tcBorders>
                    <w:top w:val="single" w:color="auto" w:sz="4" w:space="0"/>
                    <w:left w:val="single" w:color="auto" w:sz="4" w:space="0"/>
                    <w:bottom w:val="single" w:color="auto" w:sz="4" w:space="0"/>
                    <w:right w:val="single" w:color="auto" w:sz="4" w:space="0"/>
                  </w:tcBorders>
                  <w:noWrap w:val="0"/>
                  <w:vAlign w:val="center"/>
                </w:tcPr>
                <w:p w14:paraId="01FD3ADC">
                  <w:pPr>
                    <w:pStyle w:val="21"/>
                    <w:widowControl/>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使用后土地复垦难度较大的临时用地，要严格控制占用耕地。</w:t>
                  </w:r>
                </w:p>
              </w:tc>
              <w:tc>
                <w:tcPr>
                  <w:tcW w:w="1258" w:type="pct"/>
                  <w:vMerge w:val="continue"/>
                  <w:tcBorders>
                    <w:left w:val="single" w:color="auto" w:sz="4" w:space="0"/>
                    <w:bottom w:val="single" w:color="auto" w:sz="4" w:space="0"/>
                    <w:right w:val="single" w:color="auto" w:sz="4" w:space="0"/>
                  </w:tcBorders>
                  <w:noWrap w:val="0"/>
                  <w:vAlign w:val="center"/>
                </w:tcPr>
                <w:p w14:paraId="486916C8">
                  <w:pPr>
                    <w:pStyle w:val="21"/>
                    <w:widowControl/>
                    <w:jc w:val="both"/>
                    <w:rPr>
                      <w:rFonts w:hint="default" w:ascii="Times New Roman" w:hAnsi="Times New Roman" w:eastAsia="宋体" w:cs="Times New Roman"/>
                      <w:color w:val="auto"/>
                      <w:sz w:val="21"/>
                      <w:szCs w:val="21"/>
                      <w:highlight w:val="none"/>
                      <w:lang w:eastAsia="zh-CN"/>
                    </w:rPr>
                  </w:pPr>
                </w:p>
              </w:tc>
              <w:tc>
                <w:tcPr>
                  <w:tcW w:w="282" w:type="pct"/>
                  <w:tcBorders>
                    <w:top w:val="single" w:color="auto" w:sz="4" w:space="0"/>
                    <w:left w:val="single" w:color="auto" w:sz="4" w:space="0"/>
                    <w:bottom w:val="single" w:color="auto" w:sz="4" w:space="0"/>
                    <w:right w:val="single" w:color="auto" w:sz="4" w:space="0"/>
                  </w:tcBorders>
                  <w:noWrap w:val="0"/>
                  <w:vAlign w:val="center"/>
                </w:tcPr>
                <w:p w14:paraId="20A54E9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14:paraId="52258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left w:val="single" w:color="auto" w:sz="4" w:space="0"/>
                    <w:right w:val="single" w:color="auto" w:sz="4" w:space="0"/>
                  </w:tcBorders>
                  <w:noWrap w:val="0"/>
                  <w:vAlign w:val="center"/>
                </w:tcPr>
                <w:p w14:paraId="3741817D">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p>
              </w:tc>
              <w:tc>
                <w:tcPr>
                  <w:tcW w:w="1430" w:type="pct"/>
                  <w:vMerge w:val="continue"/>
                  <w:tcBorders>
                    <w:left w:val="single" w:color="auto" w:sz="4" w:space="0"/>
                    <w:right w:val="single" w:color="auto" w:sz="4" w:space="0"/>
                  </w:tcBorders>
                  <w:noWrap w:val="0"/>
                  <w:vAlign w:val="center"/>
                </w:tcPr>
                <w:p w14:paraId="5CBA3315">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754" w:type="pct"/>
                  <w:tcBorders>
                    <w:top w:val="single" w:color="auto" w:sz="4" w:space="0"/>
                    <w:left w:val="single" w:color="auto" w:sz="4" w:space="0"/>
                    <w:bottom w:val="single" w:color="auto" w:sz="4" w:space="0"/>
                    <w:right w:val="single" w:color="auto" w:sz="4" w:space="0"/>
                  </w:tcBorders>
                  <w:noWrap w:val="0"/>
                  <w:vAlign w:val="center"/>
                </w:tcPr>
                <w:p w14:paraId="55E18A6D">
                  <w:pPr>
                    <w:pStyle w:val="21"/>
                    <w:widowControl/>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临时用地使用期限一般不超过两年。</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41C89ECA">
                  <w:pPr>
                    <w:pStyle w:val="21"/>
                    <w:widowControl/>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本项目施工周期较短，临时用地使用期限不超过2年。</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4B85277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14:paraId="4C648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tcBorders>
                    <w:left w:val="single" w:color="auto" w:sz="4" w:space="0"/>
                    <w:right w:val="single" w:color="auto" w:sz="4" w:space="0"/>
                  </w:tcBorders>
                  <w:noWrap w:val="0"/>
                  <w:vAlign w:val="center"/>
                </w:tcPr>
                <w:p w14:paraId="5B6996BB">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1</w:t>
                  </w:r>
                </w:p>
              </w:tc>
              <w:tc>
                <w:tcPr>
                  <w:tcW w:w="1430" w:type="pct"/>
                  <w:tcBorders>
                    <w:left w:val="single" w:color="auto" w:sz="4" w:space="0"/>
                    <w:right w:val="single" w:color="auto" w:sz="4" w:space="0"/>
                  </w:tcBorders>
                  <w:noWrap w:val="0"/>
                  <w:vAlign w:val="center"/>
                </w:tcPr>
                <w:p w14:paraId="3D6A746C">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《地下水管理条例》</w:t>
                  </w:r>
                </w:p>
              </w:tc>
              <w:tc>
                <w:tcPr>
                  <w:tcW w:w="1754" w:type="pct"/>
                  <w:tcBorders>
                    <w:top w:val="single" w:color="auto" w:sz="4" w:space="0"/>
                    <w:left w:val="single" w:color="auto" w:sz="4" w:space="0"/>
                    <w:bottom w:val="single" w:color="auto" w:sz="4" w:space="0"/>
                    <w:right w:val="single" w:color="auto" w:sz="4" w:space="0"/>
                  </w:tcBorders>
                  <w:noWrap w:val="0"/>
                  <w:vAlign w:val="center"/>
                </w:tcPr>
                <w:p w14:paraId="3E53746E">
                  <w:pPr>
                    <w:pStyle w:val="21"/>
                    <w:widowControl/>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兴建地下工程设施或者进行地下勘探、采矿等活动，依法编制的环境影响评价文件中，应当包括地下水污染防治的内容，并采取防护性措施。</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16846F35">
                  <w:pPr>
                    <w:pStyle w:val="21"/>
                    <w:widowControl/>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本项目为天然气</w:t>
                  </w:r>
                  <w:r>
                    <w:rPr>
                      <w:rFonts w:hint="eastAsia" w:cs="Times New Roman"/>
                      <w:color w:val="auto"/>
                      <w:sz w:val="21"/>
                      <w:szCs w:val="21"/>
                      <w:highlight w:val="none"/>
                      <w:lang w:val="en-US" w:eastAsia="zh-CN"/>
                    </w:rPr>
                    <w:t>评价井建设</w:t>
                  </w:r>
                  <w:r>
                    <w:rPr>
                      <w:rFonts w:hint="default" w:ascii="Times New Roman" w:hAnsi="Times New Roman" w:eastAsia="宋体" w:cs="Times New Roman"/>
                      <w:color w:val="auto"/>
                      <w:sz w:val="21"/>
                      <w:szCs w:val="21"/>
                      <w:highlight w:val="none"/>
                      <w:lang w:val="en-US" w:eastAsia="zh-CN"/>
                    </w:rPr>
                    <w:t>项目，依法编制环评报告表，报告表内提出了地下水污染防治措施。</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67A2DC6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14:paraId="12DCA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tcBorders>
                    <w:left w:val="single" w:color="auto" w:sz="4" w:space="0"/>
                    <w:right w:val="single" w:color="auto" w:sz="4" w:space="0"/>
                  </w:tcBorders>
                  <w:noWrap w:val="0"/>
                  <w:vAlign w:val="center"/>
                </w:tcPr>
                <w:p w14:paraId="4DED8538">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22</w:t>
                  </w:r>
                </w:p>
              </w:tc>
              <w:tc>
                <w:tcPr>
                  <w:tcW w:w="1430" w:type="pct"/>
                  <w:tcBorders>
                    <w:left w:val="single" w:color="auto" w:sz="4" w:space="0"/>
                    <w:right w:val="single" w:color="auto" w:sz="4" w:space="0"/>
                  </w:tcBorders>
                  <w:noWrap w:val="0"/>
                  <w:vAlign w:val="center"/>
                </w:tcPr>
                <w:p w14:paraId="699A5776">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《榆林市油气井钻探设备“油改电”行动方案》</w:t>
                  </w:r>
                </w:p>
              </w:tc>
              <w:tc>
                <w:tcPr>
                  <w:tcW w:w="1754" w:type="pct"/>
                  <w:tcBorders>
                    <w:top w:val="single" w:color="auto" w:sz="4" w:space="0"/>
                    <w:left w:val="single" w:color="auto" w:sz="4" w:space="0"/>
                    <w:bottom w:val="single" w:color="auto" w:sz="4" w:space="0"/>
                    <w:right w:val="single" w:color="auto" w:sz="4" w:space="0"/>
                  </w:tcBorders>
                  <w:noWrap w:val="0"/>
                  <w:vAlign w:val="center"/>
                </w:tcPr>
                <w:p w14:paraId="07479940">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通过实施油气井钻探设备“油改电”改造，降低油气行业勘探、钻井过程中的燃油消耗，减少污染物排放，提升钻井作业的环保水平和经济效益，推动油气行业绿色低碳发展。具体目标如下:</w:t>
                  </w:r>
                </w:p>
                <w:p w14:paraId="7CC4113D">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到2025年底，在具备条件的区域完成50%的油气井钻探设备“油改电”改造任务。实现油气井钻探设备氮氧化物、颗粒物等污染物排放显著减少，初步改善油气开采对环境的影响。到2026年底，在具备条件的区域完成80%的油气井钻探设备“油改电”改造任务。进一步减少主要污染物排放，全面推动油气行业向绿色低碳、高效安全方向发展。</w:t>
                  </w:r>
                </w:p>
                <w:p w14:paraId="4C9CC5F2">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到2027年底，在具备条件的区域完成100%的油气井钻探设备“油改电”改造任务。建立健全油气行业绿色能源供应体系和运行管理机制，构建可持续的绿色发展模式，在保障油气供应的同时，实现经济效益和生态效益的双赢。</w:t>
                  </w:r>
                </w:p>
                <w:p w14:paraId="27221F19">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自2027年1月1日起，新实施的油气井钻探项目需全部实现电气化。</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070542B7">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本项目施工过程中采用电驱动钻井设备。</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1D4DCDB3">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bl>
          <w:p w14:paraId="6A0D2BB9">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5、与《钻前工程及井场布置技术要求》符合性分析</w:t>
            </w:r>
          </w:p>
          <w:p w14:paraId="40F29686">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根据《钻前工程及井场布置技术要求》（SY/T5466-2013）中3.2.2节规定，井口位置应满足“距高压线及其它永久性设施不小于75m，距民宅不小于100m，距铁路、高速公路不小于200m，距学校、医院和大型油库等密集型、高危性场所不小于500m”的规定。根据现场踏勘，项目井口75m范围内无高压线及其它永久性设施，100m范围内无居民住宅，200m范围内无高速公路、铁路，500m范围内无学校、医院和大型油库等人口密集性、高危性场所。项目井口选址符合《钻前工程及井场布置技术要求》（SY/T5466-2013）中3.2.2节规定，具体分析见表1-9。</w:t>
            </w:r>
          </w:p>
          <w:p w14:paraId="61FA81E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表1-9 钻前工程及井场布置技术要求</w:t>
            </w:r>
          </w:p>
          <w:tbl>
            <w:tblPr>
              <w:tblStyle w:val="1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2645"/>
              <w:gridCol w:w="3309"/>
              <w:gridCol w:w="915"/>
            </w:tblGrid>
            <w:tr w14:paraId="6268F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6" w:type="pct"/>
                  <w:gridSpan w:val="2"/>
                  <w:tcBorders>
                    <w:top w:val="single" w:color="auto" w:sz="4" w:space="0"/>
                    <w:left w:val="single" w:color="auto" w:sz="4" w:space="0"/>
                    <w:bottom w:val="single" w:color="auto" w:sz="4" w:space="0"/>
                    <w:right w:val="single" w:color="auto" w:sz="4" w:space="0"/>
                  </w:tcBorders>
                  <w:noWrap w:val="0"/>
                  <w:vAlign w:val="center"/>
                </w:tcPr>
                <w:p w14:paraId="769100A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《钻前工程及井场布置技术要求》（SY/T5466-2013）</w:t>
                  </w:r>
                </w:p>
              </w:tc>
              <w:tc>
                <w:tcPr>
                  <w:tcW w:w="2117" w:type="pct"/>
                  <w:tcBorders>
                    <w:top w:val="single" w:color="auto" w:sz="4" w:space="0"/>
                    <w:left w:val="single" w:color="auto" w:sz="4" w:space="0"/>
                    <w:bottom w:val="single" w:color="auto" w:sz="4" w:space="0"/>
                    <w:right w:val="single" w:color="auto" w:sz="4" w:space="0"/>
                  </w:tcBorders>
                  <w:noWrap w:val="0"/>
                  <w:vAlign w:val="center"/>
                </w:tcPr>
                <w:p w14:paraId="41964AB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本项目情况</w:t>
                  </w:r>
                </w:p>
              </w:tc>
              <w:tc>
                <w:tcPr>
                  <w:tcW w:w="585" w:type="pct"/>
                  <w:tcBorders>
                    <w:top w:val="single" w:color="auto" w:sz="4" w:space="0"/>
                    <w:left w:val="single" w:color="auto" w:sz="4" w:space="0"/>
                    <w:bottom w:val="single" w:color="auto" w:sz="4" w:space="0"/>
                    <w:right w:val="single" w:color="auto" w:sz="4" w:space="0"/>
                  </w:tcBorders>
                  <w:noWrap w:val="0"/>
                  <w:vAlign w:val="center"/>
                </w:tcPr>
                <w:p w14:paraId="2FF7C0E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符合性分析</w:t>
                  </w:r>
                </w:p>
              </w:tc>
            </w:tr>
            <w:tr w14:paraId="3149A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restart"/>
                  <w:tcBorders>
                    <w:top w:val="single" w:color="auto" w:sz="4" w:space="0"/>
                    <w:left w:val="single" w:color="auto" w:sz="4" w:space="0"/>
                    <w:bottom w:val="single" w:color="auto" w:sz="4" w:space="0"/>
                    <w:right w:val="single" w:color="auto" w:sz="4" w:space="0"/>
                  </w:tcBorders>
                  <w:noWrap w:val="0"/>
                  <w:vAlign w:val="center"/>
                </w:tcPr>
                <w:p w14:paraId="431D9BB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3.1井场选择原则</w:t>
                  </w:r>
                </w:p>
              </w:tc>
              <w:tc>
                <w:tcPr>
                  <w:tcW w:w="1691" w:type="pct"/>
                  <w:tcBorders>
                    <w:top w:val="single" w:color="auto" w:sz="4" w:space="0"/>
                    <w:left w:val="single" w:color="auto" w:sz="4" w:space="0"/>
                    <w:bottom w:val="single" w:color="auto" w:sz="4" w:space="0"/>
                    <w:right w:val="single" w:color="auto" w:sz="4" w:space="0"/>
                  </w:tcBorders>
                  <w:noWrap w:val="0"/>
                  <w:vAlign w:val="center"/>
                </w:tcPr>
                <w:p w14:paraId="03FA0EB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井场应避开滑坡、泥石流等不良地质地段，在河滩、海滩地区应避开</w:t>
                  </w:r>
                  <w:r>
                    <w:rPr>
                      <w:rFonts w:hint="eastAsia" w:ascii="Times New Roman" w:hAnsi="Times New Roman" w:cs="Times New Roman"/>
                      <w:color w:val="auto"/>
                      <w:kern w:val="0"/>
                      <w:sz w:val="21"/>
                      <w:szCs w:val="21"/>
                      <w:highlight w:val="none"/>
                      <w:lang w:val="en-US" w:eastAsia="zh-CN" w:bidi="ar"/>
                    </w:rPr>
                    <w:t>汛</w:t>
                  </w:r>
                  <w:r>
                    <w:rPr>
                      <w:rFonts w:hint="default" w:ascii="Times New Roman" w:hAnsi="Times New Roman" w:eastAsia="宋体" w:cs="Times New Roman"/>
                      <w:color w:val="auto"/>
                      <w:kern w:val="0"/>
                      <w:sz w:val="21"/>
                      <w:szCs w:val="21"/>
                      <w:highlight w:val="none"/>
                      <w:lang w:val="en-US" w:eastAsia="zh-CN" w:bidi="ar"/>
                    </w:rPr>
                    <w:t>、潮期进行钻前施工</w:t>
                  </w:r>
                </w:p>
              </w:tc>
              <w:tc>
                <w:tcPr>
                  <w:tcW w:w="2117" w:type="pct"/>
                  <w:tcBorders>
                    <w:top w:val="single" w:color="auto" w:sz="4" w:space="0"/>
                    <w:left w:val="single" w:color="auto" w:sz="4" w:space="0"/>
                    <w:bottom w:val="single" w:color="auto" w:sz="4" w:space="0"/>
                    <w:right w:val="single" w:color="auto" w:sz="4" w:space="0"/>
                  </w:tcBorders>
                  <w:noWrap w:val="0"/>
                  <w:vAlign w:val="center"/>
                </w:tcPr>
                <w:p w14:paraId="3582565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本项目井场选址不属于滑坡、泥石流等不良地段，也不属于河滩地区。</w:t>
                  </w:r>
                </w:p>
              </w:tc>
              <w:tc>
                <w:tcPr>
                  <w:tcW w:w="585" w:type="pct"/>
                  <w:tcBorders>
                    <w:top w:val="single" w:color="auto" w:sz="4" w:space="0"/>
                    <w:left w:val="single" w:color="auto" w:sz="4" w:space="0"/>
                    <w:bottom w:val="single" w:color="auto" w:sz="4" w:space="0"/>
                    <w:right w:val="single" w:color="auto" w:sz="4" w:space="0"/>
                  </w:tcBorders>
                  <w:noWrap w:val="0"/>
                  <w:vAlign w:val="center"/>
                </w:tcPr>
                <w:p w14:paraId="08AB988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057F8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continue"/>
                  <w:tcBorders>
                    <w:top w:val="single" w:color="auto" w:sz="4" w:space="0"/>
                    <w:left w:val="single" w:color="auto" w:sz="4" w:space="0"/>
                    <w:bottom w:val="single" w:color="auto" w:sz="4" w:space="0"/>
                    <w:right w:val="single" w:color="auto" w:sz="4" w:space="0"/>
                  </w:tcBorders>
                  <w:noWrap w:val="0"/>
                  <w:vAlign w:val="center"/>
                </w:tcPr>
                <w:p w14:paraId="40C51CCD">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691" w:type="pct"/>
                  <w:tcBorders>
                    <w:top w:val="single" w:color="auto" w:sz="4" w:space="0"/>
                    <w:left w:val="single" w:color="auto" w:sz="4" w:space="0"/>
                    <w:bottom w:val="single" w:color="auto" w:sz="4" w:space="0"/>
                    <w:right w:val="single" w:color="auto" w:sz="4" w:space="0"/>
                  </w:tcBorders>
                  <w:noWrap w:val="0"/>
                  <w:vAlign w:val="center"/>
                </w:tcPr>
                <w:p w14:paraId="308B5B0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满足防洪、防喷、防爆、防毒、防冻等安全要求</w:t>
                  </w:r>
                </w:p>
              </w:tc>
              <w:tc>
                <w:tcPr>
                  <w:tcW w:w="2117" w:type="pct"/>
                  <w:tcBorders>
                    <w:top w:val="single" w:color="auto" w:sz="4" w:space="0"/>
                    <w:left w:val="single" w:color="auto" w:sz="4" w:space="0"/>
                    <w:bottom w:val="single" w:color="auto" w:sz="4" w:space="0"/>
                    <w:right w:val="single" w:color="auto" w:sz="4" w:space="0"/>
                  </w:tcBorders>
                  <w:noWrap w:val="0"/>
                  <w:vAlign w:val="center"/>
                </w:tcPr>
                <w:p w14:paraId="4A8C4F7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本项目选址满足防洪、防喷、防爆、防毒、防冻等安全要求。</w:t>
                  </w:r>
                </w:p>
              </w:tc>
              <w:tc>
                <w:tcPr>
                  <w:tcW w:w="585" w:type="pct"/>
                  <w:tcBorders>
                    <w:top w:val="single" w:color="auto" w:sz="4" w:space="0"/>
                    <w:left w:val="single" w:color="auto" w:sz="4" w:space="0"/>
                    <w:bottom w:val="single" w:color="auto" w:sz="4" w:space="0"/>
                    <w:right w:val="single" w:color="auto" w:sz="4" w:space="0"/>
                  </w:tcBorders>
                  <w:noWrap w:val="0"/>
                  <w:vAlign w:val="center"/>
                </w:tcPr>
                <w:p w14:paraId="2EF16C9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76EEE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restart"/>
                  <w:tcBorders>
                    <w:top w:val="single" w:color="auto" w:sz="4" w:space="0"/>
                    <w:left w:val="single" w:color="auto" w:sz="4" w:space="0"/>
                    <w:bottom w:val="single" w:color="auto" w:sz="4" w:space="0"/>
                    <w:right w:val="single" w:color="auto" w:sz="4" w:space="0"/>
                  </w:tcBorders>
                  <w:noWrap w:val="0"/>
                  <w:vAlign w:val="center"/>
                </w:tcPr>
                <w:p w14:paraId="1AC8464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3.2井位的确定</w:t>
                  </w:r>
                </w:p>
              </w:tc>
              <w:tc>
                <w:tcPr>
                  <w:tcW w:w="1691" w:type="pct"/>
                  <w:tcBorders>
                    <w:top w:val="single" w:color="auto" w:sz="4" w:space="0"/>
                    <w:left w:val="single" w:color="auto" w:sz="4" w:space="0"/>
                    <w:bottom w:val="single" w:color="auto" w:sz="4" w:space="0"/>
                    <w:right w:val="single" w:color="auto" w:sz="4" w:space="0"/>
                  </w:tcBorders>
                  <w:noWrap w:val="0"/>
                  <w:vAlign w:val="center"/>
                </w:tcPr>
                <w:p w14:paraId="1360BC7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油、气井井口距高压线及其他永久性设施不小于75m，距民宅不小于100m，距铁路、高速公路不小于200m，距学校、医院和大型油库等人口密集型、高危性场所不小于500m。</w:t>
                  </w:r>
                </w:p>
              </w:tc>
              <w:tc>
                <w:tcPr>
                  <w:tcW w:w="2117" w:type="pct"/>
                  <w:tcBorders>
                    <w:top w:val="single" w:color="auto" w:sz="4" w:space="0"/>
                    <w:left w:val="single" w:color="auto" w:sz="4" w:space="0"/>
                    <w:bottom w:val="single" w:color="auto" w:sz="4" w:space="0"/>
                    <w:right w:val="single" w:color="auto" w:sz="4" w:space="0"/>
                  </w:tcBorders>
                  <w:noWrap w:val="0"/>
                  <w:vAlign w:val="center"/>
                </w:tcPr>
                <w:p w14:paraId="79E06401">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本项目井口周围75m无高压线及其他永久性设施，100m范围内无民宅，200m范围内无铁路、高速公路，500</w:t>
                  </w:r>
                  <w:r>
                    <w:rPr>
                      <w:rFonts w:hint="eastAsia" w:ascii="Times New Roman" w:hAnsi="Times New Roman" w:cs="Times New Roman"/>
                      <w:color w:val="auto"/>
                      <w:kern w:val="0"/>
                      <w:sz w:val="21"/>
                      <w:szCs w:val="21"/>
                      <w:highlight w:val="none"/>
                      <w:lang w:val="en-US" w:eastAsia="zh-CN" w:bidi="ar"/>
                    </w:rPr>
                    <w:t>m</w:t>
                  </w:r>
                  <w:r>
                    <w:rPr>
                      <w:rFonts w:hint="default" w:ascii="Times New Roman" w:hAnsi="Times New Roman" w:eastAsia="宋体" w:cs="Times New Roman"/>
                      <w:color w:val="auto"/>
                      <w:kern w:val="0"/>
                      <w:sz w:val="21"/>
                      <w:szCs w:val="21"/>
                      <w:highlight w:val="none"/>
                      <w:lang w:val="en-US" w:eastAsia="zh-CN" w:bidi="ar"/>
                    </w:rPr>
                    <w:t>范围内无学校、医院和大型油库等人口密集性、高危性场所。</w:t>
                  </w:r>
                </w:p>
              </w:tc>
              <w:tc>
                <w:tcPr>
                  <w:tcW w:w="585" w:type="pct"/>
                  <w:tcBorders>
                    <w:top w:val="single" w:color="auto" w:sz="4" w:space="0"/>
                    <w:left w:val="single" w:color="auto" w:sz="4" w:space="0"/>
                    <w:bottom w:val="single" w:color="auto" w:sz="4" w:space="0"/>
                    <w:right w:val="single" w:color="auto" w:sz="4" w:space="0"/>
                  </w:tcBorders>
                  <w:noWrap w:val="0"/>
                  <w:vAlign w:val="center"/>
                </w:tcPr>
                <w:p w14:paraId="37CBD03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53EAD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continue"/>
                  <w:tcBorders>
                    <w:top w:val="single" w:color="auto" w:sz="4" w:space="0"/>
                    <w:left w:val="single" w:color="auto" w:sz="4" w:space="0"/>
                    <w:bottom w:val="single" w:color="auto" w:sz="4" w:space="0"/>
                    <w:right w:val="single" w:color="auto" w:sz="4" w:space="0"/>
                  </w:tcBorders>
                  <w:noWrap w:val="0"/>
                  <w:vAlign w:val="center"/>
                </w:tcPr>
                <w:p w14:paraId="3293B438">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691" w:type="pct"/>
                  <w:tcBorders>
                    <w:top w:val="single" w:color="auto" w:sz="4" w:space="0"/>
                    <w:left w:val="single" w:color="auto" w:sz="4" w:space="0"/>
                    <w:bottom w:val="single" w:color="auto" w:sz="4" w:space="0"/>
                    <w:right w:val="single" w:color="auto" w:sz="4" w:space="0"/>
                  </w:tcBorders>
                  <w:noWrap w:val="0"/>
                  <w:vAlign w:val="center"/>
                </w:tcPr>
                <w:p w14:paraId="46C9BD9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在地下矿产采掘区钻井，井筒与采掘坑道、矿井坑道之间的距离不小于100m</w:t>
                  </w:r>
                </w:p>
              </w:tc>
              <w:tc>
                <w:tcPr>
                  <w:tcW w:w="2117" w:type="pct"/>
                  <w:tcBorders>
                    <w:top w:val="single" w:color="auto" w:sz="4" w:space="0"/>
                    <w:left w:val="single" w:color="auto" w:sz="4" w:space="0"/>
                    <w:bottom w:val="single" w:color="auto" w:sz="4" w:space="0"/>
                    <w:right w:val="single" w:color="auto" w:sz="4" w:space="0"/>
                  </w:tcBorders>
                  <w:noWrap w:val="0"/>
                  <w:vAlign w:val="center"/>
                </w:tcPr>
                <w:p w14:paraId="1683F42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本项目钻井区域不涉及地下矿产采掘区。</w:t>
                  </w:r>
                </w:p>
              </w:tc>
              <w:tc>
                <w:tcPr>
                  <w:tcW w:w="585" w:type="pct"/>
                  <w:tcBorders>
                    <w:top w:val="single" w:color="auto" w:sz="4" w:space="0"/>
                    <w:left w:val="single" w:color="auto" w:sz="4" w:space="0"/>
                    <w:bottom w:val="single" w:color="auto" w:sz="4" w:space="0"/>
                    <w:right w:val="single" w:color="auto" w:sz="4" w:space="0"/>
                  </w:tcBorders>
                  <w:noWrap w:val="0"/>
                  <w:vAlign w:val="center"/>
                </w:tcPr>
                <w:p w14:paraId="3A79A13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16E9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continue"/>
                  <w:tcBorders>
                    <w:top w:val="single" w:color="auto" w:sz="4" w:space="0"/>
                    <w:left w:val="single" w:color="auto" w:sz="4" w:space="0"/>
                    <w:bottom w:val="single" w:color="auto" w:sz="4" w:space="0"/>
                    <w:right w:val="single" w:color="auto" w:sz="4" w:space="0"/>
                  </w:tcBorders>
                  <w:noWrap w:val="0"/>
                  <w:vAlign w:val="center"/>
                </w:tcPr>
                <w:p w14:paraId="31DF51D6">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c>
                <w:tcPr>
                  <w:tcW w:w="1691" w:type="pct"/>
                  <w:tcBorders>
                    <w:top w:val="single" w:color="auto" w:sz="4" w:space="0"/>
                    <w:left w:val="single" w:color="auto" w:sz="4" w:space="0"/>
                    <w:bottom w:val="single" w:color="auto" w:sz="4" w:space="0"/>
                    <w:right w:val="single" w:color="auto" w:sz="4" w:space="0"/>
                  </w:tcBorders>
                  <w:noWrap w:val="0"/>
                  <w:vAlign w:val="center"/>
                </w:tcPr>
                <w:p w14:paraId="047E82C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井口距堤坝、水库的位置应根据国家水利部门的有关规定执行</w:t>
                  </w:r>
                </w:p>
              </w:tc>
              <w:tc>
                <w:tcPr>
                  <w:tcW w:w="2117" w:type="pct"/>
                  <w:tcBorders>
                    <w:top w:val="single" w:color="auto" w:sz="4" w:space="0"/>
                    <w:left w:val="single" w:color="auto" w:sz="4" w:space="0"/>
                    <w:bottom w:val="single" w:color="auto" w:sz="4" w:space="0"/>
                    <w:right w:val="single" w:color="auto" w:sz="4" w:space="0"/>
                  </w:tcBorders>
                  <w:noWrap w:val="0"/>
                  <w:vAlign w:val="center"/>
                </w:tcPr>
                <w:p w14:paraId="311BC1A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本项目井口周边不涉及堤坝、水库。</w:t>
                  </w:r>
                </w:p>
              </w:tc>
              <w:tc>
                <w:tcPr>
                  <w:tcW w:w="585" w:type="pct"/>
                  <w:tcBorders>
                    <w:top w:val="single" w:color="auto" w:sz="4" w:space="0"/>
                    <w:left w:val="single" w:color="auto" w:sz="4" w:space="0"/>
                    <w:bottom w:val="single" w:color="auto" w:sz="4" w:space="0"/>
                    <w:right w:val="single" w:color="auto" w:sz="4" w:space="0"/>
                  </w:tcBorders>
                  <w:noWrap w:val="0"/>
                  <w:vAlign w:val="center"/>
                </w:tcPr>
                <w:p w14:paraId="73964DC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bl>
          <w:p w14:paraId="5090E0AF">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6、与《陕北油气田开采清洁文明井场验收标准》符合性分析</w:t>
            </w:r>
          </w:p>
          <w:p w14:paraId="007A4B54">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本项目与《陕北油气田开采清洁文明井场验收标准》（陕环办发【2016】31号）符合性分析见下表：</w:t>
            </w:r>
          </w:p>
          <w:p w14:paraId="3C5CBF1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表1-10 与《陕北油气田开采清洁文明井场验收标准》符合性分析</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3423"/>
              <w:gridCol w:w="2968"/>
              <w:gridCol w:w="705"/>
            </w:tblGrid>
            <w:tr w14:paraId="5659A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9" w:type="pct"/>
                  <w:gridSpan w:val="2"/>
                  <w:tcBorders>
                    <w:top w:val="single" w:color="auto" w:sz="4" w:space="0"/>
                    <w:left w:val="single" w:color="auto" w:sz="4" w:space="0"/>
                    <w:bottom w:val="single" w:color="auto" w:sz="4" w:space="0"/>
                    <w:right w:val="single" w:color="auto" w:sz="4" w:space="0"/>
                  </w:tcBorders>
                  <w:noWrap w:val="0"/>
                  <w:vAlign w:val="center"/>
                </w:tcPr>
                <w:p w14:paraId="03B9B61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陕环办发【2016】31号</w:t>
                  </w:r>
                </w:p>
              </w:tc>
              <w:tc>
                <w:tcPr>
                  <w:tcW w:w="1899" w:type="pct"/>
                  <w:tcBorders>
                    <w:top w:val="single" w:color="auto" w:sz="4" w:space="0"/>
                    <w:left w:val="single" w:color="auto" w:sz="4" w:space="0"/>
                    <w:bottom w:val="single" w:color="auto" w:sz="4" w:space="0"/>
                    <w:right w:val="single" w:color="auto" w:sz="4" w:space="0"/>
                  </w:tcBorders>
                  <w:noWrap w:val="0"/>
                  <w:vAlign w:val="center"/>
                </w:tcPr>
                <w:p w14:paraId="0367B8E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本项目情况</w:t>
                  </w:r>
                </w:p>
              </w:tc>
              <w:tc>
                <w:tcPr>
                  <w:tcW w:w="451" w:type="pct"/>
                  <w:tcBorders>
                    <w:top w:val="single" w:color="auto" w:sz="4" w:space="0"/>
                    <w:left w:val="single" w:color="auto" w:sz="4" w:space="0"/>
                    <w:bottom w:val="single" w:color="auto" w:sz="4" w:space="0"/>
                    <w:right w:val="single" w:color="auto" w:sz="4" w:space="0"/>
                  </w:tcBorders>
                  <w:noWrap w:val="0"/>
                  <w:vAlign w:val="center"/>
                </w:tcPr>
                <w:p w14:paraId="2BF950B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符合性</w:t>
                  </w:r>
                </w:p>
              </w:tc>
            </w:tr>
            <w:tr w14:paraId="5AA3C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Merge w:val="restart"/>
                  <w:tcBorders>
                    <w:top w:val="single" w:color="auto" w:sz="4" w:space="0"/>
                    <w:left w:val="single" w:color="auto" w:sz="4" w:space="0"/>
                    <w:bottom w:val="single" w:color="auto" w:sz="4" w:space="0"/>
                    <w:right w:val="single" w:color="auto" w:sz="4" w:space="0"/>
                  </w:tcBorders>
                  <w:noWrap w:val="0"/>
                  <w:vAlign w:val="center"/>
                </w:tcPr>
                <w:p w14:paraId="7540126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一、钻探井场</w:t>
                  </w:r>
                </w:p>
              </w:tc>
              <w:tc>
                <w:tcPr>
                  <w:tcW w:w="2189" w:type="pct"/>
                  <w:tcBorders>
                    <w:top w:val="single" w:color="auto" w:sz="4" w:space="0"/>
                    <w:left w:val="single" w:color="auto" w:sz="4" w:space="0"/>
                    <w:bottom w:val="single" w:color="auto" w:sz="4" w:space="0"/>
                    <w:right w:val="single" w:color="auto" w:sz="4" w:space="0"/>
                  </w:tcBorders>
                  <w:noWrap w:val="0"/>
                  <w:vAlign w:val="center"/>
                </w:tcPr>
                <w:p w14:paraId="4E735018">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（一）钻井作业的泥浆池和泥浆槽必须采取防渗漏、防外溢措施。泥浆上清液应循环使用或处理达标后回注油层。钻井泥浆应当交由有资质单位处置，岩屑及其他废弃物要进行无害化处理</w:t>
                  </w:r>
                </w:p>
              </w:tc>
              <w:tc>
                <w:tcPr>
                  <w:tcW w:w="1899" w:type="pct"/>
                  <w:tcBorders>
                    <w:top w:val="single" w:color="auto" w:sz="4" w:space="0"/>
                    <w:left w:val="single" w:color="auto" w:sz="4" w:space="0"/>
                    <w:bottom w:val="single" w:color="auto" w:sz="4" w:space="0"/>
                    <w:right w:val="single" w:color="auto" w:sz="4" w:space="0"/>
                  </w:tcBorders>
                  <w:noWrap w:val="0"/>
                  <w:vAlign w:val="top"/>
                </w:tcPr>
                <w:p w14:paraId="0A93C3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
                    </w:rPr>
                    <w:t>本项目钻井作业的钻井工作区、泥浆不落地系统区等区域进行重点防渗，防渗层的防渗性能不应低于6.0m厚渗透系数为1.0×10</w:t>
                  </w:r>
                  <w:r>
                    <w:rPr>
                      <w:rFonts w:hint="default" w:ascii="Times New Roman" w:hAnsi="Times New Roman" w:eastAsia="宋体" w:cs="Times New Roman"/>
                      <w:color w:val="auto"/>
                      <w:kern w:val="0"/>
                      <w:sz w:val="21"/>
                      <w:szCs w:val="21"/>
                      <w:highlight w:val="none"/>
                      <w:vertAlign w:val="superscript"/>
                      <w:lang w:val="en-US" w:eastAsia="zh-CN" w:bidi="ar"/>
                    </w:rPr>
                    <w:t>-7</w:t>
                  </w:r>
                  <w:r>
                    <w:rPr>
                      <w:rFonts w:hint="default" w:ascii="Times New Roman" w:hAnsi="Times New Roman" w:eastAsia="宋体" w:cs="Times New Roman"/>
                      <w:color w:val="auto"/>
                      <w:kern w:val="0"/>
                      <w:sz w:val="21"/>
                      <w:szCs w:val="21"/>
                      <w:highlight w:val="none"/>
                      <w:lang w:val="en-US" w:eastAsia="zh-CN" w:bidi="ar"/>
                    </w:rPr>
                    <w:t>cm/s的黏土层的防渗性能</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泥浆上清液回用于钻井液配液；废弃泥浆、钻井岩屑委托具有相应处置能力的单位处置；废</w:t>
                  </w:r>
                  <w:r>
                    <w:rPr>
                      <w:rFonts w:hint="eastAsia" w:ascii="Times New Roman" w:hAnsi="Times New Roman" w:eastAsia="宋体" w:cs="Times New Roman"/>
                      <w:color w:val="auto"/>
                      <w:kern w:val="0"/>
                      <w:sz w:val="21"/>
                      <w:szCs w:val="21"/>
                      <w:highlight w:val="none"/>
                      <w:lang w:val="en-US" w:eastAsia="zh-CN" w:bidi="ar"/>
                    </w:rPr>
                    <w:t>机</w:t>
                  </w:r>
                  <w:r>
                    <w:rPr>
                      <w:rFonts w:hint="default" w:ascii="Times New Roman" w:hAnsi="Times New Roman" w:eastAsia="宋体" w:cs="Times New Roman"/>
                      <w:color w:val="auto"/>
                      <w:kern w:val="0"/>
                      <w:sz w:val="21"/>
                      <w:szCs w:val="21"/>
                      <w:highlight w:val="none"/>
                      <w:lang w:val="en-US" w:eastAsia="zh-CN" w:bidi="ar"/>
                    </w:rPr>
                    <w:t>油等其它危险废物委托资质单位处置。</w:t>
                  </w:r>
                </w:p>
              </w:tc>
              <w:tc>
                <w:tcPr>
                  <w:tcW w:w="451" w:type="pct"/>
                  <w:tcBorders>
                    <w:top w:val="single" w:color="auto" w:sz="4" w:space="0"/>
                    <w:left w:val="single" w:color="auto" w:sz="4" w:space="0"/>
                    <w:bottom w:val="single" w:color="auto" w:sz="4" w:space="0"/>
                    <w:right w:val="single" w:color="auto" w:sz="4" w:space="0"/>
                  </w:tcBorders>
                  <w:noWrap w:val="0"/>
                  <w:vAlign w:val="center"/>
                </w:tcPr>
                <w:p w14:paraId="7AA96288">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14:paraId="6D59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Merge w:val="continue"/>
                  <w:tcBorders>
                    <w:top w:val="single" w:color="auto" w:sz="4" w:space="0"/>
                    <w:left w:val="single" w:color="auto" w:sz="4" w:space="0"/>
                    <w:bottom w:val="single" w:color="auto" w:sz="4" w:space="0"/>
                    <w:right w:val="single" w:color="auto" w:sz="4" w:space="0"/>
                  </w:tcBorders>
                  <w:noWrap w:val="0"/>
                  <w:vAlign w:val="center"/>
                </w:tcPr>
                <w:p w14:paraId="31FD1D31">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2189" w:type="pct"/>
                  <w:tcBorders>
                    <w:top w:val="single" w:color="auto" w:sz="4" w:space="0"/>
                    <w:left w:val="single" w:color="auto" w:sz="4" w:space="0"/>
                    <w:bottom w:val="single" w:color="auto" w:sz="4" w:space="0"/>
                    <w:right w:val="single" w:color="auto" w:sz="4" w:space="0"/>
                  </w:tcBorders>
                  <w:noWrap w:val="0"/>
                  <w:vAlign w:val="top"/>
                </w:tcPr>
                <w:p w14:paraId="2FE95080">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（二）钻井作业必须采取防止污油外泄和渗漏等有效措施，污油要及时回收，废弃污油泥应当交由有资质单位处置</w:t>
                  </w:r>
                </w:p>
              </w:tc>
              <w:tc>
                <w:tcPr>
                  <w:tcW w:w="1899" w:type="pct"/>
                  <w:tcBorders>
                    <w:top w:val="single" w:color="auto" w:sz="4" w:space="0"/>
                    <w:left w:val="single" w:color="auto" w:sz="4" w:space="0"/>
                    <w:bottom w:val="single" w:color="auto" w:sz="4" w:space="0"/>
                    <w:right w:val="single" w:color="auto" w:sz="4" w:space="0"/>
                  </w:tcBorders>
                  <w:noWrap w:val="0"/>
                  <w:vAlign w:val="center"/>
                </w:tcPr>
                <w:p w14:paraId="591115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
                    </w:rPr>
                    <w:t>本项目采用水基钻井液，无废弃污油泥产生。</w:t>
                  </w:r>
                </w:p>
              </w:tc>
              <w:tc>
                <w:tcPr>
                  <w:tcW w:w="451" w:type="pct"/>
                  <w:tcBorders>
                    <w:top w:val="single" w:color="auto" w:sz="4" w:space="0"/>
                    <w:left w:val="single" w:color="auto" w:sz="4" w:space="0"/>
                    <w:bottom w:val="single" w:color="auto" w:sz="4" w:space="0"/>
                    <w:right w:val="single" w:color="auto" w:sz="4" w:space="0"/>
                  </w:tcBorders>
                  <w:noWrap w:val="0"/>
                  <w:vAlign w:val="center"/>
                </w:tcPr>
                <w:p w14:paraId="2E25E7E3">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14:paraId="52ADF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Merge w:val="continue"/>
                  <w:tcBorders>
                    <w:top w:val="single" w:color="auto" w:sz="4" w:space="0"/>
                    <w:left w:val="single" w:color="auto" w:sz="4" w:space="0"/>
                    <w:bottom w:val="single" w:color="auto" w:sz="4" w:space="0"/>
                    <w:right w:val="single" w:color="auto" w:sz="4" w:space="0"/>
                  </w:tcBorders>
                  <w:noWrap w:val="0"/>
                  <w:vAlign w:val="center"/>
                </w:tcPr>
                <w:p w14:paraId="5AE55071">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2189" w:type="pct"/>
                  <w:tcBorders>
                    <w:top w:val="single" w:color="auto" w:sz="4" w:space="0"/>
                    <w:left w:val="single" w:color="auto" w:sz="4" w:space="0"/>
                    <w:bottom w:val="single" w:color="auto" w:sz="4" w:space="0"/>
                    <w:right w:val="single" w:color="auto" w:sz="4" w:space="0"/>
                  </w:tcBorders>
                  <w:noWrap w:val="0"/>
                  <w:vAlign w:val="top"/>
                </w:tcPr>
                <w:p w14:paraId="233998A7">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（三）试油（气）作业必须采取防喷、导流等有效措施。试油</w:t>
                  </w:r>
                  <w:r>
                    <w:rPr>
                      <w:rFonts w:hint="eastAsia"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气</w:t>
                  </w:r>
                  <w:r>
                    <w:rPr>
                      <w:rFonts w:hint="eastAsia"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完成后，应在60日内完成泥浆处置、岩屑固化及善后处理。</w:t>
                  </w:r>
                </w:p>
              </w:tc>
              <w:tc>
                <w:tcPr>
                  <w:tcW w:w="1899" w:type="pct"/>
                  <w:tcBorders>
                    <w:top w:val="single" w:color="auto" w:sz="4" w:space="0"/>
                    <w:left w:val="single" w:color="auto" w:sz="4" w:space="0"/>
                    <w:bottom w:val="single" w:color="auto" w:sz="4" w:space="0"/>
                    <w:right w:val="single" w:color="auto" w:sz="4" w:space="0"/>
                  </w:tcBorders>
                  <w:noWrap w:val="0"/>
                  <w:vAlign w:val="top"/>
                </w:tcPr>
                <w:p w14:paraId="2ADA28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
                    </w:rPr>
                    <w:t>本项目试气作业采取有效的防喷措施。要求企业试气完成后，及时完成泥浆、岩屑等善后处理。</w:t>
                  </w:r>
                </w:p>
              </w:tc>
              <w:tc>
                <w:tcPr>
                  <w:tcW w:w="451" w:type="pct"/>
                  <w:tcBorders>
                    <w:top w:val="single" w:color="auto" w:sz="4" w:space="0"/>
                    <w:left w:val="single" w:color="auto" w:sz="4" w:space="0"/>
                    <w:bottom w:val="single" w:color="auto" w:sz="4" w:space="0"/>
                    <w:right w:val="single" w:color="auto" w:sz="4" w:space="0"/>
                  </w:tcBorders>
                  <w:noWrap w:val="0"/>
                  <w:vAlign w:val="center"/>
                </w:tcPr>
                <w:p w14:paraId="4EB5530D">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14:paraId="5B78D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Merge w:val="restart"/>
                  <w:tcBorders>
                    <w:top w:val="single" w:color="auto" w:sz="4" w:space="0"/>
                    <w:left w:val="single" w:color="auto" w:sz="4" w:space="0"/>
                    <w:bottom w:val="single" w:color="auto" w:sz="4" w:space="0"/>
                    <w:right w:val="single" w:color="auto" w:sz="4" w:space="0"/>
                  </w:tcBorders>
                  <w:noWrap w:val="0"/>
                  <w:vAlign w:val="center"/>
                </w:tcPr>
                <w:p w14:paraId="724818A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三、生态环境修复</w:t>
                  </w:r>
                </w:p>
              </w:tc>
              <w:tc>
                <w:tcPr>
                  <w:tcW w:w="2189" w:type="pct"/>
                  <w:tcBorders>
                    <w:top w:val="single" w:color="auto" w:sz="4" w:space="0"/>
                    <w:left w:val="single" w:color="auto" w:sz="4" w:space="0"/>
                    <w:bottom w:val="single" w:color="auto" w:sz="4" w:space="0"/>
                    <w:right w:val="single" w:color="auto" w:sz="4" w:space="0"/>
                  </w:tcBorders>
                  <w:noWrap w:val="0"/>
                  <w:vAlign w:val="center"/>
                </w:tcPr>
                <w:p w14:paraId="6B12F7F1">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井场的道路两侧和围墙内外宜绿化区域应实现林草覆盖，有效覆盖面积不低于98％。</w:t>
                  </w:r>
                </w:p>
              </w:tc>
              <w:tc>
                <w:tcPr>
                  <w:tcW w:w="1899" w:type="pct"/>
                  <w:vMerge w:val="restart"/>
                  <w:tcBorders>
                    <w:top w:val="single" w:color="auto" w:sz="4" w:space="0"/>
                    <w:left w:val="single" w:color="auto" w:sz="4" w:space="0"/>
                    <w:bottom w:val="single" w:color="auto" w:sz="4" w:space="0"/>
                    <w:right w:val="single" w:color="auto" w:sz="4" w:space="0"/>
                  </w:tcBorders>
                  <w:noWrap w:val="0"/>
                  <w:vAlign w:val="top"/>
                </w:tcPr>
                <w:p w14:paraId="4A593C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本项目属于</w:t>
                  </w:r>
                  <w:r>
                    <w:rPr>
                      <w:rFonts w:hint="eastAsia" w:ascii="Times New Roman" w:hAnsi="Times New Roman" w:eastAsia="宋体" w:cs="Times New Roman"/>
                      <w:color w:val="auto"/>
                      <w:kern w:val="0"/>
                      <w:sz w:val="21"/>
                      <w:szCs w:val="21"/>
                      <w:highlight w:val="none"/>
                      <w:lang w:val="en-US" w:eastAsia="zh-CN" w:bidi="ar"/>
                    </w:rPr>
                    <w:t>评价井建设</w:t>
                  </w:r>
                  <w:r>
                    <w:rPr>
                      <w:rFonts w:hint="default" w:ascii="Times New Roman" w:hAnsi="Times New Roman" w:eastAsia="宋体" w:cs="Times New Roman"/>
                      <w:color w:val="auto"/>
                      <w:kern w:val="0"/>
                      <w:sz w:val="21"/>
                      <w:szCs w:val="21"/>
                      <w:highlight w:val="none"/>
                      <w:lang w:val="en-US" w:eastAsia="zh-CN" w:bidi="ar"/>
                    </w:rPr>
                    <w:t>工程，施工期结束后</w:t>
                  </w:r>
                  <w:r>
                    <w:rPr>
                      <w:rFonts w:hint="eastAsia" w:ascii="Times New Roman" w:hAnsi="Times New Roman" w:eastAsia="宋体" w:cs="Times New Roman"/>
                      <w:color w:val="auto"/>
                      <w:kern w:val="0"/>
                      <w:sz w:val="21"/>
                      <w:szCs w:val="21"/>
                      <w:highlight w:val="none"/>
                      <w:lang w:val="en-US" w:eastAsia="zh-CN" w:bidi="ar"/>
                    </w:rPr>
                    <w:t>。当评价井不具有开发价值时，采取永久封井，对临时占地恢复原状；当评价井具有开发价值时，采取临时封井，除预留转成生产井所需的面积外，其他区域恢复原有植被和生态景观，使区域生态景观和谐一致。</w:t>
                  </w:r>
                </w:p>
              </w:tc>
              <w:tc>
                <w:tcPr>
                  <w:tcW w:w="451" w:type="pct"/>
                  <w:tcBorders>
                    <w:top w:val="single" w:color="auto" w:sz="4" w:space="0"/>
                    <w:left w:val="single" w:color="auto" w:sz="4" w:space="0"/>
                    <w:bottom w:val="single" w:color="auto" w:sz="4" w:space="0"/>
                    <w:right w:val="single" w:color="auto" w:sz="4" w:space="0"/>
                  </w:tcBorders>
                  <w:noWrap w:val="0"/>
                  <w:vAlign w:val="center"/>
                </w:tcPr>
                <w:p w14:paraId="2AFF700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14:paraId="5B73C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Merge w:val="continue"/>
                  <w:tcBorders>
                    <w:top w:val="single" w:color="auto" w:sz="4" w:space="0"/>
                    <w:left w:val="single" w:color="auto" w:sz="4" w:space="0"/>
                    <w:bottom w:val="single" w:color="auto" w:sz="4" w:space="0"/>
                    <w:right w:val="single" w:color="auto" w:sz="4" w:space="0"/>
                  </w:tcBorders>
                  <w:noWrap w:val="0"/>
                  <w:vAlign w:val="center"/>
                </w:tcPr>
                <w:p w14:paraId="36B172D1">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2189" w:type="pct"/>
                  <w:tcBorders>
                    <w:top w:val="single" w:color="auto" w:sz="4" w:space="0"/>
                    <w:left w:val="single" w:color="auto" w:sz="4" w:space="0"/>
                    <w:bottom w:val="single" w:color="auto" w:sz="4" w:space="0"/>
                    <w:right w:val="single" w:color="auto" w:sz="4" w:space="0"/>
                  </w:tcBorders>
                  <w:noWrap w:val="0"/>
                  <w:vAlign w:val="center"/>
                </w:tcPr>
                <w:p w14:paraId="63E170EB">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关闭油（气）井应封堵油（气）层、封闭井口，并同步实施井场复垦还田或植树种草工程措施。</w:t>
                  </w:r>
                </w:p>
              </w:tc>
              <w:tc>
                <w:tcPr>
                  <w:tcW w:w="1899" w:type="pct"/>
                  <w:vMerge w:val="continue"/>
                  <w:tcBorders>
                    <w:top w:val="single" w:color="auto" w:sz="4" w:space="0"/>
                    <w:left w:val="single" w:color="auto" w:sz="4" w:space="0"/>
                    <w:bottom w:val="single" w:color="auto" w:sz="4" w:space="0"/>
                    <w:right w:val="single" w:color="auto" w:sz="4" w:space="0"/>
                  </w:tcBorders>
                  <w:noWrap w:val="0"/>
                  <w:vAlign w:val="top"/>
                </w:tcPr>
                <w:p w14:paraId="7A910EDA">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451" w:type="pct"/>
                  <w:tcBorders>
                    <w:top w:val="single" w:color="auto" w:sz="4" w:space="0"/>
                    <w:left w:val="single" w:color="auto" w:sz="4" w:space="0"/>
                    <w:bottom w:val="single" w:color="auto" w:sz="4" w:space="0"/>
                    <w:right w:val="single" w:color="auto" w:sz="4" w:space="0"/>
                  </w:tcBorders>
                  <w:noWrap w:val="0"/>
                  <w:vAlign w:val="center"/>
                </w:tcPr>
                <w:p w14:paraId="2FDEE3B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14:paraId="307DE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Merge w:val="restart"/>
                  <w:tcBorders>
                    <w:top w:val="single" w:color="auto" w:sz="4" w:space="0"/>
                    <w:left w:val="single" w:color="auto" w:sz="4" w:space="0"/>
                    <w:bottom w:val="single" w:color="auto" w:sz="4" w:space="0"/>
                    <w:right w:val="single" w:color="auto" w:sz="4" w:space="0"/>
                  </w:tcBorders>
                  <w:noWrap w:val="0"/>
                  <w:vAlign w:val="top"/>
                </w:tcPr>
                <w:p w14:paraId="648CFB3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四、清洁文明井场管理</w:t>
                  </w:r>
                </w:p>
              </w:tc>
              <w:tc>
                <w:tcPr>
                  <w:tcW w:w="2189" w:type="pct"/>
                  <w:tcBorders>
                    <w:top w:val="single" w:color="auto" w:sz="4" w:space="0"/>
                    <w:left w:val="single" w:color="auto" w:sz="4" w:space="0"/>
                    <w:bottom w:val="single" w:color="auto" w:sz="4" w:space="0"/>
                    <w:right w:val="single" w:color="auto" w:sz="4" w:space="0"/>
                  </w:tcBorders>
                  <w:noWrap w:val="0"/>
                  <w:vAlign w:val="center"/>
                </w:tcPr>
                <w:p w14:paraId="0CE3924D">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井场应做到清洁卫生，无跑、冒、滴、漏现象，场外无油污、无垃圾，杜绝污染物乱堆乱放。</w:t>
                  </w:r>
                </w:p>
              </w:tc>
              <w:tc>
                <w:tcPr>
                  <w:tcW w:w="1899" w:type="pct"/>
                  <w:tcBorders>
                    <w:top w:val="single" w:color="auto" w:sz="4" w:space="0"/>
                    <w:left w:val="single" w:color="auto" w:sz="4" w:space="0"/>
                    <w:bottom w:val="single" w:color="auto" w:sz="4" w:space="0"/>
                    <w:right w:val="single" w:color="auto" w:sz="4" w:space="0"/>
                  </w:tcBorders>
                  <w:noWrap w:val="0"/>
                  <w:vAlign w:val="top"/>
                </w:tcPr>
                <w:p w14:paraId="5DE44E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
                    </w:rPr>
                    <w:t>要求企业在</w:t>
                  </w:r>
                  <w:r>
                    <w:rPr>
                      <w:rFonts w:hint="eastAsia" w:ascii="Times New Roman" w:hAnsi="Times New Roman" w:eastAsia="宋体" w:cs="Times New Roman"/>
                      <w:color w:val="auto"/>
                      <w:kern w:val="0"/>
                      <w:sz w:val="21"/>
                      <w:szCs w:val="21"/>
                      <w:highlight w:val="none"/>
                      <w:lang w:val="en-US" w:eastAsia="zh-CN" w:bidi="ar"/>
                    </w:rPr>
                    <w:t>评价</w:t>
                  </w:r>
                  <w:r>
                    <w:rPr>
                      <w:rFonts w:hint="default" w:ascii="Times New Roman" w:hAnsi="Times New Roman" w:eastAsia="宋体" w:cs="Times New Roman"/>
                      <w:color w:val="auto"/>
                      <w:kern w:val="0"/>
                      <w:sz w:val="21"/>
                      <w:szCs w:val="21"/>
                      <w:highlight w:val="none"/>
                      <w:lang w:val="en-US" w:eastAsia="zh-CN" w:bidi="ar"/>
                    </w:rPr>
                    <w:t>期井场做到清洁卫生，无跑、冒、滴、漏现象，场外无油污、无垃圾，杜绝污染物乱堆乱放。</w:t>
                  </w:r>
                </w:p>
              </w:tc>
              <w:tc>
                <w:tcPr>
                  <w:tcW w:w="451" w:type="pct"/>
                  <w:tcBorders>
                    <w:top w:val="single" w:color="auto" w:sz="4" w:space="0"/>
                    <w:left w:val="single" w:color="auto" w:sz="4" w:space="0"/>
                    <w:bottom w:val="single" w:color="auto" w:sz="4" w:space="0"/>
                    <w:right w:val="single" w:color="auto" w:sz="4" w:space="0"/>
                  </w:tcBorders>
                  <w:noWrap w:val="0"/>
                  <w:vAlign w:val="center"/>
                </w:tcPr>
                <w:p w14:paraId="186A628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14:paraId="52D45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Merge w:val="continue"/>
                  <w:tcBorders>
                    <w:top w:val="single" w:color="auto" w:sz="4" w:space="0"/>
                    <w:left w:val="single" w:color="auto" w:sz="4" w:space="0"/>
                    <w:bottom w:val="single" w:color="auto" w:sz="4" w:space="0"/>
                    <w:right w:val="single" w:color="auto" w:sz="4" w:space="0"/>
                  </w:tcBorders>
                  <w:noWrap w:val="0"/>
                  <w:vAlign w:val="top"/>
                </w:tcPr>
                <w:p w14:paraId="0DADBD86">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2189" w:type="pct"/>
                  <w:tcBorders>
                    <w:top w:val="single" w:color="auto" w:sz="4" w:space="0"/>
                    <w:left w:val="single" w:color="auto" w:sz="4" w:space="0"/>
                    <w:bottom w:val="single" w:color="auto" w:sz="4" w:space="0"/>
                    <w:right w:val="single" w:color="auto" w:sz="4" w:space="0"/>
                  </w:tcBorders>
                  <w:noWrap w:val="0"/>
                  <w:vAlign w:val="center"/>
                </w:tcPr>
                <w:p w14:paraId="6844C2B4">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按照环境事故应急预案，要对井场操作人员进行应急培训，并储备相应抢险应急物资。</w:t>
                  </w:r>
                </w:p>
              </w:tc>
              <w:tc>
                <w:tcPr>
                  <w:tcW w:w="1899" w:type="pct"/>
                  <w:tcBorders>
                    <w:top w:val="single" w:color="auto" w:sz="4" w:space="0"/>
                    <w:left w:val="single" w:color="auto" w:sz="4" w:space="0"/>
                    <w:bottom w:val="single" w:color="auto" w:sz="4" w:space="0"/>
                    <w:right w:val="single" w:color="auto" w:sz="4" w:space="0"/>
                  </w:tcBorders>
                  <w:noWrap w:val="0"/>
                  <w:vAlign w:val="top"/>
                </w:tcPr>
                <w:p w14:paraId="50E7D0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
                    </w:rPr>
                    <w:t>企业已设立安全环保科，并针对单井由专人负责，对井场操作人员进行应急培训，并储备相应抢险应急物资。</w:t>
                  </w:r>
                </w:p>
              </w:tc>
              <w:tc>
                <w:tcPr>
                  <w:tcW w:w="451" w:type="pct"/>
                  <w:tcBorders>
                    <w:top w:val="single" w:color="auto" w:sz="4" w:space="0"/>
                    <w:left w:val="single" w:color="auto" w:sz="4" w:space="0"/>
                    <w:bottom w:val="single" w:color="auto" w:sz="4" w:space="0"/>
                    <w:right w:val="single" w:color="auto" w:sz="4" w:space="0"/>
                  </w:tcBorders>
                  <w:noWrap w:val="0"/>
                  <w:vAlign w:val="center"/>
                </w:tcPr>
                <w:p w14:paraId="3689392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bl>
          <w:p w14:paraId="6869D1F6">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7、与《绿色勘察指南》（T/CMAS0001-2018）符合性分析</w:t>
            </w:r>
          </w:p>
          <w:p w14:paraId="085EE88A">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本项目与《绿色勘察指南》（T/CMAS0001-2018）符合性分析见下表。</w:t>
            </w:r>
          </w:p>
          <w:p w14:paraId="776F637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表1-11 本项目与《绿色勘察指南》（T/CMAS0001-2018）符合性分析</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3620"/>
              <w:gridCol w:w="3271"/>
              <w:gridCol w:w="469"/>
            </w:tblGrid>
            <w:tr w14:paraId="036FD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25293F3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序号</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3339F3E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相关条款</w:t>
                  </w:r>
                </w:p>
              </w:tc>
              <w:tc>
                <w:tcPr>
                  <w:tcW w:w="2093" w:type="pct"/>
                  <w:tcBorders>
                    <w:top w:val="single" w:color="auto" w:sz="4" w:space="0"/>
                    <w:left w:val="single" w:color="auto" w:sz="4" w:space="0"/>
                    <w:bottom w:val="single" w:color="auto" w:sz="4" w:space="0"/>
                    <w:right w:val="single" w:color="auto" w:sz="4" w:space="0"/>
                  </w:tcBorders>
                  <w:noWrap w:val="0"/>
                  <w:vAlign w:val="center"/>
                </w:tcPr>
                <w:p w14:paraId="0313607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本项目情况</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08D982B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符合性</w:t>
                  </w:r>
                </w:p>
              </w:tc>
            </w:tr>
            <w:tr w14:paraId="1F6EB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74BC7BF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1042F73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施工剥离的适合复垦的表土，应当收集存放管理，作为施工结束后的复垦、复绿用土。宜将开挖的土石用于工程回填、路基建设及边坡填筑。需外运土石应指定位置并规范管理</w:t>
                  </w:r>
                </w:p>
              </w:tc>
              <w:tc>
                <w:tcPr>
                  <w:tcW w:w="2093" w:type="pct"/>
                  <w:tcBorders>
                    <w:top w:val="single" w:color="auto" w:sz="4" w:space="0"/>
                    <w:left w:val="single" w:color="auto" w:sz="4" w:space="0"/>
                    <w:bottom w:val="single" w:color="auto" w:sz="4" w:space="0"/>
                    <w:right w:val="single" w:color="auto" w:sz="4" w:space="0"/>
                  </w:tcBorders>
                  <w:noWrap w:val="0"/>
                  <w:vAlign w:val="center"/>
                </w:tcPr>
                <w:p w14:paraId="6283A5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bidi="ar"/>
                    </w:rPr>
                    <w:t>项目施工剥离的适合复垦的表土，收集存放于临时表土堆场，作为施工结束后的复垦、复绿用土。开挖的土石用于工程回填。本项目不需要外运土方。</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6B64C77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6A548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1B5D72E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360F7EF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施工中挖填形成的边坡及土石堆场边坡应做好支护或拦挡，预防崩塌、滑坡、泥石流等地质灾害，尽量减少土石压占土地面积。</w:t>
                  </w:r>
                </w:p>
              </w:tc>
              <w:tc>
                <w:tcPr>
                  <w:tcW w:w="2093" w:type="pct"/>
                  <w:tcBorders>
                    <w:top w:val="single" w:color="auto" w:sz="4" w:space="0"/>
                    <w:left w:val="single" w:color="auto" w:sz="4" w:space="0"/>
                    <w:bottom w:val="single" w:color="auto" w:sz="4" w:space="0"/>
                    <w:right w:val="single" w:color="auto" w:sz="4" w:space="0"/>
                  </w:tcBorders>
                  <w:noWrap w:val="0"/>
                  <w:vAlign w:val="center"/>
                </w:tcPr>
                <w:p w14:paraId="46ADAD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bidi="ar"/>
                    </w:rPr>
                    <w:t>施工过程中尽量减少土石压占土地面积。挖填形成的边坡及土石堆场边坡做好拦挡，预防各类地质灾害。</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6FBF5E0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7C456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77D49E0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3</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671B482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统筹规划勘察场地进入通道，充分利用已有可利用的公路、村道等。</w:t>
                  </w:r>
                </w:p>
              </w:tc>
              <w:tc>
                <w:tcPr>
                  <w:tcW w:w="2093" w:type="pct"/>
                  <w:vMerge w:val="restart"/>
                  <w:tcBorders>
                    <w:top w:val="single" w:color="auto" w:sz="4" w:space="0"/>
                    <w:left w:val="single" w:color="auto" w:sz="4" w:space="0"/>
                    <w:bottom w:val="single" w:color="auto" w:sz="4" w:space="0"/>
                    <w:right w:val="single" w:color="auto" w:sz="4" w:space="0"/>
                  </w:tcBorders>
                  <w:noWrap w:val="0"/>
                  <w:vAlign w:val="center"/>
                </w:tcPr>
                <w:p w14:paraId="0B30601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项目充分利用已有公路、村道、油区道路等现有道路，尽量减少新增临时道路，减少植被破坏。</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2C64BC6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4BC03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131AB39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4</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4BD6151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在确保安全情况下，道路修筑尽可能减少占用土地、植物移植，以及对水环境和野生动物保护的影响。</w:t>
                  </w:r>
                </w:p>
              </w:tc>
              <w:tc>
                <w:tcPr>
                  <w:tcW w:w="2093" w:type="pct"/>
                  <w:vMerge w:val="continue"/>
                  <w:tcBorders>
                    <w:top w:val="single" w:color="auto" w:sz="4" w:space="0"/>
                    <w:left w:val="single" w:color="auto" w:sz="4" w:space="0"/>
                    <w:bottom w:val="single" w:color="auto" w:sz="4" w:space="0"/>
                    <w:right w:val="single" w:color="auto" w:sz="4" w:space="0"/>
                  </w:tcBorders>
                  <w:noWrap w:val="0"/>
                  <w:vAlign w:val="center"/>
                </w:tcPr>
                <w:p w14:paraId="46C9532D">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300" w:type="pct"/>
                  <w:tcBorders>
                    <w:top w:val="single" w:color="auto" w:sz="4" w:space="0"/>
                    <w:left w:val="single" w:color="auto" w:sz="4" w:space="0"/>
                    <w:bottom w:val="single" w:color="auto" w:sz="4" w:space="0"/>
                    <w:right w:val="single" w:color="auto" w:sz="4" w:space="0"/>
                  </w:tcBorders>
                  <w:noWrap w:val="0"/>
                  <w:vAlign w:val="center"/>
                </w:tcPr>
                <w:p w14:paraId="472B8D3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1995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028FD4F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5</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51A657C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钻探（钻井）施工场地一般应按照现场施工设备、附属设施安装、施工操作、钻进液循环系统、材料物资存放、临建房屋等施工需要，依据现场地形条件进行分区布置，以满足减小环境影响和安全文明施工为原则，严格控制场地平整使用土地面积</w:t>
                  </w:r>
                </w:p>
              </w:tc>
              <w:tc>
                <w:tcPr>
                  <w:tcW w:w="2093" w:type="pct"/>
                  <w:tcBorders>
                    <w:top w:val="single" w:color="auto" w:sz="4" w:space="0"/>
                    <w:left w:val="single" w:color="auto" w:sz="4" w:space="0"/>
                    <w:bottom w:val="single" w:color="auto" w:sz="4" w:space="0"/>
                    <w:right w:val="single" w:color="auto" w:sz="4" w:space="0"/>
                  </w:tcBorders>
                  <w:noWrap w:val="0"/>
                  <w:vAlign w:val="center"/>
                </w:tcPr>
                <w:p w14:paraId="0A3C1B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bidi="ar"/>
                    </w:rPr>
                    <w:t>项目钻探施工场地按要求分区布设，满足安全距离要求同时严格控制占地面积，进行文明施工。</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4F0B0BC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688B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02C6F5C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6</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5AEEBCB5">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钻探设备安装及其施工操作场地，鼓励优先采用模块化的便携式探矿设备</w:t>
                  </w:r>
                </w:p>
              </w:tc>
              <w:tc>
                <w:tcPr>
                  <w:tcW w:w="2093" w:type="pct"/>
                  <w:tcBorders>
                    <w:top w:val="single" w:color="auto" w:sz="4" w:space="0"/>
                    <w:left w:val="single" w:color="auto" w:sz="4" w:space="0"/>
                    <w:bottom w:val="single" w:color="auto" w:sz="4" w:space="0"/>
                    <w:right w:val="single" w:color="auto" w:sz="4" w:space="0"/>
                  </w:tcBorders>
                  <w:noWrap w:val="0"/>
                  <w:vAlign w:val="center"/>
                </w:tcPr>
                <w:p w14:paraId="790B1C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bidi="ar"/>
                    </w:rPr>
                    <w:t>项目钻探设备模块化的便携式探矿设备。</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6342B5F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1BDBE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1B5DDAA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7</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328F1DB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钻进液循环系统场地，清水池或浆液池及废浆液池可不与钻进施工机场同一场地布置，其开挖容积应按钻孔深度进行计算，不宜小于钻孔容积的2倍</w:t>
                  </w:r>
                </w:p>
              </w:tc>
              <w:tc>
                <w:tcPr>
                  <w:tcW w:w="2093" w:type="pct"/>
                  <w:tcBorders>
                    <w:top w:val="single" w:color="auto" w:sz="4" w:space="0"/>
                    <w:left w:val="single" w:color="auto" w:sz="4" w:space="0"/>
                    <w:bottom w:val="single" w:color="auto" w:sz="4" w:space="0"/>
                    <w:right w:val="single" w:color="auto" w:sz="4" w:space="0"/>
                  </w:tcBorders>
                  <w:noWrap w:val="0"/>
                  <w:vAlign w:val="center"/>
                </w:tcPr>
                <w:p w14:paraId="09BD0E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项目采用最新要求的泥浆不落地成套设备，钻井泥浆采用泥浆罐收集并循环使用。</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798250E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5A494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6486A2A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8</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3F9DE1F0">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岩心棚及材料库、备用管材物资堆场、值班休息房、油料堆场、废弃物资及垃圾场、工地厕所场地等附属设备设施场地，按照附属设备、设施安装及操作使用需求，在最大限度减少环境扰动前提下，依地形分区平整场地</w:t>
                  </w:r>
                </w:p>
              </w:tc>
              <w:tc>
                <w:tcPr>
                  <w:tcW w:w="2093" w:type="pct"/>
                  <w:tcBorders>
                    <w:top w:val="single" w:color="auto" w:sz="4" w:space="0"/>
                    <w:left w:val="single" w:color="auto" w:sz="4" w:space="0"/>
                    <w:bottom w:val="single" w:color="auto" w:sz="4" w:space="0"/>
                    <w:right w:val="single" w:color="auto" w:sz="4" w:space="0"/>
                  </w:tcBorders>
                  <w:noWrap w:val="0"/>
                  <w:vAlign w:val="center"/>
                </w:tcPr>
                <w:p w14:paraId="617D37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bidi="ar"/>
                    </w:rPr>
                    <w:t>岩心棚及材料库、备用管材物资堆场、值班休息房、油料堆场、废弃物资及垃圾场、工地厕所场地等附属设备设施场地按相关要求分区布设。</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74DE32E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406D4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78AC972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9</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1D5D1488">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钻探（钻井）施工场地应设置排水沟，确保现场无低洼积水。若施工机场边坡上方汇水面大或位于冲沟附近，应设置截水沟</w:t>
                  </w:r>
                </w:p>
              </w:tc>
              <w:tc>
                <w:tcPr>
                  <w:tcW w:w="2093" w:type="pct"/>
                  <w:tcBorders>
                    <w:top w:val="single" w:color="auto" w:sz="4" w:space="0"/>
                    <w:left w:val="single" w:color="auto" w:sz="4" w:space="0"/>
                    <w:bottom w:val="single" w:color="auto" w:sz="4" w:space="0"/>
                    <w:right w:val="single" w:color="auto" w:sz="4" w:space="0"/>
                  </w:tcBorders>
                  <w:noWrap w:val="0"/>
                  <w:vAlign w:val="center"/>
                </w:tcPr>
                <w:p w14:paraId="629847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bidi="ar"/>
                    </w:rPr>
                    <w:t>钻探（钻井）施工场地四周设置截排水沟对雨水进行引流，防止站场水土流失。</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4F30BDF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57F6A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3CC294E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10</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379CCAB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钻探施工主要设备及配套技术应处于国内先进水平。施工设备应具备安、拆快捷、便于搬运，机械化、智能化程度高，施工操作安全简便、劳动强度低、生产效率高，工程质量好、节能、环保等特点。优先采用模块化、轻便化、小型化、集成度高的钻探施工及其配套设备</w:t>
                  </w:r>
                </w:p>
              </w:tc>
              <w:tc>
                <w:tcPr>
                  <w:tcW w:w="2093" w:type="pct"/>
                  <w:tcBorders>
                    <w:top w:val="single" w:color="auto" w:sz="4" w:space="0"/>
                    <w:left w:val="single" w:color="auto" w:sz="4" w:space="0"/>
                    <w:bottom w:val="single" w:color="auto" w:sz="4" w:space="0"/>
                    <w:right w:val="single" w:color="auto" w:sz="4" w:space="0"/>
                  </w:tcBorders>
                  <w:noWrap w:val="0"/>
                  <w:vAlign w:val="center"/>
                </w:tcPr>
                <w:p w14:paraId="322FA5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bidi="ar"/>
                    </w:rPr>
                    <w:t>项目采用目前先进的</w:t>
                  </w:r>
                  <w:r>
                    <w:rPr>
                      <w:rFonts w:hint="default" w:ascii="Times New Roman" w:hAnsi="Times New Roman" w:eastAsia="宋体" w:cs="Times New Roman"/>
                      <w:color w:val="auto"/>
                      <w:kern w:val="0"/>
                      <w:sz w:val="21"/>
                      <w:szCs w:val="21"/>
                      <w:highlight w:val="none"/>
                      <w:lang w:val="en-US" w:eastAsia="zh-CN" w:bidi="ar"/>
                    </w:rPr>
                    <w:t>ZJ50</w:t>
                  </w:r>
                  <w:r>
                    <w:rPr>
                      <w:rFonts w:hint="eastAsia" w:ascii="宋体" w:hAnsi="宋体" w:eastAsia="宋体" w:cs="宋体"/>
                      <w:color w:val="auto"/>
                      <w:kern w:val="0"/>
                      <w:sz w:val="21"/>
                      <w:szCs w:val="21"/>
                      <w:highlight w:val="none"/>
                      <w:lang w:val="en-US" w:eastAsia="zh-CN" w:bidi="ar"/>
                    </w:rPr>
                    <w:t>钻机及配套钻井设备，属于模块化、轻便化、小型化、集成度高的设备。且采用先进的泥浆收集循环利用成套设备。均具有机械化、智能化程度高，施工操作安全简便、劳动强度低、生产效率高，工程质量好、节能、环保等特点。</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5F82EC9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7098E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1E23F47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11</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3B8A00D7">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钻探施工技术工艺应先进合理，切合勘查施工要求，钻进效率高，质量优，节能减排，安全环保。积极采用定向钻探、绳索取心金刚石钻进、冲击回转钻进、空气潜孔钻进、不提钻换钻头等先进的钻探施工方法及技术工艺。除浅表层开孔外，尽量采用金刚石绳索取心、双层管或三层管钻进技术工艺</w:t>
                  </w:r>
                </w:p>
              </w:tc>
              <w:tc>
                <w:tcPr>
                  <w:tcW w:w="2093" w:type="pct"/>
                  <w:tcBorders>
                    <w:top w:val="single" w:color="auto" w:sz="4" w:space="0"/>
                    <w:left w:val="single" w:color="auto" w:sz="4" w:space="0"/>
                    <w:bottom w:val="single" w:color="auto" w:sz="4" w:space="0"/>
                    <w:right w:val="single" w:color="auto" w:sz="4" w:space="0"/>
                  </w:tcBorders>
                  <w:noWrap w:val="0"/>
                  <w:vAlign w:val="center"/>
                </w:tcPr>
                <w:p w14:paraId="1D6C74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bidi="ar"/>
                    </w:rPr>
                    <w:t>项目采用目前先进的</w:t>
                  </w:r>
                  <w:r>
                    <w:rPr>
                      <w:rFonts w:hint="default" w:ascii="Times New Roman" w:hAnsi="Times New Roman" w:eastAsia="宋体" w:cs="Times New Roman"/>
                      <w:color w:val="auto"/>
                      <w:kern w:val="0"/>
                      <w:sz w:val="21"/>
                      <w:szCs w:val="21"/>
                      <w:highlight w:val="none"/>
                      <w:lang w:val="en-US" w:eastAsia="zh-CN" w:bidi="ar"/>
                    </w:rPr>
                    <w:t>ZJ50</w:t>
                  </w:r>
                  <w:r>
                    <w:rPr>
                      <w:rFonts w:hint="eastAsia" w:ascii="宋体" w:hAnsi="宋体" w:eastAsia="宋体" w:cs="宋体"/>
                      <w:color w:val="auto"/>
                      <w:kern w:val="0"/>
                      <w:sz w:val="21"/>
                      <w:szCs w:val="21"/>
                      <w:highlight w:val="none"/>
                      <w:lang w:val="en-US" w:eastAsia="zh-CN" w:bidi="ar"/>
                    </w:rPr>
                    <w:t>钻机及配套钻井设备，钻进效率高，质量优，节能减排，安全环保。</w:t>
                  </w:r>
                  <w:r>
                    <w:rPr>
                      <w:rFonts w:hint="default" w:ascii="Times New Roman" w:hAnsi="Times New Roman" w:eastAsia="宋体" w:cs="Times New Roman"/>
                      <w:color w:val="auto"/>
                      <w:kern w:val="0"/>
                      <w:sz w:val="21"/>
                      <w:szCs w:val="21"/>
                      <w:highlight w:val="none"/>
                      <w:lang w:val="en-US" w:eastAsia="zh-CN" w:bidi="ar"/>
                    </w:rPr>
                    <w:t>ZJ50</w:t>
                  </w:r>
                  <w:r>
                    <w:rPr>
                      <w:rFonts w:hint="eastAsia" w:ascii="宋体" w:hAnsi="宋体" w:eastAsia="宋体" w:cs="宋体"/>
                      <w:color w:val="auto"/>
                      <w:kern w:val="0"/>
                      <w:sz w:val="21"/>
                      <w:szCs w:val="21"/>
                      <w:highlight w:val="none"/>
                      <w:lang w:val="en-US" w:eastAsia="zh-CN" w:bidi="ar"/>
                    </w:rPr>
                    <w:t>钻机主要用于岩心勘探的钻机。项目采用金刚石绳索取心钻进工艺，在钻探施工过程的回次钻进中，不用提出全套钻柱（包括外管）、而借助绳索打捞器打捞内管取心，可实现长孔段连续钻进，工艺较为先进。</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20ED20F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5DED2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09F53A4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12</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280F12B8">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钻探施工循环液使用泥浆时，应采用无固相或低固相的优质环保浆液。泥浆材料及处理剂具备无毒无害、可自然降解性能，符合环保标准要求。加强循环液的现场使用管理，做好施工中防渗、护壁及净化处理，预防浆液使用中造成地面及地下污染</w:t>
                  </w:r>
                </w:p>
              </w:tc>
              <w:tc>
                <w:tcPr>
                  <w:tcW w:w="2093" w:type="pct"/>
                  <w:tcBorders>
                    <w:top w:val="single" w:color="auto" w:sz="4" w:space="0"/>
                    <w:left w:val="single" w:color="auto" w:sz="4" w:space="0"/>
                    <w:bottom w:val="single" w:color="auto" w:sz="4" w:space="0"/>
                    <w:right w:val="single" w:color="auto" w:sz="4" w:space="0"/>
                  </w:tcBorders>
                  <w:noWrap w:val="0"/>
                  <w:vAlign w:val="center"/>
                </w:tcPr>
                <w:p w14:paraId="03A0EB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bidi="ar"/>
                    </w:rPr>
                    <w:t>项目采用水基型钻井液，具有无毒无害、可自然降解的特点，钻井泥浆采用泥浆罐收集并循环利用，要求泥浆不落地。</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5D81972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5D26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12FD936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13</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6F44E97B">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勘查产生的废水可循环利用的应循环利用；对外排放应经沉淀和按规定进行技术处理，按照GB8978标准执行。</w:t>
                  </w:r>
                </w:p>
              </w:tc>
              <w:tc>
                <w:tcPr>
                  <w:tcW w:w="2093" w:type="pct"/>
                  <w:tcBorders>
                    <w:top w:val="single" w:color="auto" w:sz="4" w:space="0"/>
                    <w:left w:val="single" w:color="auto" w:sz="4" w:space="0"/>
                    <w:bottom w:val="single" w:color="auto" w:sz="4" w:space="0"/>
                    <w:right w:val="single" w:color="auto" w:sz="4" w:space="0"/>
                  </w:tcBorders>
                  <w:noWrap w:val="0"/>
                  <w:vAlign w:val="center"/>
                </w:tcPr>
                <w:p w14:paraId="0FEAE9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bidi="ar"/>
                    </w:rPr>
                    <w:t>项目泥浆上清液排入地上移动式污水罐，用于配制泥浆，循环使用，</w:t>
                  </w:r>
                  <w:r>
                    <w:rPr>
                      <w:rFonts w:hint="default" w:ascii="Times New Roman" w:hAnsi="Times New Roman" w:eastAsia="宋体" w:cs="Times New Roman"/>
                      <w:bCs/>
                      <w:color w:val="auto"/>
                      <w:sz w:val="21"/>
                      <w:szCs w:val="21"/>
                      <w:highlight w:val="none"/>
                      <w:vertAlign w:val="baseline"/>
                      <w:lang w:val="en-US" w:eastAsia="zh-CN"/>
                    </w:rPr>
                    <w:t>钻井废水</w:t>
                  </w:r>
                  <w:r>
                    <w:rPr>
                      <w:rFonts w:hint="eastAsia" w:ascii="Times New Roman" w:hAnsi="Times New Roman" w:eastAsia="宋体" w:cs="Times New Roman"/>
                      <w:bCs/>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洗井废水</w:t>
                  </w:r>
                  <w:r>
                    <w:rPr>
                      <w:rFonts w:hint="eastAsia" w:ascii="Times New Roman" w:hAnsi="Times New Roman" w:eastAsia="宋体" w:cs="Times New Roman"/>
                      <w:b w:val="0"/>
                      <w:bCs w:val="0"/>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压裂返排液</w:t>
                  </w:r>
                  <w:r>
                    <w:rPr>
                      <w:rFonts w:hint="eastAsia" w:ascii="Times New Roman" w:hAnsi="Times New Roman" w:eastAsia="宋体" w:cs="Times New Roman"/>
                      <w:b w:val="0"/>
                      <w:bCs w:val="0"/>
                      <w:color w:val="auto"/>
                      <w:sz w:val="21"/>
                      <w:szCs w:val="21"/>
                      <w:highlight w:val="none"/>
                      <w:vertAlign w:val="baseline"/>
                      <w:lang w:val="en-US" w:eastAsia="zh-CN"/>
                    </w:rPr>
                    <w:t>、射孔废水、</w:t>
                  </w:r>
                  <w:r>
                    <w:rPr>
                      <w:rFonts w:hint="eastAsia" w:cs="Times New Roman"/>
                      <w:color w:val="auto"/>
                      <w:sz w:val="21"/>
                      <w:szCs w:val="21"/>
                      <w:highlight w:val="none"/>
                      <w:lang w:val="en-US" w:eastAsia="zh-CN"/>
                    </w:rPr>
                    <w:t>放喷废水</w:t>
                  </w:r>
                  <w:r>
                    <w:rPr>
                      <w:rFonts w:hint="default" w:ascii="Times New Roman" w:hAnsi="Times New Roman" w:eastAsia="宋体" w:cs="Times New Roman"/>
                      <w:bCs/>
                      <w:color w:val="auto"/>
                      <w:sz w:val="21"/>
                      <w:szCs w:val="21"/>
                      <w:highlight w:val="none"/>
                      <w:vertAlign w:val="baseline"/>
                      <w:lang w:val="en-US" w:eastAsia="zh-CN"/>
                    </w:rPr>
                    <w:t>等</w:t>
                  </w:r>
                  <w:r>
                    <w:rPr>
                      <w:rFonts w:hint="eastAsia" w:ascii="宋体" w:hAnsi="宋体" w:eastAsia="宋体" w:cs="宋体"/>
                      <w:color w:val="auto"/>
                      <w:kern w:val="0"/>
                      <w:sz w:val="21"/>
                      <w:szCs w:val="21"/>
                      <w:highlight w:val="none"/>
                      <w:lang w:val="en-US" w:eastAsia="zh-CN" w:bidi="ar"/>
                    </w:rPr>
                    <w:t>排入井场设置的地上废水收集罐，送至协议的</w:t>
                  </w:r>
                  <w:r>
                    <w:rPr>
                      <w:rFonts w:hint="eastAsia" w:cs="Times New Roman"/>
                      <w:color w:val="auto"/>
                      <w:sz w:val="21"/>
                      <w:szCs w:val="21"/>
                      <w:highlight w:val="none"/>
                      <w:lang w:val="en-US" w:eastAsia="zh-CN"/>
                    </w:rPr>
                    <w:t>有能力单位</w:t>
                  </w:r>
                  <w:r>
                    <w:rPr>
                      <w:rFonts w:hint="eastAsia" w:ascii="宋体" w:hAnsi="宋体" w:eastAsia="宋体" w:cs="宋体"/>
                      <w:color w:val="auto"/>
                      <w:kern w:val="0"/>
                      <w:sz w:val="21"/>
                      <w:szCs w:val="21"/>
                      <w:highlight w:val="none"/>
                      <w:lang w:val="en-US" w:eastAsia="zh-CN" w:bidi="ar"/>
                    </w:rPr>
                    <w:t>处理；</w:t>
                  </w:r>
                  <w:r>
                    <w:rPr>
                      <w:rFonts w:hint="eastAsia" w:ascii="Times New Roman" w:hAnsi="Times New Roman" w:eastAsia="宋体" w:cs="Times New Roman"/>
                      <w:b w:val="0"/>
                      <w:bCs w:val="0"/>
                      <w:color w:val="auto"/>
                      <w:sz w:val="21"/>
                      <w:szCs w:val="21"/>
                      <w:highlight w:val="none"/>
                      <w:vertAlign w:val="baseline"/>
                      <w:lang w:val="en-US" w:eastAsia="zh-CN"/>
                    </w:rPr>
                    <w:t>放喷罐降温废水冷却后用于场地洒水抑尘；</w:t>
                  </w:r>
                  <w:r>
                    <w:rPr>
                      <w:rFonts w:hint="eastAsia" w:ascii="宋体" w:hAnsi="宋体" w:eastAsia="宋体" w:cs="宋体"/>
                      <w:color w:val="auto"/>
                      <w:kern w:val="0"/>
                      <w:sz w:val="21"/>
                      <w:szCs w:val="21"/>
                      <w:highlight w:val="none"/>
                      <w:lang w:val="en-US" w:eastAsia="zh-CN" w:bidi="ar"/>
                    </w:rPr>
                    <w:t>生活污水排入移动式环保厕所内后清掏用作农肥。</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209DCF7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10C43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23C0B82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14</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47AB5483">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油气表层钻井应使用空气钻或清水钻进方式，钻进过程中遇到水层，固井时应避开水层，防止地表水受到污染。油气钻进施工中，如出现孔内泥浆严重漏失及涌水现象，应快速穿越漏失及涌水地层后，及时对漏失及涌水地层孔段采用快干水泥基堵漏材料进行封堵，孔深较浅时，亦可采用套管隔离，预防泥浆对地下水造成污染破坏。</w:t>
                  </w:r>
                </w:p>
              </w:tc>
              <w:tc>
                <w:tcPr>
                  <w:tcW w:w="2093" w:type="pct"/>
                  <w:tcBorders>
                    <w:top w:val="single" w:color="auto" w:sz="4" w:space="0"/>
                    <w:left w:val="single" w:color="auto" w:sz="4" w:space="0"/>
                    <w:bottom w:val="single" w:color="auto" w:sz="4" w:space="0"/>
                    <w:right w:val="single" w:color="auto" w:sz="4" w:space="0"/>
                  </w:tcBorders>
                  <w:noWrap w:val="0"/>
                  <w:vAlign w:val="center"/>
                </w:tcPr>
                <w:p w14:paraId="2D6342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bidi="ar"/>
                    </w:rPr>
                    <w:t>项目表层钻井使用清水钻，钻进过程中遇到水层，固井时避开水层，防止地表水受到污染。钻进施工中，如出现孔内泥浆严重漏失及涌水现象，应快速穿越漏失及涌水地层后，及时对漏失及涌水地层孔段采用快干水泥基堵漏材料进行封堵，孔深较浅时，亦可采用套管隔离，预防泥浆对地下水造成污染和破坏。</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5F73779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2473F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5ED0913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15</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1079C8EC">
                  <w:pPr>
                    <w:pStyle w:val="15"/>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勘查施工道路、场地平整、现场作业应充分考虑到野生动植物保护。勘查机械设备应安装消声装置或场地修隔音设施，降低施工噪音；在有人居住区和野生动物栖息附近，夜间应停止有噪声影响的作业活动。</w:t>
                  </w:r>
                </w:p>
              </w:tc>
              <w:tc>
                <w:tcPr>
                  <w:tcW w:w="2093" w:type="pct"/>
                  <w:tcBorders>
                    <w:top w:val="single" w:color="auto" w:sz="4" w:space="0"/>
                    <w:left w:val="single" w:color="auto" w:sz="4" w:space="0"/>
                    <w:bottom w:val="single" w:color="auto" w:sz="4" w:space="0"/>
                    <w:right w:val="single" w:color="auto" w:sz="4" w:space="0"/>
                  </w:tcBorders>
                  <w:noWrap w:val="0"/>
                  <w:vAlign w:val="center"/>
                </w:tcPr>
                <w:p w14:paraId="2B6ED0C5">
                  <w:pPr>
                    <w:pStyle w:val="22"/>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场地平整、现场作业选用低噪声设备，文明施工，减少占地，做好野生动植物保护的施工宣传。项目钻井和泥浆收集处理成套设备均配备减</w:t>
                  </w:r>
                  <w:r>
                    <w:rPr>
                      <w:rFonts w:hint="eastAsia" w:ascii="Times New Roman" w:hAnsi="Times New Roman" w:eastAsia="宋体" w:cs="Times New Roman"/>
                      <w:color w:val="auto"/>
                      <w:sz w:val="21"/>
                      <w:szCs w:val="21"/>
                      <w:highlight w:val="none"/>
                      <w:lang w:val="en-US" w:eastAsia="zh-CN"/>
                    </w:rPr>
                    <w:t>振</w:t>
                  </w:r>
                  <w:r>
                    <w:rPr>
                      <w:rFonts w:hint="default" w:ascii="Times New Roman" w:hAnsi="Times New Roman" w:cs="Times New Roman"/>
                      <w:color w:val="auto"/>
                      <w:sz w:val="21"/>
                      <w:szCs w:val="21"/>
                      <w:highlight w:val="none"/>
                    </w:rPr>
                    <w:t>基座和减</w:t>
                  </w:r>
                  <w:r>
                    <w:rPr>
                      <w:rFonts w:hint="eastAsia" w:ascii="Times New Roman" w:hAnsi="Times New Roman" w:eastAsia="宋体" w:cs="Times New Roman"/>
                      <w:color w:val="auto"/>
                      <w:sz w:val="21"/>
                      <w:szCs w:val="21"/>
                      <w:highlight w:val="none"/>
                      <w:lang w:val="en-US" w:eastAsia="zh-CN"/>
                    </w:rPr>
                    <w:t>振</w:t>
                  </w:r>
                  <w:r>
                    <w:rPr>
                      <w:rFonts w:hint="default" w:ascii="Times New Roman" w:hAnsi="Times New Roman" w:cs="Times New Roman"/>
                      <w:color w:val="auto"/>
                      <w:sz w:val="21"/>
                      <w:szCs w:val="21"/>
                      <w:highlight w:val="none"/>
                    </w:rPr>
                    <w:t>垫，空气动力设备安装消声装置</w:t>
                  </w:r>
                  <w:r>
                    <w:rPr>
                      <w:rFonts w:hint="eastAsia" w:ascii="Times New Roman" w:hAnsi="Times New Roman" w:eastAsia="宋体" w:cs="Times New Roman"/>
                      <w:color w:val="auto"/>
                      <w:sz w:val="21"/>
                      <w:szCs w:val="21"/>
                      <w:highlight w:val="none"/>
                      <w:lang w:eastAsia="zh-CN"/>
                    </w:rPr>
                    <w:t>。</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5EB67B0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19D2C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7850AC4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16</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65DD7945">
                  <w:pPr>
                    <w:pStyle w:val="15"/>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对容易产生粉尘的作业，采取喷雾、洒水等措施最大限度地降低勘查施工作业中产生的粉尘。</w:t>
                  </w:r>
                </w:p>
              </w:tc>
              <w:tc>
                <w:tcPr>
                  <w:tcW w:w="2093" w:type="pct"/>
                  <w:tcBorders>
                    <w:top w:val="single" w:color="auto" w:sz="4" w:space="0"/>
                    <w:left w:val="single" w:color="auto" w:sz="4" w:space="0"/>
                    <w:bottom w:val="single" w:color="auto" w:sz="4" w:space="0"/>
                    <w:right w:val="single" w:color="auto" w:sz="4" w:space="0"/>
                  </w:tcBorders>
                  <w:noWrap w:val="0"/>
                  <w:vAlign w:val="center"/>
                </w:tcPr>
                <w:p w14:paraId="73A888A5">
                  <w:pPr>
                    <w:pStyle w:val="22"/>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项目土方施工过程中配套洒水车进行洒水抑尘</w:t>
                  </w:r>
                  <w:r>
                    <w:rPr>
                      <w:rFonts w:hint="eastAsia" w:ascii="Times New Roman" w:hAnsi="Times New Roman" w:eastAsia="宋体" w:cs="Times New Roman"/>
                      <w:color w:val="auto"/>
                      <w:sz w:val="21"/>
                      <w:szCs w:val="21"/>
                      <w:highlight w:val="none"/>
                      <w:lang w:eastAsia="zh-CN"/>
                    </w:rPr>
                    <w:t>。</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74A4BAB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7E814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5006F89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17</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4F293597">
                  <w:pPr>
                    <w:pStyle w:val="15"/>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采用喷雾、洒水、加设除尘装置等措施处置运输过程中产生的粉尘及其扩散。</w:t>
                  </w:r>
                </w:p>
              </w:tc>
              <w:tc>
                <w:tcPr>
                  <w:tcW w:w="2093" w:type="pct"/>
                  <w:tcBorders>
                    <w:top w:val="single" w:color="auto" w:sz="4" w:space="0"/>
                    <w:left w:val="single" w:color="auto" w:sz="4" w:space="0"/>
                    <w:bottom w:val="single" w:color="auto" w:sz="4" w:space="0"/>
                    <w:right w:val="single" w:color="auto" w:sz="4" w:space="0"/>
                  </w:tcBorders>
                  <w:noWrap w:val="0"/>
                  <w:vAlign w:val="center"/>
                </w:tcPr>
                <w:p w14:paraId="7D7591DC">
                  <w:pPr>
                    <w:pStyle w:val="2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项目运输过程中加盖篷布防止扬尘，对运输道路配套洒水车进行洒水抑尘</w:t>
                  </w:r>
                  <w:r>
                    <w:rPr>
                      <w:rFonts w:hint="eastAsia" w:ascii="Times New Roman" w:hAnsi="Times New Roman" w:eastAsia="宋体" w:cs="Times New Roman"/>
                      <w:color w:val="auto"/>
                      <w:sz w:val="21"/>
                      <w:szCs w:val="21"/>
                      <w:highlight w:val="none"/>
                      <w:lang w:eastAsia="zh-CN"/>
                    </w:rPr>
                    <w:t>。</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2A44D62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49579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3763519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18</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15EA2856">
                  <w:pPr>
                    <w:pStyle w:val="15"/>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勘查过程中，柴油机动力设备应安装尾气净化装置，尾气排放执行国家环保排放标准，不同地区应满足勘查所在地地方相关标准要求。</w:t>
                  </w:r>
                </w:p>
              </w:tc>
              <w:tc>
                <w:tcPr>
                  <w:tcW w:w="2093" w:type="pct"/>
                  <w:tcBorders>
                    <w:top w:val="single" w:color="auto" w:sz="4" w:space="0"/>
                    <w:left w:val="single" w:color="auto" w:sz="4" w:space="0"/>
                    <w:bottom w:val="single" w:color="auto" w:sz="4" w:space="0"/>
                    <w:right w:val="single" w:color="auto" w:sz="4" w:space="0"/>
                  </w:tcBorders>
                  <w:noWrap w:val="0"/>
                  <w:vAlign w:val="center"/>
                </w:tcPr>
                <w:p w14:paraId="7EF59955">
                  <w:pPr>
                    <w:pStyle w:val="2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Calibri" w:cs="Times New Roman"/>
                      <w:color w:val="auto"/>
                      <w:kern w:val="0"/>
                      <w:sz w:val="21"/>
                      <w:szCs w:val="21"/>
                      <w:highlight w:val="none"/>
                      <w:lang w:val="en-US" w:eastAsia="zh-CN" w:bidi="ar"/>
                    </w:rPr>
                  </w:pPr>
                  <w:r>
                    <w:rPr>
                      <w:rFonts w:hint="eastAsia" w:ascii="Times New Roman" w:hAnsi="Times New Roman" w:cs="Times New Roman"/>
                      <w:color w:val="auto"/>
                      <w:sz w:val="21"/>
                      <w:szCs w:val="21"/>
                      <w:highlight w:val="none"/>
                      <w:lang w:val="en-US" w:eastAsia="zh-CN"/>
                    </w:rPr>
                    <w:t>本项目钻井期使用电驱动，不设置柴油发电机，</w:t>
                  </w:r>
                  <w:r>
                    <w:rPr>
                      <w:rFonts w:hint="default" w:ascii="Times New Roman" w:hAnsi="Times New Roman" w:cs="Times New Roman"/>
                      <w:color w:val="auto"/>
                      <w:sz w:val="21"/>
                      <w:szCs w:val="21"/>
                      <w:highlight w:val="none"/>
                      <w:lang w:val="en-US" w:eastAsia="zh-CN"/>
                    </w:rPr>
                    <w:t>根据《榆林市人民政府关于禁止使用高排放非道路移动机械的通告》要求，项目施工现场</w:t>
                  </w:r>
                  <w:r>
                    <w:rPr>
                      <w:rFonts w:hint="default" w:ascii="Times New Roman" w:hAnsi="Times New Roman" w:cs="Times New Roman"/>
                      <w:color w:val="auto"/>
                      <w:sz w:val="21"/>
                      <w:szCs w:val="21"/>
                      <w:highlight w:val="none"/>
                    </w:rPr>
                    <w:t>禁止使用高排放非道路移动机械，禁止使用未编码登记挂牌及环保检测不达标的非道路移动机械</w:t>
                  </w:r>
                  <w:r>
                    <w:rPr>
                      <w:rFonts w:hint="eastAsia" w:ascii="Times New Roman" w:hAnsi="Times New Roman" w:eastAsia="宋体" w:cs="Times New Roman"/>
                      <w:color w:val="auto"/>
                      <w:sz w:val="21"/>
                      <w:szCs w:val="21"/>
                      <w:highlight w:val="none"/>
                      <w:lang w:eastAsia="zh-CN"/>
                    </w:rPr>
                    <w:t>。</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7E12140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2D44B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5A9FD18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19</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22FEA2B8">
                  <w:pPr>
                    <w:pStyle w:val="15"/>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施工现场不应燃烧秸秆、衣物及其他产生烟尘、废气污染的物品。</w:t>
                  </w:r>
                </w:p>
              </w:tc>
              <w:tc>
                <w:tcPr>
                  <w:tcW w:w="2093" w:type="pct"/>
                  <w:tcBorders>
                    <w:top w:val="single" w:color="auto" w:sz="4" w:space="0"/>
                    <w:left w:val="single" w:color="auto" w:sz="4" w:space="0"/>
                    <w:bottom w:val="single" w:color="auto" w:sz="4" w:space="0"/>
                    <w:right w:val="single" w:color="auto" w:sz="4" w:space="0"/>
                  </w:tcBorders>
                  <w:noWrap w:val="0"/>
                  <w:vAlign w:val="center"/>
                </w:tcPr>
                <w:p w14:paraId="292853B7">
                  <w:pPr>
                    <w:pStyle w:val="2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施工现场按要求不允许燃烧秸秆、衣物及其他产生烟尘、废气污染的物品</w:t>
                  </w:r>
                  <w:r>
                    <w:rPr>
                      <w:rFonts w:hint="eastAsia" w:ascii="Times New Roman" w:hAnsi="Times New Roman" w:eastAsia="宋体" w:cs="Times New Roman"/>
                      <w:color w:val="auto"/>
                      <w:sz w:val="21"/>
                      <w:szCs w:val="21"/>
                      <w:highlight w:val="none"/>
                      <w:lang w:eastAsia="zh-CN"/>
                    </w:rPr>
                    <w:t>。</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029FC4B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3B2F0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777C16D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20</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7B9E60B2">
                  <w:pPr>
                    <w:pStyle w:val="15"/>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废弃物管理按照GB18599执行。</w:t>
                  </w:r>
                </w:p>
              </w:tc>
              <w:tc>
                <w:tcPr>
                  <w:tcW w:w="2093" w:type="pct"/>
                  <w:tcBorders>
                    <w:top w:val="single" w:color="auto" w:sz="4" w:space="0"/>
                    <w:left w:val="single" w:color="auto" w:sz="4" w:space="0"/>
                    <w:bottom w:val="single" w:color="auto" w:sz="4" w:space="0"/>
                    <w:right w:val="single" w:color="auto" w:sz="4" w:space="0"/>
                  </w:tcBorders>
                  <w:noWrap w:val="0"/>
                  <w:vAlign w:val="center"/>
                </w:tcPr>
                <w:p w14:paraId="04B6A191">
                  <w:pPr>
                    <w:pStyle w:val="2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snapToGrid w:val="0"/>
                      <w:color w:val="auto"/>
                      <w:kern w:val="0"/>
                      <w:sz w:val="21"/>
                      <w:szCs w:val="21"/>
                      <w:highlight w:val="none"/>
                    </w:rPr>
                    <w:t>项目钻井过程中采取不落地收集措施，废弃泥浆实施固液分离处理，钻井泥浆</w:t>
                  </w:r>
                  <w:r>
                    <w:rPr>
                      <w:rFonts w:hint="eastAsia" w:ascii="Times New Roman" w:hAnsi="Times New Roman" w:cs="Times New Roman"/>
                      <w:snapToGrid w:val="0"/>
                      <w:color w:val="auto"/>
                      <w:kern w:val="0"/>
                      <w:sz w:val="21"/>
                      <w:szCs w:val="21"/>
                      <w:highlight w:val="none"/>
                      <w:lang w:val="en-US" w:eastAsia="zh-CN"/>
                    </w:rPr>
                    <w:t>和岩屑</w:t>
                  </w:r>
                  <w:r>
                    <w:rPr>
                      <w:rFonts w:hint="default" w:ascii="Times New Roman" w:hAnsi="Times New Roman" w:cs="Times New Roman"/>
                      <w:bCs/>
                      <w:color w:val="auto"/>
                      <w:sz w:val="21"/>
                      <w:szCs w:val="21"/>
                      <w:highlight w:val="none"/>
                    </w:rPr>
                    <w:t>外运处置</w:t>
                  </w:r>
                  <w:r>
                    <w:rPr>
                      <w:rFonts w:hint="eastAsia" w:ascii="Times New Roman" w:hAnsi="Times New Roman" w:eastAsia="宋体" w:cs="Times New Roman"/>
                      <w:bCs/>
                      <w:color w:val="auto"/>
                      <w:sz w:val="21"/>
                      <w:szCs w:val="21"/>
                      <w:highlight w:val="none"/>
                      <w:lang w:eastAsia="zh-CN"/>
                    </w:rPr>
                    <w:t>。</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4C30EB9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2EE5B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2C67A2C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21</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0E3E3DF3">
                  <w:pPr>
                    <w:pStyle w:val="15"/>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生活固体废弃物应分类处置，按照GB18485、CJJ17执行。</w:t>
                  </w:r>
                </w:p>
              </w:tc>
              <w:tc>
                <w:tcPr>
                  <w:tcW w:w="2093" w:type="pct"/>
                  <w:tcBorders>
                    <w:top w:val="single" w:color="auto" w:sz="4" w:space="0"/>
                    <w:left w:val="single" w:color="auto" w:sz="4" w:space="0"/>
                    <w:bottom w:val="single" w:color="auto" w:sz="4" w:space="0"/>
                    <w:right w:val="single" w:color="auto" w:sz="4" w:space="0"/>
                  </w:tcBorders>
                  <w:noWrap w:val="0"/>
                  <w:vAlign w:val="center"/>
                </w:tcPr>
                <w:p w14:paraId="1B25959D">
                  <w:pPr>
                    <w:pStyle w:val="2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生活垃圾集中收集后送环卫部门指定地点堆放</w:t>
                  </w:r>
                  <w:r>
                    <w:rPr>
                      <w:rFonts w:hint="eastAsia" w:ascii="Times New Roman" w:hAnsi="Times New Roman" w:eastAsia="宋体" w:cs="Times New Roman"/>
                      <w:color w:val="auto"/>
                      <w:sz w:val="21"/>
                      <w:szCs w:val="21"/>
                      <w:highlight w:val="none"/>
                      <w:lang w:eastAsia="zh-CN"/>
                    </w:rPr>
                    <w:t>。</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0528554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19E86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1B6DA50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22</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484A9D5A">
                  <w:pPr>
                    <w:pStyle w:val="15"/>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勘查施工区（点）工作结束后，应及时拆除现场施工设备、物资和临时设施，清除现场各类杂物、垃圾及污染物。</w:t>
                  </w:r>
                </w:p>
              </w:tc>
              <w:tc>
                <w:tcPr>
                  <w:tcW w:w="2093" w:type="pct"/>
                  <w:tcBorders>
                    <w:top w:val="single" w:color="auto" w:sz="4" w:space="0"/>
                    <w:left w:val="single" w:color="auto" w:sz="4" w:space="0"/>
                    <w:bottom w:val="single" w:color="auto" w:sz="4" w:space="0"/>
                    <w:right w:val="single" w:color="auto" w:sz="4" w:space="0"/>
                  </w:tcBorders>
                  <w:noWrap w:val="0"/>
                  <w:vAlign w:val="center"/>
                </w:tcPr>
                <w:p w14:paraId="7AA7EF31">
                  <w:pPr>
                    <w:pStyle w:val="2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项目施工结束后，立即拆除现场施工设备、物资和临时设施，清除现场各类杂物、垃圾及污染物</w:t>
                  </w:r>
                  <w:r>
                    <w:rPr>
                      <w:rFonts w:hint="eastAsia" w:ascii="Times New Roman" w:hAnsi="Times New Roman" w:eastAsia="宋体" w:cs="Times New Roman"/>
                      <w:color w:val="auto"/>
                      <w:sz w:val="21"/>
                      <w:szCs w:val="21"/>
                      <w:highlight w:val="none"/>
                      <w:lang w:eastAsia="zh-CN"/>
                    </w:rPr>
                    <w:t>。</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626B678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260F7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3AE5B12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23</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36734E9F">
                  <w:pPr>
                    <w:pStyle w:val="15"/>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现场的垃圾、油污、废液、沉渣及其它固体废物应进行分类清理、收集，按照GB18599等相关规定进行焚烧、消毒、沉淀、固化等处理。</w:t>
                  </w:r>
                </w:p>
              </w:tc>
              <w:tc>
                <w:tcPr>
                  <w:tcW w:w="2093" w:type="pct"/>
                  <w:tcBorders>
                    <w:top w:val="single" w:color="auto" w:sz="4" w:space="0"/>
                    <w:left w:val="single" w:color="auto" w:sz="4" w:space="0"/>
                    <w:bottom w:val="single" w:color="auto" w:sz="4" w:space="0"/>
                    <w:right w:val="single" w:color="auto" w:sz="4" w:space="0"/>
                  </w:tcBorders>
                  <w:noWrap w:val="0"/>
                  <w:vAlign w:val="center"/>
                </w:tcPr>
                <w:p w14:paraId="6C1D8179">
                  <w:pPr>
                    <w:pStyle w:val="2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项目产生的落地油及时回收，保证落地油回收率能够达到100%；废机油等危险废物严格执行国家和本省的有关规定，进行收集、贮存、利用和处置，施工结束后，交给有</w:t>
                  </w:r>
                  <w:r>
                    <w:rPr>
                      <w:rFonts w:hint="eastAsia" w:ascii="Times New Roman" w:hAnsi="Times New Roman" w:eastAsia="宋体" w:cs="Times New Roman"/>
                      <w:color w:val="auto"/>
                      <w:sz w:val="21"/>
                      <w:szCs w:val="21"/>
                      <w:highlight w:val="none"/>
                      <w:lang w:val="en-US" w:eastAsia="zh-CN"/>
                    </w:rPr>
                    <w:t>资质</w:t>
                  </w:r>
                  <w:r>
                    <w:rPr>
                      <w:rFonts w:hint="default" w:ascii="Times New Roman" w:hAnsi="Times New Roman" w:cs="Times New Roman"/>
                      <w:color w:val="auto"/>
                      <w:sz w:val="21"/>
                      <w:szCs w:val="21"/>
                      <w:highlight w:val="none"/>
                    </w:rPr>
                    <w:t>的单位进行处置</w:t>
                  </w:r>
                  <w:r>
                    <w:rPr>
                      <w:rFonts w:hint="eastAsia" w:ascii="Times New Roman" w:hAnsi="Times New Roman" w:eastAsia="宋体" w:cs="Times New Roman"/>
                      <w:color w:val="auto"/>
                      <w:sz w:val="21"/>
                      <w:szCs w:val="21"/>
                      <w:highlight w:val="none"/>
                      <w:lang w:eastAsia="zh-CN"/>
                    </w:rPr>
                    <w:t>。</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692243F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43833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7BDFE27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24</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78752995">
                  <w:pPr>
                    <w:pStyle w:val="15"/>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对于现场不能处置的污染物，应外运到专业处理场处理。</w:t>
                  </w:r>
                </w:p>
              </w:tc>
              <w:tc>
                <w:tcPr>
                  <w:tcW w:w="2093" w:type="pct"/>
                  <w:tcBorders>
                    <w:top w:val="single" w:color="auto" w:sz="4" w:space="0"/>
                    <w:left w:val="single" w:color="auto" w:sz="4" w:space="0"/>
                    <w:bottom w:val="single" w:color="auto" w:sz="4" w:space="0"/>
                    <w:right w:val="single" w:color="auto" w:sz="4" w:space="0"/>
                  </w:tcBorders>
                  <w:noWrap w:val="0"/>
                  <w:vAlign w:val="center"/>
                </w:tcPr>
                <w:p w14:paraId="5766A259">
                  <w:pPr>
                    <w:pStyle w:val="2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项目危险废物委托</w:t>
                  </w:r>
                  <w:r>
                    <w:rPr>
                      <w:rFonts w:hint="default" w:ascii="Times New Roman" w:hAnsi="Times New Roman" w:cs="Times New Roman"/>
                      <w:color w:val="auto"/>
                      <w:sz w:val="21"/>
                      <w:szCs w:val="21"/>
                      <w:highlight w:val="none"/>
                      <w:lang w:val="en-US" w:eastAsia="zh-CN"/>
                    </w:rPr>
                    <w:t>有</w:t>
                  </w:r>
                  <w:r>
                    <w:rPr>
                      <w:rFonts w:hint="default" w:ascii="Times New Roman" w:hAnsi="Times New Roman" w:cs="Times New Roman"/>
                      <w:color w:val="auto"/>
                      <w:sz w:val="21"/>
                      <w:szCs w:val="21"/>
                      <w:highlight w:val="none"/>
                    </w:rPr>
                    <w:t>资质单位外运处置；废钻井泥浆、岩屑进行不落地收集，井场配备地上移动收集设施，</w:t>
                  </w:r>
                  <w:r>
                    <w:rPr>
                      <w:rFonts w:hint="default" w:ascii="Times New Roman" w:hAnsi="Times New Roman" w:cs="Times New Roman"/>
                      <w:color w:val="auto"/>
                      <w:sz w:val="21"/>
                      <w:szCs w:val="21"/>
                      <w:highlight w:val="none"/>
                      <w:lang w:val="en-US" w:eastAsia="zh-CN"/>
                    </w:rPr>
                    <w:t>并委托</w:t>
                  </w:r>
                  <w:r>
                    <w:rPr>
                      <w:rFonts w:hint="eastAsia" w:ascii="Times New Roman" w:hAnsi="Times New Roman" w:eastAsia="宋体" w:cs="Times New Roman"/>
                      <w:color w:val="auto"/>
                      <w:sz w:val="21"/>
                      <w:szCs w:val="21"/>
                      <w:highlight w:val="none"/>
                      <w:vertAlign w:val="baseline"/>
                      <w:lang w:val="en-US" w:eastAsia="zh-CN"/>
                    </w:rPr>
                    <w:t>协议的有能力单位</w:t>
                  </w:r>
                  <w:r>
                    <w:rPr>
                      <w:rFonts w:hint="default" w:ascii="Times New Roman" w:hAnsi="Times New Roman" w:cs="Times New Roman"/>
                      <w:color w:val="auto"/>
                      <w:sz w:val="21"/>
                      <w:szCs w:val="21"/>
                      <w:highlight w:val="none"/>
                    </w:rPr>
                    <w:t>进行处置；生活垃圾收集后送环卫部门指定地点堆放</w:t>
                  </w:r>
                  <w:r>
                    <w:rPr>
                      <w:rFonts w:hint="default" w:ascii="Times New Roman" w:hAnsi="Times New Roman" w:eastAsia="宋体" w:cs="Times New Roman"/>
                      <w:color w:val="auto"/>
                      <w:sz w:val="21"/>
                      <w:szCs w:val="21"/>
                      <w:highlight w:val="none"/>
                      <w:lang w:eastAsia="zh-CN"/>
                    </w:rPr>
                    <w:t>。</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0E27FDC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69862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2F3DB64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25</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7A828066">
                  <w:pPr>
                    <w:pStyle w:val="15"/>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场地恢复平整应根据恢复治理设计要求，结合现场情况，尽可能按原始地形地貌平整。难以复原的地段，应按恢复治理设计场地平整标高进行平整，尽可能与自然环境相协调。</w:t>
                  </w:r>
                </w:p>
              </w:tc>
              <w:tc>
                <w:tcPr>
                  <w:tcW w:w="2093" w:type="pct"/>
                  <w:tcBorders>
                    <w:top w:val="single" w:color="auto" w:sz="4" w:space="0"/>
                    <w:left w:val="single" w:color="auto" w:sz="4" w:space="0"/>
                    <w:bottom w:val="single" w:color="auto" w:sz="4" w:space="0"/>
                    <w:right w:val="single" w:color="auto" w:sz="4" w:space="0"/>
                  </w:tcBorders>
                  <w:noWrap w:val="0"/>
                  <w:vAlign w:val="center"/>
                </w:tcPr>
                <w:p w14:paraId="01BFF78F">
                  <w:pPr>
                    <w:pStyle w:val="2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评价要求项目施工结束后，对不具有利用价值的</w:t>
                  </w:r>
                  <w:r>
                    <w:rPr>
                      <w:rFonts w:hint="eastAsia" w:ascii="Times New Roman" w:hAnsi="Times New Roman" w:eastAsia="宋体" w:cs="Times New Roman"/>
                      <w:color w:val="auto"/>
                      <w:sz w:val="21"/>
                      <w:szCs w:val="21"/>
                      <w:highlight w:val="none"/>
                      <w:lang w:eastAsia="zh-CN"/>
                    </w:rPr>
                    <w:t>评价井</w:t>
                  </w:r>
                  <w:r>
                    <w:rPr>
                      <w:rFonts w:hint="default" w:ascii="Times New Roman" w:hAnsi="Times New Roman" w:cs="Times New Roman"/>
                      <w:color w:val="auto"/>
                      <w:sz w:val="21"/>
                      <w:szCs w:val="21"/>
                      <w:highlight w:val="none"/>
                    </w:rPr>
                    <w:t>进行永久封井，</w:t>
                  </w:r>
                  <w:r>
                    <w:rPr>
                      <w:rFonts w:hint="eastAsia" w:ascii="Times New Roman" w:hAnsi="Times New Roman" w:cs="Times New Roman"/>
                      <w:color w:val="auto"/>
                      <w:sz w:val="21"/>
                      <w:szCs w:val="21"/>
                      <w:highlight w:val="none"/>
                      <w:lang w:val="en-US" w:eastAsia="zh-CN"/>
                    </w:rPr>
                    <w:t>临时占地</w:t>
                  </w:r>
                  <w:r>
                    <w:rPr>
                      <w:rFonts w:hint="default" w:ascii="Times New Roman" w:hAnsi="Times New Roman" w:cs="Times New Roman"/>
                      <w:color w:val="auto"/>
                      <w:sz w:val="21"/>
                      <w:szCs w:val="21"/>
                      <w:highlight w:val="none"/>
                    </w:rPr>
                    <w:t>恢复原土地类型</w:t>
                  </w:r>
                  <w:r>
                    <w:rPr>
                      <w:rFonts w:hint="eastAsia" w:ascii="Times New Roman" w:hAnsi="Times New Roman" w:eastAsia="宋体" w:cs="Times New Roman"/>
                      <w:color w:val="auto"/>
                      <w:sz w:val="21"/>
                      <w:szCs w:val="21"/>
                      <w:highlight w:val="none"/>
                      <w:lang w:eastAsia="zh-CN"/>
                    </w:rPr>
                    <w:t>。</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3050ABB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44FFC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508467F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26</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6D0AF8C6">
                  <w:pPr>
                    <w:pStyle w:val="15"/>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钻探及其他施工现场场地平整中，应彻底清除场地上污染物。废浆，废液应进行固化处理，深埋于开挖的坑、池底部，上部回填无污染的土壤。</w:t>
                  </w:r>
                </w:p>
              </w:tc>
              <w:tc>
                <w:tcPr>
                  <w:tcW w:w="2093" w:type="pct"/>
                  <w:tcBorders>
                    <w:top w:val="single" w:color="auto" w:sz="4" w:space="0"/>
                    <w:left w:val="single" w:color="auto" w:sz="4" w:space="0"/>
                    <w:bottom w:val="single" w:color="auto" w:sz="4" w:space="0"/>
                    <w:right w:val="single" w:color="auto" w:sz="4" w:space="0"/>
                  </w:tcBorders>
                  <w:noWrap w:val="0"/>
                  <w:vAlign w:val="center"/>
                </w:tcPr>
                <w:p w14:paraId="6F6B98E7">
                  <w:pPr>
                    <w:pStyle w:val="2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项目采用泥浆不落地工艺，废弃钻井泥浆和岩屑进行收集后，委托外运处置</w:t>
                  </w:r>
                  <w:r>
                    <w:rPr>
                      <w:rFonts w:hint="eastAsia" w:ascii="Times New Roman" w:hAnsi="Times New Roman" w:eastAsia="宋体" w:cs="Times New Roman"/>
                      <w:color w:val="auto"/>
                      <w:sz w:val="21"/>
                      <w:szCs w:val="21"/>
                      <w:highlight w:val="none"/>
                      <w:lang w:eastAsia="zh-CN"/>
                    </w:rPr>
                    <w:t>。</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3F94072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68581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3ACE397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27</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7DBE3122">
                  <w:pPr>
                    <w:pStyle w:val="15"/>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钻探现场应严格按照地质设计要求认真做好封孔工作，保证封孔质量，孔口用水泥砂浆树立规范的标志桩。</w:t>
                  </w:r>
                </w:p>
              </w:tc>
              <w:tc>
                <w:tcPr>
                  <w:tcW w:w="2093" w:type="pct"/>
                  <w:tcBorders>
                    <w:top w:val="single" w:color="auto" w:sz="4" w:space="0"/>
                    <w:left w:val="single" w:color="auto" w:sz="4" w:space="0"/>
                    <w:bottom w:val="single" w:color="auto" w:sz="4" w:space="0"/>
                    <w:right w:val="single" w:color="auto" w:sz="4" w:space="0"/>
                  </w:tcBorders>
                  <w:noWrap w:val="0"/>
                  <w:vAlign w:val="center"/>
                </w:tcPr>
                <w:p w14:paraId="61D553F5">
                  <w:pPr>
                    <w:pStyle w:val="2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项目已提出封井要求，建设单位应根据相关要求认真做好封孔工作，保证封孔质量，孔口用水泥砂浆树立规范的标志桩</w:t>
                  </w:r>
                  <w:r>
                    <w:rPr>
                      <w:rFonts w:hint="eastAsia" w:ascii="Times New Roman" w:hAnsi="Times New Roman" w:eastAsia="宋体" w:cs="Times New Roman"/>
                      <w:color w:val="auto"/>
                      <w:sz w:val="21"/>
                      <w:szCs w:val="21"/>
                      <w:highlight w:val="none"/>
                      <w:lang w:eastAsia="zh-CN"/>
                    </w:rPr>
                    <w:t>。</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3B850D4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35F83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1B6A768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28</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6741D351">
                  <w:pPr>
                    <w:pStyle w:val="15"/>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施工道路及临建场地根据设计恢复地类及保留需求进行平整。</w:t>
                  </w:r>
                </w:p>
              </w:tc>
              <w:tc>
                <w:tcPr>
                  <w:tcW w:w="2093" w:type="pct"/>
                  <w:tcBorders>
                    <w:top w:val="single" w:color="auto" w:sz="4" w:space="0"/>
                    <w:left w:val="single" w:color="auto" w:sz="4" w:space="0"/>
                    <w:bottom w:val="single" w:color="auto" w:sz="4" w:space="0"/>
                    <w:right w:val="single" w:color="auto" w:sz="4" w:space="0"/>
                  </w:tcBorders>
                  <w:noWrap w:val="0"/>
                  <w:vAlign w:val="center"/>
                </w:tcPr>
                <w:p w14:paraId="60F18D4E">
                  <w:pPr>
                    <w:pStyle w:val="2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若永久封井，占用</w:t>
                  </w:r>
                  <w:r>
                    <w:rPr>
                      <w:rFonts w:hint="eastAsia" w:ascii="Times New Roman" w:hAnsi="Times New Roman" w:cs="Times New Roman"/>
                      <w:color w:val="auto"/>
                      <w:sz w:val="21"/>
                      <w:szCs w:val="21"/>
                      <w:highlight w:val="none"/>
                      <w:lang w:val="en-US" w:eastAsia="zh-CN"/>
                    </w:rPr>
                    <w:t>施工便道</w:t>
                  </w:r>
                  <w:r>
                    <w:rPr>
                      <w:rFonts w:hint="default" w:ascii="Times New Roman" w:hAnsi="Times New Roman" w:cs="Times New Roman"/>
                      <w:color w:val="auto"/>
                      <w:sz w:val="21"/>
                      <w:szCs w:val="21"/>
                      <w:highlight w:val="none"/>
                    </w:rPr>
                    <w:t>临时用地进行恢复原土地类型</w:t>
                  </w:r>
                  <w:r>
                    <w:rPr>
                      <w:rFonts w:hint="eastAsia" w:ascii="Times New Roman" w:hAnsi="Times New Roman" w:eastAsia="宋体" w:cs="Times New Roman"/>
                      <w:color w:val="auto"/>
                      <w:sz w:val="21"/>
                      <w:szCs w:val="21"/>
                      <w:highlight w:val="none"/>
                      <w:lang w:eastAsia="zh-CN"/>
                    </w:rPr>
                    <w:t>。</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77FDDFF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096C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672212C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29</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4A1ABB7A">
                  <w:pPr>
                    <w:pStyle w:val="15"/>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场地的覆土厚度及土质应符合恢复地类的复绿设计及相关行业的规范标准要求。</w:t>
                  </w:r>
                </w:p>
              </w:tc>
              <w:tc>
                <w:tcPr>
                  <w:tcW w:w="2093" w:type="pct"/>
                  <w:vMerge w:val="restart"/>
                  <w:tcBorders>
                    <w:top w:val="single" w:color="auto" w:sz="4" w:space="0"/>
                    <w:left w:val="single" w:color="auto" w:sz="4" w:space="0"/>
                    <w:right w:val="single" w:color="auto" w:sz="4" w:space="0"/>
                  </w:tcBorders>
                  <w:noWrap w:val="0"/>
                  <w:vAlign w:val="center"/>
                </w:tcPr>
                <w:p w14:paraId="552EF686">
                  <w:pPr>
                    <w:pStyle w:val="2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项目要求场地的覆土厚度及土质必须复核相关规范标准要求</w:t>
                  </w:r>
                  <w:r>
                    <w:rPr>
                      <w:rFonts w:hint="eastAsia" w:ascii="Times New Roman" w:hAnsi="Times New Roman" w:eastAsia="宋体" w:cs="Times New Roman"/>
                      <w:color w:val="auto"/>
                      <w:sz w:val="21"/>
                      <w:szCs w:val="21"/>
                      <w:highlight w:val="none"/>
                      <w:lang w:eastAsia="zh-CN"/>
                    </w:rPr>
                    <w:t>。</w:t>
                  </w:r>
                </w:p>
                <w:p w14:paraId="6D05B715">
                  <w:pPr>
                    <w:pStyle w:val="15"/>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2"/>
                      <w:szCs w:val="21"/>
                      <w:highlight w:val="none"/>
                      <w:lang w:val="en-US" w:eastAsia="zh-CN"/>
                    </w:rPr>
                  </w:pPr>
                  <w:r>
                    <w:rPr>
                      <w:rFonts w:hint="eastAsia" w:cs="宋体"/>
                      <w:color w:val="auto"/>
                      <w:sz w:val="21"/>
                      <w:szCs w:val="21"/>
                      <w:highlight w:val="none"/>
                      <w:lang w:bidi="ar"/>
                    </w:rPr>
                    <w:t>项目仅压占未挖损及污染的场地，要求采取深翻，松土、培土等方式</w:t>
                  </w:r>
                  <w:r>
                    <w:rPr>
                      <w:rFonts w:hint="eastAsia" w:eastAsia="宋体" w:cs="宋体"/>
                      <w:color w:val="auto"/>
                      <w:sz w:val="21"/>
                      <w:szCs w:val="21"/>
                      <w:highlight w:val="none"/>
                      <w:lang w:eastAsia="zh-CN" w:bidi="ar"/>
                    </w:rPr>
                    <w:t>。</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2B35A69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182DB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4F8A0EF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30</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31D52AAB">
                  <w:pPr>
                    <w:pStyle w:val="15"/>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仅压占未挖损及污染的场地，可采取深翻，松土、培土等方式，满足相关规定和设计恢复治理要求。</w:t>
                  </w:r>
                </w:p>
              </w:tc>
              <w:tc>
                <w:tcPr>
                  <w:tcW w:w="2093" w:type="pct"/>
                  <w:vMerge w:val="continue"/>
                  <w:tcBorders>
                    <w:left w:val="single" w:color="auto" w:sz="4" w:space="0"/>
                    <w:bottom w:val="single" w:color="auto" w:sz="4" w:space="0"/>
                    <w:right w:val="single" w:color="auto" w:sz="4" w:space="0"/>
                  </w:tcBorders>
                  <w:noWrap w:val="0"/>
                  <w:vAlign w:val="center"/>
                </w:tcPr>
                <w:p w14:paraId="5CCF09C8">
                  <w:pPr>
                    <w:pStyle w:val="2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p>
              </w:tc>
              <w:tc>
                <w:tcPr>
                  <w:tcW w:w="300" w:type="pct"/>
                  <w:tcBorders>
                    <w:top w:val="single" w:color="auto" w:sz="4" w:space="0"/>
                    <w:left w:val="single" w:color="auto" w:sz="4" w:space="0"/>
                    <w:bottom w:val="single" w:color="auto" w:sz="4" w:space="0"/>
                    <w:right w:val="single" w:color="auto" w:sz="4" w:space="0"/>
                  </w:tcBorders>
                  <w:noWrap w:val="0"/>
                  <w:vAlign w:val="center"/>
                </w:tcPr>
                <w:p w14:paraId="03BF67F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51810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31BF775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31</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27722936">
                  <w:pPr>
                    <w:pStyle w:val="15"/>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草地复绿，一般采用播撒方式培植，草种应适应当地生长并与原草地环境协调。草地复绿，林木品种适合当地生长，应结合当地居民及社会经济发展及环境的协调要求，林木的种植施工应符合相关行业规程及规范标准。耕地复垦，经现场深翻、松土及覆土后，应满足当地农作物耕种条件。</w:t>
                  </w:r>
                </w:p>
              </w:tc>
              <w:tc>
                <w:tcPr>
                  <w:tcW w:w="2093" w:type="pct"/>
                  <w:tcBorders>
                    <w:top w:val="single" w:color="auto" w:sz="4" w:space="0"/>
                    <w:left w:val="single" w:color="auto" w:sz="4" w:space="0"/>
                    <w:bottom w:val="single" w:color="auto" w:sz="4" w:space="0"/>
                    <w:right w:val="single" w:color="auto" w:sz="4" w:space="0"/>
                  </w:tcBorders>
                  <w:noWrap w:val="0"/>
                  <w:vAlign w:val="center"/>
                </w:tcPr>
                <w:p w14:paraId="20D1DAD1">
                  <w:pPr>
                    <w:pStyle w:val="2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宋体"/>
                      <w:color w:val="auto"/>
                      <w:sz w:val="21"/>
                      <w:szCs w:val="21"/>
                      <w:highlight w:val="none"/>
                      <w:lang w:val="en-US" w:eastAsia="zh-CN" w:bidi="ar"/>
                    </w:rPr>
                    <w:t>项目临时占地类型为种植园用地、草地，施工结束后，永久封井时，生态恢复根据原有占地类型和</w:t>
                  </w:r>
                  <w:r>
                    <w:rPr>
                      <w:rFonts w:hint="eastAsia" w:cs="宋体"/>
                      <w:color w:val="auto"/>
                      <w:sz w:val="21"/>
                      <w:szCs w:val="21"/>
                      <w:highlight w:val="none"/>
                      <w:lang w:bidi="ar"/>
                    </w:rPr>
                    <w:t>环境条件，园地种植原有果树</w:t>
                  </w:r>
                  <w:r>
                    <w:rPr>
                      <w:rFonts w:hint="eastAsia" w:eastAsia="宋体" w:cs="宋体"/>
                      <w:color w:val="auto"/>
                      <w:sz w:val="21"/>
                      <w:szCs w:val="21"/>
                      <w:highlight w:val="none"/>
                      <w:lang w:eastAsia="zh-CN" w:bidi="ar"/>
                    </w:rPr>
                    <w:t>，</w:t>
                  </w:r>
                  <w:r>
                    <w:rPr>
                      <w:rFonts w:hint="eastAsia" w:ascii="Times New Roman" w:hAnsi="Times New Roman" w:eastAsia="宋体" w:cs="Times New Roman"/>
                      <w:b w:val="0"/>
                      <w:bCs w:val="0"/>
                      <w:color w:val="auto"/>
                      <w:sz w:val="21"/>
                      <w:szCs w:val="21"/>
                      <w:highlight w:val="none"/>
                      <w:vertAlign w:val="baseline"/>
                      <w:lang w:val="en-US" w:eastAsia="zh-CN"/>
                    </w:rPr>
                    <w:t>草地植被恢复，</w:t>
                  </w:r>
                  <w:r>
                    <w:rPr>
                      <w:rFonts w:hint="eastAsia" w:cs="宋体"/>
                      <w:color w:val="auto"/>
                      <w:sz w:val="21"/>
                      <w:szCs w:val="21"/>
                      <w:highlight w:val="none"/>
                      <w:lang w:val="en-US" w:eastAsia="zh-CN" w:bidi="ar"/>
                    </w:rPr>
                    <w:t>林地</w:t>
                  </w:r>
                  <w:r>
                    <w:rPr>
                      <w:rFonts w:hint="eastAsia" w:cs="宋体"/>
                      <w:color w:val="auto"/>
                      <w:sz w:val="21"/>
                      <w:szCs w:val="21"/>
                      <w:highlight w:val="none"/>
                      <w:lang w:bidi="ar"/>
                    </w:rPr>
                    <w:t>选择当地土著种和优势种进行</w:t>
                  </w:r>
                  <w:r>
                    <w:rPr>
                      <w:rFonts w:hint="eastAsia" w:cs="宋体"/>
                      <w:color w:val="auto"/>
                      <w:sz w:val="21"/>
                      <w:szCs w:val="21"/>
                      <w:highlight w:val="none"/>
                      <w:lang w:val="en-US" w:eastAsia="zh-CN" w:bidi="ar"/>
                    </w:rPr>
                    <w:t>植被</w:t>
                  </w:r>
                  <w:r>
                    <w:rPr>
                      <w:rFonts w:hint="eastAsia" w:cs="宋体"/>
                      <w:color w:val="auto"/>
                      <w:sz w:val="21"/>
                      <w:szCs w:val="21"/>
                      <w:highlight w:val="none"/>
                      <w:lang w:bidi="ar"/>
                    </w:rPr>
                    <w:t>恢复，并需符合相关行业规程及规范标准</w:t>
                  </w:r>
                  <w:r>
                    <w:rPr>
                      <w:rFonts w:hint="eastAsia" w:eastAsia="宋体" w:cs="宋体"/>
                      <w:color w:val="auto"/>
                      <w:sz w:val="21"/>
                      <w:szCs w:val="21"/>
                      <w:highlight w:val="none"/>
                      <w:lang w:eastAsia="zh-CN" w:bidi="ar"/>
                    </w:rPr>
                    <w:t>。</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3E681C5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48DFA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370E96C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32</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4ED51CD6">
                  <w:pPr>
                    <w:pStyle w:val="15"/>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复垦复绿施工中，应做好环境恢复治理工程的维护管理。在工程质保期及植被恢复养护期间，应对损坏或检查不合格的工程进行修补和返工处理。</w:t>
                  </w:r>
                </w:p>
              </w:tc>
              <w:tc>
                <w:tcPr>
                  <w:tcW w:w="2093" w:type="pct"/>
                  <w:tcBorders>
                    <w:top w:val="single" w:color="auto" w:sz="4" w:space="0"/>
                    <w:left w:val="single" w:color="auto" w:sz="4" w:space="0"/>
                    <w:bottom w:val="single" w:color="auto" w:sz="4" w:space="0"/>
                    <w:right w:val="single" w:color="auto" w:sz="4" w:space="0"/>
                  </w:tcBorders>
                  <w:noWrap w:val="0"/>
                  <w:vAlign w:val="center"/>
                </w:tcPr>
                <w:p w14:paraId="6BC2CC1F">
                  <w:pPr>
                    <w:pStyle w:val="2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宋体"/>
                      <w:color w:val="auto"/>
                      <w:sz w:val="21"/>
                      <w:szCs w:val="21"/>
                      <w:highlight w:val="none"/>
                      <w:lang w:bidi="ar"/>
                    </w:rPr>
                    <w:t>项目在进行生态恢复过程中应严格按照生态恢复治理方案进行维护管理，定期对恢复达不到要求的工程进行返工处理</w:t>
                  </w:r>
                  <w:r>
                    <w:rPr>
                      <w:rFonts w:hint="eastAsia" w:eastAsia="宋体" w:cs="宋体"/>
                      <w:color w:val="auto"/>
                      <w:sz w:val="21"/>
                      <w:szCs w:val="21"/>
                      <w:highlight w:val="none"/>
                      <w:lang w:eastAsia="zh-CN" w:bidi="ar"/>
                    </w:rPr>
                    <w:t>。</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5351080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357BA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0F0ABD1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33</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5ED6D160">
                  <w:pPr>
                    <w:pStyle w:val="15"/>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恢复治理工作应达到现场无污染破坏痕迹，生态恢复良好，环境协调。</w:t>
                  </w:r>
                </w:p>
              </w:tc>
              <w:tc>
                <w:tcPr>
                  <w:tcW w:w="2093" w:type="pct"/>
                  <w:tcBorders>
                    <w:top w:val="single" w:color="auto" w:sz="4" w:space="0"/>
                    <w:left w:val="single" w:color="auto" w:sz="4" w:space="0"/>
                    <w:bottom w:val="single" w:color="auto" w:sz="4" w:space="0"/>
                    <w:right w:val="single" w:color="auto" w:sz="4" w:space="0"/>
                  </w:tcBorders>
                  <w:noWrap w:val="0"/>
                  <w:vAlign w:val="center"/>
                </w:tcPr>
                <w:p w14:paraId="36152C04">
                  <w:pPr>
                    <w:pStyle w:val="2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评价要求永久封井场地恢复达到现场无污染破坏痕迹</w:t>
                  </w:r>
                  <w:r>
                    <w:rPr>
                      <w:rFonts w:hint="eastAsia" w:ascii="Times New Roman" w:hAnsi="Times New Roman" w:eastAsia="宋体" w:cs="Times New Roman"/>
                      <w:color w:val="auto"/>
                      <w:sz w:val="21"/>
                      <w:szCs w:val="21"/>
                      <w:highlight w:val="none"/>
                      <w:lang w:eastAsia="zh-CN"/>
                    </w:rPr>
                    <w:t>。</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725BB94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2F24B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op w:val="single" w:color="auto" w:sz="4" w:space="0"/>
                    <w:left w:val="single" w:color="auto" w:sz="4" w:space="0"/>
                    <w:bottom w:val="single" w:color="auto" w:sz="4" w:space="0"/>
                    <w:right w:val="single" w:color="auto" w:sz="4" w:space="0"/>
                  </w:tcBorders>
                  <w:noWrap w:val="0"/>
                  <w:vAlign w:val="center"/>
                </w:tcPr>
                <w:p w14:paraId="1DF73DF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34</w:t>
                  </w:r>
                </w:p>
              </w:tc>
              <w:tc>
                <w:tcPr>
                  <w:tcW w:w="2316" w:type="pct"/>
                  <w:tcBorders>
                    <w:top w:val="single" w:color="auto" w:sz="4" w:space="0"/>
                    <w:left w:val="single" w:color="auto" w:sz="4" w:space="0"/>
                    <w:bottom w:val="single" w:color="auto" w:sz="4" w:space="0"/>
                    <w:right w:val="single" w:color="auto" w:sz="4" w:space="0"/>
                  </w:tcBorders>
                  <w:noWrap w:val="0"/>
                  <w:vAlign w:val="center"/>
                </w:tcPr>
                <w:p w14:paraId="4B9221F7">
                  <w:pPr>
                    <w:pStyle w:val="15"/>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推进智能化建设，采用信息技术、网络技术、控制技术、智能技术，实现勘查投资决策、工作部署和现场管信息化、智能化。</w:t>
                  </w:r>
                </w:p>
              </w:tc>
              <w:tc>
                <w:tcPr>
                  <w:tcW w:w="2093" w:type="pct"/>
                  <w:tcBorders>
                    <w:top w:val="single" w:color="auto" w:sz="4" w:space="0"/>
                    <w:left w:val="single" w:color="auto" w:sz="4" w:space="0"/>
                    <w:bottom w:val="single" w:color="auto" w:sz="4" w:space="0"/>
                    <w:right w:val="single" w:color="auto" w:sz="4" w:space="0"/>
                  </w:tcBorders>
                  <w:noWrap w:val="0"/>
                  <w:vAlign w:val="center"/>
                </w:tcPr>
                <w:p w14:paraId="5EA5A265">
                  <w:pPr>
                    <w:pStyle w:val="22"/>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项目采用信息技术、网络技术、控制技术、智能技术进行钻探，实现现场管</w:t>
                  </w:r>
                  <w:r>
                    <w:rPr>
                      <w:rFonts w:hint="eastAsia" w:ascii="Times New Roman" w:hAnsi="Times New Roman" w:eastAsia="宋体" w:cs="Times New Roman"/>
                      <w:color w:val="auto"/>
                      <w:sz w:val="21"/>
                      <w:szCs w:val="21"/>
                      <w:highlight w:val="none"/>
                      <w:lang w:val="en-US" w:eastAsia="zh-CN"/>
                    </w:rPr>
                    <w:t>理</w:t>
                  </w:r>
                  <w:r>
                    <w:rPr>
                      <w:rFonts w:hint="default" w:ascii="Times New Roman" w:hAnsi="Times New Roman" w:cs="Times New Roman"/>
                      <w:color w:val="auto"/>
                      <w:sz w:val="21"/>
                      <w:szCs w:val="21"/>
                      <w:highlight w:val="none"/>
                    </w:rPr>
                    <w:t>信息化、智能化</w:t>
                  </w:r>
                  <w:r>
                    <w:rPr>
                      <w:rFonts w:hint="eastAsia" w:ascii="Times New Roman" w:hAnsi="Times New Roman" w:eastAsia="宋体" w:cs="Times New Roman"/>
                      <w:color w:val="auto"/>
                      <w:sz w:val="21"/>
                      <w:szCs w:val="21"/>
                      <w:highlight w:val="none"/>
                      <w:lang w:eastAsia="zh-CN"/>
                    </w:rPr>
                    <w:t>。</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2C3BFC9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bl>
          <w:p w14:paraId="6003C5C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4"/>
                <w:szCs w:val="24"/>
                <w:highlight w:val="none"/>
                <w:lang w:val="en-US" w:eastAsia="zh-CN"/>
              </w:rPr>
            </w:pPr>
          </w:p>
        </w:tc>
      </w:tr>
    </w:tbl>
    <w:p w14:paraId="4BDA88BD">
      <w:pPr>
        <w:keepNext w:val="0"/>
        <w:keepLines w:val="0"/>
        <w:widowControl w:val="0"/>
        <w:suppressLineNumbers w:val="0"/>
        <w:spacing w:before="0" w:beforeAutospacing="0" w:after="0" w:afterAutospacing="0"/>
        <w:ind w:left="0" w:right="0"/>
        <w:jc w:val="center"/>
        <w:outlineLvl w:val="1"/>
        <w:rPr>
          <w:rFonts w:hint="default" w:ascii="Times New Roman" w:hAnsi="Times New Roman" w:eastAsia="黑体" w:cs="Times New Roman"/>
          <w:color w:val="auto"/>
          <w:kern w:val="0"/>
          <w:sz w:val="28"/>
          <w:szCs w:val="28"/>
          <w:highlight w:val="none"/>
          <w:lang w:val="en-US" w:eastAsia="zh-CN" w:bidi="ar"/>
        </w:rPr>
      </w:pPr>
      <w:r>
        <w:rPr>
          <w:rFonts w:hint="default" w:ascii="Times New Roman" w:hAnsi="Times New Roman" w:eastAsia="楷体" w:cs="Times New Roman"/>
          <w:color w:val="auto"/>
          <w:sz w:val="36"/>
          <w:szCs w:val="36"/>
          <w:highlight w:val="none"/>
          <w:lang w:val="en-US" w:eastAsia="en-US" w:bidi="ar"/>
        </w:rPr>
        <w:br w:type="page"/>
      </w:r>
      <w:bookmarkStart w:id="2" w:name="_Toc30777"/>
      <w:r>
        <w:rPr>
          <w:rFonts w:hint="default" w:ascii="Times New Roman" w:hAnsi="Times New Roman" w:eastAsia="黑体" w:cs="Times New Roman"/>
          <w:color w:val="auto"/>
          <w:kern w:val="0"/>
          <w:sz w:val="28"/>
          <w:szCs w:val="28"/>
          <w:highlight w:val="none"/>
          <w:lang w:val="en-US" w:eastAsia="zh-CN" w:bidi="ar"/>
        </w:rPr>
        <w:t>二、建设内容</w:t>
      </w:r>
      <w:bookmarkEnd w:id="2"/>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8597"/>
      </w:tblGrid>
      <w:tr w14:paraId="40B01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06A1CD9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地理位置</w:t>
            </w:r>
          </w:p>
        </w:tc>
        <w:tc>
          <w:tcPr>
            <w:tcW w:w="8597" w:type="dxa"/>
            <w:tcBorders>
              <w:top w:val="single" w:color="auto" w:sz="4" w:space="0"/>
              <w:left w:val="single" w:color="auto" w:sz="4" w:space="0"/>
              <w:bottom w:val="single" w:color="auto" w:sz="4" w:space="0"/>
              <w:right w:val="single" w:color="auto" w:sz="4" w:space="0"/>
            </w:tcBorders>
            <w:noWrap w:val="0"/>
            <w:vAlign w:val="center"/>
          </w:tcPr>
          <w:p w14:paraId="01974E87">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本项目在佳县金明寺镇新建</w:t>
            </w:r>
            <w:r>
              <w:rPr>
                <w:rFonts w:hint="eastAsia" w:ascii="Times New Roman" w:hAnsi="Times New Roman" w:eastAsia="宋体" w:cs="Times New Roman"/>
                <w:color w:val="auto"/>
                <w:kern w:val="0"/>
                <w:sz w:val="24"/>
                <w:szCs w:val="24"/>
                <w:highlight w:val="none"/>
                <w:lang w:val="en-US" w:eastAsia="zh-CN" w:bidi="ar"/>
              </w:rPr>
              <w:t>1</w:t>
            </w:r>
            <w:r>
              <w:rPr>
                <w:rFonts w:hint="default" w:ascii="Times New Roman" w:hAnsi="Times New Roman" w:cs="Times New Roman"/>
                <w:color w:val="auto"/>
                <w:kern w:val="0"/>
                <w:sz w:val="24"/>
                <w:szCs w:val="24"/>
                <w:highlight w:val="none"/>
                <w:lang w:val="en-US" w:eastAsia="zh-CN" w:bidi="ar"/>
              </w:rPr>
              <w:t>口</w:t>
            </w:r>
            <w:r>
              <w:rPr>
                <w:rFonts w:hint="default" w:ascii="Times New Roman" w:hAnsi="Times New Roman" w:eastAsia="宋体" w:cs="Times New Roman"/>
                <w:color w:val="auto"/>
                <w:kern w:val="0"/>
                <w:sz w:val="24"/>
                <w:szCs w:val="24"/>
                <w:highlight w:val="none"/>
                <w:lang w:val="en-US" w:eastAsia="zh-CN" w:bidi="ar"/>
              </w:rPr>
              <w:t>天然气评价井，临时占地面积为</w:t>
            </w:r>
            <w:r>
              <w:rPr>
                <w:rFonts w:hint="eastAsia" w:ascii="Times New Roman" w:hAnsi="Times New Roman" w:eastAsia="宋体" w:cs="Times New Roman"/>
                <w:color w:val="auto"/>
                <w:kern w:val="0"/>
                <w:sz w:val="24"/>
                <w:szCs w:val="24"/>
                <w:highlight w:val="none"/>
                <w:lang w:val="en-US" w:eastAsia="zh-CN" w:bidi="ar"/>
              </w:rPr>
              <w:t>16559</w:t>
            </w:r>
            <w:r>
              <w:rPr>
                <w:rFonts w:hint="default" w:ascii="Times New Roman" w:hAnsi="Times New Roman" w:eastAsia="宋体" w:cs="Times New Roman"/>
                <w:color w:val="auto"/>
                <w:kern w:val="0"/>
                <w:sz w:val="24"/>
                <w:szCs w:val="24"/>
                <w:highlight w:val="none"/>
                <w:lang w:val="en-US" w:eastAsia="zh-CN" w:bidi="ar"/>
              </w:rPr>
              <w:t>m²，</w:t>
            </w:r>
            <w:r>
              <w:rPr>
                <w:rFonts w:hint="eastAsia" w:ascii="Times New Roman" w:hAnsi="Times New Roman" w:eastAsia="宋体" w:cs="Times New Roman"/>
                <w:color w:val="auto"/>
                <w:kern w:val="0"/>
                <w:sz w:val="24"/>
                <w:szCs w:val="24"/>
                <w:highlight w:val="none"/>
                <w:lang w:val="en-US" w:eastAsia="zh-CN" w:bidi="ar"/>
              </w:rPr>
              <w:t>其中井场面积15642m</w:t>
            </w:r>
            <w:r>
              <w:rPr>
                <w:rFonts w:hint="eastAsia" w:ascii="Times New Roman" w:hAnsi="Times New Roman" w:eastAsia="宋体" w:cs="Times New Roman"/>
                <w:color w:val="auto"/>
                <w:kern w:val="0"/>
                <w:sz w:val="24"/>
                <w:szCs w:val="24"/>
                <w:highlight w:val="none"/>
                <w:vertAlign w:val="superscript"/>
                <w:lang w:val="en-US" w:eastAsia="zh-CN" w:bidi="ar"/>
              </w:rPr>
              <w:t>2</w:t>
            </w:r>
            <w:r>
              <w:rPr>
                <w:rFonts w:hint="eastAsia" w:ascii="Times New Roman" w:hAnsi="Times New Roman" w:eastAsia="宋体" w:cs="Times New Roman"/>
                <w:color w:val="auto"/>
                <w:kern w:val="0"/>
                <w:sz w:val="24"/>
                <w:szCs w:val="24"/>
                <w:highlight w:val="none"/>
                <w:lang w:val="en-US" w:eastAsia="zh-CN" w:bidi="ar"/>
              </w:rPr>
              <w:t>、生活区面积917m</w:t>
            </w:r>
            <w:r>
              <w:rPr>
                <w:rFonts w:hint="eastAsia" w:ascii="Times New Roman" w:hAnsi="Times New Roman" w:eastAsia="宋体" w:cs="Times New Roman"/>
                <w:color w:val="auto"/>
                <w:kern w:val="0"/>
                <w:sz w:val="24"/>
                <w:szCs w:val="24"/>
                <w:highlight w:val="none"/>
                <w:vertAlign w:val="superscript"/>
                <w:lang w:val="en-US" w:eastAsia="zh-CN" w:bidi="ar"/>
              </w:rPr>
              <w:t>2</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sz w:val="24"/>
                <w:highlight w:val="none"/>
              </w:rPr>
              <w:t>根据榆林市“多规合一”辅助决策服务窗口针对本项目出具的《榆林市投资项目选址“一张图”控制线检测报告》</w:t>
            </w:r>
            <w:r>
              <w:rPr>
                <w:rFonts w:hint="default" w:ascii="Times New Roman" w:hAnsi="Times New Roman" w:eastAsia="宋体" w:cs="Times New Roman"/>
                <w:b w:val="0"/>
                <w:bCs w:val="0"/>
                <w:color w:val="auto"/>
                <w:sz w:val="24"/>
                <w:szCs w:val="24"/>
                <w:highlight w:val="none"/>
                <w:vertAlign w:val="baseline"/>
                <w:lang w:val="en-US" w:eastAsia="zh-CN"/>
              </w:rPr>
              <w:t>，本项目探井施工场地周边</w:t>
            </w:r>
            <w:r>
              <w:rPr>
                <w:rFonts w:hint="eastAsia" w:ascii="Times New Roman" w:hAnsi="Times New Roman" w:eastAsia="宋体" w:cs="Times New Roman"/>
                <w:b w:val="0"/>
                <w:bCs w:val="0"/>
                <w:color w:val="auto"/>
                <w:sz w:val="24"/>
                <w:szCs w:val="24"/>
                <w:highlight w:val="none"/>
                <w:vertAlign w:val="baseline"/>
                <w:lang w:val="en-US" w:eastAsia="zh-CN"/>
              </w:rPr>
              <w:t>主要为草地、林地及耕地等，距离井场</w:t>
            </w:r>
            <w:r>
              <w:rPr>
                <w:rFonts w:hint="default" w:ascii="Times New Roman" w:hAnsi="Times New Roman" w:eastAsia="宋体" w:cs="Times New Roman"/>
                <w:b w:val="0"/>
                <w:bCs w:val="0"/>
                <w:color w:val="auto"/>
                <w:sz w:val="24"/>
                <w:szCs w:val="24"/>
                <w:highlight w:val="none"/>
                <w:vertAlign w:val="baseline"/>
                <w:lang w:val="en-US" w:eastAsia="zh-CN"/>
              </w:rPr>
              <w:t>最近住户距离约为</w:t>
            </w:r>
            <w:r>
              <w:rPr>
                <w:rFonts w:hint="eastAsia" w:ascii="Times New Roman" w:hAnsi="Times New Roman" w:eastAsia="宋体" w:cs="Times New Roman"/>
                <w:b w:val="0"/>
                <w:bCs w:val="0"/>
                <w:color w:val="auto"/>
                <w:sz w:val="24"/>
                <w:szCs w:val="24"/>
                <w:highlight w:val="none"/>
                <w:vertAlign w:val="baseline"/>
                <w:lang w:val="en-US" w:eastAsia="zh-CN"/>
              </w:rPr>
              <w:t>400</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color w:val="auto"/>
                <w:kern w:val="0"/>
                <w:sz w:val="24"/>
                <w:szCs w:val="24"/>
                <w:highlight w:val="none"/>
                <w:lang w:val="en-US" w:eastAsia="zh-CN" w:bidi="ar"/>
              </w:rPr>
              <w:t>根据榆林市投资项目选址“一张图”控制线数据，占地类型为</w:t>
            </w:r>
            <w:r>
              <w:rPr>
                <w:rFonts w:hint="default" w:ascii="Times New Roman" w:hAnsi="Times New Roman" w:cs="Times New Roman"/>
                <w:color w:val="auto"/>
                <w:sz w:val="24"/>
                <w:szCs w:val="24"/>
                <w:highlight w:val="none"/>
                <w:lang w:eastAsia="zh-CN"/>
              </w:rPr>
              <w:t>草地、种植园用地</w:t>
            </w:r>
            <w:r>
              <w:rPr>
                <w:rFonts w:hint="default" w:ascii="Times New Roman" w:hAnsi="Times New Roman" w:eastAsia="宋体" w:cs="Times New Roman"/>
                <w:color w:val="auto"/>
                <w:kern w:val="0"/>
                <w:sz w:val="24"/>
                <w:szCs w:val="24"/>
                <w:highlight w:val="none"/>
                <w:lang w:val="en-US" w:eastAsia="zh-CN" w:bidi="ar"/>
              </w:rPr>
              <w:t>，不涉及基本农田。探井基本信息见表2-1，项目地理位置见附图。</w:t>
            </w:r>
          </w:p>
          <w:p w14:paraId="215A055F">
            <w:pPr>
              <w:keepNext w:val="0"/>
              <w:keepLines w:val="0"/>
              <w:widowControl w:val="0"/>
              <w:suppressLineNumbers w:val="0"/>
              <w:spacing w:before="0" w:beforeAutospacing="0" w:after="0" w:afterAutospacing="0"/>
              <w:ind w:left="0" w:right="0"/>
              <w:jc w:val="center"/>
              <w:rPr>
                <w:rFonts w:hint="default" w:ascii="Times New Roman" w:hAnsi="Times New Roman" w:eastAsia="Calibri" w:cs="Times New Roman"/>
                <w:b/>
                <w:bCs w:val="0"/>
                <w:color w:val="auto"/>
                <w:kern w:val="0"/>
                <w:sz w:val="24"/>
                <w:szCs w:val="24"/>
                <w:highlight w:val="none"/>
                <w:lang w:val="en-US" w:eastAsia="zh-CN" w:bidi="ar"/>
              </w:rPr>
            </w:pPr>
            <w:r>
              <w:rPr>
                <w:rFonts w:hint="default" w:ascii="Times New Roman" w:hAnsi="Times New Roman" w:eastAsia="Calibri" w:cs="Times New Roman"/>
                <w:b/>
                <w:bCs w:val="0"/>
                <w:color w:val="auto"/>
                <w:kern w:val="0"/>
                <w:sz w:val="24"/>
                <w:szCs w:val="24"/>
                <w:highlight w:val="none"/>
                <w:lang w:val="en-US" w:eastAsia="zh-CN" w:bidi="ar"/>
              </w:rPr>
              <w:t>表2-1</w:t>
            </w:r>
            <w:r>
              <w:rPr>
                <w:rFonts w:hint="eastAsia" w:ascii="Times New Roman" w:hAnsi="Times New Roman" w:eastAsia="Calibri" w:cs="Times New Roman"/>
                <w:b/>
                <w:bCs w:val="0"/>
                <w:color w:val="auto"/>
                <w:kern w:val="0"/>
                <w:sz w:val="24"/>
                <w:szCs w:val="24"/>
                <w:highlight w:val="none"/>
                <w:lang w:val="en-US" w:eastAsia="zh-CN" w:bidi="ar"/>
              </w:rPr>
              <w:t xml:space="preserve">  </w:t>
            </w:r>
            <w:r>
              <w:rPr>
                <w:rFonts w:hint="default" w:ascii="Times New Roman" w:hAnsi="Times New Roman" w:eastAsia="Calibri" w:cs="Times New Roman"/>
                <w:b/>
                <w:bCs w:val="0"/>
                <w:color w:val="auto"/>
                <w:kern w:val="0"/>
                <w:sz w:val="24"/>
                <w:szCs w:val="24"/>
                <w:highlight w:val="none"/>
                <w:lang w:val="en-US" w:eastAsia="zh-CN" w:bidi="ar"/>
              </w:rPr>
              <w:t>探井基本信息</w:t>
            </w:r>
          </w:p>
          <w:tbl>
            <w:tblPr>
              <w:tblStyle w:val="16"/>
              <w:tblW w:w="4986"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434"/>
              <w:gridCol w:w="1055"/>
              <w:gridCol w:w="491"/>
              <w:gridCol w:w="1010"/>
              <w:gridCol w:w="1104"/>
              <w:gridCol w:w="1105"/>
              <w:gridCol w:w="1022"/>
              <w:gridCol w:w="982"/>
              <w:gridCol w:w="1141"/>
            </w:tblGrid>
            <w:tr w14:paraId="0F9B9DE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0" w:type="pct"/>
                  <w:vMerge w:val="restart"/>
                  <w:tcBorders>
                    <w:tl2br w:val="nil"/>
                    <w:tr2bl w:val="nil"/>
                  </w:tcBorders>
                  <w:noWrap w:val="0"/>
                  <w:vAlign w:val="center"/>
                </w:tcPr>
                <w:p w14:paraId="2E36838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kern w:val="0"/>
                      <w:szCs w:val="21"/>
                      <w:highlight w:val="none"/>
                      <w:lang w:val="en-US" w:eastAsia="zh-CN"/>
                    </w:rPr>
                  </w:pPr>
                  <w:r>
                    <w:rPr>
                      <w:rFonts w:hint="eastAsia" w:ascii="Times New Roman" w:hAnsi="Times New Roman" w:eastAsia="宋体" w:cs="Times New Roman"/>
                      <w:b/>
                      <w:bCs/>
                      <w:color w:val="auto"/>
                      <w:kern w:val="0"/>
                      <w:szCs w:val="21"/>
                      <w:highlight w:val="none"/>
                      <w:lang w:val="en-US" w:eastAsia="zh-CN"/>
                    </w:rPr>
                    <w:t>序号</w:t>
                  </w:r>
                </w:p>
              </w:tc>
              <w:tc>
                <w:tcPr>
                  <w:tcW w:w="632" w:type="pct"/>
                  <w:vMerge w:val="restart"/>
                  <w:tcBorders>
                    <w:tl2br w:val="nil"/>
                    <w:tr2bl w:val="nil"/>
                  </w:tcBorders>
                  <w:noWrap w:val="0"/>
                  <w:vAlign w:val="center"/>
                </w:tcPr>
                <w:p w14:paraId="52A3201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highlight w:val="none"/>
                      <w:lang w:eastAsia="zh-CN"/>
                    </w:rPr>
                  </w:pPr>
                  <w:r>
                    <w:rPr>
                      <w:rFonts w:hint="default" w:ascii="Times New Roman" w:hAnsi="Times New Roman" w:cs="Times New Roman"/>
                      <w:b/>
                      <w:bCs/>
                      <w:color w:val="auto"/>
                      <w:kern w:val="0"/>
                      <w:szCs w:val="21"/>
                      <w:highlight w:val="none"/>
                    </w:rPr>
                    <w:t>井号</w:t>
                  </w:r>
                </w:p>
              </w:tc>
              <w:tc>
                <w:tcPr>
                  <w:tcW w:w="294" w:type="pct"/>
                  <w:vMerge w:val="restart"/>
                  <w:tcBorders>
                    <w:tl2br w:val="nil"/>
                    <w:tr2bl w:val="nil"/>
                  </w:tcBorders>
                  <w:noWrap w:val="0"/>
                  <w:vAlign w:val="center"/>
                </w:tcPr>
                <w:p w14:paraId="5412C11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井型</w:t>
                  </w:r>
                </w:p>
              </w:tc>
              <w:tc>
                <w:tcPr>
                  <w:tcW w:w="605" w:type="pct"/>
                  <w:vMerge w:val="restart"/>
                  <w:tcBorders>
                    <w:tl2br w:val="nil"/>
                    <w:tr2bl w:val="nil"/>
                  </w:tcBorders>
                  <w:noWrap w:val="0"/>
                  <w:vAlign w:val="center"/>
                </w:tcPr>
                <w:p w14:paraId="0D2B0B9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highlight w:val="none"/>
                      <w:lang w:val="en-US" w:eastAsia="zh-CN"/>
                    </w:rPr>
                  </w:pPr>
                  <w:r>
                    <w:rPr>
                      <w:rFonts w:hint="default" w:ascii="Times New Roman" w:hAnsi="Times New Roman" w:cs="Times New Roman"/>
                      <w:b/>
                      <w:bCs/>
                      <w:color w:val="auto"/>
                      <w:kern w:val="0"/>
                      <w:szCs w:val="21"/>
                      <w:highlight w:val="none"/>
                    </w:rPr>
                    <w:t>井深</w:t>
                  </w:r>
                  <w:r>
                    <w:rPr>
                      <w:rFonts w:hint="eastAsia" w:ascii="Times New Roman" w:hAnsi="Times New Roman" w:cs="Times New Roman"/>
                      <w:b/>
                      <w:bCs/>
                      <w:color w:val="auto"/>
                      <w:kern w:val="0"/>
                      <w:szCs w:val="21"/>
                      <w:highlight w:val="none"/>
                      <w:lang w:val="en-US" w:eastAsia="zh-CN"/>
                    </w:rPr>
                    <w:t>/m</w:t>
                  </w:r>
                </w:p>
                <w:p w14:paraId="402A1AB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eastAsia" w:ascii="Times New Roman" w:hAnsi="Times New Roman" w:cs="Times New Roman"/>
                      <w:b/>
                      <w:bCs/>
                      <w:color w:val="auto"/>
                      <w:szCs w:val="21"/>
                      <w:highlight w:val="none"/>
                      <w:lang w:eastAsia="zh-CN"/>
                    </w:rPr>
                    <w:t>（</w:t>
                  </w:r>
                  <w:r>
                    <w:rPr>
                      <w:rFonts w:hint="eastAsia" w:ascii="Times New Roman" w:hAnsi="Times New Roman" w:cs="Times New Roman"/>
                      <w:b/>
                      <w:bCs/>
                      <w:color w:val="auto"/>
                      <w:szCs w:val="21"/>
                      <w:highlight w:val="none"/>
                      <w:lang w:val="en-US" w:eastAsia="zh-CN"/>
                    </w:rPr>
                    <w:t>垂深</w:t>
                  </w:r>
                  <w:r>
                    <w:rPr>
                      <w:rFonts w:hint="eastAsia" w:ascii="Times New Roman" w:hAnsi="Times New Roman" w:cs="Times New Roman"/>
                      <w:b/>
                      <w:bCs/>
                      <w:color w:val="auto"/>
                      <w:szCs w:val="21"/>
                      <w:highlight w:val="none"/>
                      <w:lang w:eastAsia="zh-CN"/>
                    </w:rPr>
                    <w:t>）</w:t>
                  </w:r>
                </w:p>
              </w:tc>
              <w:tc>
                <w:tcPr>
                  <w:tcW w:w="1323" w:type="pct"/>
                  <w:gridSpan w:val="2"/>
                  <w:tcBorders>
                    <w:tl2br w:val="nil"/>
                    <w:tr2bl w:val="nil"/>
                  </w:tcBorders>
                  <w:noWrap w:val="0"/>
                  <w:vAlign w:val="center"/>
                </w:tcPr>
                <w:p w14:paraId="7A5AF98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lang w:val="en-US" w:eastAsia="zh-CN"/>
                    </w:rPr>
                    <w:t>井口</w:t>
                  </w:r>
                  <w:r>
                    <w:rPr>
                      <w:rFonts w:hint="default" w:ascii="Times New Roman" w:hAnsi="Times New Roman" w:cs="Times New Roman"/>
                      <w:b/>
                      <w:bCs/>
                      <w:color w:val="auto"/>
                      <w:kern w:val="0"/>
                      <w:szCs w:val="21"/>
                      <w:highlight w:val="none"/>
                    </w:rPr>
                    <w:t>坐标（CGCS2000坐标系）</w:t>
                  </w:r>
                </w:p>
              </w:tc>
              <w:tc>
                <w:tcPr>
                  <w:tcW w:w="612" w:type="pct"/>
                  <w:vMerge w:val="restart"/>
                  <w:tcBorders>
                    <w:tl2br w:val="nil"/>
                    <w:tr2bl w:val="nil"/>
                  </w:tcBorders>
                  <w:noWrap w:val="0"/>
                  <w:vAlign w:val="center"/>
                </w:tcPr>
                <w:p w14:paraId="523328F6">
                  <w:pPr>
                    <w:keepNext w:val="0"/>
                    <w:keepLines w:val="0"/>
                    <w:suppressLineNumbers w:val="0"/>
                    <w:adjustRightInd w:val="0"/>
                    <w:snapToGrid w:val="0"/>
                    <w:spacing w:before="0" w:beforeAutospacing="0" w:after="0" w:afterAutospacing="0"/>
                    <w:ind w:left="0" w:right="0"/>
                    <w:contextualSpacing/>
                    <w:jc w:val="center"/>
                    <w:rPr>
                      <w:rFonts w:hint="default" w:ascii="Times New Roman" w:hAnsi="Times New Roman" w:cs="Times New Roman"/>
                      <w:b/>
                      <w:bCs/>
                      <w:color w:val="auto"/>
                      <w:kern w:val="0"/>
                      <w:szCs w:val="21"/>
                      <w:highlight w:val="none"/>
                    </w:rPr>
                  </w:pPr>
                  <w:r>
                    <w:rPr>
                      <w:rFonts w:hint="eastAsia" w:ascii="Times New Roman" w:hAnsi="Times New Roman" w:cs="Times New Roman"/>
                      <w:b/>
                      <w:bCs/>
                      <w:color w:val="auto"/>
                      <w:szCs w:val="21"/>
                      <w:highlight w:val="none"/>
                      <w:lang w:val="en-US" w:eastAsia="zh-CN"/>
                    </w:rPr>
                    <w:t>工程原</w:t>
                  </w:r>
                  <w:r>
                    <w:rPr>
                      <w:rFonts w:hint="default" w:ascii="Times New Roman" w:hAnsi="Times New Roman" w:cs="Times New Roman"/>
                      <w:b/>
                      <w:bCs/>
                      <w:color w:val="auto"/>
                      <w:szCs w:val="21"/>
                      <w:highlight w:val="none"/>
                    </w:rPr>
                    <w:t>占地类型</w:t>
                  </w:r>
                </w:p>
              </w:tc>
              <w:tc>
                <w:tcPr>
                  <w:tcW w:w="588" w:type="pct"/>
                  <w:vMerge w:val="restart"/>
                  <w:tcBorders>
                    <w:tl2br w:val="nil"/>
                    <w:tr2bl w:val="nil"/>
                  </w:tcBorders>
                  <w:noWrap w:val="0"/>
                  <w:vAlign w:val="center"/>
                </w:tcPr>
                <w:p w14:paraId="1C435256">
                  <w:pPr>
                    <w:keepNext w:val="0"/>
                    <w:keepLines w:val="0"/>
                    <w:suppressLineNumbers w:val="0"/>
                    <w:adjustRightInd w:val="0"/>
                    <w:snapToGrid w:val="0"/>
                    <w:spacing w:before="0" w:beforeAutospacing="0" w:after="0" w:afterAutospacing="0"/>
                    <w:ind w:left="0" w:right="0"/>
                    <w:contextualSpacing/>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面积</w:t>
                  </w:r>
                  <w:r>
                    <w:rPr>
                      <w:rFonts w:hint="default" w:ascii="Times New Roman" w:hAnsi="Times New Roman" w:cs="Times New Roman"/>
                      <w:b/>
                      <w:bCs/>
                      <w:color w:val="auto"/>
                      <w:szCs w:val="21"/>
                      <w:highlight w:val="none"/>
                      <w:lang w:eastAsia="zh-CN"/>
                    </w:rPr>
                    <w:t>（</w:t>
                  </w:r>
                  <w:r>
                    <w:rPr>
                      <w:rFonts w:hint="default" w:ascii="Times New Roman" w:hAnsi="Times New Roman" w:cs="Times New Roman"/>
                      <w:b/>
                      <w:bCs/>
                      <w:color w:val="auto"/>
                      <w:szCs w:val="21"/>
                      <w:highlight w:val="none"/>
                    </w:rPr>
                    <w:t>m</w:t>
                  </w:r>
                  <w:r>
                    <w:rPr>
                      <w:rFonts w:hint="default" w:ascii="Times New Roman" w:hAnsi="Times New Roman" w:cs="Times New Roman"/>
                      <w:b/>
                      <w:bCs/>
                      <w:color w:val="auto"/>
                      <w:szCs w:val="21"/>
                      <w:highlight w:val="none"/>
                      <w:vertAlign w:val="superscript"/>
                    </w:rPr>
                    <w:t>2</w:t>
                  </w:r>
                  <w:r>
                    <w:rPr>
                      <w:rFonts w:hint="default" w:ascii="Times New Roman" w:hAnsi="Times New Roman" w:cs="Times New Roman"/>
                      <w:b/>
                      <w:bCs/>
                      <w:color w:val="auto"/>
                      <w:szCs w:val="21"/>
                      <w:highlight w:val="none"/>
                      <w:lang w:eastAsia="zh-CN"/>
                    </w:rPr>
                    <w:t>）</w:t>
                  </w:r>
                </w:p>
              </w:tc>
              <w:tc>
                <w:tcPr>
                  <w:tcW w:w="683" w:type="pct"/>
                  <w:vMerge w:val="restart"/>
                  <w:tcBorders>
                    <w:tl2br w:val="nil"/>
                    <w:tr2bl w:val="nil"/>
                  </w:tcBorders>
                  <w:noWrap w:val="0"/>
                  <w:vAlign w:val="center"/>
                </w:tcPr>
                <w:p w14:paraId="02498D3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地理位置</w:t>
                  </w:r>
                </w:p>
              </w:tc>
            </w:tr>
            <w:tr w14:paraId="45B11F6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0" w:type="pct"/>
                  <w:vMerge w:val="continue"/>
                  <w:tcBorders>
                    <w:tl2br w:val="nil"/>
                    <w:tr2bl w:val="nil"/>
                  </w:tcBorders>
                  <w:noWrap w:val="0"/>
                  <w:vAlign w:val="center"/>
                </w:tcPr>
                <w:p w14:paraId="6C96B42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highlight w:val="none"/>
                    </w:rPr>
                  </w:pPr>
                </w:p>
              </w:tc>
              <w:tc>
                <w:tcPr>
                  <w:tcW w:w="632" w:type="pct"/>
                  <w:vMerge w:val="continue"/>
                  <w:tcBorders>
                    <w:tl2br w:val="nil"/>
                    <w:tr2bl w:val="nil"/>
                  </w:tcBorders>
                  <w:noWrap w:val="0"/>
                  <w:vAlign w:val="center"/>
                </w:tcPr>
                <w:p w14:paraId="0357471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highlight w:val="none"/>
                    </w:rPr>
                  </w:pPr>
                </w:p>
              </w:tc>
              <w:tc>
                <w:tcPr>
                  <w:tcW w:w="294" w:type="pct"/>
                  <w:vMerge w:val="continue"/>
                  <w:tcBorders>
                    <w:tl2br w:val="nil"/>
                    <w:tr2bl w:val="nil"/>
                  </w:tcBorders>
                  <w:noWrap w:val="0"/>
                  <w:vAlign w:val="center"/>
                </w:tcPr>
                <w:p w14:paraId="59A4517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highlight w:val="none"/>
                    </w:rPr>
                  </w:pPr>
                </w:p>
              </w:tc>
              <w:tc>
                <w:tcPr>
                  <w:tcW w:w="605" w:type="pct"/>
                  <w:vMerge w:val="continue"/>
                  <w:tcBorders>
                    <w:tl2br w:val="nil"/>
                    <w:tr2bl w:val="nil"/>
                  </w:tcBorders>
                  <w:noWrap w:val="0"/>
                  <w:vAlign w:val="center"/>
                </w:tcPr>
                <w:p w14:paraId="7CC9995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highlight w:val="none"/>
                    </w:rPr>
                  </w:pPr>
                </w:p>
              </w:tc>
              <w:tc>
                <w:tcPr>
                  <w:tcW w:w="661" w:type="pct"/>
                  <w:tcBorders>
                    <w:tl2br w:val="nil"/>
                    <w:tr2bl w:val="nil"/>
                  </w:tcBorders>
                  <w:noWrap w:val="0"/>
                  <w:vAlign w:val="center"/>
                </w:tcPr>
                <w:p w14:paraId="182F5AB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X</w:t>
                  </w:r>
                </w:p>
              </w:tc>
              <w:tc>
                <w:tcPr>
                  <w:tcW w:w="662" w:type="pct"/>
                  <w:tcBorders>
                    <w:tl2br w:val="nil"/>
                    <w:tr2bl w:val="nil"/>
                  </w:tcBorders>
                  <w:noWrap w:val="0"/>
                  <w:vAlign w:val="center"/>
                </w:tcPr>
                <w:p w14:paraId="7BB4556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Y</w:t>
                  </w:r>
                </w:p>
              </w:tc>
              <w:tc>
                <w:tcPr>
                  <w:tcW w:w="612" w:type="pct"/>
                  <w:vMerge w:val="continue"/>
                  <w:tcBorders>
                    <w:tl2br w:val="nil"/>
                    <w:tr2bl w:val="nil"/>
                  </w:tcBorders>
                  <w:noWrap w:val="0"/>
                  <w:vAlign w:val="center"/>
                </w:tcPr>
                <w:p w14:paraId="1D760D5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p>
              </w:tc>
              <w:tc>
                <w:tcPr>
                  <w:tcW w:w="588" w:type="pct"/>
                  <w:vMerge w:val="continue"/>
                  <w:tcBorders>
                    <w:tl2br w:val="nil"/>
                    <w:tr2bl w:val="nil"/>
                  </w:tcBorders>
                  <w:noWrap w:val="0"/>
                  <w:vAlign w:val="center"/>
                </w:tcPr>
                <w:p w14:paraId="29FD390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p>
              </w:tc>
              <w:tc>
                <w:tcPr>
                  <w:tcW w:w="683" w:type="pct"/>
                  <w:vMerge w:val="continue"/>
                  <w:tcBorders>
                    <w:tl2br w:val="nil"/>
                    <w:tr2bl w:val="nil"/>
                  </w:tcBorders>
                  <w:noWrap w:val="0"/>
                  <w:vAlign w:val="center"/>
                </w:tcPr>
                <w:p w14:paraId="3BFF3CF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p>
              </w:tc>
            </w:tr>
            <w:tr w14:paraId="19B4206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260" w:type="pct"/>
                  <w:tcBorders>
                    <w:tl2br w:val="nil"/>
                    <w:tr2bl w:val="nil"/>
                  </w:tcBorders>
                  <w:noWrap w:val="0"/>
                  <w:vAlign w:val="center"/>
                </w:tcPr>
                <w:p w14:paraId="6585CB3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632" w:type="pct"/>
                  <w:tcBorders>
                    <w:tl2br w:val="nil"/>
                    <w:tr2bl w:val="nil"/>
                  </w:tcBorders>
                  <w:noWrap w:val="0"/>
                  <w:vAlign w:val="center"/>
                </w:tcPr>
                <w:p w14:paraId="2DF5432F">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米75-3M</w:t>
                  </w:r>
                </w:p>
              </w:tc>
              <w:tc>
                <w:tcPr>
                  <w:tcW w:w="294" w:type="pct"/>
                  <w:tcBorders>
                    <w:tl2br w:val="nil"/>
                    <w:tr2bl w:val="nil"/>
                  </w:tcBorders>
                  <w:noWrap w:val="0"/>
                  <w:vAlign w:val="center"/>
                </w:tcPr>
                <w:p w14:paraId="6AA79D47">
                  <w:pPr>
                    <w:keepNext w:val="0"/>
                    <w:keepLines w:val="0"/>
                    <w:suppressLineNumbers w:val="0"/>
                    <w:adjustRightInd w:val="0"/>
                    <w:snapToGrid w:val="0"/>
                    <w:spacing w:before="0" w:beforeAutospacing="0" w:after="0" w:afterAutospacing="0"/>
                    <w:ind w:left="-63" w:leftChars="-30" w:right="-63" w:rightChars="-30"/>
                    <w:jc w:val="center"/>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直井</w:t>
                  </w:r>
                </w:p>
              </w:tc>
              <w:tc>
                <w:tcPr>
                  <w:tcW w:w="605" w:type="pct"/>
                  <w:tcBorders>
                    <w:tl2br w:val="nil"/>
                    <w:tr2bl w:val="nil"/>
                  </w:tcBorders>
                  <w:noWrap w:val="0"/>
                  <w:vAlign w:val="center"/>
                </w:tcPr>
                <w:p w14:paraId="68FB5148">
                  <w:pPr>
                    <w:keepNext w:val="0"/>
                    <w:keepLines w:val="0"/>
                    <w:suppressLineNumbers w:val="0"/>
                    <w:adjustRightInd w:val="0"/>
                    <w:snapToGrid w:val="0"/>
                    <w:spacing w:before="0" w:beforeAutospacing="0" w:after="0" w:afterAutospacing="0"/>
                    <w:ind w:left="-63" w:leftChars="-30" w:right="-63" w:rightChars="-30"/>
                    <w:jc w:val="center"/>
                    <w:rPr>
                      <w:rFonts w:hint="default" w:ascii="Times New Roman" w:hAnsi="Times New Roman" w:cs="Times New Roman"/>
                      <w:color w:val="auto"/>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2750</w:t>
                  </w:r>
                </w:p>
              </w:tc>
              <w:tc>
                <w:tcPr>
                  <w:tcW w:w="661" w:type="pct"/>
                  <w:tcBorders>
                    <w:tl2br w:val="nil"/>
                    <w:tr2bl w:val="nil"/>
                  </w:tcBorders>
                  <w:noWrap w:val="0"/>
                  <w:vAlign w:val="center"/>
                </w:tcPr>
                <w:p w14:paraId="7933F112">
                  <w:pPr>
                    <w:spacing w:line="240" w:lineRule="auto"/>
                    <w:jc w:val="center"/>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color w:val="auto"/>
                      <w:sz w:val="21"/>
                      <w:szCs w:val="21"/>
                      <w:highlight w:val="none"/>
                      <w:vertAlign w:val="baseline"/>
                    </w:rPr>
                    <w:t>37431686</w:t>
                  </w:r>
                </w:p>
              </w:tc>
              <w:tc>
                <w:tcPr>
                  <w:tcW w:w="662" w:type="pct"/>
                  <w:tcBorders>
                    <w:tl2br w:val="nil"/>
                    <w:tr2bl w:val="nil"/>
                  </w:tcBorders>
                  <w:noWrap w:val="0"/>
                  <w:vAlign w:val="center"/>
                </w:tcPr>
                <w:p w14:paraId="2DE811C7">
                  <w:pPr>
                    <w:spacing w:line="240" w:lineRule="auto"/>
                    <w:jc w:val="center"/>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color w:val="auto"/>
                      <w:sz w:val="21"/>
                      <w:szCs w:val="21"/>
                      <w:highlight w:val="none"/>
                      <w:vertAlign w:val="baseline"/>
                    </w:rPr>
                    <w:t>4205215</w:t>
                  </w:r>
                </w:p>
              </w:tc>
              <w:tc>
                <w:tcPr>
                  <w:tcW w:w="612" w:type="pct"/>
                  <w:tcBorders>
                    <w:tl2br w:val="nil"/>
                    <w:tr2bl w:val="nil"/>
                  </w:tcBorders>
                  <w:noWrap w:val="0"/>
                  <w:vAlign w:val="center"/>
                </w:tcPr>
                <w:p w14:paraId="41E23E1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草地</w:t>
                  </w:r>
                </w:p>
                <w:p w14:paraId="61CBC74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种植园用地</w:t>
                  </w:r>
                </w:p>
              </w:tc>
              <w:tc>
                <w:tcPr>
                  <w:tcW w:w="588" w:type="pct"/>
                  <w:tcBorders>
                    <w:tl2br w:val="nil"/>
                    <w:tr2bl w:val="nil"/>
                  </w:tcBorders>
                  <w:noWrap w:val="0"/>
                  <w:vAlign w:val="center"/>
                </w:tcPr>
                <w:p w14:paraId="6C99B2CA">
                  <w:pPr>
                    <w:keepNext w:val="0"/>
                    <w:keepLines w:val="0"/>
                    <w:widowControl/>
                    <w:suppressLineNumbers w:val="0"/>
                    <w:tabs>
                      <w:tab w:val="left" w:pos="630"/>
                    </w:tabs>
                    <w:jc w:val="center"/>
                    <w:textAlignment w:val="center"/>
                    <w:rPr>
                      <w:rFonts w:hint="default" w:ascii="Times New Roman" w:hAnsi="Times New Roman" w:cs="Times New Roman"/>
                      <w:color w:val="auto"/>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16559</w:t>
                  </w:r>
                </w:p>
              </w:tc>
              <w:tc>
                <w:tcPr>
                  <w:tcW w:w="683" w:type="pct"/>
                  <w:tcBorders>
                    <w:tl2br w:val="nil"/>
                    <w:tr2bl w:val="nil"/>
                  </w:tcBorders>
                  <w:noWrap w:val="0"/>
                  <w:vAlign w:val="center"/>
                </w:tcPr>
                <w:p w14:paraId="04331F2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金明寺镇双碾沟村</w:t>
                  </w:r>
                </w:p>
              </w:tc>
            </w:tr>
          </w:tbl>
          <w:p w14:paraId="3BC6803E">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color w:val="auto"/>
                <w:sz w:val="21"/>
                <w:szCs w:val="21"/>
                <w:highlight w:val="none"/>
                <w:lang w:val="en-US" w:eastAsia="zh-CN"/>
              </w:rPr>
            </w:pPr>
          </w:p>
        </w:tc>
      </w:tr>
      <w:tr w14:paraId="23AD8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1A2004B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项目组成及规模</w:t>
            </w:r>
          </w:p>
        </w:tc>
        <w:tc>
          <w:tcPr>
            <w:tcW w:w="8597" w:type="dxa"/>
            <w:tcBorders>
              <w:top w:val="single" w:color="auto" w:sz="4" w:space="0"/>
              <w:left w:val="single" w:color="auto" w:sz="4" w:space="0"/>
              <w:bottom w:val="single" w:color="auto" w:sz="4" w:space="0"/>
              <w:right w:val="single" w:color="auto" w:sz="4" w:space="0"/>
            </w:tcBorders>
            <w:noWrap w:val="0"/>
            <w:vAlign w:val="center"/>
          </w:tcPr>
          <w:p w14:paraId="43E5B8E7">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一、项目建设背景</w:t>
            </w:r>
          </w:p>
          <w:p w14:paraId="61E5A0C5">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天然气是</w:t>
            </w:r>
            <w:r>
              <w:rPr>
                <w:rFonts w:hint="eastAsia" w:ascii="Times New Roman" w:hAnsi="Times New Roman" w:eastAsia="宋体" w:cs="Times New Roman"/>
                <w:color w:val="auto"/>
                <w:kern w:val="0"/>
                <w:sz w:val="24"/>
                <w:szCs w:val="24"/>
                <w:highlight w:val="none"/>
                <w:lang w:val="en-US" w:eastAsia="zh-CN" w:bidi="ar"/>
              </w:rPr>
              <w:t>我国重要能源之一</w:t>
            </w:r>
            <w:r>
              <w:rPr>
                <w:rFonts w:hint="default" w:ascii="Times New Roman" w:hAnsi="Times New Roman" w:eastAsia="宋体" w:cs="Times New Roman"/>
                <w:color w:val="auto"/>
                <w:kern w:val="0"/>
                <w:sz w:val="24"/>
                <w:szCs w:val="24"/>
                <w:highlight w:val="none"/>
                <w:lang w:val="en-US" w:eastAsia="zh-CN" w:bidi="ar"/>
              </w:rPr>
              <w:t>，积极开发利用天然气，可以有效减少常规能源尤其是煤炭资源的消耗，对于优化城市能源结构，提高人民的生活质量，建设生态文明社会，促进可持续发展具有重要的意义。在天然气开发过程中，勘探工作旨在为后期的开发建设提供科技依据。按照勘探阶段、勘探程序以及勘探目的，可将探井划分为地质井、参数井、预探井、评价井等。</w:t>
            </w:r>
          </w:p>
          <w:p w14:paraId="33B695E0">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本项目位于中国石油天然气股份有限公司长庆油田分公司矿权范围内，中国石油天然气股份有限公司已取得</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陕西鄂尔多斯盆地</w:t>
            </w:r>
            <w:r>
              <w:rPr>
                <w:rFonts w:hint="eastAsia" w:ascii="Times New Roman" w:hAnsi="Times New Roman" w:eastAsia="宋体" w:cs="Times New Roman"/>
                <w:color w:val="auto"/>
                <w:kern w:val="0"/>
                <w:sz w:val="24"/>
                <w:szCs w:val="24"/>
                <w:highlight w:val="none"/>
                <w:lang w:val="en-US" w:eastAsia="zh-CN" w:bidi="ar"/>
              </w:rPr>
              <w:t>神木</w:t>
            </w:r>
            <w:r>
              <w:rPr>
                <w:rFonts w:hint="default" w:ascii="Times New Roman" w:hAnsi="Times New Roman" w:eastAsia="宋体" w:cs="Times New Roman"/>
                <w:color w:val="auto"/>
                <w:kern w:val="0"/>
                <w:sz w:val="24"/>
                <w:szCs w:val="24"/>
                <w:highlight w:val="none"/>
                <w:lang w:val="en-US" w:eastAsia="zh-CN" w:bidi="ar"/>
              </w:rPr>
              <w:t>气田</w:t>
            </w:r>
            <w:r>
              <w:rPr>
                <w:rFonts w:hint="eastAsia" w:ascii="Times New Roman" w:hAnsi="Times New Roman" w:eastAsia="宋体" w:cs="Times New Roman"/>
                <w:color w:val="auto"/>
                <w:kern w:val="0"/>
                <w:sz w:val="24"/>
                <w:szCs w:val="24"/>
                <w:highlight w:val="none"/>
                <w:lang w:val="en-US" w:eastAsia="zh-CN" w:bidi="ar"/>
              </w:rPr>
              <w:t>米38区</w:t>
            </w:r>
            <w:r>
              <w:rPr>
                <w:rFonts w:hint="default" w:ascii="Times New Roman" w:hAnsi="Times New Roman" w:eastAsia="宋体" w:cs="Times New Roman"/>
                <w:color w:val="auto"/>
                <w:kern w:val="0"/>
                <w:sz w:val="24"/>
                <w:szCs w:val="24"/>
                <w:highlight w:val="none"/>
                <w:lang w:val="en-US" w:eastAsia="zh-CN" w:bidi="ar"/>
              </w:rPr>
              <w:t>天然气开采采矿许可证</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（证号：00000</w:t>
            </w:r>
            <w:r>
              <w:rPr>
                <w:rFonts w:hint="eastAsia" w:ascii="Times New Roman" w:hAnsi="Times New Roman" w:eastAsia="宋体" w:cs="Times New Roman"/>
                <w:color w:val="auto"/>
                <w:kern w:val="0"/>
                <w:sz w:val="24"/>
                <w:szCs w:val="24"/>
                <w:highlight w:val="none"/>
                <w:lang w:val="en-US" w:eastAsia="zh-CN" w:bidi="ar"/>
              </w:rPr>
              <w:t>2020121318000067</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开采</w:t>
            </w:r>
            <w:r>
              <w:rPr>
                <w:rFonts w:hint="default" w:ascii="Times New Roman" w:hAnsi="Times New Roman" w:eastAsia="宋体" w:cs="Times New Roman"/>
                <w:color w:val="auto"/>
                <w:kern w:val="0"/>
                <w:sz w:val="24"/>
                <w:szCs w:val="24"/>
                <w:highlight w:val="none"/>
                <w:lang w:val="en-US" w:eastAsia="zh-CN" w:bidi="ar"/>
              </w:rPr>
              <w:t>范围包含本项目</w:t>
            </w:r>
            <w:r>
              <w:rPr>
                <w:rFonts w:hint="eastAsia" w:ascii="Times New Roman" w:hAnsi="Times New Roman" w:eastAsia="宋体" w:cs="Times New Roman"/>
                <w:color w:val="auto"/>
                <w:kern w:val="0"/>
                <w:sz w:val="24"/>
                <w:szCs w:val="24"/>
                <w:highlight w:val="none"/>
                <w:lang w:val="en-US" w:eastAsia="zh-CN" w:bidi="ar"/>
              </w:rPr>
              <w:t>所在区域</w:t>
            </w:r>
            <w:r>
              <w:rPr>
                <w:rFonts w:hint="default" w:ascii="Times New Roman" w:hAnsi="Times New Roman" w:eastAsia="宋体" w:cs="Times New Roman"/>
                <w:color w:val="auto"/>
                <w:kern w:val="0"/>
                <w:sz w:val="24"/>
                <w:szCs w:val="24"/>
                <w:highlight w:val="none"/>
                <w:lang w:val="en-US" w:eastAsia="zh-CN" w:bidi="ar"/>
              </w:rPr>
              <w:t>。</w:t>
            </w:r>
          </w:p>
          <w:p w14:paraId="3D20FEBA">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属于天然气评价井建设工程，选址位于陕西鄂尔多斯盆地神木气田米38区天然气开采范围内，属于长庆油田分公司第二采气厂的负责范围，第二采气厂于2024年取得榆林市生态环境局关于《长庆油田分公司第二采气厂2024年产能建设工程环境影响报告书》的批复（榆政环发〔2024〕110号）</w:t>
            </w:r>
            <w:r>
              <w:rPr>
                <w:rFonts w:hint="eastAsia" w:ascii="Times New Roman" w:hAnsi="Times New Roman" w:eastAsia="宋体" w:cs="Times New Roman"/>
                <w:color w:val="auto"/>
                <w:kern w:val="0"/>
                <w:sz w:val="24"/>
                <w:szCs w:val="24"/>
                <w:highlight w:val="none"/>
                <w:lang w:val="en-US" w:eastAsia="zh-CN" w:bidi="ar"/>
              </w:rPr>
              <w:t>，于</w:t>
            </w:r>
            <w:r>
              <w:rPr>
                <w:rFonts w:hint="default" w:ascii="Times New Roman" w:hAnsi="Times New Roman" w:eastAsia="宋体" w:cs="Times New Roman"/>
                <w:color w:val="auto"/>
                <w:kern w:val="0"/>
                <w:sz w:val="24"/>
                <w:szCs w:val="24"/>
                <w:highlight w:val="none"/>
                <w:lang w:val="en-US" w:eastAsia="zh-CN" w:bidi="ar"/>
              </w:rPr>
              <w:t>202</w:t>
            </w:r>
            <w:r>
              <w:rPr>
                <w:rFonts w:hint="eastAsia" w:ascii="Times New Roman" w:hAnsi="Times New Roman" w:eastAsia="宋体"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年取得榆林市生态环境局关于《长庆油田分公司第二采气厂202</w:t>
            </w:r>
            <w:r>
              <w:rPr>
                <w:rFonts w:hint="eastAsia" w:ascii="Times New Roman" w:hAnsi="Times New Roman" w:eastAsia="宋体"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年产能建设工程环境影响报告书》的批复（榆政环批复〔2025〕119号）</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第二采气厂</w:t>
            </w:r>
            <w:r>
              <w:rPr>
                <w:rFonts w:hint="eastAsia" w:ascii="Times New Roman" w:hAnsi="Times New Roman" w:eastAsia="宋体" w:cs="Times New Roman"/>
                <w:color w:val="auto"/>
                <w:kern w:val="0"/>
                <w:sz w:val="24"/>
                <w:szCs w:val="24"/>
                <w:highlight w:val="none"/>
                <w:lang w:val="en-US" w:eastAsia="zh-CN" w:bidi="ar"/>
              </w:rPr>
              <w:t>现有</w:t>
            </w:r>
            <w:r>
              <w:rPr>
                <w:rFonts w:hint="default" w:ascii="Times New Roman" w:hAnsi="Times New Roman" w:eastAsia="宋体" w:cs="Times New Roman"/>
                <w:color w:val="auto"/>
                <w:kern w:val="0"/>
                <w:sz w:val="24"/>
                <w:szCs w:val="24"/>
                <w:highlight w:val="none"/>
                <w:lang w:val="en-US" w:eastAsia="zh-CN" w:bidi="ar"/>
              </w:rPr>
              <w:t>气井2</w:t>
            </w:r>
            <w:r>
              <w:rPr>
                <w:rFonts w:hint="eastAsia" w:ascii="Times New Roman" w:hAnsi="Times New Roman" w:eastAsia="宋体" w:cs="Times New Roman"/>
                <w:color w:val="auto"/>
                <w:kern w:val="0"/>
                <w:sz w:val="24"/>
                <w:szCs w:val="24"/>
                <w:highlight w:val="none"/>
                <w:lang w:val="en-US" w:eastAsia="zh-CN" w:bidi="ar"/>
              </w:rPr>
              <w:t>796</w:t>
            </w:r>
            <w:r>
              <w:rPr>
                <w:rFonts w:hint="default" w:ascii="Times New Roman" w:hAnsi="Times New Roman" w:eastAsia="宋体" w:cs="Times New Roman"/>
                <w:color w:val="auto"/>
                <w:kern w:val="0"/>
                <w:sz w:val="24"/>
                <w:szCs w:val="24"/>
                <w:highlight w:val="none"/>
                <w:lang w:val="en-US" w:eastAsia="zh-CN" w:bidi="ar"/>
              </w:rPr>
              <w:t>口、井场</w:t>
            </w:r>
            <w:r>
              <w:rPr>
                <w:rFonts w:hint="eastAsia" w:ascii="Times New Roman" w:hAnsi="Times New Roman" w:eastAsia="宋体" w:cs="Times New Roman"/>
                <w:color w:val="auto"/>
                <w:kern w:val="0"/>
                <w:sz w:val="24"/>
                <w:szCs w:val="24"/>
                <w:highlight w:val="none"/>
                <w:lang w:val="en-US" w:eastAsia="zh-CN" w:bidi="ar"/>
              </w:rPr>
              <w:t>744</w:t>
            </w:r>
            <w:r>
              <w:rPr>
                <w:rFonts w:hint="default" w:ascii="Times New Roman" w:hAnsi="Times New Roman" w:eastAsia="宋体" w:cs="Times New Roman"/>
                <w:color w:val="auto"/>
                <w:kern w:val="0"/>
                <w:sz w:val="24"/>
                <w:szCs w:val="24"/>
                <w:highlight w:val="none"/>
                <w:lang w:val="en-US" w:eastAsia="zh-CN" w:bidi="ar"/>
              </w:rPr>
              <w:t>座；天然气处理厂6座、采出水回注井14口、集气站5</w:t>
            </w:r>
            <w:r>
              <w:rPr>
                <w:rFonts w:hint="eastAsia" w:ascii="Times New Roman" w:hAnsi="Times New Roman" w:eastAsia="宋体" w:cs="Times New Roman"/>
                <w:color w:val="auto"/>
                <w:kern w:val="0"/>
                <w:sz w:val="24"/>
                <w:szCs w:val="24"/>
                <w:highlight w:val="none"/>
                <w:lang w:val="en-US" w:eastAsia="zh-CN" w:bidi="ar"/>
              </w:rPr>
              <w:t>9</w:t>
            </w:r>
            <w:r>
              <w:rPr>
                <w:rFonts w:hint="default" w:ascii="Times New Roman" w:hAnsi="Times New Roman" w:eastAsia="宋体" w:cs="Times New Roman"/>
                <w:color w:val="auto"/>
                <w:kern w:val="0"/>
                <w:sz w:val="24"/>
                <w:szCs w:val="24"/>
                <w:highlight w:val="none"/>
                <w:lang w:val="en-US" w:eastAsia="zh-CN" w:bidi="ar"/>
              </w:rPr>
              <w:t>座、增压站4座、清管站12座；集气干线25条，总长约521.3km；集气支线4</w:t>
            </w:r>
            <w:r>
              <w:rPr>
                <w:rFonts w:hint="eastAsia" w:ascii="Times New Roman" w:hAnsi="Times New Roman" w:eastAsia="宋体" w:cs="Times New Roman"/>
                <w:color w:val="auto"/>
                <w:kern w:val="0"/>
                <w:sz w:val="24"/>
                <w:szCs w:val="24"/>
                <w:highlight w:val="none"/>
                <w:lang w:val="en-US" w:eastAsia="zh-CN" w:bidi="ar"/>
              </w:rPr>
              <w:t>7</w:t>
            </w:r>
            <w:r>
              <w:rPr>
                <w:rFonts w:hint="default" w:ascii="Times New Roman" w:hAnsi="Times New Roman" w:eastAsia="宋体" w:cs="Times New Roman"/>
                <w:color w:val="auto"/>
                <w:kern w:val="0"/>
                <w:sz w:val="24"/>
                <w:szCs w:val="24"/>
                <w:highlight w:val="none"/>
                <w:lang w:val="en-US" w:eastAsia="zh-CN" w:bidi="ar"/>
              </w:rPr>
              <w:t>条，总长约</w:t>
            </w:r>
            <w:r>
              <w:rPr>
                <w:rFonts w:hint="eastAsia" w:ascii="Times New Roman" w:hAnsi="Times New Roman" w:eastAsia="宋体" w:cs="Times New Roman"/>
                <w:color w:val="auto"/>
                <w:kern w:val="0"/>
                <w:sz w:val="24"/>
                <w:szCs w:val="24"/>
                <w:highlight w:val="none"/>
                <w:lang w:val="en-US" w:eastAsia="zh-CN" w:bidi="ar"/>
              </w:rPr>
              <w:t>604.73</w:t>
            </w:r>
            <w:r>
              <w:rPr>
                <w:rFonts w:hint="default" w:ascii="Times New Roman" w:hAnsi="Times New Roman" w:eastAsia="宋体" w:cs="Times New Roman"/>
                <w:color w:val="auto"/>
                <w:kern w:val="0"/>
                <w:sz w:val="24"/>
                <w:szCs w:val="24"/>
                <w:highlight w:val="none"/>
                <w:lang w:val="en-US" w:eastAsia="zh-CN" w:bidi="ar"/>
              </w:rPr>
              <w:t>km；外输管线5条，总长约342.5km，同时配套建设采气管线、注醇管线、注水管线、站场道路等配套工程及设施，基本实现了天然气密闭集输。</w:t>
            </w:r>
            <w:r>
              <w:rPr>
                <w:rFonts w:hint="eastAsia" w:ascii="Times New Roman" w:hAnsi="Times New Roman" w:eastAsia="宋体" w:cs="Times New Roman"/>
                <w:color w:val="auto"/>
                <w:kern w:val="0"/>
                <w:sz w:val="24"/>
                <w:szCs w:val="24"/>
                <w:highlight w:val="none"/>
                <w:lang w:val="en-US" w:eastAsia="zh-CN" w:bidi="ar"/>
              </w:rPr>
              <w:t>2025产能拟</w:t>
            </w:r>
            <w:r>
              <w:rPr>
                <w:rFonts w:hint="default" w:ascii="Times New Roman" w:hAnsi="Times New Roman" w:eastAsia="宋体" w:cs="Times New Roman"/>
                <w:color w:val="auto"/>
                <w:kern w:val="0"/>
                <w:sz w:val="24"/>
                <w:szCs w:val="24"/>
                <w:highlight w:val="none"/>
                <w:lang w:val="en-US" w:eastAsia="zh-CN" w:bidi="ar"/>
              </w:rPr>
              <w:t>新建站场2座（大河塔增压站、米北1气水联合站），改扩建站场16座</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部署井场241座（含新、扩建井场），拟新钻采气井676口、注水井8口</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1口现有采气井转措施返排液回注井</w:t>
            </w:r>
            <w:r>
              <w:rPr>
                <w:rFonts w:hint="eastAsia" w:ascii="Times New Roman" w:hAnsi="Times New Roman" w:eastAsia="宋体" w:cs="Times New Roman"/>
                <w:color w:val="auto"/>
                <w:kern w:val="0"/>
                <w:sz w:val="24"/>
                <w:szCs w:val="24"/>
                <w:highlight w:val="none"/>
                <w:lang w:val="en-US" w:eastAsia="zh-CN" w:bidi="ar"/>
              </w:rPr>
              <w:t>，配套</w:t>
            </w:r>
            <w:r>
              <w:rPr>
                <w:rFonts w:hint="default" w:ascii="Times New Roman" w:hAnsi="Times New Roman" w:eastAsia="宋体" w:cs="Times New Roman"/>
                <w:color w:val="auto"/>
                <w:kern w:val="0"/>
                <w:sz w:val="24"/>
                <w:szCs w:val="24"/>
                <w:highlight w:val="none"/>
                <w:lang w:val="en-US" w:eastAsia="zh-CN" w:bidi="ar"/>
              </w:rPr>
              <w:t>新建采气管线、注醇管线、注水管线、采出液管线</w:t>
            </w:r>
            <w:r>
              <w:rPr>
                <w:rFonts w:hint="eastAsia" w:ascii="Times New Roman" w:hAnsi="Times New Roman" w:eastAsia="宋体" w:cs="Times New Roman"/>
                <w:color w:val="auto"/>
                <w:kern w:val="0"/>
                <w:sz w:val="24"/>
                <w:szCs w:val="24"/>
                <w:highlight w:val="none"/>
                <w:lang w:val="en-US" w:eastAsia="zh-CN" w:bidi="ar"/>
              </w:rPr>
              <w:t>等</w:t>
            </w:r>
            <w:r>
              <w:rPr>
                <w:rFonts w:hint="default" w:ascii="Times New Roman" w:hAnsi="Times New Roman" w:eastAsia="宋体" w:cs="Times New Roman"/>
                <w:color w:val="auto"/>
                <w:kern w:val="0"/>
                <w:sz w:val="24"/>
                <w:szCs w:val="24"/>
                <w:highlight w:val="none"/>
                <w:lang w:val="en-US" w:eastAsia="zh-CN" w:bidi="ar"/>
              </w:rPr>
              <w:t>配套工程及设施。第二采气厂</w:t>
            </w:r>
            <w:r>
              <w:rPr>
                <w:rFonts w:hint="eastAsia" w:ascii="Times New Roman" w:hAnsi="Times New Roman" w:eastAsia="宋体" w:cs="Times New Roman"/>
                <w:color w:val="auto"/>
                <w:kern w:val="0"/>
                <w:sz w:val="24"/>
                <w:szCs w:val="24"/>
                <w:highlight w:val="none"/>
                <w:lang w:val="en-US" w:eastAsia="zh-CN" w:bidi="ar"/>
              </w:rPr>
              <w:t>2024、2025</w:t>
            </w:r>
            <w:r>
              <w:rPr>
                <w:rFonts w:hint="default" w:ascii="Times New Roman" w:hAnsi="Times New Roman" w:eastAsia="宋体" w:cs="Times New Roman"/>
                <w:color w:val="auto"/>
                <w:kern w:val="0"/>
                <w:sz w:val="24"/>
                <w:szCs w:val="24"/>
                <w:highlight w:val="none"/>
                <w:lang w:val="en-US" w:eastAsia="zh-CN" w:bidi="ar"/>
              </w:rPr>
              <w:t>产能环评中</w:t>
            </w:r>
            <w:r>
              <w:rPr>
                <w:rFonts w:hint="eastAsia" w:ascii="Times New Roman" w:hAnsi="Times New Roman" w:eastAsia="宋体" w:cs="Times New Roman"/>
                <w:color w:val="auto"/>
                <w:kern w:val="0"/>
                <w:sz w:val="24"/>
                <w:szCs w:val="24"/>
                <w:highlight w:val="none"/>
                <w:lang w:val="en-US" w:eastAsia="zh-CN" w:bidi="ar"/>
              </w:rPr>
              <w:t>明确</w:t>
            </w:r>
            <w:r>
              <w:rPr>
                <w:rFonts w:hint="default" w:ascii="Times New Roman" w:hAnsi="Times New Roman" w:eastAsia="宋体" w:cs="Times New Roman"/>
                <w:color w:val="auto"/>
                <w:kern w:val="0"/>
                <w:sz w:val="24"/>
                <w:szCs w:val="24"/>
                <w:highlight w:val="none"/>
                <w:lang w:val="en-US" w:eastAsia="zh-CN" w:bidi="ar"/>
              </w:rPr>
              <w:t>本项目所在气田</w:t>
            </w:r>
            <w:r>
              <w:rPr>
                <w:rFonts w:hint="eastAsia" w:ascii="Times New Roman" w:hAnsi="Times New Roman" w:eastAsia="宋体" w:cs="Times New Roman"/>
                <w:color w:val="auto"/>
                <w:kern w:val="0"/>
                <w:sz w:val="24"/>
                <w:szCs w:val="24"/>
                <w:highlight w:val="none"/>
                <w:lang w:val="en-US" w:eastAsia="zh-CN" w:bidi="ar"/>
              </w:rPr>
              <w:t>现状</w:t>
            </w:r>
            <w:r>
              <w:rPr>
                <w:rFonts w:hint="default" w:ascii="Times New Roman" w:hAnsi="Times New Roman" w:eastAsia="宋体" w:cs="Times New Roman"/>
                <w:color w:val="auto"/>
                <w:kern w:val="0"/>
                <w:sz w:val="24"/>
                <w:szCs w:val="24"/>
                <w:highlight w:val="none"/>
                <w:lang w:val="en-US" w:eastAsia="zh-CN" w:bidi="ar"/>
              </w:rPr>
              <w:t>主要开发上古气，层位主要有山西组山2、石盒子组盒8。</w:t>
            </w:r>
          </w:p>
          <w:p w14:paraId="35561A93">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根据建设单位提供资料，</w:t>
            </w:r>
            <w:r>
              <w:rPr>
                <w:rFonts w:hint="eastAsia" w:ascii="Times New Roman" w:hAnsi="Times New Roman" w:eastAsia="宋体" w:cs="Times New Roman"/>
                <w:color w:val="auto"/>
                <w:kern w:val="0"/>
                <w:sz w:val="24"/>
                <w:szCs w:val="24"/>
                <w:highlight w:val="none"/>
                <w:lang w:val="en-US" w:eastAsia="zh-CN" w:bidi="ar"/>
              </w:rPr>
              <w:t>并对照近年的产能环评中钻井工程，</w:t>
            </w:r>
            <w:r>
              <w:rPr>
                <w:rFonts w:hint="default" w:ascii="Times New Roman" w:hAnsi="Times New Roman" w:eastAsia="宋体" w:cs="Times New Roman"/>
                <w:color w:val="auto"/>
                <w:kern w:val="0"/>
                <w:sz w:val="24"/>
                <w:szCs w:val="24"/>
                <w:highlight w:val="none"/>
                <w:lang w:val="en-US" w:eastAsia="zh-CN" w:bidi="ar"/>
              </w:rPr>
              <w:t>本次天然气</w:t>
            </w:r>
            <w:r>
              <w:rPr>
                <w:rFonts w:hint="eastAsia" w:ascii="Times New Roman" w:hAnsi="Times New Roman" w:eastAsia="宋体" w:cs="Times New Roman"/>
                <w:color w:val="auto"/>
                <w:kern w:val="0"/>
                <w:sz w:val="24"/>
                <w:szCs w:val="24"/>
                <w:highlight w:val="none"/>
                <w:lang w:val="en-US" w:eastAsia="zh-CN" w:bidi="ar"/>
              </w:rPr>
              <w:t>评价井</w:t>
            </w:r>
            <w:r>
              <w:rPr>
                <w:rFonts w:hint="default" w:ascii="Times New Roman" w:hAnsi="Times New Roman" w:eastAsia="宋体" w:cs="Times New Roman"/>
                <w:color w:val="auto"/>
                <w:kern w:val="0"/>
                <w:sz w:val="24"/>
                <w:szCs w:val="24"/>
                <w:highlight w:val="none"/>
                <w:lang w:val="en-US" w:eastAsia="zh-CN" w:bidi="ar"/>
              </w:rPr>
              <w:t>不在第二采气厂2024年</w:t>
            </w:r>
            <w:r>
              <w:rPr>
                <w:rFonts w:hint="eastAsia" w:ascii="Times New Roman" w:hAnsi="Times New Roman" w:eastAsia="宋体" w:cs="Times New Roman"/>
                <w:color w:val="auto"/>
                <w:kern w:val="0"/>
                <w:sz w:val="24"/>
                <w:szCs w:val="24"/>
                <w:highlight w:val="none"/>
                <w:lang w:val="en-US" w:eastAsia="zh-CN" w:bidi="ar"/>
              </w:rPr>
              <w:t>和2025年</w:t>
            </w:r>
            <w:r>
              <w:rPr>
                <w:rFonts w:hint="default" w:ascii="Times New Roman" w:hAnsi="Times New Roman" w:eastAsia="宋体" w:cs="Times New Roman"/>
                <w:color w:val="auto"/>
                <w:kern w:val="0"/>
                <w:sz w:val="24"/>
                <w:szCs w:val="24"/>
                <w:highlight w:val="none"/>
                <w:lang w:val="en-US" w:eastAsia="zh-CN" w:bidi="ar"/>
              </w:rPr>
              <w:t>陕西区域新建及扩建天然气井场部署计划内，属于加密勘探新层位</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sz w:val="24"/>
                <w:szCs w:val="24"/>
                <w:highlight w:val="none"/>
              </w:rPr>
              <w:t>山西组山1</w:t>
            </w:r>
            <w:r>
              <w:rPr>
                <w:rFonts w:hint="eastAsia" w:ascii="Times New Roman" w:hAnsi="Times New Roman" w:eastAsia="宋体" w:cs="Times New Roman"/>
                <w:color w:val="auto"/>
                <w:kern w:val="0"/>
                <w:sz w:val="24"/>
                <w:szCs w:val="24"/>
                <w:highlight w:val="none"/>
                <w:lang w:val="en-US" w:eastAsia="zh-CN" w:bidi="ar"/>
              </w:rPr>
              <w:t>），与</w:t>
            </w:r>
            <w:r>
              <w:rPr>
                <w:rFonts w:hint="default" w:ascii="Times New Roman" w:hAnsi="Times New Roman" w:eastAsia="宋体" w:cs="Times New Roman"/>
                <w:color w:val="auto"/>
                <w:sz w:val="24"/>
                <w:szCs w:val="24"/>
                <w:highlight w:val="none"/>
              </w:rPr>
              <w:t>区块主力</w:t>
            </w:r>
            <w:r>
              <w:rPr>
                <w:rFonts w:hint="eastAsia" w:ascii="Times New Roman" w:hAnsi="Times New Roman" w:eastAsia="宋体" w:cs="Times New Roman"/>
                <w:color w:val="auto"/>
                <w:kern w:val="0"/>
                <w:sz w:val="24"/>
                <w:szCs w:val="24"/>
                <w:highlight w:val="none"/>
                <w:lang w:val="en-US" w:eastAsia="zh-CN" w:bidi="ar"/>
              </w:rPr>
              <w:t>开发层位（</w:t>
            </w:r>
            <w:r>
              <w:rPr>
                <w:rFonts w:hint="eastAsia" w:ascii="Times New Roman" w:hAnsi="Times New Roman" w:eastAsia="宋体" w:cs="Times New Roman"/>
                <w:color w:val="auto"/>
                <w:sz w:val="24"/>
                <w:szCs w:val="24"/>
                <w:highlight w:val="none"/>
                <w:lang w:val="en-US" w:eastAsia="zh-CN"/>
              </w:rPr>
              <w:t>石灰</w:t>
            </w:r>
            <w:r>
              <w:rPr>
                <w:rFonts w:hint="default" w:ascii="Times New Roman" w:hAnsi="Times New Roman" w:eastAsia="宋体" w:cs="Times New Roman"/>
                <w:color w:val="auto"/>
                <w:sz w:val="24"/>
                <w:szCs w:val="24"/>
                <w:highlight w:val="none"/>
              </w:rPr>
              <w:t>系本溪组</w:t>
            </w:r>
            <w:r>
              <w:rPr>
                <w:rFonts w:hint="eastAsia" w:ascii="Times New Roman" w:hAnsi="Times New Roman" w:eastAsia="宋体" w:cs="Times New Roman"/>
                <w:color w:val="auto"/>
                <w:kern w:val="0"/>
                <w:sz w:val="24"/>
                <w:szCs w:val="24"/>
                <w:highlight w:val="none"/>
                <w:lang w:val="en-US" w:eastAsia="zh-CN" w:bidi="ar"/>
              </w:rPr>
              <w:t>）和区块主力开发层位（二叠系</w:t>
            </w:r>
            <w:r>
              <w:rPr>
                <w:rFonts w:hint="default" w:ascii="Times New Roman" w:hAnsi="Times New Roman" w:eastAsia="宋体" w:cs="Times New Roman"/>
                <w:color w:val="auto"/>
                <w:kern w:val="0"/>
                <w:sz w:val="24"/>
                <w:szCs w:val="24"/>
                <w:highlight w:val="none"/>
                <w:lang w:val="en-US" w:eastAsia="zh-CN" w:bidi="ar"/>
              </w:rPr>
              <w:t>山西组山2、石盒子组盒8</w:t>
            </w:r>
            <w:r>
              <w:rPr>
                <w:rFonts w:hint="eastAsia" w:ascii="Times New Roman" w:hAnsi="Times New Roman" w:eastAsia="宋体" w:cs="Times New Roman"/>
                <w:color w:val="auto"/>
                <w:kern w:val="0"/>
                <w:sz w:val="24"/>
                <w:szCs w:val="24"/>
                <w:highlight w:val="none"/>
                <w:lang w:val="en-US" w:eastAsia="zh-CN" w:bidi="ar"/>
              </w:rPr>
              <w:t>）不同</w:t>
            </w:r>
            <w:r>
              <w:rPr>
                <w:rFonts w:hint="default" w:ascii="Times New Roman" w:hAnsi="Times New Roman" w:eastAsia="宋体" w:cs="Times New Roman"/>
                <w:color w:val="auto"/>
                <w:kern w:val="0"/>
                <w:sz w:val="24"/>
                <w:szCs w:val="24"/>
                <w:highlight w:val="none"/>
                <w:lang w:val="en-US" w:eastAsia="zh-CN" w:bidi="ar"/>
              </w:rPr>
              <w:t>。</w:t>
            </w:r>
          </w:p>
          <w:p w14:paraId="39ECFDB3">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参考《鄂尔多斯盆地神木–佳县区块深部煤层气地质特征及勘探开发潜力》[李国永等，煤田地质与勘探，2024，52（2）]，神木和佳县地区煤层气主要存在于区块煤层中，主要涉及山西组山2段1-5号煤层、太原组6号及7号煤层和本溪组8号及9号煤层（详见图2-1）。本次评价井评价的层位为山西组山1段砂岩，属于砂岩气藏勘探（非</w:t>
            </w:r>
            <w:r>
              <w:rPr>
                <w:rFonts w:hint="eastAsia" w:ascii="Times New Roman" w:hAnsi="Times New Roman" w:eastAsia="宋体" w:cs="Times New Roman"/>
                <w:color w:val="auto"/>
                <w:kern w:val="0"/>
                <w:sz w:val="24"/>
                <w:highlight w:val="none"/>
                <w:lang w:bidi="ar"/>
              </w:rPr>
              <w:t>致密砂岩气</w:t>
            </w:r>
            <w:r>
              <w:rPr>
                <w:rFonts w:hint="eastAsia" w:ascii="Times New Roman" w:hAnsi="Times New Roman" w:eastAsia="宋体" w:cs="Times New Roman"/>
                <w:color w:val="auto"/>
                <w:kern w:val="0"/>
                <w:sz w:val="24"/>
                <w:szCs w:val="24"/>
                <w:highlight w:val="none"/>
                <w:lang w:val="en-US" w:eastAsia="zh-CN" w:bidi="ar"/>
              </w:rPr>
              <w:t>），不涉及煤层气勘探。</w:t>
            </w:r>
          </w:p>
          <w:p w14:paraId="09BC1971">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本次在</w:t>
            </w:r>
            <w:r>
              <w:rPr>
                <w:rFonts w:hint="eastAsia" w:ascii="Times New Roman" w:hAnsi="Times New Roman" w:eastAsia="宋体" w:cs="Times New Roman"/>
                <w:color w:val="auto"/>
                <w:kern w:val="0"/>
                <w:sz w:val="24"/>
                <w:szCs w:val="24"/>
                <w:highlight w:val="none"/>
                <w:lang w:val="en-US" w:eastAsia="zh-CN" w:bidi="ar"/>
              </w:rPr>
              <w:t>佳县</w:t>
            </w:r>
            <w:r>
              <w:rPr>
                <w:rFonts w:hint="default" w:ascii="Times New Roman" w:hAnsi="Times New Roman" w:eastAsia="宋体" w:cs="Times New Roman"/>
                <w:color w:val="auto"/>
                <w:kern w:val="0"/>
                <w:sz w:val="24"/>
                <w:szCs w:val="24"/>
                <w:highlight w:val="none"/>
                <w:lang w:val="en-US" w:eastAsia="zh-CN" w:bidi="ar"/>
              </w:rPr>
              <w:t>金明寺镇新建</w:t>
            </w:r>
            <w:r>
              <w:rPr>
                <w:rFonts w:hint="eastAsia" w:ascii="Times New Roman" w:hAnsi="Times New Roman" w:eastAsia="宋体"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口天然气评价井，旨在评价气田区域的空间展布特征，查清储层优势方式，寻找新的适合开发的气藏层位</w:t>
            </w:r>
            <w:r>
              <w:rPr>
                <w:rFonts w:hint="eastAsia" w:ascii="Times New Roman" w:hAnsi="Times New Roman" w:eastAsia="宋体" w:cs="Times New Roman"/>
                <w:color w:val="auto"/>
                <w:kern w:val="0"/>
                <w:sz w:val="24"/>
                <w:szCs w:val="24"/>
                <w:highlight w:val="none"/>
                <w:lang w:val="en-US" w:eastAsia="zh-CN" w:bidi="ar"/>
              </w:rPr>
              <w:t>，通过评价地层与钻井参数的匹配性，为后续优化各项参数并提升钻井速度提供决策依据；评价不同压裂参数下的单井产能，合理确定单井储量，为后续产能开发提供支撑</w:t>
            </w:r>
            <w:r>
              <w:rPr>
                <w:rFonts w:hint="default" w:ascii="Times New Roman" w:hAnsi="Times New Roman" w:eastAsia="宋体" w:cs="Times New Roman"/>
                <w:color w:val="auto"/>
                <w:kern w:val="0"/>
                <w:sz w:val="24"/>
                <w:szCs w:val="24"/>
                <w:highlight w:val="none"/>
                <w:lang w:val="en-US" w:eastAsia="zh-CN" w:bidi="ar"/>
              </w:rPr>
              <w:t>。通过完井测试评价气藏情况</w:t>
            </w:r>
            <w:r>
              <w:rPr>
                <w:rFonts w:hint="eastAsia" w:ascii="Times New Roman" w:hAnsi="Times New Roman" w:eastAsia="宋体" w:cs="Times New Roman"/>
                <w:color w:val="auto"/>
                <w:kern w:val="0"/>
                <w:sz w:val="24"/>
                <w:szCs w:val="24"/>
                <w:highlight w:val="none"/>
                <w:lang w:val="en-US" w:eastAsia="zh-CN" w:bidi="ar"/>
              </w:rPr>
              <w:t>，对</w:t>
            </w:r>
            <w:r>
              <w:rPr>
                <w:rFonts w:hint="default" w:ascii="Times New Roman" w:hAnsi="Times New Roman" w:eastAsia="宋体" w:cs="Times New Roman"/>
                <w:color w:val="auto"/>
                <w:kern w:val="0"/>
                <w:sz w:val="24"/>
                <w:szCs w:val="24"/>
                <w:highlight w:val="none"/>
                <w:lang w:val="en-US" w:eastAsia="zh-CN" w:bidi="ar"/>
              </w:rPr>
              <w:t>不具备开采价值的井口进行永久封井，场地恢复原土地类型；若测试具有工业产能，后期另行履行相关产能</w:t>
            </w:r>
            <w:r>
              <w:rPr>
                <w:rFonts w:hint="eastAsia" w:ascii="Times New Roman" w:hAnsi="Times New Roman" w:eastAsia="宋体" w:cs="Times New Roman"/>
                <w:color w:val="auto"/>
                <w:kern w:val="0"/>
                <w:sz w:val="24"/>
                <w:szCs w:val="24"/>
                <w:highlight w:val="none"/>
                <w:lang w:val="en-US" w:eastAsia="zh-CN" w:bidi="ar"/>
              </w:rPr>
              <w:t>环评</w:t>
            </w:r>
            <w:r>
              <w:rPr>
                <w:rFonts w:hint="default" w:ascii="Times New Roman" w:hAnsi="Times New Roman" w:eastAsia="宋体" w:cs="Times New Roman"/>
                <w:color w:val="auto"/>
                <w:kern w:val="0"/>
                <w:sz w:val="24"/>
                <w:szCs w:val="24"/>
                <w:highlight w:val="none"/>
                <w:lang w:val="en-US" w:eastAsia="zh-CN" w:bidi="ar"/>
              </w:rPr>
              <w:t>手续交由区块所属中国石油天然气股份有限公司长庆油田分公司第二采气厂进行井场建设</w:t>
            </w:r>
            <w:r>
              <w:rPr>
                <w:rFonts w:hint="eastAsia" w:ascii="Times New Roman" w:hAnsi="Times New Roman" w:eastAsia="宋体" w:cs="Times New Roman"/>
                <w:color w:val="auto"/>
                <w:kern w:val="0"/>
                <w:sz w:val="24"/>
                <w:szCs w:val="24"/>
                <w:highlight w:val="none"/>
                <w:lang w:val="en-US" w:eastAsia="zh-CN" w:bidi="ar"/>
              </w:rPr>
              <w:t>。</w:t>
            </w:r>
          </w:p>
          <w:p w14:paraId="13E5E6BC">
            <w:pPr>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drawing>
                <wp:inline distT="0" distB="0" distL="114300" distR="114300">
                  <wp:extent cx="3828415" cy="4484370"/>
                  <wp:effectExtent l="0" t="0" r="635" b="11430"/>
                  <wp:docPr id="10" name="图片 1" descr="神木-佳县区块沉积地层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神木-佳县区块沉积地层特征"/>
                          <pic:cNvPicPr>
                            <a:picLocks noChangeAspect="1"/>
                          </pic:cNvPicPr>
                        </pic:nvPicPr>
                        <pic:blipFill>
                          <a:blip r:embed="rId5"/>
                          <a:srcRect l="13918" r="14240"/>
                          <a:stretch>
                            <a:fillRect/>
                          </a:stretch>
                        </pic:blipFill>
                        <pic:spPr>
                          <a:xfrm>
                            <a:off x="0" y="0"/>
                            <a:ext cx="3828415" cy="4484370"/>
                          </a:xfrm>
                          <a:prstGeom prst="rect">
                            <a:avLst/>
                          </a:prstGeom>
                          <a:noFill/>
                          <a:ln>
                            <a:noFill/>
                          </a:ln>
                        </pic:spPr>
                      </pic:pic>
                    </a:graphicData>
                  </a:graphic>
                </wp:inline>
              </w:drawing>
            </w:r>
          </w:p>
          <w:p w14:paraId="7732F15E">
            <w:pPr>
              <w:keepNext w:val="0"/>
              <w:keepLines w:val="0"/>
              <w:suppressLineNumbers w:val="0"/>
              <w:spacing w:before="0" w:beforeAutospacing="0" w:after="0" w:afterAutospacing="0" w:line="240" w:lineRule="auto"/>
              <w:ind w:left="0" w:right="0" w:firstLine="482"/>
              <w:jc w:val="center"/>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图2-1 区域煤层气地层一览表</w:t>
            </w:r>
          </w:p>
          <w:p w14:paraId="70DFC751">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二、项目建设内容及规模</w:t>
            </w:r>
          </w:p>
          <w:p w14:paraId="3450EB2F">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本项目新建天然气评价井</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口</w:t>
            </w:r>
            <w:r>
              <w:rPr>
                <w:rFonts w:hint="default" w:ascii="Times New Roman" w:hAnsi="Times New Roman" w:cs="Times New Roman"/>
                <w:color w:val="auto"/>
                <w:highlight w:val="none"/>
                <w:lang w:eastAsia="zh-CN"/>
              </w:rPr>
              <w:t>，井型</w:t>
            </w:r>
            <w:r>
              <w:rPr>
                <w:rFonts w:hint="eastAsia" w:ascii="Times New Roman" w:hAnsi="Times New Roman" w:cs="Times New Roman"/>
                <w:color w:val="auto"/>
                <w:highlight w:val="none"/>
                <w:lang w:val="en-US" w:eastAsia="zh-CN"/>
              </w:rPr>
              <w:t>为直井</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各评价井完井深度和目的层如下所示，</w:t>
            </w:r>
            <w:r>
              <w:rPr>
                <w:rFonts w:hint="default" w:ascii="Times New Roman" w:hAnsi="Times New Roman" w:cs="Times New Roman"/>
                <w:color w:val="auto"/>
                <w:highlight w:val="none"/>
                <w:lang w:eastAsia="zh-CN"/>
              </w:rPr>
              <w:t>井场按照《钻前工程及井场布置技术要求》（</w:t>
            </w:r>
            <w:r>
              <w:rPr>
                <w:rFonts w:hint="default" w:ascii="Times New Roman" w:hAnsi="Times New Roman" w:cs="Times New Roman"/>
                <w:color w:val="auto"/>
                <w:highlight w:val="none"/>
                <w:lang w:val="en-US" w:eastAsia="zh-CN"/>
              </w:rPr>
              <w:t>SY/T5466-2013</w:t>
            </w:r>
            <w:r>
              <w:rPr>
                <w:rFonts w:hint="default" w:ascii="Times New Roman" w:hAnsi="Times New Roman" w:cs="Times New Roman"/>
                <w:color w:val="auto"/>
                <w:highlight w:val="none"/>
                <w:lang w:eastAsia="zh-CN"/>
              </w:rPr>
              <w:t>）进行设计建设。</w:t>
            </w:r>
          </w:p>
          <w:p w14:paraId="3651AA74">
            <w:pPr>
              <w:keepNext w:val="0"/>
              <w:keepLines w:val="0"/>
              <w:suppressLineNumbers w:val="0"/>
              <w:spacing w:before="0" w:beforeAutospacing="0" w:after="0" w:afterAutospacing="0" w:line="240" w:lineRule="auto"/>
              <w:ind w:left="0" w:right="0" w:firstLine="482"/>
              <w:jc w:val="center"/>
              <w:rPr>
                <w:rFonts w:hint="default" w:ascii="Times New Roman" w:hAnsi="Times New Roman" w:cs="Times New Roman"/>
                <w:b/>
                <w:color w:val="auto"/>
                <w:kern w:val="2"/>
                <w:sz w:val="24"/>
                <w:szCs w:val="24"/>
                <w:highlight w:val="none"/>
              </w:rPr>
            </w:pPr>
            <w:r>
              <w:rPr>
                <w:rFonts w:hint="default" w:ascii="Times New Roman" w:hAnsi="Times New Roman" w:cs="Times New Roman"/>
                <w:b/>
                <w:bCs w:val="0"/>
                <w:color w:val="auto"/>
                <w:sz w:val="24"/>
                <w:szCs w:val="24"/>
                <w:highlight w:val="none"/>
              </w:rPr>
              <w:t>表2-</w:t>
            </w:r>
            <w:r>
              <w:rPr>
                <w:rFonts w:hint="default" w:ascii="Times New Roman" w:hAnsi="Times New Roman" w:eastAsia="宋体" w:cs="Times New Roman"/>
                <w:b/>
                <w:bCs w:val="0"/>
                <w:color w:val="auto"/>
                <w:sz w:val="24"/>
                <w:szCs w:val="24"/>
                <w:highlight w:val="none"/>
                <w:lang w:val="en-US" w:eastAsia="zh-CN"/>
              </w:rPr>
              <w:t>2</w:t>
            </w:r>
            <w:r>
              <w:rPr>
                <w:rFonts w:hint="default" w:ascii="Times New Roman" w:hAnsi="Times New Roman" w:cs="Times New Roman"/>
                <w:b/>
                <w:bCs w:val="0"/>
                <w:color w:val="auto"/>
                <w:sz w:val="24"/>
                <w:szCs w:val="24"/>
                <w:highlight w:val="none"/>
              </w:rPr>
              <w:t xml:space="preserve">  </w:t>
            </w:r>
            <w:r>
              <w:rPr>
                <w:rFonts w:hint="default" w:ascii="Times New Roman" w:hAnsi="Times New Roman" w:cs="Times New Roman"/>
                <w:b/>
                <w:bCs w:val="0"/>
                <w:color w:val="auto"/>
                <w:kern w:val="2"/>
                <w:sz w:val="24"/>
                <w:szCs w:val="24"/>
                <w:highlight w:val="none"/>
              </w:rPr>
              <w:t>探井基本数据表</w:t>
            </w:r>
          </w:p>
          <w:tbl>
            <w:tblPr>
              <w:tblStyle w:val="16"/>
              <w:tblW w:w="500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2"/>
              <w:gridCol w:w="1118"/>
              <w:gridCol w:w="751"/>
              <w:gridCol w:w="996"/>
              <w:gridCol w:w="1243"/>
              <w:gridCol w:w="1564"/>
              <w:gridCol w:w="2363"/>
            </w:tblGrid>
            <w:tr w14:paraId="475F9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15" w:type="pct"/>
                  <w:tcBorders>
                    <w:top w:val="single" w:color="000000" w:sz="4" w:space="0"/>
                    <w:left w:val="single" w:color="000000" w:sz="4" w:space="0"/>
                    <w:bottom w:val="single" w:color="auto" w:sz="4" w:space="0"/>
                    <w:right w:val="single" w:color="000000" w:sz="4" w:space="0"/>
                  </w:tcBorders>
                  <w:noWrap w:val="0"/>
                  <w:vAlign w:val="center"/>
                </w:tcPr>
                <w:p w14:paraId="2A59E8C0">
                  <w:pPr>
                    <w:keepNext w:val="0"/>
                    <w:keepLines w:val="0"/>
                    <w:pageBreakBefore w:val="0"/>
                    <w:widowControl/>
                    <w:suppressLineNumbers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序号</w:t>
                  </w:r>
                </w:p>
              </w:tc>
              <w:tc>
                <w:tcPr>
                  <w:tcW w:w="665" w:type="pct"/>
                  <w:tcBorders>
                    <w:top w:val="single" w:color="000000" w:sz="4" w:space="0"/>
                    <w:left w:val="single" w:color="000000" w:sz="4" w:space="0"/>
                    <w:bottom w:val="single" w:color="auto" w:sz="4" w:space="0"/>
                    <w:right w:val="single" w:color="000000" w:sz="4" w:space="0"/>
                  </w:tcBorders>
                  <w:noWrap w:val="0"/>
                  <w:vAlign w:val="center"/>
                </w:tcPr>
                <w:p w14:paraId="0FC46A88">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color w:val="auto"/>
                      <w:sz w:val="21"/>
                      <w:szCs w:val="21"/>
                      <w:highlight w:val="none"/>
                      <w:lang w:val="en-US" w:eastAsia="zh-CN"/>
                    </w:rPr>
                    <w:t>井号</w:t>
                  </w:r>
                </w:p>
              </w:tc>
              <w:tc>
                <w:tcPr>
                  <w:tcW w:w="447" w:type="pct"/>
                  <w:tcBorders>
                    <w:top w:val="single" w:color="000000" w:sz="4" w:space="0"/>
                    <w:left w:val="single" w:color="000000" w:sz="4" w:space="0"/>
                    <w:bottom w:val="single" w:color="auto" w:sz="4" w:space="0"/>
                    <w:right w:val="single" w:color="000000" w:sz="4" w:space="0"/>
                  </w:tcBorders>
                  <w:noWrap w:val="0"/>
                  <w:vAlign w:val="center"/>
                </w:tcPr>
                <w:p w14:paraId="24889F30">
                  <w:pPr>
                    <w:keepNext w:val="0"/>
                    <w:keepLines w:val="0"/>
                    <w:pageBreakBefore w:val="0"/>
                    <w:widowControl/>
                    <w:suppressLineNumbers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井型</w:t>
                  </w:r>
                </w:p>
              </w:tc>
              <w:tc>
                <w:tcPr>
                  <w:tcW w:w="593" w:type="pct"/>
                  <w:tcBorders>
                    <w:top w:val="single" w:color="000000" w:sz="4" w:space="0"/>
                    <w:left w:val="single" w:color="000000" w:sz="4" w:space="0"/>
                    <w:bottom w:val="single" w:color="auto" w:sz="4" w:space="0"/>
                    <w:right w:val="single" w:color="000000" w:sz="4" w:space="0"/>
                  </w:tcBorders>
                  <w:noWrap w:val="0"/>
                  <w:vAlign w:val="center"/>
                </w:tcPr>
                <w:p w14:paraId="13A74B2F">
                  <w:pPr>
                    <w:keepNext w:val="0"/>
                    <w:keepLines w:val="0"/>
                    <w:pageBreakBefore w:val="0"/>
                    <w:widowControl/>
                    <w:suppressLineNumbers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井深/m</w:t>
                  </w:r>
                </w:p>
                <w:p w14:paraId="75E035BD">
                  <w:pPr>
                    <w:keepNext w:val="0"/>
                    <w:keepLines w:val="0"/>
                    <w:pageBreakBefore w:val="0"/>
                    <w:widowControl/>
                    <w:suppressLineNumbers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（垂深）</w:t>
                  </w:r>
                </w:p>
              </w:tc>
              <w:tc>
                <w:tcPr>
                  <w:tcW w:w="740" w:type="pct"/>
                  <w:tcBorders>
                    <w:top w:val="single" w:color="000000" w:sz="4" w:space="0"/>
                    <w:left w:val="single" w:color="000000" w:sz="4" w:space="0"/>
                    <w:bottom w:val="single" w:color="auto" w:sz="4" w:space="0"/>
                    <w:right w:val="single" w:color="auto" w:sz="4" w:space="0"/>
                  </w:tcBorders>
                  <w:noWrap w:val="0"/>
                  <w:vAlign w:val="center"/>
                </w:tcPr>
                <w:p w14:paraId="4572F587">
                  <w:pPr>
                    <w:keepNext w:val="0"/>
                    <w:keepLines w:val="0"/>
                    <w:pageBreakBefore w:val="0"/>
                    <w:widowControl/>
                    <w:suppressLineNumbers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钻进深度/m</w:t>
                  </w:r>
                </w:p>
              </w:tc>
              <w:tc>
                <w:tcPr>
                  <w:tcW w:w="931" w:type="pct"/>
                  <w:tcBorders>
                    <w:top w:val="single" w:color="000000" w:sz="4" w:space="0"/>
                    <w:left w:val="single" w:color="auto" w:sz="4" w:space="0"/>
                    <w:bottom w:val="single" w:color="auto" w:sz="4" w:space="0"/>
                    <w:right w:val="single" w:color="000000" w:sz="4" w:space="0"/>
                  </w:tcBorders>
                  <w:noWrap w:val="0"/>
                  <w:vAlign w:val="center"/>
                </w:tcPr>
                <w:p w14:paraId="286BDF5A">
                  <w:pPr>
                    <w:keepNext w:val="0"/>
                    <w:keepLines w:val="0"/>
                    <w:pageBreakBefore w:val="0"/>
                    <w:widowControl/>
                    <w:suppressLineNumbers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靶点位置</w:t>
                  </w:r>
                </w:p>
              </w:tc>
              <w:tc>
                <w:tcPr>
                  <w:tcW w:w="1407" w:type="pct"/>
                  <w:tcBorders>
                    <w:top w:val="single" w:color="000000" w:sz="4" w:space="0"/>
                    <w:left w:val="single" w:color="000000" w:sz="4" w:space="0"/>
                    <w:bottom w:val="single" w:color="auto" w:sz="4" w:space="0"/>
                    <w:right w:val="single" w:color="000000" w:sz="4" w:space="0"/>
                  </w:tcBorders>
                  <w:noWrap w:val="0"/>
                  <w:vAlign w:val="center"/>
                </w:tcPr>
                <w:p w14:paraId="7E8EBBF5">
                  <w:pPr>
                    <w:keepNext w:val="0"/>
                    <w:keepLines w:val="0"/>
                    <w:pageBreakBefore w:val="0"/>
                    <w:widowControl/>
                    <w:suppressLineNumbers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目的层位</w:t>
                  </w:r>
                </w:p>
              </w:tc>
            </w:tr>
            <w:tr w14:paraId="7B61D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15" w:type="pct"/>
                  <w:tcBorders>
                    <w:top w:val="single" w:color="auto" w:sz="4" w:space="0"/>
                    <w:left w:val="single" w:color="auto" w:sz="4" w:space="0"/>
                    <w:bottom w:val="single" w:color="auto" w:sz="4" w:space="0"/>
                    <w:right w:val="single" w:color="auto" w:sz="4" w:space="0"/>
                  </w:tcBorders>
                  <w:noWrap w:val="0"/>
                  <w:vAlign w:val="center"/>
                </w:tcPr>
                <w:p w14:paraId="37D47F9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w:t>
                  </w:r>
                </w:p>
              </w:tc>
              <w:tc>
                <w:tcPr>
                  <w:tcW w:w="665" w:type="pct"/>
                  <w:tcBorders>
                    <w:top w:val="single" w:color="auto" w:sz="4" w:space="0"/>
                    <w:left w:val="single" w:color="auto" w:sz="4" w:space="0"/>
                    <w:bottom w:val="single" w:color="auto" w:sz="4" w:space="0"/>
                    <w:right w:val="single" w:color="auto" w:sz="4" w:space="0"/>
                  </w:tcBorders>
                  <w:noWrap w:val="0"/>
                  <w:vAlign w:val="center"/>
                </w:tcPr>
                <w:p w14:paraId="1B0B7609">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米75-3M</w:t>
                  </w:r>
                </w:p>
              </w:tc>
              <w:tc>
                <w:tcPr>
                  <w:tcW w:w="447" w:type="pct"/>
                  <w:tcBorders>
                    <w:top w:val="single" w:color="auto" w:sz="4" w:space="0"/>
                    <w:left w:val="single" w:color="auto" w:sz="4" w:space="0"/>
                    <w:bottom w:val="single" w:color="auto" w:sz="4" w:space="0"/>
                    <w:right w:val="single" w:color="auto" w:sz="4" w:space="0"/>
                  </w:tcBorders>
                  <w:noWrap w:val="0"/>
                  <w:vAlign w:val="center"/>
                </w:tcPr>
                <w:p w14:paraId="5D8A4D1C">
                  <w:pPr>
                    <w:keepNext w:val="0"/>
                    <w:keepLines w:val="0"/>
                    <w:suppressLineNumbers w:val="0"/>
                    <w:adjustRightInd w:val="0"/>
                    <w:snapToGrid w:val="0"/>
                    <w:spacing w:before="0" w:beforeAutospacing="0" w:after="0" w:afterAutospacing="0"/>
                    <w:ind w:left="-63" w:leftChars="-30" w:right="-63" w:rightChars="-3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直井</w:t>
                  </w:r>
                </w:p>
              </w:tc>
              <w:tc>
                <w:tcPr>
                  <w:tcW w:w="593" w:type="pct"/>
                  <w:tcBorders>
                    <w:top w:val="single" w:color="auto" w:sz="4" w:space="0"/>
                    <w:left w:val="single" w:color="auto" w:sz="4" w:space="0"/>
                    <w:bottom w:val="single" w:color="auto" w:sz="4" w:space="0"/>
                    <w:right w:val="single" w:color="auto" w:sz="4" w:space="0"/>
                  </w:tcBorders>
                  <w:noWrap w:val="0"/>
                  <w:vAlign w:val="center"/>
                </w:tcPr>
                <w:p w14:paraId="39AC6A88">
                  <w:pPr>
                    <w:keepNext w:val="0"/>
                    <w:keepLines w:val="0"/>
                    <w:suppressLineNumbers w:val="0"/>
                    <w:adjustRightInd w:val="0"/>
                    <w:snapToGrid w:val="0"/>
                    <w:spacing w:before="0" w:beforeAutospacing="0" w:after="0" w:afterAutospacing="0"/>
                    <w:ind w:left="-63" w:leftChars="-30" w:right="-63" w:rightChars="-3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2750</w:t>
                  </w:r>
                </w:p>
              </w:tc>
              <w:tc>
                <w:tcPr>
                  <w:tcW w:w="740" w:type="pct"/>
                  <w:tcBorders>
                    <w:top w:val="single" w:color="auto" w:sz="4" w:space="0"/>
                    <w:left w:val="single" w:color="auto" w:sz="4" w:space="0"/>
                    <w:bottom w:val="single" w:color="auto" w:sz="4" w:space="0"/>
                    <w:right w:val="single" w:color="auto" w:sz="4" w:space="0"/>
                  </w:tcBorders>
                  <w:noWrap w:val="0"/>
                  <w:vAlign w:val="center"/>
                </w:tcPr>
                <w:p w14:paraId="693345F1">
                  <w:pPr>
                    <w:keepNext w:val="0"/>
                    <w:keepLines w:val="0"/>
                    <w:suppressLineNumbers w:val="0"/>
                    <w:adjustRightInd w:val="0"/>
                    <w:snapToGrid w:val="0"/>
                    <w:spacing w:before="0" w:beforeAutospacing="0" w:after="0" w:afterAutospacing="0"/>
                    <w:ind w:left="-63" w:leftChars="-30" w:right="-63" w:rightChars="-3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2750</w:t>
                  </w:r>
                </w:p>
              </w:tc>
              <w:tc>
                <w:tcPr>
                  <w:tcW w:w="931" w:type="pct"/>
                  <w:tcBorders>
                    <w:top w:val="single" w:color="auto" w:sz="4" w:space="0"/>
                    <w:left w:val="single" w:color="auto" w:sz="4" w:space="0"/>
                    <w:bottom w:val="single" w:color="auto" w:sz="4" w:space="0"/>
                    <w:right w:val="single" w:color="auto" w:sz="4" w:space="0"/>
                  </w:tcBorders>
                  <w:noWrap w:val="0"/>
                  <w:vAlign w:val="center"/>
                </w:tcPr>
                <w:p w14:paraId="69D289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407" w:type="pct"/>
                  <w:tcBorders>
                    <w:top w:val="single" w:color="auto" w:sz="4" w:space="0"/>
                    <w:left w:val="single" w:color="auto" w:sz="4" w:space="0"/>
                    <w:bottom w:val="single" w:color="auto" w:sz="4" w:space="0"/>
                    <w:right w:val="single" w:color="auto" w:sz="4" w:space="0"/>
                  </w:tcBorders>
                  <w:noWrap w:val="0"/>
                  <w:vAlign w:val="center"/>
                </w:tcPr>
                <w:p w14:paraId="7D82105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二叠系</w:t>
                  </w:r>
                  <w:r>
                    <w:rPr>
                      <w:rFonts w:hint="eastAsia" w:ascii="Times New Roman" w:hAnsi="Times New Roman" w:eastAsia="宋体" w:cs="Times New Roman"/>
                      <w:color w:val="auto"/>
                      <w:kern w:val="0"/>
                      <w:sz w:val="21"/>
                      <w:szCs w:val="21"/>
                      <w:highlight w:val="none"/>
                      <w:lang w:val="en-US" w:eastAsia="zh-CN" w:bidi="ar"/>
                    </w:rPr>
                    <w:t>下统山西组</w:t>
                  </w:r>
                </w:p>
              </w:tc>
            </w:tr>
          </w:tbl>
          <w:p w14:paraId="3E26F827">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4"/>
                <w:szCs w:val="24"/>
                <w:highlight w:val="none"/>
                <w:lang w:eastAsia="zh-CN"/>
              </w:rPr>
              <w:t>建设内容包括钻前工程（建设内容主要为</w:t>
            </w:r>
            <w:r>
              <w:rPr>
                <w:rFonts w:hint="default" w:ascii="Times New Roman" w:hAnsi="Times New Roman" w:cs="Times New Roman"/>
                <w:color w:val="auto"/>
                <w:highlight w:val="none"/>
                <w:lang w:eastAsia="zh-CN"/>
              </w:rPr>
              <w:t>修建设备基础、泥浆罐、污水罐、临时办公生活区等）、钻井工程（建设内容主要为钻井、测井、录井、固井等）、完井测试（主要包括完井作业和</w:t>
            </w:r>
            <w:r>
              <w:rPr>
                <w:rFonts w:hint="eastAsia" w:ascii="Times New Roman" w:hAnsi="Times New Roman" w:cs="Times New Roman"/>
                <w:color w:val="auto"/>
                <w:highlight w:val="none"/>
                <w:lang w:val="en-US" w:eastAsia="zh-CN"/>
              </w:rPr>
              <w:t>天然</w:t>
            </w:r>
            <w:r>
              <w:rPr>
                <w:rFonts w:hint="default" w:ascii="Times New Roman" w:hAnsi="Times New Roman" w:cs="Times New Roman"/>
                <w:color w:val="auto"/>
                <w:highlight w:val="none"/>
                <w:lang w:eastAsia="zh-CN"/>
              </w:rPr>
              <w:t>气测试，洗井、射孔、压裂、试</w:t>
            </w:r>
            <w:r>
              <w:rPr>
                <w:rFonts w:hint="eastAsia" w:ascii="Times New Roman" w:hAnsi="Times New Roman" w:cs="Times New Roman"/>
                <w:color w:val="auto"/>
                <w:highlight w:val="none"/>
                <w:lang w:val="en-US" w:eastAsia="zh-CN"/>
              </w:rPr>
              <w:t>气</w:t>
            </w:r>
            <w:r>
              <w:rPr>
                <w:rFonts w:hint="default" w:ascii="Times New Roman" w:hAnsi="Times New Roman" w:cs="Times New Roman"/>
                <w:color w:val="auto"/>
                <w:highlight w:val="none"/>
                <w:lang w:eastAsia="zh-CN"/>
              </w:rPr>
              <w:t>等）及封井作业。项目测井方式为电测井，不涉及放射性源的使用。</w:t>
            </w:r>
          </w:p>
          <w:p w14:paraId="135DE3C0">
            <w:pPr>
              <w:pStyle w:val="20"/>
              <w:widowControl/>
              <w:adjustRightInd/>
              <w:snapToGrid/>
              <w:ind w:left="0" w:firstLine="480"/>
              <w:rPr>
                <w:rFonts w:hint="default" w:ascii="Times New Roman" w:hAnsi="Times New Roman" w:eastAsia="宋体" w:cs="Times New Roman"/>
                <w:color w:val="auto"/>
                <w:szCs w:val="24"/>
                <w:highlight w:val="none"/>
                <w:lang w:val="en-US" w:eastAsia="zh-CN"/>
              </w:rPr>
            </w:pPr>
            <w:r>
              <w:rPr>
                <w:rFonts w:hint="default" w:ascii="Times New Roman" w:hAnsi="Times New Roman" w:cs="Times New Roman"/>
                <w:color w:val="auto"/>
                <w:highlight w:val="none"/>
                <w:lang w:eastAsia="zh-CN"/>
              </w:rPr>
              <w:t>本次评价仅对勘探过程中对环境的影响进行分析，不包括天然气开采、采气生产站外管道建设评价。</w:t>
            </w:r>
          </w:p>
          <w:p w14:paraId="28DB08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4"/>
                <w:szCs w:val="24"/>
                <w:highlight w:val="none"/>
                <w:lang w:val="en-US" w:eastAsia="zh-CN" w:bidi="ar"/>
              </w:rPr>
            </w:pPr>
          </w:p>
          <w:p w14:paraId="34B71D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表2-</w:t>
            </w:r>
            <w:r>
              <w:rPr>
                <w:rFonts w:hint="eastAsia" w:ascii="Times New Roman" w:hAnsi="Times New Roman" w:cs="Times New Roman"/>
                <w:b/>
                <w:bCs/>
                <w:color w:val="auto"/>
                <w:kern w:val="0"/>
                <w:sz w:val="24"/>
                <w:szCs w:val="24"/>
                <w:highlight w:val="none"/>
                <w:lang w:val="en-US" w:eastAsia="zh-CN" w:bidi="ar"/>
              </w:rPr>
              <w:t xml:space="preserve">3 </w:t>
            </w:r>
            <w:r>
              <w:rPr>
                <w:rFonts w:hint="default" w:ascii="Times New Roman" w:hAnsi="Times New Roman" w:eastAsia="宋体" w:cs="Times New Roman"/>
                <w:b/>
                <w:bCs/>
                <w:color w:val="auto"/>
                <w:kern w:val="0"/>
                <w:sz w:val="24"/>
                <w:szCs w:val="24"/>
                <w:highlight w:val="none"/>
                <w:lang w:val="en-US" w:eastAsia="zh-CN" w:bidi="ar"/>
              </w:rPr>
              <w:t>项目组成及建设内容一览表</w:t>
            </w:r>
          </w:p>
          <w:tbl>
            <w:tblPr>
              <w:tblStyle w:val="17"/>
              <w:tblW w:w="83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426"/>
              <w:gridCol w:w="5"/>
              <w:gridCol w:w="1357"/>
              <w:gridCol w:w="6157"/>
            </w:tblGrid>
            <w:tr w14:paraId="259E2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Borders>
                    <w:top w:val="single" w:color="auto" w:sz="4" w:space="0"/>
                    <w:left w:val="single" w:color="auto" w:sz="4" w:space="0"/>
                    <w:bottom w:val="single" w:color="auto" w:sz="4" w:space="0"/>
                    <w:right w:val="single" w:color="auto" w:sz="4" w:space="0"/>
                  </w:tcBorders>
                  <w:noWrap w:val="0"/>
                  <w:vAlign w:val="center"/>
                </w:tcPr>
                <w:p w14:paraId="184F912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项目</w:t>
                  </w:r>
                </w:p>
              </w:tc>
              <w:tc>
                <w:tcPr>
                  <w:tcW w:w="1788" w:type="dxa"/>
                  <w:gridSpan w:val="3"/>
                  <w:tcBorders>
                    <w:top w:val="single" w:color="auto" w:sz="4" w:space="0"/>
                    <w:left w:val="single" w:color="auto" w:sz="4" w:space="0"/>
                    <w:bottom w:val="single" w:color="auto" w:sz="4" w:space="0"/>
                    <w:right w:val="single" w:color="auto" w:sz="4" w:space="0"/>
                  </w:tcBorders>
                  <w:noWrap w:val="0"/>
                  <w:vAlign w:val="center"/>
                </w:tcPr>
                <w:p w14:paraId="4D2D491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类别</w:t>
                  </w:r>
                </w:p>
              </w:tc>
              <w:tc>
                <w:tcPr>
                  <w:tcW w:w="6157" w:type="dxa"/>
                  <w:tcBorders>
                    <w:top w:val="single" w:color="auto" w:sz="4" w:space="0"/>
                    <w:left w:val="single" w:color="auto" w:sz="4" w:space="0"/>
                    <w:bottom w:val="single" w:color="auto" w:sz="4" w:space="0"/>
                    <w:right w:val="single" w:color="auto" w:sz="4" w:space="0"/>
                  </w:tcBorders>
                  <w:noWrap w:val="0"/>
                  <w:vAlign w:val="center"/>
                </w:tcPr>
                <w:p w14:paraId="3F3DFF5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工程内容</w:t>
                  </w:r>
                </w:p>
              </w:tc>
            </w:tr>
            <w:tr w14:paraId="6B627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vMerge w:val="restart"/>
                  <w:tcBorders>
                    <w:top w:val="single" w:color="auto" w:sz="4" w:space="0"/>
                    <w:left w:val="single" w:color="auto" w:sz="4" w:space="0"/>
                    <w:bottom w:val="single" w:color="auto" w:sz="4" w:space="0"/>
                    <w:right w:val="single" w:color="auto" w:sz="4" w:space="0"/>
                  </w:tcBorders>
                  <w:noWrap w:val="0"/>
                  <w:vAlign w:val="center"/>
                </w:tcPr>
                <w:p w14:paraId="47285EE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主体工程</w:t>
                  </w:r>
                </w:p>
              </w:tc>
              <w:tc>
                <w:tcPr>
                  <w:tcW w:w="426" w:type="dxa"/>
                  <w:vMerge w:val="restart"/>
                  <w:tcBorders>
                    <w:top w:val="single" w:color="auto" w:sz="4" w:space="0"/>
                    <w:left w:val="single" w:color="auto" w:sz="4" w:space="0"/>
                    <w:bottom w:val="single" w:color="auto" w:sz="4" w:space="0"/>
                    <w:right w:val="single" w:color="auto" w:sz="4" w:space="0"/>
                  </w:tcBorders>
                  <w:noWrap w:val="0"/>
                  <w:vAlign w:val="center"/>
                </w:tcPr>
                <w:p w14:paraId="1CA6722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井场</w:t>
                  </w:r>
                </w:p>
              </w:tc>
              <w:tc>
                <w:tcPr>
                  <w:tcW w:w="1362" w:type="dxa"/>
                  <w:gridSpan w:val="2"/>
                  <w:tcBorders>
                    <w:top w:val="single" w:color="auto" w:sz="4" w:space="0"/>
                    <w:left w:val="single" w:color="auto" w:sz="4" w:space="0"/>
                    <w:bottom w:val="single" w:color="auto" w:sz="4" w:space="0"/>
                    <w:right w:val="single" w:color="auto" w:sz="4" w:space="0"/>
                  </w:tcBorders>
                  <w:noWrap w:val="0"/>
                  <w:vAlign w:val="center"/>
                </w:tcPr>
                <w:p w14:paraId="0EEC3E9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钻井区</w:t>
                  </w:r>
                </w:p>
              </w:tc>
              <w:tc>
                <w:tcPr>
                  <w:tcW w:w="6157" w:type="dxa"/>
                  <w:tcBorders>
                    <w:top w:val="single" w:color="auto" w:sz="4" w:space="0"/>
                    <w:left w:val="single" w:color="auto" w:sz="4" w:space="0"/>
                    <w:bottom w:val="single" w:color="auto" w:sz="4" w:space="0"/>
                    <w:right w:val="single" w:color="auto" w:sz="4" w:space="0"/>
                  </w:tcBorders>
                  <w:noWrap w:val="0"/>
                  <w:vAlign w:val="center"/>
                </w:tcPr>
                <w:p w14:paraId="35D5E0A1">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包括机房、钻台、井口，主要进行钻井活动及完井测试，采用常规钻井工艺，钻井为直井，钻井垂深27</w:t>
                  </w:r>
                  <w:r>
                    <w:rPr>
                      <w:rFonts w:hint="eastAsia" w:ascii="Times New Roman" w:hAnsi="Times New Roman" w:cs="Times New Roman"/>
                      <w:color w:val="auto"/>
                      <w:kern w:val="0"/>
                      <w:sz w:val="21"/>
                      <w:szCs w:val="21"/>
                      <w:highlight w:val="none"/>
                      <w:lang w:val="en-US" w:eastAsia="zh-CN" w:bidi="ar"/>
                    </w:rPr>
                    <w:t>50</w:t>
                  </w:r>
                  <w:r>
                    <w:rPr>
                      <w:rFonts w:hint="default" w:ascii="Times New Roman" w:hAnsi="Times New Roman" w:eastAsia="宋体" w:cs="Times New Roman"/>
                      <w:color w:val="auto"/>
                      <w:kern w:val="0"/>
                      <w:sz w:val="21"/>
                      <w:szCs w:val="21"/>
                      <w:highlight w:val="none"/>
                      <w:lang w:val="en-US" w:eastAsia="zh-CN" w:bidi="ar"/>
                    </w:rPr>
                    <w:t>m之间，钻井进尺</w:t>
                  </w:r>
                  <w:r>
                    <w:rPr>
                      <w:rFonts w:hint="eastAsia" w:ascii="Times New Roman" w:hAnsi="Times New Roman" w:cs="Times New Roman"/>
                      <w:color w:val="auto"/>
                      <w:kern w:val="0"/>
                      <w:sz w:val="21"/>
                      <w:szCs w:val="21"/>
                      <w:highlight w:val="none"/>
                      <w:lang w:val="en-US" w:eastAsia="zh-CN" w:bidi="ar"/>
                    </w:rPr>
                    <w:t>2750</w:t>
                  </w:r>
                  <w:r>
                    <w:rPr>
                      <w:rFonts w:hint="default" w:ascii="Times New Roman" w:hAnsi="Times New Roman" w:eastAsia="宋体" w:cs="Times New Roman"/>
                      <w:color w:val="auto"/>
                      <w:kern w:val="0"/>
                      <w:sz w:val="21"/>
                      <w:szCs w:val="21"/>
                      <w:highlight w:val="none"/>
                      <w:lang w:val="en-US" w:eastAsia="zh-CN" w:bidi="ar"/>
                    </w:rPr>
                    <w:t>m，主要进行</w:t>
                  </w:r>
                  <w:r>
                    <w:rPr>
                      <w:rFonts w:hint="eastAsia" w:ascii="Times New Roman" w:hAnsi="Times New Roman" w:cs="Times New Roman"/>
                      <w:color w:val="auto"/>
                      <w:kern w:val="0"/>
                      <w:sz w:val="21"/>
                      <w:szCs w:val="21"/>
                      <w:highlight w:val="none"/>
                      <w:lang w:val="en-US" w:eastAsia="zh-CN" w:bidi="ar"/>
                    </w:rPr>
                    <w:t>勘探</w:t>
                  </w:r>
                  <w:r>
                    <w:rPr>
                      <w:rFonts w:hint="default" w:ascii="Times New Roman" w:hAnsi="Times New Roman" w:eastAsia="宋体" w:cs="Times New Roman"/>
                      <w:color w:val="auto"/>
                      <w:kern w:val="0"/>
                      <w:sz w:val="21"/>
                      <w:szCs w:val="21"/>
                      <w:highlight w:val="none"/>
                      <w:lang w:val="en-US" w:eastAsia="zh-CN" w:bidi="ar"/>
                    </w:rPr>
                    <w:t>天然气储藏情况。钻井过程包括下套管和固井等作业，当钻至目的层后完井测试。主要布置钻机、井架、底座、天车、绞车、游动滑车等钻井设备，以及钻井控制系统、井控制装置。</w:t>
                  </w:r>
                </w:p>
              </w:tc>
            </w:tr>
            <w:tr w14:paraId="0AED5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45" w:type="dxa"/>
                  <w:vMerge w:val="continue"/>
                  <w:tcBorders>
                    <w:top w:val="single" w:color="auto" w:sz="4" w:space="0"/>
                    <w:left w:val="single" w:color="auto" w:sz="4" w:space="0"/>
                    <w:bottom w:val="single" w:color="auto" w:sz="4" w:space="0"/>
                    <w:right w:val="single" w:color="auto" w:sz="4" w:space="0"/>
                  </w:tcBorders>
                  <w:noWrap w:val="0"/>
                  <w:vAlign w:val="center"/>
                </w:tcPr>
                <w:p w14:paraId="7AB68950">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24E1EF34">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1362" w:type="dxa"/>
                  <w:gridSpan w:val="2"/>
                  <w:tcBorders>
                    <w:top w:val="single" w:color="auto" w:sz="4" w:space="0"/>
                    <w:left w:val="single" w:color="auto" w:sz="4" w:space="0"/>
                    <w:bottom w:val="single" w:color="auto" w:sz="4" w:space="0"/>
                    <w:right w:val="single" w:color="auto" w:sz="4" w:space="0"/>
                  </w:tcBorders>
                  <w:noWrap w:val="0"/>
                  <w:vAlign w:val="center"/>
                </w:tcPr>
                <w:p w14:paraId="2E63C96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泥浆循环系统</w:t>
                  </w:r>
                </w:p>
              </w:tc>
              <w:tc>
                <w:tcPr>
                  <w:tcW w:w="6157" w:type="dxa"/>
                  <w:tcBorders>
                    <w:top w:val="single" w:color="auto" w:sz="4" w:space="0"/>
                    <w:left w:val="single" w:color="auto" w:sz="4" w:space="0"/>
                    <w:right w:val="single" w:color="auto" w:sz="4" w:space="0"/>
                  </w:tcBorders>
                  <w:noWrap w:val="0"/>
                  <w:vAlign w:val="center"/>
                </w:tcPr>
                <w:p w14:paraId="096EE12A">
                  <w:pPr>
                    <w:keepNext w:val="0"/>
                    <w:keepLines w:val="0"/>
                    <w:widowControl w:val="0"/>
                    <w:suppressLineNumbers w:val="0"/>
                    <w:spacing w:before="0" w:beforeAutospacing="0" w:after="0" w:afterAutospacing="0"/>
                    <w:ind w:left="0" w:leftChars="0" w:right="0" w:right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泥浆循环系统紧邻钻井区，主要包括钻井液振动筛、真空除气器、除砂除泥一体机、液气分离器、搅拌器、砂浆、泥浆罐（7个50m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vertAlign w:val="baseline"/>
                      <w:lang w:val="en-US" w:eastAsia="zh-CN"/>
                    </w:rPr>
                    <w:t>泥浆循环罐）、岩屑罐（3个100m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vertAlign w:val="baseline"/>
                      <w:lang w:val="en-US" w:eastAsia="zh-CN"/>
                    </w:rPr>
                    <w:t>移动式泥饼及岩屑收集罐）等，通过泥浆循环系统实现泥浆与岩屑的分离，本项目为水基钻井泥浆。</w:t>
                  </w:r>
                </w:p>
              </w:tc>
            </w:tr>
            <w:tr w14:paraId="41DE7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45" w:type="dxa"/>
                  <w:vMerge w:val="continue"/>
                  <w:tcBorders>
                    <w:left w:val="single" w:color="auto" w:sz="4" w:space="0"/>
                    <w:bottom w:val="single" w:color="auto" w:sz="4" w:space="0"/>
                    <w:right w:val="single" w:color="auto" w:sz="4" w:space="0"/>
                  </w:tcBorders>
                  <w:noWrap w:val="0"/>
                  <w:vAlign w:val="center"/>
                </w:tcPr>
                <w:p w14:paraId="757FD56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26" w:type="dxa"/>
                  <w:vMerge w:val="continue"/>
                  <w:tcBorders>
                    <w:left w:val="single" w:color="auto" w:sz="4" w:space="0"/>
                    <w:bottom w:val="single" w:color="auto" w:sz="4" w:space="0"/>
                    <w:right w:val="single" w:color="auto" w:sz="4" w:space="0"/>
                  </w:tcBorders>
                  <w:noWrap w:val="0"/>
                  <w:vAlign w:val="center"/>
                </w:tcPr>
                <w:p w14:paraId="4778496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1362" w:type="dxa"/>
                  <w:gridSpan w:val="2"/>
                  <w:tcBorders>
                    <w:top w:val="single" w:color="auto" w:sz="4" w:space="0"/>
                    <w:left w:val="single" w:color="auto" w:sz="4" w:space="0"/>
                    <w:bottom w:val="single" w:color="auto" w:sz="4" w:space="0"/>
                    <w:right w:val="single" w:color="auto" w:sz="4" w:space="0"/>
                  </w:tcBorders>
                  <w:noWrap w:val="0"/>
                  <w:vAlign w:val="center"/>
                </w:tcPr>
                <w:p w14:paraId="0102AD32">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放喷罐</w:t>
                  </w:r>
                </w:p>
              </w:tc>
              <w:tc>
                <w:tcPr>
                  <w:tcW w:w="6157" w:type="dxa"/>
                  <w:tcBorders>
                    <w:left w:val="single" w:color="auto" w:sz="4" w:space="0"/>
                    <w:bottom w:val="single" w:color="auto" w:sz="4" w:space="0"/>
                    <w:right w:val="single" w:color="auto" w:sz="4" w:space="0"/>
                  </w:tcBorders>
                  <w:noWrap w:val="0"/>
                  <w:vAlign w:val="center"/>
                </w:tcPr>
                <w:p w14:paraId="041BE650">
                  <w:pPr>
                    <w:keepNext w:val="0"/>
                    <w:keepLines w:val="0"/>
                    <w:widowControl w:val="0"/>
                    <w:suppressLineNumbers w:val="0"/>
                    <w:spacing w:before="0" w:beforeAutospacing="0" w:after="0" w:afterAutospacing="0"/>
                    <w:ind w:left="0" w:leftChars="0" w:right="0" w:rightChars="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val="0"/>
                      <w:bCs w:val="0"/>
                      <w:color w:val="auto"/>
                      <w:sz w:val="21"/>
                      <w:szCs w:val="21"/>
                      <w:highlight w:val="none"/>
                      <w:vertAlign w:val="baseline"/>
                      <w:lang w:val="en-US" w:eastAsia="zh-CN"/>
                    </w:rPr>
                    <w:t>井场</w:t>
                  </w:r>
                  <w:r>
                    <w:rPr>
                      <w:rFonts w:hint="eastAsia" w:ascii="Times New Roman" w:hAnsi="Times New Roman" w:eastAsia="宋体" w:cs="Times New Roman"/>
                      <w:b w:val="0"/>
                      <w:bCs w:val="0"/>
                      <w:color w:val="auto"/>
                      <w:sz w:val="21"/>
                      <w:szCs w:val="21"/>
                      <w:highlight w:val="none"/>
                      <w:vertAlign w:val="baseline"/>
                      <w:lang w:val="en-US" w:eastAsia="zh-CN"/>
                    </w:rPr>
                    <w:t>设置1个20m</w:t>
                  </w:r>
                  <w:r>
                    <w:rPr>
                      <w:rFonts w:hint="eastAsia" w:ascii="Times New Roman" w:hAnsi="Times New Roman" w:eastAsia="宋体" w:cs="Times New Roman"/>
                      <w:b w:val="0"/>
                      <w:bCs w:val="0"/>
                      <w:color w:val="auto"/>
                      <w:sz w:val="21"/>
                      <w:szCs w:val="21"/>
                      <w:highlight w:val="none"/>
                      <w:vertAlign w:val="superscript"/>
                      <w:lang w:val="en-US" w:eastAsia="zh-CN"/>
                    </w:rPr>
                    <w:t>3</w:t>
                  </w:r>
                  <w:r>
                    <w:rPr>
                      <w:rFonts w:hint="eastAsia" w:ascii="Times New Roman" w:hAnsi="Times New Roman" w:eastAsia="宋体" w:cs="Times New Roman"/>
                      <w:b w:val="0"/>
                      <w:bCs w:val="0"/>
                      <w:color w:val="auto"/>
                      <w:sz w:val="21"/>
                      <w:szCs w:val="21"/>
                      <w:highlight w:val="none"/>
                      <w:vertAlign w:val="baseline"/>
                      <w:lang w:val="en-US" w:eastAsia="zh-CN"/>
                    </w:rPr>
                    <w:t>放喷罐，天然气经管线引至气液分离器分离出液体后气体引至放喷罐点火放喷，放喷罐为双层罐，罐体中间隔层加装清水降温。放喷罐位于</w:t>
                  </w:r>
                  <w:r>
                    <w:rPr>
                      <w:rFonts w:hint="default" w:ascii="Times New Roman" w:hAnsi="Times New Roman" w:eastAsia="宋体" w:cs="Times New Roman"/>
                      <w:b w:val="0"/>
                      <w:bCs w:val="0"/>
                      <w:color w:val="auto"/>
                      <w:sz w:val="21"/>
                      <w:szCs w:val="21"/>
                      <w:highlight w:val="none"/>
                      <w:vertAlign w:val="baseline"/>
                      <w:lang w:val="en-US" w:eastAsia="zh-CN"/>
                    </w:rPr>
                    <w:t>井场内下风向，</w:t>
                  </w:r>
                  <w:r>
                    <w:rPr>
                      <w:rFonts w:hint="eastAsia" w:ascii="Times New Roman" w:hAnsi="Times New Roman" w:eastAsia="宋体" w:cs="Times New Roman"/>
                      <w:b w:val="0"/>
                      <w:bCs w:val="0"/>
                      <w:color w:val="auto"/>
                      <w:sz w:val="21"/>
                      <w:szCs w:val="21"/>
                      <w:highlight w:val="none"/>
                      <w:vertAlign w:val="baseline"/>
                      <w:lang w:val="en-US" w:eastAsia="zh-CN"/>
                    </w:rPr>
                    <w:t>放喷口</w:t>
                  </w:r>
                  <w:r>
                    <w:rPr>
                      <w:rFonts w:hint="default" w:ascii="Times New Roman" w:hAnsi="Times New Roman" w:eastAsia="宋体" w:cs="Times New Roman"/>
                      <w:b w:val="0"/>
                      <w:bCs w:val="0"/>
                      <w:color w:val="auto"/>
                      <w:sz w:val="21"/>
                      <w:szCs w:val="21"/>
                      <w:highlight w:val="none"/>
                      <w:vertAlign w:val="baseline"/>
                      <w:lang w:val="en-US" w:eastAsia="zh-CN"/>
                    </w:rPr>
                    <w:t>安装防喷器和控制装置；井下安装压力传感装置和事故报警器；组织员工应急培训、应急演练、设置井口防喷器组</w:t>
                  </w:r>
                  <w:r>
                    <w:rPr>
                      <w:rFonts w:hint="eastAsia" w:ascii="Times New Roman" w:hAnsi="Times New Roman" w:eastAsia="宋体" w:cs="Times New Roman"/>
                      <w:b w:val="0"/>
                      <w:bCs w:val="0"/>
                      <w:color w:val="auto"/>
                      <w:sz w:val="21"/>
                      <w:szCs w:val="21"/>
                      <w:highlight w:val="none"/>
                      <w:vertAlign w:val="baseline"/>
                      <w:lang w:val="en-US" w:eastAsia="zh-CN"/>
                    </w:rPr>
                    <w:t>、点火装置</w:t>
                  </w:r>
                  <w:r>
                    <w:rPr>
                      <w:rFonts w:hint="default" w:ascii="Times New Roman" w:hAnsi="Times New Roman" w:eastAsia="宋体" w:cs="Times New Roman"/>
                      <w:b w:val="0"/>
                      <w:bCs w:val="0"/>
                      <w:color w:val="auto"/>
                      <w:sz w:val="21"/>
                      <w:szCs w:val="21"/>
                      <w:highlight w:val="none"/>
                      <w:vertAlign w:val="baseline"/>
                      <w:lang w:val="en-US" w:eastAsia="zh-CN"/>
                    </w:rPr>
                    <w:t>、放喷管线、灭火器、铁锹及沙袋、临时土围堰。</w:t>
                  </w:r>
                </w:p>
              </w:tc>
            </w:tr>
            <w:tr w14:paraId="35685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vMerge w:val="restart"/>
                  <w:tcBorders>
                    <w:top w:val="single" w:color="auto" w:sz="4" w:space="0"/>
                    <w:left w:val="single" w:color="auto" w:sz="4" w:space="0"/>
                    <w:bottom w:val="single" w:color="auto" w:sz="4" w:space="0"/>
                    <w:right w:val="single" w:color="auto" w:sz="4" w:space="0"/>
                  </w:tcBorders>
                  <w:noWrap w:val="0"/>
                  <w:vAlign w:val="center"/>
                </w:tcPr>
                <w:p w14:paraId="43A9281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辅助工程</w:t>
                  </w:r>
                </w:p>
              </w:tc>
              <w:tc>
                <w:tcPr>
                  <w:tcW w:w="1788" w:type="dxa"/>
                  <w:gridSpan w:val="3"/>
                  <w:tcBorders>
                    <w:top w:val="single" w:color="auto" w:sz="4" w:space="0"/>
                    <w:left w:val="single" w:color="auto" w:sz="4" w:space="0"/>
                    <w:bottom w:val="single" w:color="auto" w:sz="4" w:space="0"/>
                    <w:right w:val="single" w:color="auto" w:sz="4" w:space="0"/>
                  </w:tcBorders>
                  <w:noWrap w:val="0"/>
                  <w:vAlign w:val="center"/>
                </w:tcPr>
                <w:p w14:paraId="666C890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井口基础</w:t>
                  </w:r>
                </w:p>
              </w:tc>
              <w:tc>
                <w:tcPr>
                  <w:tcW w:w="6157" w:type="dxa"/>
                  <w:tcBorders>
                    <w:top w:val="single" w:color="auto" w:sz="4" w:space="0"/>
                    <w:left w:val="single" w:color="auto" w:sz="4" w:space="0"/>
                    <w:bottom w:val="single" w:color="auto" w:sz="4" w:space="0"/>
                    <w:right w:val="single" w:color="auto" w:sz="4" w:space="0"/>
                  </w:tcBorders>
                  <w:noWrap w:val="0"/>
                  <w:vAlign w:val="center"/>
                </w:tcPr>
                <w:p w14:paraId="4D372A3F">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加固井口，方便其他配套设施安装。</w:t>
                  </w:r>
                </w:p>
              </w:tc>
            </w:tr>
            <w:tr w14:paraId="0AC9A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445" w:type="dxa"/>
                  <w:vMerge w:val="continue"/>
                  <w:tcBorders>
                    <w:top w:val="single" w:color="auto" w:sz="4" w:space="0"/>
                    <w:left w:val="single" w:color="auto" w:sz="4" w:space="0"/>
                    <w:bottom w:val="single" w:color="auto" w:sz="4" w:space="0"/>
                    <w:right w:val="single" w:color="auto" w:sz="4" w:space="0"/>
                  </w:tcBorders>
                  <w:noWrap w:val="0"/>
                  <w:vAlign w:val="center"/>
                </w:tcPr>
                <w:p w14:paraId="2FF66D20">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426" w:type="dxa"/>
                  <w:tcBorders>
                    <w:top w:val="single" w:color="auto" w:sz="4" w:space="0"/>
                    <w:left w:val="single" w:color="auto" w:sz="4" w:space="0"/>
                    <w:right w:val="single" w:color="auto" w:sz="4" w:space="0"/>
                  </w:tcBorders>
                  <w:noWrap w:val="0"/>
                  <w:vAlign w:val="center"/>
                </w:tcPr>
                <w:p w14:paraId="63EF22E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生活区</w:t>
                  </w:r>
                </w:p>
              </w:tc>
              <w:tc>
                <w:tcPr>
                  <w:tcW w:w="1362" w:type="dxa"/>
                  <w:gridSpan w:val="2"/>
                  <w:tcBorders>
                    <w:top w:val="single" w:color="auto" w:sz="4" w:space="0"/>
                    <w:left w:val="single" w:color="auto" w:sz="4" w:space="0"/>
                    <w:bottom w:val="single" w:color="auto" w:sz="4" w:space="0"/>
                    <w:right w:val="single" w:color="auto" w:sz="4" w:space="0"/>
                  </w:tcBorders>
                  <w:noWrap w:val="0"/>
                  <w:vAlign w:val="center"/>
                </w:tcPr>
                <w:p w14:paraId="190F22C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米75-3M</w:t>
                  </w:r>
                </w:p>
              </w:tc>
              <w:tc>
                <w:tcPr>
                  <w:tcW w:w="6157" w:type="dxa"/>
                  <w:tcBorders>
                    <w:top w:val="single" w:color="auto" w:sz="4" w:space="0"/>
                    <w:left w:val="single" w:color="auto" w:sz="4" w:space="0"/>
                    <w:right w:val="single" w:color="auto" w:sz="4" w:space="0"/>
                  </w:tcBorders>
                  <w:noWrap w:val="0"/>
                  <w:vAlign w:val="center"/>
                </w:tcPr>
                <w:p w14:paraId="73054F03">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位于井场西侧约2</w:t>
                  </w:r>
                  <w:r>
                    <w:rPr>
                      <w:rFonts w:hint="eastAsia" w:ascii="Times New Roman" w:hAnsi="Times New Roman" w:eastAsia="宋体" w:cs="Times New Roman"/>
                      <w:color w:val="auto"/>
                      <w:kern w:val="0"/>
                      <w:sz w:val="21"/>
                      <w:szCs w:val="21"/>
                      <w:highlight w:val="none"/>
                      <w:lang w:val="en-US" w:eastAsia="zh-CN" w:bidi="ar"/>
                    </w:rPr>
                    <w:t>0</w:t>
                  </w:r>
                  <w:r>
                    <w:rPr>
                      <w:rFonts w:hint="default" w:ascii="Times New Roman" w:hAnsi="Times New Roman" w:eastAsia="宋体" w:cs="Times New Roman"/>
                      <w:color w:val="auto"/>
                      <w:kern w:val="0"/>
                      <w:sz w:val="21"/>
                      <w:szCs w:val="21"/>
                      <w:highlight w:val="none"/>
                      <w:lang w:val="en-US" w:eastAsia="zh-CN" w:bidi="ar"/>
                    </w:rPr>
                    <w:t>0m处，面积约</w:t>
                  </w:r>
                  <w:r>
                    <w:rPr>
                      <w:rFonts w:hint="eastAsia" w:ascii="Times New Roman" w:hAnsi="Times New Roman" w:eastAsia="宋体" w:cs="Times New Roman"/>
                      <w:color w:val="auto"/>
                      <w:kern w:val="0"/>
                      <w:sz w:val="21"/>
                      <w:szCs w:val="21"/>
                      <w:highlight w:val="none"/>
                      <w:lang w:val="en-US" w:eastAsia="zh-CN" w:bidi="ar"/>
                    </w:rPr>
                    <w:t>917</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kern w:val="0"/>
                      <w:sz w:val="21"/>
                      <w:szCs w:val="21"/>
                      <w:highlight w:val="none"/>
                      <w:vertAlign w:val="superscript"/>
                      <w:lang w:val="en-US" w:eastAsia="zh-CN" w:bidi="ar"/>
                    </w:rPr>
                    <w:t>2</w:t>
                  </w:r>
                  <w:r>
                    <w:rPr>
                      <w:rFonts w:hint="eastAsia" w:ascii="Times New Roman" w:hAnsi="Times New Roman" w:eastAsia="宋体" w:cs="Times New Roman"/>
                      <w:b w:val="0"/>
                      <w:bCs w:val="0"/>
                      <w:color w:val="auto"/>
                      <w:sz w:val="21"/>
                      <w:szCs w:val="21"/>
                      <w:highlight w:val="none"/>
                      <w:vertAlign w:val="baseline"/>
                      <w:lang w:val="en-US" w:eastAsia="zh-CN"/>
                    </w:rPr>
                    <w:t>；占地类型为种植园用地和草地。</w:t>
                  </w:r>
                </w:p>
              </w:tc>
            </w:tr>
            <w:tr w14:paraId="25333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445" w:type="dxa"/>
                  <w:vMerge w:val="continue"/>
                  <w:tcBorders>
                    <w:top w:val="single" w:color="auto" w:sz="4" w:space="0"/>
                    <w:left w:val="single" w:color="auto" w:sz="4" w:space="0"/>
                    <w:bottom w:val="single" w:color="auto" w:sz="4" w:space="0"/>
                    <w:right w:val="single" w:color="auto" w:sz="4" w:space="0"/>
                  </w:tcBorders>
                  <w:noWrap w:val="0"/>
                  <w:vAlign w:val="center"/>
                </w:tcPr>
                <w:p w14:paraId="21625EE0">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426" w:type="dxa"/>
                  <w:tcBorders>
                    <w:top w:val="single" w:color="auto" w:sz="4" w:space="0"/>
                    <w:left w:val="single" w:color="auto" w:sz="4" w:space="0"/>
                    <w:right w:val="single" w:color="auto" w:sz="4" w:space="0"/>
                  </w:tcBorders>
                  <w:noWrap w:val="0"/>
                  <w:vAlign w:val="center"/>
                </w:tcPr>
                <w:p w14:paraId="545CBBD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临时道路</w:t>
                  </w:r>
                </w:p>
              </w:tc>
              <w:tc>
                <w:tcPr>
                  <w:tcW w:w="1362" w:type="dxa"/>
                  <w:gridSpan w:val="2"/>
                  <w:tcBorders>
                    <w:top w:val="single" w:color="auto" w:sz="4" w:space="0"/>
                    <w:left w:val="single" w:color="auto" w:sz="4" w:space="0"/>
                    <w:bottom w:val="single" w:color="auto" w:sz="4" w:space="0"/>
                    <w:right w:val="single" w:color="auto" w:sz="4" w:space="0"/>
                  </w:tcBorders>
                  <w:noWrap w:val="0"/>
                  <w:vAlign w:val="center"/>
                </w:tcPr>
                <w:p w14:paraId="5184360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米75-3M</w:t>
                  </w:r>
                </w:p>
              </w:tc>
              <w:tc>
                <w:tcPr>
                  <w:tcW w:w="6157" w:type="dxa"/>
                  <w:tcBorders>
                    <w:top w:val="single" w:color="auto" w:sz="4" w:space="0"/>
                    <w:left w:val="single" w:color="auto" w:sz="4" w:space="0"/>
                    <w:right w:val="single" w:color="auto" w:sz="4" w:space="0"/>
                  </w:tcBorders>
                  <w:noWrap w:val="0"/>
                  <w:vAlign w:val="center"/>
                </w:tcPr>
                <w:p w14:paraId="5CD376C5">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依托现有道路</w:t>
                  </w:r>
                </w:p>
              </w:tc>
            </w:tr>
            <w:tr w14:paraId="40574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vMerge w:val="continue"/>
                  <w:tcBorders>
                    <w:top w:val="single" w:color="auto" w:sz="4" w:space="0"/>
                    <w:left w:val="single" w:color="auto" w:sz="4" w:space="0"/>
                    <w:bottom w:val="single" w:color="auto" w:sz="4" w:space="0"/>
                    <w:right w:val="single" w:color="auto" w:sz="4" w:space="0"/>
                  </w:tcBorders>
                  <w:noWrap w:val="0"/>
                  <w:vAlign w:val="center"/>
                </w:tcPr>
                <w:p w14:paraId="7E0F27F1">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1788" w:type="dxa"/>
                  <w:gridSpan w:val="3"/>
                  <w:tcBorders>
                    <w:top w:val="single" w:color="auto" w:sz="4" w:space="0"/>
                    <w:left w:val="single" w:color="auto" w:sz="4" w:space="0"/>
                    <w:bottom w:val="single" w:color="auto" w:sz="4" w:space="0"/>
                    <w:right w:val="single" w:color="auto" w:sz="4" w:space="0"/>
                  </w:tcBorders>
                  <w:noWrap w:val="0"/>
                  <w:vAlign w:val="center"/>
                </w:tcPr>
                <w:p w14:paraId="48840759">
                  <w:pPr>
                    <w:pStyle w:val="20"/>
                    <w:widowControl/>
                    <w:spacing w:line="240" w:lineRule="auto"/>
                    <w:ind w:lef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lang w:eastAsia="zh-CN"/>
                    </w:rPr>
                    <w:t>临时堆场</w:t>
                  </w:r>
                </w:p>
              </w:tc>
              <w:tc>
                <w:tcPr>
                  <w:tcW w:w="6157" w:type="dxa"/>
                  <w:tcBorders>
                    <w:top w:val="single" w:color="auto" w:sz="4" w:space="0"/>
                    <w:left w:val="single" w:color="auto" w:sz="4" w:space="0"/>
                    <w:bottom w:val="single" w:color="auto" w:sz="4" w:space="0"/>
                    <w:right w:val="single" w:color="auto" w:sz="4" w:space="0"/>
                  </w:tcBorders>
                  <w:noWrap w:val="0"/>
                  <w:vAlign w:val="center"/>
                </w:tcPr>
                <w:p w14:paraId="0CF6A963">
                  <w:pPr>
                    <w:pStyle w:val="2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Calibri" w:cs="Times New Roman"/>
                      <w:color w:val="auto"/>
                      <w:kern w:val="0"/>
                      <w:sz w:val="21"/>
                      <w:szCs w:val="21"/>
                      <w:highlight w:val="none"/>
                      <w:lang w:val="en-US" w:eastAsia="zh-CN" w:bidi="ar"/>
                    </w:rPr>
                    <w:t>井场</w:t>
                  </w:r>
                  <w:r>
                    <w:rPr>
                      <w:rFonts w:hint="default" w:ascii="Times New Roman" w:hAnsi="Times New Roman" w:eastAsia="Calibri" w:cs="Times New Roman"/>
                      <w:color w:val="auto"/>
                      <w:kern w:val="0"/>
                      <w:sz w:val="21"/>
                      <w:szCs w:val="21"/>
                      <w:highlight w:val="none"/>
                      <w:lang w:val="en-US" w:eastAsia="zh-CN" w:bidi="ar"/>
                    </w:rPr>
                    <w:t>占地范围内设置1座表土堆场、1座其他土石方堆场</w:t>
                  </w:r>
                  <w:r>
                    <w:rPr>
                      <w:rFonts w:hint="eastAsia" w:ascii="Times New Roman" w:hAnsi="Times New Roman" w:eastAsia="Calibri" w:cs="Times New Roman"/>
                      <w:color w:val="auto"/>
                      <w:kern w:val="0"/>
                      <w:sz w:val="21"/>
                      <w:szCs w:val="21"/>
                      <w:highlight w:val="none"/>
                      <w:lang w:val="en-US" w:eastAsia="zh-CN" w:bidi="ar"/>
                    </w:rPr>
                    <w:t>，生活区</w:t>
                  </w:r>
                  <w:r>
                    <w:rPr>
                      <w:rFonts w:hint="default" w:ascii="Times New Roman" w:hAnsi="Times New Roman" w:eastAsia="Calibri" w:cs="Times New Roman"/>
                      <w:color w:val="auto"/>
                      <w:kern w:val="0"/>
                      <w:sz w:val="21"/>
                      <w:szCs w:val="21"/>
                      <w:highlight w:val="none"/>
                      <w:lang w:val="en-US" w:eastAsia="zh-CN" w:bidi="ar"/>
                    </w:rPr>
                    <w:t>各设置1座表土堆场、1座其他土石方堆场。</w:t>
                  </w:r>
                </w:p>
              </w:tc>
            </w:tr>
            <w:tr w14:paraId="0147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vMerge w:val="continue"/>
                  <w:tcBorders>
                    <w:top w:val="single" w:color="auto" w:sz="4" w:space="0"/>
                    <w:left w:val="single" w:color="auto" w:sz="4" w:space="0"/>
                    <w:bottom w:val="single" w:color="auto" w:sz="4" w:space="0"/>
                    <w:right w:val="single" w:color="auto" w:sz="4" w:space="0"/>
                  </w:tcBorders>
                  <w:noWrap w:val="0"/>
                  <w:vAlign w:val="center"/>
                </w:tcPr>
                <w:p w14:paraId="35E778AA">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1788" w:type="dxa"/>
                  <w:gridSpan w:val="3"/>
                  <w:tcBorders>
                    <w:top w:val="single" w:color="auto" w:sz="4" w:space="0"/>
                    <w:left w:val="single" w:color="auto" w:sz="4" w:space="0"/>
                    <w:bottom w:val="single" w:color="auto" w:sz="4" w:space="0"/>
                    <w:right w:val="single" w:color="auto" w:sz="4" w:space="0"/>
                  </w:tcBorders>
                  <w:noWrap w:val="0"/>
                  <w:vAlign w:val="center"/>
                </w:tcPr>
                <w:p w14:paraId="2016A14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物料区</w:t>
                  </w:r>
                </w:p>
              </w:tc>
              <w:tc>
                <w:tcPr>
                  <w:tcW w:w="6157" w:type="dxa"/>
                  <w:tcBorders>
                    <w:top w:val="single" w:color="auto" w:sz="4" w:space="0"/>
                    <w:left w:val="single" w:color="auto" w:sz="4" w:space="0"/>
                    <w:bottom w:val="single" w:color="auto" w:sz="4" w:space="0"/>
                    <w:right w:val="single" w:color="auto" w:sz="4" w:space="0"/>
                  </w:tcBorders>
                  <w:noWrap w:val="0"/>
                  <w:vAlign w:val="center"/>
                </w:tcPr>
                <w:p w14:paraId="6AE64CA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井场物料区占地面积600m</w:t>
                  </w:r>
                  <w:r>
                    <w:rPr>
                      <w:rFonts w:hint="default" w:ascii="Times New Roman" w:hAnsi="Times New Roman" w:eastAsia="宋体" w:cs="Times New Roman"/>
                      <w:b w:val="0"/>
                      <w:bCs w:val="0"/>
                      <w:color w:val="auto"/>
                      <w:sz w:val="21"/>
                      <w:szCs w:val="21"/>
                      <w:highlight w:val="none"/>
                      <w:vertAlign w:val="superscript"/>
                      <w:lang w:val="en-US" w:eastAsia="zh-CN"/>
                    </w:rPr>
                    <w:t>2</w:t>
                  </w:r>
                  <w:r>
                    <w:rPr>
                      <w:rFonts w:hint="default" w:ascii="Times New Roman" w:hAnsi="Times New Roman" w:eastAsia="宋体" w:cs="Times New Roman"/>
                      <w:b w:val="0"/>
                      <w:bCs w:val="0"/>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lang w:val="en-US" w:eastAsia="zh-CN"/>
                    </w:rPr>
                    <w:t>主要设有综合房、修理房、井控房、临时停车场等，按照简单防渗要求进行防渗。材料房、临时环保厕所按一般防渗区要求进行防渗。钻井液材料房，存放探头等钻井生产工具，按照重点防渗区要求进行防渗处理。</w:t>
                  </w:r>
                </w:p>
              </w:tc>
            </w:tr>
            <w:tr w14:paraId="3E5D0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445" w:type="dxa"/>
                  <w:tcBorders>
                    <w:top w:val="single" w:color="auto" w:sz="4" w:space="0"/>
                    <w:left w:val="single" w:color="auto" w:sz="4" w:space="0"/>
                    <w:bottom w:val="single" w:color="auto" w:sz="4" w:space="0"/>
                    <w:right w:val="single" w:color="auto" w:sz="4" w:space="0"/>
                  </w:tcBorders>
                  <w:noWrap w:val="0"/>
                  <w:vAlign w:val="center"/>
                </w:tcPr>
                <w:p w14:paraId="45F93F2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储运工程</w:t>
                  </w:r>
                </w:p>
              </w:tc>
              <w:tc>
                <w:tcPr>
                  <w:tcW w:w="1788" w:type="dxa"/>
                  <w:gridSpan w:val="3"/>
                  <w:tcBorders>
                    <w:top w:val="single" w:color="auto" w:sz="4" w:space="0"/>
                    <w:left w:val="single" w:color="auto" w:sz="4" w:space="0"/>
                    <w:bottom w:val="single" w:color="auto" w:sz="4" w:space="0"/>
                    <w:right w:val="single" w:color="auto" w:sz="4" w:space="0"/>
                  </w:tcBorders>
                  <w:noWrap w:val="0"/>
                  <w:vAlign w:val="center"/>
                </w:tcPr>
                <w:p w14:paraId="65B3261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储罐</w:t>
                  </w:r>
                </w:p>
              </w:tc>
              <w:tc>
                <w:tcPr>
                  <w:tcW w:w="6157" w:type="dxa"/>
                  <w:tcBorders>
                    <w:top w:val="single" w:color="auto" w:sz="4" w:space="0"/>
                    <w:left w:val="single" w:color="auto" w:sz="4" w:space="0"/>
                    <w:bottom w:val="single" w:color="auto" w:sz="4" w:space="0"/>
                    <w:right w:val="single" w:color="auto" w:sz="4" w:space="0"/>
                  </w:tcBorders>
                  <w:noWrap w:val="0"/>
                  <w:vAlign w:val="center"/>
                </w:tcPr>
                <w:p w14:paraId="63BFE23D">
                  <w:pPr>
                    <w:keepNext w:val="0"/>
                    <w:keepLines w:val="0"/>
                    <w:widowControl w:val="0"/>
                    <w:suppressLineNumbers w:val="0"/>
                    <w:spacing w:before="0" w:beforeAutospacing="0" w:after="0" w:afterAutospacing="0"/>
                    <w:ind w:left="0" w:leftChars="0" w:right="0" w:rightChars="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井</w:t>
                  </w:r>
                  <w:r>
                    <w:rPr>
                      <w:rFonts w:hint="default" w:ascii="Times New Roman" w:hAnsi="Times New Roman" w:eastAsia="宋体" w:cs="Times New Roman"/>
                      <w:b w:val="0"/>
                      <w:bCs w:val="0"/>
                      <w:color w:val="auto"/>
                      <w:sz w:val="21"/>
                      <w:szCs w:val="21"/>
                      <w:highlight w:val="none"/>
                      <w:vertAlign w:val="baseline"/>
                      <w:lang w:val="en-US" w:eastAsia="zh-CN"/>
                    </w:rPr>
                    <w:t>场设置</w:t>
                  </w:r>
                  <w:r>
                    <w:rPr>
                      <w:rFonts w:hint="eastAsia" w:ascii="Times New Roman" w:hAnsi="Times New Roman" w:eastAsia="宋体" w:cs="Times New Roman"/>
                      <w:b w:val="0"/>
                      <w:bCs w:val="0"/>
                      <w:color w:val="auto"/>
                      <w:sz w:val="21"/>
                      <w:szCs w:val="21"/>
                      <w:highlight w:val="none"/>
                      <w:vertAlign w:val="baseline"/>
                      <w:lang w:val="en-US" w:eastAsia="zh-CN"/>
                    </w:rPr>
                    <w:t>3</w:t>
                  </w:r>
                  <w:r>
                    <w:rPr>
                      <w:rFonts w:hint="default" w:ascii="Times New Roman" w:hAnsi="Times New Roman" w:eastAsia="宋体" w:cs="Times New Roman"/>
                      <w:b w:val="0"/>
                      <w:bCs w:val="0"/>
                      <w:color w:val="auto"/>
                      <w:sz w:val="21"/>
                      <w:szCs w:val="21"/>
                      <w:highlight w:val="none"/>
                      <w:vertAlign w:val="baseline"/>
                      <w:lang w:val="en-US" w:eastAsia="zh-CN"/>
                    </w:rPr>
                    <w:t>个75m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vertAlign w:val="baseline"/>
                      <w:lang w:val="en-US" w:eastAsia="zh-CN"/>
                    </w:rPr>
                    <w:t>洗井废水罐、</w:t>
                  </w:r>
                  <w:r>
                    <w:rPr>
                      <w:rFonts w:hint="eastAsia" w:ascii="Times New Roman" w:hAnsi="Times New Roman" w:eastAsia="宋体" w:cs="Times New Roman"/>
                      <w:b w:val="0"/>
                      <w:bCs w:val="0"/>
                      <w:color w:val="auto"/>
                      <w:sz w:val="21"/>
                      <w:szCs w:val="21"/>
                      <w:highlight w:val="none"/>
                      <w:vertAlign w:val="baseline"/>
                      <w:lang w:val="en-US" w:eastAsia="zh-CN"/>
                    </w:rPr>
                    <w:t>13</w:t>
                  </w:r>
                  <w:r>
                    <w:rPr>
                      <w:rFonts w:hint="default" w:ascii="Times New Roman" w:hAnsi="Times New Roman" w:eastAsia="宋体" w:cs="Times New Roman"/>
                      <w:b w:val="0"/>
                      <w:bCs w:val="0"/>
                      <w:color w:val="auto"/>
                      <w:sz w:val="21"/>
                      <w:szCs w:val="21"/>
                      <w:highlight w:val="none"/>
                      <w:vertAlign w:val="baseline"/>
                      <w:lang w:val="en-US" w:eastAsia="zh-CN"/>
                    </w:rPr>
                    <w:t>个75m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vertAlign w:val="baseline"/>
                      <w:lang w:val="en-US" w:eastAsia="zh-CN"/>
                    </w:rPr>
                    <w:t>压裂返排液罐</w:t>
                  </w:r>
                  <w:r>
                    <w:rPr>
                      <w:rFonts w:hint="eastAsia" w:ascii="Times New Roman" w:hAnsi="Times New Roman" w:eastAsia="宋体" w:cs="Times New Roman"/>
                      <w:b w:val="0"/>
                      <w:bCs w:val="0"/>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7个50m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vertAlign w:val="baseline"/>
                      <w:lang w:val="en-US" w:eastAsia="zh-CN"/>
                    </w:rPr>
                    <w:t>泥浆循环罐</w:t>
                  </w:r>
                  <w:r>
                    <w:rPr>
                      <w:rFonts w:hint="eastAsia" w:ascii="Times New Roman" w:hAnsi="Times New Roman" w:eastAsia="宋体" w:cs="Times New Roman"/>
                      <w:b w:val="0"/>
                      <w:bCs w:val="0"/>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3个100m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vertAlign w:val="baseline"/>
                      <w:lang w:val="en-US" w:eastAsia="zh-CN"/>
                    </w:rPr>
                    <w:t>岩屑收集罐</w:t>
                  </w:r>
                  <w:r>
                    <w:rPr>
                      <w:rFonts w:hint="eastAsia" w:ascii="Times New Roman" w:hAnsi="Times New Roman" w:eastAsia="宋体" w:cs="Times New Roman"/>
                      <w:b w:val="0"/>
                      <w:bCs w:val="0"/>
                      <w:color w:val="auto"/>
                      <w:sz w:val="21"/>
                      <w:szCs w:val="21"/>
                      <w:highlight w:val="none"/>
                      <w:vertAlign w:val="baseline"/>
                      <w:lang w:val="en-US" w:eastAsia="zh-CN"/>
                    </w:rPr>
                    <w:t>、1个</w:t>
                  </w:r>
                  <w:r>
                    <w:rPr>
                      <w:rFonts w:hint="default" w:ascii="Times New Roman" w:hAnsi="Times New Roman" w:eastAsia="宋体" w:cs="Times New Roman"/>
                      <w:b w:val="0"/>
                      <w:bCs w:val="0"/>
                      <w:color w:val="auto"/>
                      <w:sz w:val="21"/>
                      <w:szCs w:val="21"/>
                      <w:highlight w:val="none"/>
                      <w:vertAlign w:val="baseline"/>
                      <w:lang w:val="en-US" w:eastAsia="zh-CN"/>
                    </w:rPr>
                    <w:t>100m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eastAsia" w:ascii="Times New Roman" w:hAnsi="Times New Roman" w:eastAsia="宋体" w:cs="Times New Roman"/>
                      <w:b w:val="0"/>
                      <w:bCs w:val="0"/>
                      <w:color w:val="auto"/>
                      <w:sz w:val="21"/>
                      <w:szCs w:val="21"/>
                      <w:highlight w:val="none"/>
                      <w:vertAlign w:val="baseline"/>
                      <w:lang w:val="en-US" w:eastAsia="zh-CN"/>
                    </w:rPr>
                    <w:t>应急</w:t>
                  </w:r>
                  <w:r>
                    <w:rPr>
                      <w:rFonts w:hint="default" w:ascii="Times New Roman" w:hAnsi="Times New Roman" w:eastAsia="宋体" w:cs="Times New Roman"/>
                      <w:b w:val="0"/>
                      <w:bCs w:val="0"/>
                      <w:color w:val="auto"/>
                      <w:sz w:val="21"/>
                      <w:szCs w:val="21"/>
                      <w:highlight w:val="none"/>
                      <w:vertAlign w:val="baseline"/>
                      <w:lang w:val="en-US" w:eastAsia="zh-CN"/>
                    </w:rPr>
                    <w:t>罐</w:t>
                  </w:r>
                  <w:r>
                    <w:rPr>
                      <w:rFonts w:hint="eastAsia" w:ascii="Times New Roman" w:hAnsi="Times New Roman" w:eastAsia="宋体" w:cs="Times New Roman"/>
                      <w:b w:val="0"/>
                      <w:bCs w:val="0"/>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储罐区按照重点防渗区要求进行防渗处理。</w:t>
                  </w:r>
                </w:p>
              </w:tc>
            </w:tr>
            <w:tr w14:paraId="625F8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vMerge w:val="restart"/>
                  <w:tcBorders>
                    <w:top w:val="single" w:color="auto" w:sz="4" w:space="0"/>
                    <w:left w:val="single" w:color="auto" w:sz="4" w:space="0"/>
                    <w:bottom w:val="single" w:color="auto" w:sz="4" w:space="0"/>
                    <w:right w:val="single" w:color="auto" w:sz="4" w:space="0"/>
                  </w:tcBorders>
                  <w:noWrap w:val="0"/>
                  <w:vAlign w:val="center"/>
                </w:tcPr>
                <w:p w14:paraId="1A0BCFA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公用工程</w:t>
                  </w:r>
                </w:p>
              </w:tc>
              <w:tc>
                <w:tcPr>
                  <w:tcW w:w="1788" w:type="dxa"/>
                  <w:gridSpan w:val="3"/>
                  <w:tcBorders>
                    <w:top w:val="single" w:color="auto" w:sz="4" w:space="0"/>
                    <w:left w:val="single" w:color="auto" w:sz="4" w:space="0"/>
                    <w:bottom w:val="single" w:color="auto" w:sz="4" w:space="0"/>
                    <w:right w:val="single" w:color="auto" w:sz="4" w:space="0"/>
                  </w:tcBorders>
                  <w:noWrap w:val="0"/>
                  <w:vAlign w:val="center"/>
                </w:tcPr>
                <w:p w14:paraId="126AA8F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供水</w:t>
                  </w:r>
                </w:p>
              </w:tc>
              <w:tc>
                <w:tcPr>
                  <w:tcW w:w="6157" w:type="dxa"/>
                  <w:tcBorders>
                    <w:top w:val="single" w:color="auto" w:sz="4" w:space="0"/>
                    <w:left w:val="single" w:color="auto" w:sz="4" w:space="0"/>
                    <w:bottom w:val="single" w:color="auto" w:sz="4" w:space="0"/>
                    <w:right w:val="single" w:color="auto" w:sz="4" w:space="0"/>
                  </w:tcBorders>
                  <w:noWrap w:val="0"/>
                  <w:vAlign w:val="center"/>
                </w:tcPr>
                <w:p w14:paraId="7E06F848">
                  <w:pPr>
                    <w:keepNext w:val="0"/>
                    <w:keepLines w:val="0"/>
                    <w:widowControl w:val="0"/>
                    <w:suppressLineNumbers w:val="0"/>
                    <w:spacing w:before="0" w:beforeAutospacing="0" w:after="0" w:afterAutospacing="0"/>
                    <w:ind w:left="0" w:leftChars="0" w:right="0" w:right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生产用水采用水罐车拉运至井场，生活用水采用桶装水。</w:t>
                  </w:r>
                </w:p>
              </w:tc>
            </w:tr>
            <w:tr w14:paraId="5C10F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vMerge w:val="continue"/>
                  <w:tcBorders>
                    <w:top w:val="single" w:color="auto" w:sz="4" w:space="0"/>
                    <w:left w:val="single" w:color="auto" w:sz="4" w:space="0"/>
                    <w:bottom w:val="single" w:color="auto" w:sz="4" w:space="0"/>
                    <w:right w:val="single" w:color="auto" w:sz="4" w:space="0"/>
                  </w:tcBorders>
                  <w:noWrap w:val="0"/>
                  <w:vAlign w:val="center"/>
                </w:tcPr>
                <w:p w14:paraId="2A4045E2">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1788" w:type="dxa"/>
                  <w:gridSpan w:val="3"/>
                  <w:tcBorders>
                    <w:top w:val="single" w:color="auto" w:sz="4" w:space="0"/>
                    <w:left w:val="single" w:color="auto" w:sz="4" w:space="0"/>
                    <w:bottom w:val="single" w:color="auto" w:sz="4" w:space="0"/>
                    <w:right w:val="single" w:color="auto" w:sz="4" w:space="0"/>
                  </w:tcBorders>
                  <w:noWrap w:val="0"/>
                  <w:vAlign w:val="center"/>
                </w:tcPr>
                <w:p w14:paraId="3CE2EB4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供电</w:t>
                  </w:r>
                </w:p>
              </w:tc>
              <w:tc>
                <w:tcPr>
                  <w:tcW w:w="6157" w:type="dxa"/>
                  <w:tcBorders>
                    <w:top w:val="single" w:color="auto" w:sz="4" w:space="0"/>
                    <w:left w:val="single" w:color="auto" w:sz="4" w:space="0"/>
                    <w:bottom w:val="single" w:color="auto" w:sz="4" w:space="0"/>
                    <w:right w:val="single" w:color="auto" w:sz="4" w:space="0"/>
                  </w:tcBorders>
                  <w:noWrap w:val="0"/>
                  <w:vAlign w:val="center"/>
                </w:tcPr>
                <w:p w14:paraId="11CD1C27">
                  <w:pPr>
                    <w:keepNext w:val="0"/>
                    <w:keepLines w:val="0"/>
                    <w:widowControl w:val="0"/>
                    <w:suppressLineNumbers w:val="0"/>
                    <w:spacing w:before="0" w:beforeAutospacing="0" w:after="0" w:afterAutospacing="0"/>
                    <w:ind w:left="0" w:leftChars="0" w:right="0" w:right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接入市政电网供电。</w:t>
                  </w:r>
                </w:p>
              </w:tc>
            </w:tr>
            <w:tr w14:paraId="3A8A3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445" w:type="dxa"/>
                  <w:vMerge w:val="continue"/>
                  <w:tcBorders>
                    <w:top w:val="single" w:color="auto" w:sz="4" w:space="0"/>
                    <w:left w:val="single" w:color="auto" w:sz="4" w:space="0"/>
                    <w:bottom w:val="single" w:color="auto" w:sz="4" w:space="0"/>
                    <w:right w:val="single" w:color="auto" w:sz="4" w:space="0"/>
                  </w:tcBorders>
                  <w:noWrap w:val="0"/>
                  <w:vAlign w:val="center"/>
                </w:tcPr>
                <w:p w14:paraId="74561647">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431" w:type="dxa"/>
                  <w:gridSpan w:val="2"/>
                  <w:vMerge w:val="restart"/>
                  <w:tcBorders>
                    <w:top w:val="single" w:color="auto" w:sz="4" w:space="0"/>
                    <w:left w:val="single" w:color="auto" w:sz="4" w:space="0"/>
                    <w:right w:val="single" w:color="auto" w:sz="4" w:space="0"/>
                  </w:tcBorders>
                  <w:noWrap w:val="0"/>
                  <w:vAlign w:val="center"/>
                </w:tcPr>
                <w:p w14:paraId="5150DE0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排水</w:t>
                  </w:r>
                </w:p>
              </w:tc>
              <w:tc>
                <w:tcPr>
                  <w:tcW w:w="1357" w:type="dxa"/>
                  <w:tcBorders>
                    <w:top w:val="single" w:color="auto" w:sz="4" w:space="0"/>
                    <w:left w:val="single" w:color="auto" w:sz="4" w:space="0"/>
                    <w:bottom w:val="single" w:color="auto" w:sz="4" w:space="0"/>
                    <w:right w:val="single" w:color="auto" w:sz="4" w:space="0"/>
                  </w:tcBorders>
                  <w:noWrap w:val="0"/>
                  <w:vAlign w:val="center"/>
                </w:tcPr>
                <w:p w14:paraId="6609903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val="0"/>
                      <w:bCs w:val="0"/>
                      <w:color w:val="auto"/>
                      <w:sz w:val="21"/>
                      <w:szCs w:val="21"/>
                      <w:highlight w:val="none"/>
                      <w:vertAlign w:val="baseline"/>
                      <w:lang w:val="en-US" w:eastAsia="zh-CN"/>
                    </w:rPr>
                    <w:t>生活污水</w:t>
                  </w:r>
                </w:p>
              </w:tc>
              <w:tc>
                <w:tcPr>
                  <w:tcW w:w="6157" w:type="dxa"/>
                  <w:tcBorders>
                    <w:top w:val="single" w:color="auto" w:sz="4" w:space="0"/>
                    <w:left w:val="single" w:color="auto" w:sz="4" w:space="0"/>
                    <w:bottom w:val="single" w:color="auto" w:sz="4" w:space="0"/>
                    <w:right w:val="single" w:color="auto" w:sz="4" w:space="0"/>
                  </w:tcBorders>
                  <w:noWrap w:val="0"/>
                  <w:vAlign w:val="center"/>
                </w:tcPr>
                <w:p w14:paraId="4B401B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施工期盥洗废水用于井场洒水抑尘</w:t>
                  </w:r>
                  <w:r>
                    <w:rPr>
                      <w:rFonts w:hint="eastAsia" w:ascii="Times New Roman" w:hAnsi="Times New Roman" w:eastAsia="宋体" w:cs="Times New Roman"/>
                      <w:b w:val="0"/>
                      <w:bCs w:val="0"/>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生活污水排入卫生旱厕，定期清掏用作农肥。</w:t>
                  </w:r>
                </w:p>
              </w:tc>
            </w:tr>
            <w:tr w14:paraId="15AE6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45" w:type="dxa"/>
                  <w:vMerge w:val="continue"/>
                  <w:tcBorders>
                    <w:left w:val="single" w:color="auto" w:sz="4" w:space="0"/>
                    <w:bottom w:val="single" w:color="auto" w:sz="4" w:space="0"/>
                    <w:right w:val="single" w:color="auto" w:sz="4" w:space="0"/>
                  </w:tcBorders>
                  <w:noWrap w:val="0"/>
                  <w:vAlign w:val="center"/>
                </w:tcPr>
                <w:p w14:paraId="44F8B327">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431" w:type="dxa"/>
                  <w:gridSpan w:val="2"/>
                  <w:vMerge w:val="continue"/>
                  <w:tcBorders>
                    <w:left w:val="single" w:color="auto" w:sz="4" w:space="0"/>
                    <w:bottom w:val="single" w:color="auto" w:sz="4" w:space="0"/>
                    <w:right w:val="single" w:color="auto" w:sz="4" w:space="0"/>
                  </w:tcBorders>
                  <w:noWrap w:val="0"/>
                  <w:vAlign w:val="center"/>
                </w:tcPr>
                <w:p w14:paraId="6A1C642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p>
              </w:tc>
              <w:tc>
                <w:tcPr>
                  <w:tcW w:w="1357" w:type="dxa"/>
                  <w:tcBorders>
                    <w:top w:val="single" w:color="auto" w:sz="4" w:space="0"/>
                    <w:left w:val="single" w:color="auto" w:sz="4" w:space="0"/>
                    <w:bottom w:val="single" w:color="auto" w:sz="4" w:space="0"/>
                    <w:right w:val="single" w:color="auto" w:sz="4" w:space="0"/>
                  </w:tcBorders>
                  <w:noWrap w:val="0"/>
                  <w:vAlign w:val="center"/>
                </w:tcPr>
                <w:p w14:paraId="4E827F9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b w:val="0"/>
                      <w:bCs w:val="0"/>
                      <w:color w:val="auto"/>
                      <w:sz w:val="21"/>
                      <w:szCs w:val="21"/>
                      <w:highlight w:val="none"/>
                      <w:vertAlign w:val="baseline"/>
                      <w:lang w:val="en-US" w:eastAsia="zh-CN"/>
                    </w:rPr>
                    <w:t>施工</w:t>
                  </w:r>
                  <w:r>
                    <w:rPr>
                      <w:rFonts w:hint="default" w:ascii="Times New Roman" w:hAnsi="Times New Roman" w:eastAsia="宋体" w:cs="Times New Roman"/>
                      <w:b w:val="0"/>
                      <w:bCs w:val="0"/>
                      <w:color w:val="auto"/>
                      <w:sz w:val="21"/>
                      <w:szCs w:val="21"/>
                      <w:highlight w:val="none"/>
                      <w:vertAlign w:val="baseline"/>
                      <w:lang w:val="en-US" w:eastAsia="zh-CN"/>
                    </w:rPr>
                    <w:t>废水</w:t>
                  </w:r>
                </w:p>
              </w:tc>
              <w:tc>
                <w:tcPr>
                  <w:tcW w:w="6157" w:type="dxa"/>
                  <w:tcBorders>
                    <w:top w:val="single" w:color="auto" w:sz="4" w:space="0"/>
                    <w:left w:val="single" w:color="auto" w:sz="4" w:space="0"/>
                    <w:bottom w:val="single" w:color="auto" w:sz="4" w:space="0"/>
                    <w:right w:val="single" w:color="auto" w:sz="4" w:space="0"/>
                  </w:tcBorders>
                  <w:noWrap w:val="0"/>
                  <w:vAlign w:val="center"/>
                </w:tcPr>
                <w:p w14:paraId="782190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b w:val="0"/>
                      <w:bCs w:val="0"/>
                      <w:color w:val="auto"/>
                      <w:sz w:val="21"/>
                      <w:szCs w:val="21"/>
                      <w:highlight w:val="none"/>
                      <w:vertAlign w:val="baseline"/>
                      <w:lang w:val="en-US" w:eastAsia="zh-CN"/>
                    </w:rPr>
                    <w:t>施工</w:t>
                  </w:r>
                  <w:r>
                    <w:rPr>
                      <w:rFonts w:hint="default" w:ascii="Times New Roman" w:hAnsi="Times New Roman" w:eastAsia="宋体" w:cs="Times New Roman"/>
                      <w:b w:val="0"/>
                      <w:bCs w:val="0"/>
                      <w:color w:val="auto"/>
                      <w:sz w:val="21"/>
                      <w:szCs w:val="21"/>
                      <w:highlight w:val="none"/>
                      <w:vertAlign w:val="baseline"/>
                      <w:lang w:val="en-US" w:eastAsia="zh-CN"/>
                    </w:rPr>
                    <w:t>废水</w:t>
                  </w:r>
                  <w:r>
                    <w:rPr>
                      <w:rFonts w:hint="eastAsia" w:ascii="Times New Roman" w:hAnsi="Times New Roman" w:eastAsia="宋体" w:cs="Times New Roman"/>
                      <w:b w:val="0"/>
                      <w:bCs w:val="0"/>
                      <w:color w:val="auto"/>
                      <w:sz w:val="21"/>
                      <w:szCs w:val="21"/>
                      <w:highlight w:val="none"/>
                      <w:vertAlign w:val="baseline"/>
                      <w:lang w:val="en-US" w:eastAsia="zh-CN"/>
                    </w:rPr>
                    <w:t>不外排，项目钻井废水</w:t>
                  </w:r>
                  <w:r>
                    <w:rPr>
                      <w:rFonts w:hint="default" w:ascii="Times New Roman" w:hAnsi="Times New Roman" w:cs="Times New Roman"/>
                      <w:color w:val="auto"/>
                      <w:highlight w:val="none"/>
                      <w:lang w:val="en-US" w:eastAsia="zh-CN"/>
                    </w:rPr>
                    <w:t>经泥浆水循环系统处理后作为钻井液配水回用</w:t>
                  </w:r>
                  <w:r>
                    <w:rPr>
                      <w:rFonts w:hint="eastAsia" w:ascii="Times New Roman" w:hAnsi="Times New Roman" w:cs="Times New Roman"/>
                      <w:color w:val="auto"/>
                      <w:highlight w:val="none"/>
                      <w:lang w:val="en-US" w:eastAsia="zh-CN"/>
                    </w:rPr>
                    <w:t>，</w:t>
                  </w:r>
                  <w:r>
                    <w:rPr>
                      <w:rFonts w:hint="eastAsia" w:ascii="Times New Roman" w:hAnsi="Times New Roman" w:eastAsia="宋体" w:cs="Times New Roman"/>
                      <w:b w:val="0"/>
                      <w:bCs w:val="0"/>
                      <w:color w:val="auto"/>
                      <w:sz w:val="21"/>
                      <w:szCs w:val="21"/>
                      <w:highlight w:val="none"/>
                      <w:vertAlign w:val="baseline"/>
                      <w:lang w:val="en-US" w:eastAsia="zh-CN"/>
                    </w:rPr>
                    <w:t>循环使用；钻井结束后废弃钻井废水、洗井废水、压裂返排液、</w:t>
                  </w:r>
                  <w:r>
                    <w:rPr>
                      <w:rFonts w:hint="eastAsia"/>
                      <w:color w:val="auto"/>
                      <w:highlight w:val="none"/>
                    </w:rPr>
                    <w:t>射孔废水</w:t>
                  </w:r>
                  <w:r>
                    <w:rPr>
                      <w:rFonts w:hint="eastAsia" w:eastAsia="宋体"/>
                      <w:color w:val="auto"/>
                      <w:highlight w:val="none"/>
                      <w:lang w:eastAsia="zh-CN"/>
                    </w:rPr>
                    <w:t>、</w:t>
                  </w:r>
                  <w:r>
                    <w:rPr>
                      <w:rFonts w:hint="eastAsia" w:ascii="Times New Roman" w:hAnsi="Times New Roman" w:cs="Times New Roman"/>
                      <w:b w:val="0"/>
                      <w:bCs w:val="0"/>
                      <w:color w:val="auto"/>
                      <w:highlight w:val="none"/>
                      <w:lang w:val="en-US" w:eastAsia="zh-CN"/>
                    </w:rPr>
                    <w:t>放喷废水</w:t>
                  </w:r>
                  <w:r>
                    <w:rPr>
                      <w:rFonts w:hint="eastAsia" w:ascii="Times New Roman" w:hAnsi="Times New Roman" w:eastAsia="宋体" w:cs="Times New Roman"/>
                      <w:b w:val="0"/>
                      <w:bCs w:val="0"/>
                      <w:color w:val="auto"/>
                      <w:sz w:val="21"/>
                      <w:szCs w:val="21"/>
                      <w:highlight w:val="none"/>
                      <w:vertAlign w:val="baseline"/>
                      <w:lang w:val="en-US" w:eastAsia="zh-CN"/>
                    </w:rPr>
                    <w:t>排入井场设置的地上废水收集罐，</w:t>
                  </w:r>
                  <w:r>
                    <w:rPr>
                      <w:rFonts w:hint="default" w:ascii="Times New Roman" w:hAnsi="Times New Roman" w:cs="Times New Roman"/>
                      <w:color w:val="auto"/>
                      <w:highlight w:val="none"/>
                      <w:lang w:val="en-US" w:eastAsia="zh-CN"/>
                    </w:rPr>
                    <w:t>委托</w:t>
                  </w:r>
                  <w:r>
                    <w:rPr>
                      <w:rFonts w:hint="eastAsia" w:ascii="Times New Roman" w:hAnsi="Times New Roman" w:cs="Times New Roman"/>
                      <w:color w:val="auto"/>
                      <w:highlight w:val="none"/>
                      <w:lang w:val="en-US" w:eastAsia="zh-CN"/>
                    </w:rPr>
                    <w:t>协议的</w:t>
                  </w:r>
                  <w:r>
                    <w:rPr>
                      <w:rFonts w:hint="eastAsia" w:cs="Times New Roman"/>
                      <w:color w:val="auto"/>
                      <w:sz w:val="21"/>
                      <w:szCs w:val="21"/>
                      <w:highlight w:val="none"/>
                      <w:lang w:val="en-US" w:eastAsia="zh-CN"/>
                    </w:rPr>
                    <w:t>有能力单位</w:t>
                  </w:r>
                  <w:r>
                    <w:rPr>
                      <w:rFonts w:hint="default" w:ascii="Times New Roman" w:hAnsi="Times New Roman" w:cs="Times New Roman"/>
                      <w:color w:val="auto"/>
                      <w:highlight w:val="none"/>
                      <w:lang w:val="en-US" w:eastAsia="zh-CN"/>
                    </w:rPr>
                    <w:t>外运处理</w:t>
                  </w:r>
                  <w:r>
                    <w:rPr>
                      <w:rFonts w:hint="eastAsia" w:ascii="Times New Roman" w:hAnsi="Times New Roman" w:eastAsia="宋体" w:cs="Times New Roman"/>
                      <w:b w:val="0"/>
                      <w:bCs w:val="0"/>
                      <w:color w:val="auto"/>
                      <w:sz w:val="21"/>
                      <w:szCs w:val="21"/>
                      <w:highlight w:val="none"/>
                      <w:vertAlign w:val="baseline"/>
                      <w:lang w:val="en-US" w:eastAsia="zh-CN"/>
                    </w:rPr>
                    <w:t>；放喷罐降温废水冷却后用于场地洒水抑尘。</w:t>
                  </w:r>
                </w:p>
              </w:tc>
            </w:tr>
            <w:tr w14:paraId="3E6DB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vMerge w:val="restart"/>
                  <w:tcBorders>
                    <w:top w:val="single" w:color="auto" w:sz="4" w:space="0"/>
                    <w:left w:val="single" w:color="auto" w:sz="4" w:space="0"/>
                    <w:bottom w:val="single" w:color="auto" w:sz="4" w:space="0"/>
                    <w:right w:val="single" w:color="auto" w:sz="4" w:space="0"/>
                  </w:tcBorders>
                  <w:noWrap w:val="0"/>
                  <w:vAlign w:val="center"/>
                </w:tcPr>
                <w:p w14:paraId="294C5B6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环保工程</w:t>
                  </w:r>
                </w:p>
              </w:tc>
              <w:tc>
                <w:tcPr>
                  <w:tcW w:w="426" w:type="dxa"/>
                  <w:vMerge w:val="restart"/>
                  <w:tcBorders>
                    <w:top w:val="single" w:color="auto" w:sz="4" w:space="0"/>
                    <w:left w:val="single" w:color="auto" w:sz="4" w:space="0"/>
                    <w:bottom w:val="single" w:color="auto" w:sz="4" w:space="0"/>
                    <w:right w:val="single" w:color="auto" w:sz="4" w:space="0"/>
                  </w:tcBorders>
                  <w:noWrap w:val="0"/>
                  <w:vAlign w:val="center"/>
                </w:tcPr>
                <w:p w14:paraId="7FBF9DE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废气</w:t>
                  </w:r>
                </w:p>
              </w:tc>
              <w:tc>
                <w:tcPr>
                  <w:tcW w:w="1362" w:type="dxa"/>
                  <w:gridSpan w:val="2"/>
                  <w:tcBorders>
                    <w:top w:val="single" w:color="auto" w:sz="4" w:space="0"/>
                    <w:left w:val="single" w:color="auto" w:sz="4" w:space="0"/>
                    <w:bottom w:val="single" w:color="auto" w:sz="4" w:space="0"/>
                    <w:right w:val="single" w:color="auto" w:sz="4" w:space="0"/>
                  </w:tcBorders>
                  <w:noWrap w:val="0"/>
                  <w:vAlign w:val="center"/>
                </w:tcPr>
                <w:p w14:paraId="2EFFD19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施工扬尘</w:t>
                  </w:r>
                </w:p>
              </w:tc>
              <w:tc>
                <w:tcPr>
                  <w:tcW w:w="6157" w:type="dxa"/>
                  <w:tcBorders>
                    <w:top w:val="single" w:color="auto" w:sz="4" w:space="0"/>
                    <w:left w:val="single" w:color="auto" w:sz="4" w:space="0"/>
                    <w:bottom w:val="single" w:color="auto" w:sz="4" w:space="0"/>
                    <w:right w:val="single" w:color="auto" w:sz="4" w:space="0"/>
                  </w:tcBorders>
                  <w:noWrap w:val="0"/>
                  <w:vAlign w:val="center"/>
                </w:tcPr>
                <w:p w14:paraId="711D4CB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井</w:t>
                  </w:r>
                  <w:r>
                    <w:rPr>
                      <w:rFonts w:hint="default" w:ascii="Times New Roman" w:hAnsi="Times New Roman" w:eastAsia="宋体" w:cs="Times New Roman"/>
                      <w:b w:val="0"/>
                      <w:bCs w:val="0"/>
                      <w:color w:val="auto"/>
                      <w:sz w:val="21"/>
                      <w:szCs w:val="21"/>
                      <w:highlight w:val="none"/>
                      <w:vertAlign w:val="baseline"/>
                      <w:lang w:val="en-US" w:eastAsia="zh-CN"/>
                    </w:rPr>
                    <w:t>场设置施工围挡，</w:t>
                  </w:r>
                  <w:r>
                    <w:rPr>
                      <w:rFonts w:hint="default" w:ascii="Times New Roman" w:hAnsi="Times New Roman" w:eastAsia="宋体" w:cs="Times New Roman"/>
                      <w:color w:val="auto"/>
                      <w:sz w:val="21"/>
                      <w:szCs w:val="24"/>
                      <w:highlight w:val="none"/>
                    </w:rPr>
                    <w:t>物料堆放</w:t>
                  </w:r>
                  <w:r>
                    <w:rPr>
                      <w:rFonts w:hint="eastAsia" w:ascii="Times New Roman" w:hAnsi="Times New Roman" w:eastAsia="宋体" w:cs="Times New Roman"/>
                      <w:color w:val="auto"/>
                      <w:sz w:val="21"/>
                      <w:szCs w:val="24"/>
                      <w:highlight w:val="none"/>
                      <w:lang w:val="en-US" w:eastAsia="zh-CN"/>
                    </w:rPr>
                    <w:t>采取</w:t>
                  </w:r>
                  <w:r>
                    <w:rPr>
                      <w:rFonts w:hint="default" w:ascii="Times New Roman" w:hAnsi="Times New Roman" w:eastAsia="宋体" w:cs="Times New Roman"/>
                      <w:color w:val="auto"/>
                      <w:sz w:val="21"/>
                      <w:szCs w:val="24"/>
                      <w:highlight w:val="none"/>
                    </w:rPr>
                    <w:t>篷布苫盖、</w:t>
                  </w:r>
                  <w:r>
                    <w:rPr>
                      <w:rFonts w:hint="eastAsia" w:ascii="Times New Roman" w:hAnsi="Times New Roman" w:eastAsia="宋体" w:cs="Times New Roman"/>
                      <w:color w:val="auto"/>
                      <w:sz w:val="21"/>
                      <w:szCs w:val="24"/>
                      <w:highlight w:val="none"/>
                      <w:lang w:val="en-US" w:eastAsia="zh-CN"/>
                    </w:rPr>
                    <w:t>加强</w:t>
                  </w:r>
                  <w:r>
                    <w:rPr>
                      <w:rFonts w:hint="default" w:ascii="Times New Roman" w:hAnsi="Times New Roman" w:eastAsia="宋体" w:cs="Times New Roman"/>
                      <w:color w:val="auto"/>
                      <w:sz w:val="21"/>
                      <w:szCs w:val="24"/>
                      <w:highlight w:val="none"/>
                    </w:rPr>
                    <w:t>洒水降尘</w:t>
                  </w:r>
                  <w:r>
                    <w:rPr>
                      <w:rFonts w:hint="default" w:ascii="Times New Roman" w:hAnsi="Times New Roman" w:eastAsia="宋体" w:cs="Times New Roman"/>
                      <w:b w:val="0"/>
                      <w:bCs w:val="0"/>
                      <w:color w:val="auto"/>
                      <w:sz w:val="21"/>
                      <w:szCs w:val="21"/>
                      <w:highlight w:val="none"/>
                      <w:vertAlign w:val="baseline"/>
                      <w:lang w:val="en-US" w:eastAsia="zh-CN"/>
                    </w:rPr>
                    <w:t>，施工运输车辆采用密闭</w:t>
                  </w:r>
                  <w:r>
                    <w:rPr>
                      <w:rFonts w:hint="eastAsia" w:ascii="Times New Roman" w:hAnsi="Times New Roman" w:eastAsia="宋体" w:cs="Times New Roman"/>
                      <w:b w:val="0"/>
                      <w:bCs w:val="0"/>
                      <w:color w:val="auto"/>
                      <w:sz w:val="21"/>
                      <w:szCs w:val="21"/>
                      <w:highlight w:val="none"/>
                      <w:vertAlign w:val="baseline"/>
                      <w:lang w:val="en-US" w:eastAsia="zh-CN"/>
                    </w:rPr>
                    <w:t>措施</w:t>
                  </w:r>
                  <w:r>
                    <w:rPr>
                      <w:rFonts w:hint="eastAsia" w:ascii="Times New Roman" w:hAnsi="Times New Roman" w:eastAsia="宋体" w:cs="Times New Roman"/>
                      <w:color w:val="auto"/>
                      <w:sz w:val="21"/>
                      <w:szCs w:val="24"/>
                      <w:highlight w:val="none"/>
                      <w:lang w:val="en-US" w:eastAsia="zh-CN"/>
                    </w:rPr>
                    <w:t>或加盖防尘布</w:t>
                  </w:r>
                  <w:r>
                    <w:rPr>
                      <w:rFonts w:hint="default" w:ascii="Times New Roman" w:hAnsi="Times New Roman" w:eastAsia="宋体" w:cs="Times New Roman"/>
                      <w:b w:val="0"/>
                      <w:bCs w:val="0"/>
                      <w:color w:val="auto"/>
                      <w:sz w:val="21"/>
                      <w:szCs w:val="21"/>
                      <w:highlight w:val="none"/>
                      <w:vertAlign w:val="baseline"/>
                      <w:lang w:val="en-US" w:eastAsia="zh-CN"/>
                    </w:rPr>
                    <w:t>措施。</w:t>
                  </w:r>
                </w:p>
              </w:tc>
            </w:tr>
            <w:tr w14:paraId="3D7C9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vMerge w:val="continue"/>
                  <w:tcBorders>
                    <w:top w:val="single" w:color="auto" w:sz="4" w:space="0"/>
                    <w:left w:val="single" w:color="auto" w:sz="4" w:space="0"/>
                    <w:bottom w:val="single" w:color="auto" w:sz="4" w:space="0"/>
                    <w:right w:val="single" w:color="auto" w:sz="4" w:space="0"/>
                  </w:tcBorders>
                  <w:noWrap w:val="0"/>
                  <w:vAlign w:val="center"/>
                </w:tcPr>
                <w:p w14:paraId="3A488CC0">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16FD01DA">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1362" w:type="dxa"/>
                  <w:gridSpan w:val="2"/>
                  <w:tcBorders>
                    <w:top w:val="single" w:color="auto" w:sz="4" w:space="0"/>
                    <w:left w:val="single" w:color="auto" w:sz="4" w:space="0"/>
                    <w:bottom w:val="single" w:color="auto" w:sz="4" w:space="0"/>
                    <w:right w:val="single" w:color="auto" w:sz="4" w:space="0"/>
                  </w:tcBorders>
                  <w:noWrap w:val="0"/>
                  <w:vAlign w:val="center"/>
                </w:tcPr>
                <w:p w14:paraId="3E56626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测试废气</w:t>
                  </w:r>
                </w:p>
              </w:tc>
              <w:tc>
                <w:tcPr>
                  <w:tcW w:w="6157" w:type="dxa"/>
                  <w:tcBorders>
                    <w:top w:val="single" w:color="auto" w:sz="4" w:space="0"/>
                    <w:left w:val="single" w:color="auto" w:sz="4" w:space="0"/>
                    <w:bottom w:val="single" w:color="auto" w:sz="4" w:space="0"/>
                    <w:right w:val="single" w:color="auto" w:sz="4" w:space="0"/>
                  </w:tcBorders>
                  <w:noWrap w:val="0"/>
                  <w:vAlign w:val="center"/>
                </w:tcPr>
                <w:p w14:paraId="20B02EC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井</w:t>
                  </w:r>
                  <w:r>
                    <w:rPr>
                      <w:rFonts w:hint="default" w:ascii="Times New Roman" w:hAnsi="Times New Roman" w:eastAsia="宋体" w:cs="Times New Roman"/>
                      <w:b w:val="0"/>
                      <w:bCs w:val="0"/>
                      <w:color w:val="auto"/>
                      <w:sz w:val="21"/>
                      <w:szCs w:val="21"/>
                      <w:highlight w:val="none"/>
                      <w:vertAlign w:val="baseline"/>
                      <w:lang w:val="en-US" w:eastAsia="zh-CN"/>
                    </w:rPr>
                    <w:t>场设置</w:t>
                  </w:r>
                  <w:r>
                    <w:rPr>
                      <w:rFonts w:hint="eastAsia" w:ascii="Times New Roman" w:hAnsi="Times New Roman" w:eastAsia="宋体" w:cs="Times New Roman"/>
                      <w:b w:val="0"/>
                      <w:bCs w:val="0"/>
                      <w:color w:val="auto"/>
                      <w:sz w:val="21"/>
                      <w:szCs w:val="21"/>
                      <w:highlight w:val="none"/>
                      <w:vertAlign w:val="baseline"/>
                      <w:lang w:val="en-US" w:eastAsia="zh-CN"/>
                    </w:rPr>
                    <w:t>1个20m</w:t>
                  </w:r>
                  <w:r>
                    <w:rPr>
                      <w:rFonts w:hint="eastAsia"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vertAlign w:val="baseline"/>
                      <w:lang w:val="en-US" w:eastAsia="zh-CN"/>
                    </w:rPr>
                    <w:t>放喷罐，测试放喷及事故放喷的天然气经专用放喷管线引至气液分离器将采出水分离后，气体引至放喷罐燃烧排放。</w:t>
                  </w:r>
                </w:p>
              </w:tc>
            </w:tr>
            <w:tr w14:paraId="5B304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vMerge w:val="continue"/>
                  <w:tcBorders>
                    <w:top w:val="single" w:color="auto" w:sz="4" w:space="0"/>
                    <w:left w:val="single" w:color="auto" w:sz="4" w:space="0"/>
                    <w:bottom w:val="single" w:color="auto" w:sz="4" w:space="0"/>
                    <w:right w:val="single" w:color="auto" w:sz="4" w:space="0"/>
                  </w:tcBorders>
                  <w:noWrap w:val="0"/>
                  <w:vAlign w:val="center"/>
                </w:tcPr>
                <w:p w14:paraId="5E6FE2C8">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426" w:type="dxa"/>
                  <w:vMerge w:val="restart"/>
                  <w:tcBorders>
                    <w:top w:val="single" w:color="auto" w:sz="4" w:space="0"/>
                    <w:left w:val="single" w:color="auto" w:sz="4" w:space="0"/>
                    <w:bottom w:val="single" w:color="auto" w:sz="4" w:space="0"/>
                    <w:right w:val="single" w:color="auto" w:sz="4" w:space="0"/>
                  </w:tcBorders>
                  <w:noWrap w:val="0"/>
                  <w:vAlign w:val="center"/>
                </w:tcPr>
                <w:p w14:paraId="4EA8B34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废水</w:t>
                  </w:r>
                </w:p>
              </w:tc>
              <w:tc>
                <w:tcPr>
                  <w:tcW w:w="1362" w:type="dxa"/>
                  <w:gridSpan w:val="2"/>
                  <w:tcBorders>
                    <w:top w:val="single" w:color="auto" w:sz="4" w:space="0"/>
                    <w:left w:val="single" w:color="auto" w:sz="4" w:space="0"/>
                    <w:bottom w:val="single" w:color="auto" w:sz="4" w:space="0"/>
                    <w:right w:val="single" w:color="auto" w:sz="4" w:space="0"/>
                  </w:tcBorders>
                  <w:noWrap w:val="0"/>
                  <w:vAlign w:val="center"/>
                </w:tcPr>
                <w:p w14:paraId="3E41C3A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钻井废水</w:t>
                  </w:r>
                </w:p>
              </w:tc>
              <w:tc>
                <w:tcPr>
                  <w:tcW w:w="6157" w:type="dxa"/>
                  <w:tcBorders>
                    <w:top w:val="single" w:color="auto" w:sz="4" w:space="0"/>
                    <w:left w:val="single" w:color="auto" w:sz="4" w:space="0"/>
                    <w:bottom w:val="single" w:color="auto" w:sz="4" w:space="0"/>
                    <w:right w:val="single" w:color="auto" w:sz="4" w:space="0"/>
                  </w:tcBorders>
                  <w:noWrap w:val="0"/>
                  <w:vAlign w:val="center"/>
                </w:tcPr>
                <w:p w14:paraId="765D9F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钻井废水经泥浆水循环系统处理后优先作为钻井液配水回用，钻井结束后，不能回用的钻井废水委托</w:t>
                  </w:r>
                  <w:r>
                    <w:rPr>
                      <w:rFonts w:hint="eastAsia" w:ascii="Times New Roman" w:hAnsi="Times New Roman" w:eastAsia="宋体" w:cs="Times New Roman"/>
                      <w:b w:val="0"/>
                      <w:bCs w:val="0"/>
                      <w:color w:val="auto"/>
                      <w:sz w:val="21"/>
                      <w:szCs w:val="21"/>
                      <w:highlight w:val="none"/>
                      <w:vertAlign w:val="baseline"/>
                      <w:lang w:val="en-US" w:eastAsia="zh-CN"/>
                    </w:rPr>
                    <w:t>协议的</w:t>
                  </w:r>
                  <w:r>
                    <w:rPr>
                      <w:rFonts w:hint="eastAsia" w:cs="Times New Roman"/>
                      <w:color w:val="auto"/>
                      <w:sz w:val="21"/>
                      <w:szCs w:val="21"/>
                      <w:highlight w:val="none"/>
                      <w:lang w:val="en-US" w:eastAsia="zh-CN"/>
                    </w:rPr>
                    <w:t>有能力单位</w:t>
                  </w:r>
                  <w:r>
                    <w:rPr>
                      <w:rFonts w:hint="default" w:ascii="Times New Roman" w:hAnsi="Times New Roman" w:eastAsia="宋体" w:cs="Times New Roman"/>
                      <w:b w:val="0"/>
                      <w:bCs w:val="0"/>
                      <w:color w:val="auto"/>
                      <w:sz w:val="21"/>
                      <w:szCs w:val="21"/>
                      <w:highlight w:val="none"/>
                      <w:vertAlign w:val="baseline"/>
                      <w:lang w:val="en-US" w:eastAsia="zh-CN"/>
                    </w:rPr>
                    <w:t>外运处理。</w:t>
                  </w:r>
                </w:p>
              </w:tc>
            </w:tr>
            <w:tr w14:paraId="5935F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vMerge w:val="continue"/>
                  <w:tcBorders>
                    <w:top w:val="single" w:color="auto" w:sz="4" w:space="0"/>
                    <w:left w:val="single" w:color="auto" w:sz="4" w:space="0"/>
                    <w:bottom w:val="single" w:color="auto" w:sz="4" w:space="0"/>
                    <w:right w:val="single" w:color="auto" w:sz="4" w:space="0"/>
                  </w:tcBorders>
                  <w:noWrap w:val="0"/>
                  <w:vAlign w:val="center"/>
                </w:tcPr>
                <w:p w14:paraId="4AECBC59">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141B74FA">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1362" w:type="dxa"/>
                  <w:gridSpan w:val="2"/>
                  <w:tcBorders>
                    <w:top w:val="single" w:color="auto" w:sz="4" w:space="0"/>
                    <w:left w:val="single" w:color="auto" w:sz="4" w:space="0"/>
                    <w:bottom w:val="single" w:color="auto" w:sz="4" w:space="0"/>
                    <w:right w:val="single" w:color="auto" w:sz="4" w:space="0"/>
                  </w:tcBorders>
                  <w:noWrap w:val="0"/>
                  <w:vAlign w:val="center"/>
                </w:tcPr>
                <w:p w14:paraId="3FD0228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洗井废水</w:t>
                  </w:r>
                </w:p>
              </w:tc>
              <w:tc>
                <w:tcPr>
                  <w:tcW w:w="6157" w:type="dxa"/>
                  <w:tcBorders>
                    <w:top w:val="single" w:color="auto" w:sz="4" w:space="0"/>
                    <w:left w:val="single" w:color="auto" w:sz="4" w:space="0"/>
                    <w:bottom w:val="single" w:color="auto" w:sz="4" w:space="0"/>
                    <w:right w:val="single" w:color="auto" w:sz="4" w:space="0"/>
                  </w:tcBorders>
                  <w:noWrap w:val="0"/>
                  <w:vAlign w:val="center"/>
                </w:tcPr>
                <w:p w14:paraId="53FF3D85">
                  <w:pPr>
                    <w:pStyle w:val="21"/>
                    <w:keepNext w:val="0"/>
                    <w:keepLines w:val="0"/>
                    <w:pageBreakBefore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井</w:t>
                  </w:r>
                  <w:r>
                    <w:rPr>
                      <w:rFonts w:hint="default" w:ascii="Times New Roman" w:hAnsi="Times New Roman" w:eastAsia="宋体" w:cs="Times New Roman"/>
                      <w:b w:val="0"/>
                      <w:bCs w:val="0"/>
                      <w:color w:val="auto"/>
                      <w:sz w:val="21"/>
                      <w:szCs w:val="21"/>
                      <w:highlight w:val="none"/>
                      <w:vertAlign w:val="baseline"/>
                      <w:lang w:val="en-US" w:eastAsia="zh-CN"/>
                    </w:rPr>
                    <w:t>场</w:t>
                  </w:r>
                  <w:r>
                    <w:rPr>
                      <w:rFonts w:hint="default" w:ascii="Times New Roman" w:hAnsi="Times New Roman" w:cs="Times New Roman"/>
                      <w:color w:val="auto"/>
                      <w:sz w:val="21"/>
                      <w:szCs w:val="21"/>
                      <w:highlight w:val="none"/>
                      <w:lang w:val="en-US" w:eastAsia="zh-CN"/>
                    </w:rPr>
                    <w:t>设有</w:t>
                  </w: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个75m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洗井废水罐，施工产生的洗井废水临时收集贮存于洗井废水储罐中，委托</w:t>
                  </w:r>
                  <w:r>
                    <w:rPr>
                      <w:rFonts w:hint="eastAsia" w:ascii="Times New Roman" w:hAnsi="Times New Roman" w:cs="Times New Roman"/>
                      <w:color w:val="auto"/>
                      <w:sz w:val="21"/>
                      <w:szCs w:val="21"/>
                      <w:highlight w:val="none"/>
                      <w:lang w:val="en-US" w:eastAsia="zh-CN"/>
                    </w:rPr>
                    <w:t>协议的</w:t>
                  </w:r>
                  <w:r>
                    <w:rPr>
                      <w:rFonts w:hint="eastAsia" w:cs="Times New Roman"/>
                      <w:color w:val="auto"/>
                      <w:sz w:val="21"/>
                      <w:szCs w:val="21"/>
                      <w:highlight w:val="none"/>
                      <w:lang w:val="en-US" w:eastAsia="zh-CN"/>
                    </w:rPr>
                    <w:t>有能力单位</w:t>
                  </w:r>
                  <w:r>
                    <w:rPr>
                      <w:rFonts w:hint="default" w:ascii="Times New Roman" w:hAnsi="Times New Roman" w:cs="Times New Roman"/>
                      <w:color w:val="auto"/>
                      <w:sz w:val="21"/>
                      <w:szCs w:val="21"/>
                      <w:highlight w:val="none"/>
                      <w:lang w:val="en-US" w:eastAsia="zh-CN"/>
                    </w:rPr>
                    <w:t>外运处理。</w:t>
                  </w:r>
                </w:p>
              </w:tc>
            </w:tr>
            <w:tr w14:paraId="067EB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445" w:type="dxa"/>
                  <w:vMerge w:val="continue"/>
                  <w:tcBorders>
                    <w:top w:val="single" w:color="auto" w:sz="4" w:space="0"/>
                    <w:left w:val="single" w:color="auto" w:sz="4" w:space="0"/>
                    <w:bottom w:val="single" w:color="auto" w:sz="4" w:space="0"/>
                    <w:right w:val="single" w:color="auto" w:sz="4" w:space="0"/>
                  </w:tcBorders>
                  <w:noWrap w:val="0"/>
                  <w:vAlign w:val="center"/>
                </w:tcPr>
                <w:p w14:paraId="557ED4D3">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371306E1">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1362" w:type="dxa"/>
                  <w:gridSpan w:val="2"/>
                  <w:tcBorders>
                    <w:top w:val="single" w:color="auto" w:sz="4" w:space="0"/>
                    <w:left w:val="single" w:color="auto" w:sz="4" w:space="0"/>
                    <w:bottom w:val="single" w:color="auto" w:sz="4" w:space="0"/>
                    <w:right w:val="single" w:color="auto" w:sz="4" w:space="0"/>
                  </w:tcBorders>
                  <w:noWrap w:val="0"/>
                  <w:vAlign w:val="center"/>
                </w:tcPr>
                <w:p w14:paraId="0520955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压裂返排液</w:t>
                  </w:r>
                </w:p>
              </w:tc>
              <w:tc>
                <w:tcPr>
                  <w:tcW w:w="6157" w:type="dxa"/>
                  <w:tcBorders>
                    <w:top w:val="single" w:color="auto" w:sz="4" w:space="0"/>
                    <w:left w:val="single" w:color="auto" w:sz="4" w:space="0"/>
                    <w:bottom w:val="single" w:color="auto" w:sz="4" w:space="0"/>
                    <w:right w:val="single" w:color="auto" w:sz="4" w:space="0"/>
                  </w:tcBorders>
                  <w:noWrap w:val="0"/>
                  <w:vAlign w:val="center"/>
                </w:tcPr>
                <w:p w14:paraId="799B4476">
                  <w:pPr>
                    <w:pStyle w:val="21"/>
                    <w:keepNext w:val="0"/>
                    <w:keepLines w:val="0"/>
                    <w:pageBreakBefore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井</w:t>
                  </w:r>
                  <w:r>
                    <w:rPr>
                      <w:rFonts w:hint="default" w:ascii="Times New Roman" w:hAnsi="Times New Roman" w:eastAsia="宋体" w:cs="Times New Roman"/>
                      <w:b w:val="0"/>
                      <w:bCs w:val="0"/>
                      <w:color w:val="auto"/>
                      <w:sz w:val="21"/>
                      <w:szCs w:val="21"/>
                      <w:highlight w:val="none"/>
                      <w:vertAlign w:val="baseline"/>
                      <w:lang w:val="en-US" w:eastAsia="zh-CN"/>
                    </w:rPr>
                    <w:t>场</w:t>
                  </w:r>
                  <w:r>
                    <w:rPr>
                      <w:rFonts w:hint="default" w:ascii="Times New Roman" w:hAnsi="Times New Roman" w:cs="Times New Roman"/>
                      <w:color w:val="auto"/>
                      <w:sz w:val="21"/>
                      <w:szCs w:val="21"/>
                      <w:highlight w:val="none"/>
                      <w:lang w:val="en-US" w:eastAsia="zh-CN"/>
                    </w:rPr>
                    <w:t>设有</w:t>
                  </w:r>
                  <w:r>
                    <w:rPr>
                      <w:rFonts w:hint="eastAsia" w:cs="Times New Roman"/>
                      <w:color w:val="auto"/>
                      <w:sz w:val="21"/>
                      <w:szCs w:val="21"/>
                      <w:highlight w:val="none"/>
                      <w:lang w:val="en-US" w:eastAsia="zh-CN"/>
                    </w:rPr>
                    <w:t>13</w:t>
                  </w:r>
                  <w:r>
                    <w:rPr>
                      <w:rFonts w:hint="default" w:ascii="Times New Roman" w:hAnsi="Times New Roman" w:cs="Times New Roman"/>
                      <w:color w:val="auto"/>
                      <w:sz w:val="21"/>
                      <w:szCs w:val="21"/>
                      <w:highlight w:val="none"/>
                      <w:lang w:val="en-US" w:eastAsia="zh-CN"/>
                    </w:rPr>
                    <w:t>个75m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压裂返排液罐，施工产生的压裂返排液临时收集贮存于压裂返排液储罐中，委托</w:t>
                  </w:r>
                  <w:r>
                    <w:rPr>
                      <w:rFonts w:hint="eastAsia" w:ascii="Times New Roman" w:hAnsi="Times New Roman" w:cs="Times New Roman"/>
                      <w:color w:val="auto"/>
                      <w:sz w:val="21"/>
                      <w:szCs w:val="21"/>
                      <w:highlight w:val="none"/>
                      <w:lang w:val="en-US" w:eastAsia="zh-CN"/>
                    </w:rPr>
                    <w:t>协议的</w:t>
                  </w:r>
                  <w:r>
                    <w:rPr>
                      <w:rFonts w:hint="eastAsia" w:cs="Times New Roman"/>
                      <w:color w:val="auto"/>
                      <w:sz w:val="21"/>
                      <w:szCs w:val="21"/>
                      <w:highlight w:val="none"/>
                      <w:lang w:val="en-US" w:eastAsia="zh-CN"/>
                    </w:rPr>
                    <w:t>有能力单位</w:t>
                  </w:r>
                  <w:r>
                    <w:rPr>
                      <w:rFonts w:hint="default" w:ascii="Times New Roman" w:hAnsi="Times New Roman" w:cs="Times New Roman"/>
                      <w:color w:val="auto"/>
                      <w:sz w:val="21"/>
                      <w:szCs w:val="21"/>
                      <w:highlight w:val="none"/>
                      <w:lang w:val="en-US" w:eastAsia="zh-CN"/>
                    </w:rPr>
                    <w:t>外运处理。</w:t>
                  </w:r>
                </w:p>
              </w:tc>
            </w:tr>
            <w:tr w14:paraId="02C39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445" w:type="dxa"/>
                  <w:vMerge w:val="continue"/>
                  <w:tcBorders>
                    <w:top w:val="single" w:color="auto" w:sz="4" w:space="0"/>
                    <w:left w:val="single" w:color="auto" w:sz="4" w:space="0"/>
                    <w:bottom w:val="single" w:color="auto" w:sz="4" w:space="0"/>
                    <w:right w:val="single" w:color="auto" w:sz="4" w:space="0"/>
                  </w:tcBorders>
                  <w:noWrap w:val="0"/>
                  <w:vAlign w:val="center"/>
                </w:tcPr>
                <w:p w14:paraId="704006DA">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3D0D6A15">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1362" w:type="dxa"/>
                  <w:gridSpan w:val="2"/>
                  <w:tcBorders>
                    <w:top w:val="single" w:color="auto" w:sz="4" w:space="0"/>
                    <w:left w:val="single" w:color="auto" w:sz="4" w:space="0"/>
                    <w:bottom w:val="single" w:color="auto" w:sz="4" w:space="0"/>
                    <w:right w:val="single" w:color="auto" w:sz="4" w:space="0"/>
                  </w:tcBorders>
                  <w:noWrap w:val="0"/>
                  <w:vAlign w:val="center"/>
                </w:tcPr>
                <w:p w14:paraId="6A3D444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olor w:val="auto"/>
                      <w:highlight w:val="none"/>
                    </w:rPr>
                    <w:t>射孔废水</w:t>
                  </w:r>
                </w:p>
              </w:tc>
              <w:tc>
                <w:tcPr>
                  <w:tcW w:w="6157" w:type="dxa"/>
                  <w:tcBorders>
                    <w:top w:val="single" w:color="auto" w:sz="4" w:space="0"/>
                    <w:left w:val="single" w:color="auto" w:sz="4" w:space="0"/>
                    <w:bottom w:val="single" w:color="auto" w:sz="4" w:space="0"/>
                    <w:right w:val="single" w:color="auto" w:sz="4" w:space="0"/>
                  </w:tcBorders>
                  <w:noWrap w:val="0"/>
                  <w:vAlign w:val="center"/>
                </w:tcPr>
                <w:p w14:paraId="3AD9F2B9">
                  <w:pPr>
                    <w:pStyle w:val="21"/>
                    <w:keepNext w:val="0"/>
                    <w:keepLines w:val="0"/>
                    <w:pageBreakBefore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b w:val="0"/>
                      <w:bCs w:val="0"/>
                      <w:color w:val="auto"/>
                      <w:sz w:val="21"/>
                      <w:szCs w:val="21"/>
                      <w:highlight w:val="none"/>
                      <w:vertAlign w:val="baseline"/>
                      <w:lang w:val="en-US" w:eastAsia="zh-CN"/>
                    </w:rPr>
                    <w:t>射孔结束后直接进行压裂作业，射孔废水后期随压裂返排液一起返回压裂返排液储罐外运处理。</w:t>
                  </w:r>
                </w:p>
              </w:tc>
            </w:tr>
            <w:tr w14:paraId="08AA8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445" w:type="dxa"/>
                  <w:vMerge w:val="continue"/>
                  <w:tcBorders>
                    <w:top w:val="single" w:color="auto" w:sz="4" w:space="0"/>
                    <w:left w:val="single" w:color="auto" w:sz="4" w:space="0"/>
                    <w:bottom w:val="single" w:color="auto" w:sz="4" w:space="0"/>
                    <w:right w:val="single" w:color="auto" w:sz="4" w:space="0"/>
                  </w:tcBorders>
                  <w:noWrap w:val="0"/>
                  <w:vAlign w:val="center"/>
                </w:tcPr>
                <w:p w14:paraId="45B19CCE">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2ADFD6FA">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1362" w:type="dxa"/>
                  <w:gridSpan w:val="2"/>
                  <w:tcBorders>
                    <w:top w:val="single" w:color="auto" w:sz="4" w:space="0"/>
                    <w:left w:val="single" w:color="auto" w:sz="4" w:space="0"/>
                    <w:bottom w:val="single" w:color="auto" w:sz="4" w:space="0"/>
                    <w:right w:val="single" w:color="auto" w:sz="4" w:space="0"/>
                  </w:tcBorders>
                  <w:noWrap w:val="0"/>
                  <w:vAlign w:val="center"/>
                </w:tcPr>
                <w:p w14:paraId="07C696D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val="0"/>
                      <w:bCs w:val="0"/>
                      <w:color w:val="auto"/>
                      <w:sz w:val="21"/>
                      <w:szCs w:val="21"/>
                      <w:highlight w:val="none"/>
                      <w:vertAlign w:val="baseline"/>
                      <w:lang w:val="en-US" w:eastAsia="zh-CN"/>
                    </w:rPr>
                    <w:t>放喷</w:t>
                  </w:r>
                  <w:r>
                    <w:rPr>
                      <w:rFonts w:hint="eastAsia" w:ascii="Times New Roman" w:hAnsi="Times New Roman" w:eastAsia="宋体" w:cs="Times New Roman"/>
                      <w:b w:val="0"/>
                      <w:bCs w:val="0"/>
                      <w:color w:val="auto"/>
                      <w:sz w:val="21"/>
                      <w:szCs w:val="21"/>
                      <w:highlight w:val="none"/>
                      <w:vertAlign w:val="baseline"/>
                      <w:lang w:val="en-US" w:eastAsia="zh-CN"/>
                    </w:rPr>
                    <w:t>冷却水</w:t>
                  </w:r>
                </w:p>
              </w:tc>
              <w:tc>
                <w:tcPr>
                  <w:tcW w:w="6157" w:type="dxa"/>
                  <w:tcBorders>
                    <w:top w:val="single" w:color="auto" w:sz="4" w:space="0"/>
                    <w:left w:val="single" w:color="auto" w:sz="4" w:space="0"/>
                    <w:bottom w:val="single" w:color="auto" w:sz="4" w:space="0"/>
                    <w:right w:val="single" w:color="auto" w:sz="4" w:space="0"/>
                  </w:tcBorders>
                  <w:noWrap w:val="0"/>
                  <w:vAlign w:val="center"/>
                </w:tcPr>
                <w:p w14:paraId="15E53686">
                  <w:pPr>
                    <w:pStyle w:val="21"/>
                    <w:keepNext w:val="0"/>
                    <w:keepLines w:val="0"/>
                    <w:pageBreakBefore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放喷罐降温废水存在于</w:t>
                  </w:r>
                  <w:r>
                    <w:rPr>
                      <w:rFonts w:hint="eastAsia" w:ascii="Times New Roman" w:hAnsi="Times New Roman" w:eastAsia="宋体" w:cs="Times New Roman"/>
                      <w:b w:val="0"/>
                      <w:bCs w:val="0"/>
                      <w:color w:val="auto"/>
                      <w:sz w:val="21"/>
                      <w:szCs w:val="21"/>
                      <w:highlight w:val="none"/>
                      <w:vertAlign w:val="baseline"/>
                      <w:lang w:val="en-US" w:eastAsia="zh-CN"/>
                    </w:rPr>
                    <w:t>放喷罐罐体中间隔层（放喷罐为双层罐，罐体中间隔层加装清水降温），待放喷结束，</w:t>
                  </w:r>
                  <w:r>
                    <w:rPr>
                      <w:rFonts w:hint="default" w:ascii="Times New Roman" w:hAnsi="Times New Roman" w:cs="Times New Roman"/>
                      <w:color w:val="auto"/>
                      <w:sz w:val="21"/>
                      <w:szCs w:val="21"/>
                      <w:highlight w:val="none"/>
                      <w:lang w:val="en-US" w:eastAsia="zh-CN"/>
                    </w:rPr>
                    <w:t>冷却后用于场地洒水抑尘。</w:t>
                  </w:r>
                </w:p>
              </w:tc>
            </w:tr>
            <w:tr w14:paraId="0C614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vMerge w:val="continue"/>
                  <w:tcBorders>
                    <w:top w:val="single" w:color="auto" w:sz="4" w:space="0"/>
                    <w:left w:val="single" w:color="auto" w:sz="4" w:space="0"/>
                    <w:bottom w:val="single" w:color="auto" w:sz="4" w:space="0"/>
                    <w:right w:val="single" w:color="auto" w:sz="4" w:space="0"/>
                  </w:tcBorders>
                  <w:noWrap w:val="0"/>
                  <w:vAlign w:val="center"/>
                </w:tcPr>
                <w:p w14:paraId="3771C72A">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51917AA2">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1362" w:type="dxa"/>
                  <w:gridSpan w:val="2"/>
                  <w:tcBorders>
                    <w:top w:val="single" w:color="auto" w:sz="4" w:space="0"/>
                    <w:left w:val="single" w:color="auto" w:sz="4" w:space="0"/>
                    <w:bottom w:val="single" w:color="auto" w:sz="4" w:space="0"/>
                    <w:right w:val="single" w:color="auto" w:sz="4" w:space="0"/>
                  </w:tcBorders>
                  <w:noWrap w:val="0"/>
                  <w:vAlign w:val="center"/>
                </w:tcPr>
                <w:p w14:paraId="52ACBEC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放喷废水</w:t>
                  </w:r>
                </w:p>
              </w:tc>
              <w:tc>
                <w:tcPr>
                  <w:tcW w:w="6157" w:type="dxa"/>
                  <w:tcBorders>
                    <w:top w:val="single" w:color="auto" w:sz="4" w:space="0"/>
                    <w:left w:val="single" w:color="auto" w:sz="4" w:space="0"/>
                    <w:bottom w:val="single" w:color="auto" w:sz="4" w:space="0"/>
                    <w:right w:val="single" w:color="auto" w:sz="4" w:space="0"/>
                  </w:tcBorders>
                  <w:noWrap w:val="0"/>
                  <w:vAlign w:val="center"/>
                </w:tcPr>
                <w:p w14:paraId="3838D8DF">
                  <w:pPr>
                    <w:pStyle w:val="21"/>
                    <w:keepNext w:val="0"/>
                    <w:keepLines w:val="0"/>
                    <w:pageBreakBefore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收集至井场内放喷罐（1个20m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）暂存，委托协议的资有能力单位外运处理。</w:t>
                  </w:r>
                </w:p>
              </w:tc>
            </w:tr>
            <w:tr w14:paraId="2AE6E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vMerge w:val="continue"/>
                  <w:tcBorders>
                    <w:top w:val="single" w:color="auto" w:sz="4" w:space="0"/>
                    <w:left w:val="single" w:color="auto" w:sz="4" w:space="0"/>
                    <w:bottom w:val="single" w:color="auto" w:sz="4" w:space="0"/>
                    <w:right w:val="single" w:color="auto" w:sz="4" w:space="0"/>
                  </w:tcBorders>
                  <w:noWrap w:val="0"/>
                  <w:vAlign w:val="center"/>
                </w:tcPr>
                <w:p w14:paraId="4CB468FB">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398B5B75">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1362" w:type="dxa"/>
                  <w:gridSpan w:val="2"/>
                  <w:tcBorders>
                    <w:top w:val="single" w:color="auto" w:sz="4" w:space="0"/>
                    <w:left w:val="single" w:color="auto" w:sz="4" w:space="0"/>
                    <w:bottom w:val="single" w:color="auto" w:sz="4" w:space="0"/>
                    <w:right w:val="single" w:color="auto" w:sz="4" w:space="0"/>
                  </w:tcBorders>
                  <w:noWrap w:val="0"/>
                  <w:vAlign w:val="center"/>
                </w:tcPr>
                <w:p w14:paraId="26091F1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val="0"/>
                      <w:bCs w:val="0"/>
                      <w:color w:val="auto"/>
                      <w:sz w:val="21"/>
                      <w:szCs w:val="21"/>
                      <w:highlight w:val="none"/>
                      <w:vertAlign w:val="baseline"/>
                      <w:lang w:val="en-US" w:eastAsia="zh-CN"/>
                    </w:rPr>
                    <w:t>气液分离器分离出的采出水</w:t>
                  </w:r>
                </w:p>
              </w:tc>
              <w:tc>
                <w:tcPr>
                  <w:tcW w:w="6157" w:type="dxa"/>
                  <w:tcBorders>
                    <w:top w:val="single" w:color="auto" w:sz="4" w:space="0"/>
                    <w:left w:val="single" w:color="auto" w:sz="4" w:space="0"/>
                    <w:bottom w:val="single" w:color="auto" w:sz="4" w:space="0"/>
                    <w:right w:val="single" w:color="auto" w:sz="4" w:space="0"/>
                  </w:tcBorders>
                  <w:noWrap w:val="0"/>
                  <w:vAlign w:val="center"/>
                </w:tcPr>
                <w:p w14:paraId="6618A6D2">
                  <w:pPr>
                    <w:pStyle w:val="21"/>
                    <w:keepNext w:val="0"/>
                    <w:keepLines w:val="0"/>
                    <w:pageBreakBefore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收集后交长庆油田分公司第二采气厂米7天然气采出水处理及储存站</w:t>
                  </w:r>
                  <w:r>
                    <w:rPr>
                      <w:rFonts w:hint="eastAsia" w:cs="Times New Roman"/>
                      <w:color w:val="auto"/>
                      <w:sz w:val="21"/>
                      <w:szCs w:val="21"/>
                      <w:highlight w:val="none"/>
                      <w:lang w:val="en-US" w:eastAsia="zh-CN"/>
                    </w:rPr>
                    <w:t>处理。</w:t>
                  </w:r>
                </w:p>
              </w:tc>
            </w:tr>
            <w:tr w14:paraId="2BF05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vMerge w:val="continue"/>
                  <w:tcBorders>
                    <w:top w:val="single" w:color="auto" w:sz="4" w:space="0"/>
                    <w:left w:val="single" w:color="auto" w:sz="4" w:space="0"/>
                    <w:bottom w:val="single" w:color="auto" w:sz="4" w:space="0"/>
                    <w:right w:val="single" w:color="auto" w:sz="4" w:space="0"/>
                  </w:tcBorders>
                  <w:noWrap w:val="0"/>
                  <w:vAlign w:val="center"/>
                </w:tcPr>
                <w:p w14:paraId="47A6AFEC">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2617FBF9">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1362" w:type="dxa"/>
                  <w:gridSpan w:val="2"/>
                  <w:tcBorders>
                    <w:top w:val="single" w:color="auto" w:sz="4" w:space="0"/>
                    <w:left w:val="single" w:color="auto" w:sz="4" w:space="0"/>
                    <w:bottom w:val="single" w:color="auto" w:sz="4" w:space="0"/>
                    <w:right w:val="single" w:color="auto" w:sz="4" w:space="0"/>
                  </w:tcBorders>
                  <w:noWrap w:val="0"/>
                  <w:vAlign w:val="center"/>
                </w:tcPr>
                <w:p w14:paraId="212268A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生活污水</w:t>
                  </w:r>
                </w:p>
              </w:tc>
              <w:tc>
                <w:tcPr>
                  <w:tcW w:w="6157" w:type="dxa"/>
                  <w:tcBorders>
                    <w:top w:val="single" w:color="auto" w:sz="4" w:space="0"/>
                    <w:left w:val="single" w:color="auto" w:sz="4" w:space="0"/>
                    <w:bottom w:val="single" w:color="auto" w:sz="4" w:space="0"/>
                    <w:right w:val="single" w:color="auto" w:sz="4" w:space="0"/>
                  </w:tcBorders>
                  <w:noWrap w:val="0"/>
                  <w:vAlign w:val="center"/>
                </w:tcPr>
                <w:p w14:paraId="40B1A214">
                  <w:pPr>
                    <w:pStyle w:val="21"/>
                    <w:keepNext w:val="0"/>
                    <w:keepLines w:val="0"/>
                    <w:pageBreakBefore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 w:val="0"/>
                      <w:bCs w:val="0"/>
                      <w:color w:val="auto"/>
                      <w:sz w:val="21"/>
                      <w:szCs w:val="21"/>
                      <w:highlight w:val="none"/>
                      <w:vertAlign w:val="baseline"/>
                      <w:lang w:val="en-US" w:eastAsia="zh-CN"/>
                    </w:rPr>
                    <w:t>由卫生旱厕收集后由用于周边农田施肥。</w:t>
                  </w:r>
                </w:p>
              </w:tc>
            </w:tr>
            <w:tr w14:paraId="2B531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5" w:type="dxa"/>
                  <w:vMerge w:val="continue"/>
                  <w:tcBorders>
                    <w:top w:val="single" w:color="auto" w:sz="4" w:space="0"/>
                    <w:left w:val="single" w:color="auto" w:sz="4" w:space="0"/>
                    <w:bottom w:val="single" w:color="auto" w:sz="4" w:space="0"/>
                    <w:right w:val="single" w:color="auto" w:sz="4" w:space="0"/>
                  </w:tcBorders>
                  <w:noWrap w:val="0"/>
                  <w:vAlign w:val="center"/>
                </w:tcPr>
                <w:p w14:paraId="79F4FD80">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426" w:type="dxa"/>
                  <w:vMerge w:val="restart"/>
                  <w:tcBorders>
                    <w:top w:val="single" w:color="auto" w:sz="4" w:space="0"/>
                    <w:left w:val="single" w:color="auto" w:sz="4" w:space="0"/>
                    <w:right w:val="single" w:color="auto" w:sz="4" w:space="0"/>
                  </w:tcBorders>
                  <w:noWrap w:val="0"/>
                  <w:vAlign w:val="center"/>
                </w:tcPr>
                <w:p w14:paraId="2B8BE67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地下水</w:t>
                  </w:r>
                </w:p>
              </w:tc>
              <w:tc>
                <w:tcPr>
                  <w:tcW w:w="7519" w:type="dxa"/>
                  <w:gridSpan w:val="3"/>
                  <w:tcBorders>
                    <w:top w:val="single" w:color="auto" w:sz="4" w:space="0"/>
                    <w:left w:val="single" w:color="auto" w:sz="4" w:space="0"/>
                    <w:right w:val="single" w:color="auto" w:sz="4" w:space="0"/>
                  </w:tcBorders>
                  <w:noWrap w:val="0"/>
                  <w:vAlign w:val="center"/>
                </w:tcPr>
                <w:p w14:paraId="0823DD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重点防渗区：钻井工作区、泥浆不落地系统区、钻井液材料房、储罐区、</w:t>
                  </w:r>
                  <w:r>
                    <w:rPr>
                      <w:rFonts w:hint="eastAsia" w:ascii="Times New Roman" w:hAnsi="Times New Roman" w:eastAsia="宋体" w:cs="Times New Roman"/>
                      <w:b w:val="0"/>
                      <w:bCs w:val="0"/>
                      <w:color w:val="auto"/>
                      <w:sz w:val="21"/>
                      <w:szCs w:val="21"/>
                      <w:highlight w:val="none"/>
                      <w:vertAlign w:val="baseline"/>
                      <w:lang w:val="en-US" w:eastAsia="zh-CN"/>
                    </w:rPr>
                    <w:t>放喷罐</w:t>
                  </w:r>
                  <w:r>
                    <w:rPr>
                      <w:rFonts w:hint="default" w:ascii="Times New Roman" w:hAnsi="Times New Roman" w:eastAsia="宋体" w:cs="Times New Roman"/>
                      <w:b w:val="0"/>
                      <w:bCs w:val="0"/>
                      <w:color w:val="auto"/>
                      <w:sz w:val="21"/>
                      <w:szCs w:val="21"/>
                      <w:highlight w:val="none"/>
                      <w:vertAlign w:val="baseline"/>
                      <w:lang w:val="en-US" w:eastAsia="zh-CN"/>
                    </w:rPr>
                    <w:t>。</w:t>
                  </w:r>
                  <w:r>
                    <w:rPr>
                      <w:rFonts w:hint="eastAsia" w:ascii="Times New Roman" w:hAnsi="Times New Roman" w:eastAsia="宋体" w:cs="Times New Roman"/>
                      <w:b w:val="0"/>
                      <w:bCs w:val="0"/>
                      <w:color w:val="auto"/>
                      <w:sz w:val="21"/>
                      <w:szCs w:val="21"/>
                      <w:highlight w:val="none"/>
                      <w:vertAlign w:val="baseline"/>
                      <w:lang w:val="en-US" w:eastAsia="zh-CN"/>
                    </w:rPr>
                    <w:t>根据《环境影响评价技术导则地下水环境》（HJ610-2016），</w:t>
                  </w:r>
                  <w:r>
                    <w:rPr>
                      <w:rFonts w:hint="default" w:ascii="Times New Roman" w:hAnsi="Times New Roman" w:eastAsia="宋体" w:cs="Times New Roman"/>
                      <w:b w:val="0"/>
                      <w:bCs w:val="0"/>
                      <w:color w:val="auto"/>
                      <w:sz w:val="21"/>
                      <w:szCs w:val="21"/>
                      <w:highlight w:val="none"/>
                      <w:vertAlign w:val="baseline"/>
                      <w:lang w:val="en-US" w:eastAsia="zh-CN"/>
                    </w:rPr>
                    <w:t>防渗层的防渗性能不应低于6.0m厚渗透系数为1.0×10</w:t>
                  </w:r>
                  <w:r>
                    <w:rPr>
                      <w:rFonts w:hint="default" w:ascii="Times New Roman" w:hAnsi="Times New Roman" w:eastAsia="宋体" w:cs="Times New Roman"/>
                      <w:b w:val="0"/>
                      <w:bCs w:val="0"/>
                      <w:color w:val="auto"/>
                      <w:sz w:val="21"/>
                      <w:szCs w:val="21"/>
                      <w:highlight w:val="none"/>
                      <w:vertAlign w:val="superscript"/>
                      <w:lang w:val="en-US" w:eastAsia="zh-CN"/>
                    </w:rPr>
                    <w:t>-7</w:t>
                  </w:r>
                  <w:r>
                    <w:rPr>
                      <w:rFonts w:hint="default" w:ascii="Times New Roman" w:hAnsi="Times New Roman" w:eastAsia="宋体" w:cs="Times New Roman"/>
                      <w:b w:val="0"/>
                      <w:bCs w:val="0"/>
                      <w:color w:val="auto"/>
                      <w:sz w:val="21"/>
                      <w:szCs w:val="21"/>
                      <w:highlight w:val="none"/>
                      <w:vertAlign w:val="baseline"/>
                      <w:lang w:val="en-US" w:eastAsia="zh-CN"/>
                    </w:rPr>
                    <w:t>cm/s的黏土层的防渗性能</w:t>
                  </w:r>
                  <w:r>
                    <w:rPr>
                      <w:rFonts w:hint="eastAsia" w:ascii="Times New Roman" w:hAnsi="Times New Roman" w:eastAsia="宋体" w:cs="Times New Roman"/>
                      <w:b w:val="0"/>
                      <w:bCs w:val="0"/>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bidi="ar-SA"/>
                    </w:rPr>
                    <w:t>危废贮存库根据《危险废物贮存污染控制标准》（GB18597-2023），采用HDPE膜进行防渗，铺在贮存库内地面上，膜厚不</w:t>
                  </w:r>
                  <w:r>
                    <w:rPr>
                      <w:rFonts w:hint="eastAsia" w:ascii="Times New Roman" w:hAnsi="Times New Roman" w:eastAsia="宋体" w:cs="Times New Roman"/>
                      <w:b w:val="0"/>
                      <w:bCs w:val="0"/>
                      <w:color w:val="auto"/>
                      <w:sz w:val="21"/>
                      <w:szCs w:val="21"/>
                      <w:highlight w:val="none"/>
                      <w:vertAlign w:val="baseline"/>
                      <w:lang w:val="en-US" w:eastAsia="zh-CN" w:bidi="ar-SA"/>
                    </w:rPr>
                    <w:t>小于</w:t>
                  </w:r>
                  <w:r>
                    <w:rPr>
                      <w:rFonts w:hint="default" w:ascii="Times New Roman" w:hAnsi="Times New Roman" w:eastAsia="宋体" w:cs="Times New Roman"/>
                      <w:b w:val="0"/>
                      <w:bCs w:val="0"/>
                      <w:color w:val="auto"/>
                      <w:sz w:val="21"/>
                      <w:szCs w:val="21"/>
                      <w:highlight w:val="none"/>
                      <w:vertAlign w:val="baseline"/>
                      <w:lang w:val="en-US" w:eastAsia="zh-CN" w:bidi="ar-SA"/>
                    </w:rPr>
                    <w:t>2mm，渗透系数不大于1.0×10</w:t>
                  </w:r>
                  <w:r>
                    <w:rPr>
                      <w:rFonts w:hint="default" w:ascii="Times New Roman" w:hAnsi="Times New Roman" w:eastAsia="宋体" w:cs="Times New Roman"/>
                      <w:b w:val="0"/>
                      <w:bCs w:val="0"/>
                      <w:color w:val="auto"/>
                      <w:sz w:val="21"/>
                      <w:szCs w:val="21"/>
                      <w:highlight w:val="none"/>
                      <w:vertAlign w:val="superscript"/>
                      <w:lang w:val="en-US" w:eastAsia="zh-CN" w:bidi="ar-SA"/>
                    </w:rPr>
                    <w:t>-10</w:t>
                  </w:r>
                  <w:r>
                    <w:rPr>
                      <w:rFonts w:hint="default" w:ascii="Times New Roman" w:hAnsi="Times New Roman" w:eastAsia="宋体" w:cs="Times New Roman"/>
                      <w:b w:val="0"/>
                      <w:bCs w:val="0"/>
                      <w:color w:val="auto"/>
                      <w:sz w:val="21"/>
                      <w:szCs w:val="21"/>
                      <w:highlight w:val="none"/>
                      <w:vertAlign w:val="baseline"/>
                      <w:lang w:val="en-US" w:eastAsia="zh-CN" w:bidi="ar-SA"/>
                    </w:rPr>
                    <w:t>cm/s。</w:t>
                  </w:r>
                </w:p>
              </w:tc>
            </w:tr>
            <w:tr w14:paraId="453FA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45" w:type="dxa"/>
                  <w:vMerge w:val="continue"/>
                  <w:tcBorders>
                    <w:top w:val="single" w:color="auto" w:sz="4" w:space="0"/>
                    <w:left w:val="single" w:color="auto" w:sz="4" w:space="0"/>
                    <w:bottom w:val="single" w:color="auto" w:sz="4" w:space="0"/>
                    <w:right w:val="single" w:color="auto" w:sz="4" w:space="0"/>
                  </w:tcBorders>
                  <w:noWrap w:val="0"/>
                  <w:vAlign w:val="center"/>
                </w:tcPr>
                <w:p w14:paraId="45C5471D">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426" w:type="dxa"/>
                  <w:vMerge w:val="continue"/>
                  <w:tcBorders>
                    <w:left w:val="single" w:color="auto" w:sz="4" w:space="0"/>
                    <w:right w:val="single" w:color="auto" w:sz="4" w:space="0"/>
                  </w:tcBorders>
                  <w:noWrap w:val="0"/>
                  <w:vAlign w:val="center"/>
                </w:tcPr>
                <w:p w14:paraId="213D01D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p>
              </w:tc>
              <w:tc>
                <w:tcPr>
                  <w:tcW w:w="7519" w:type="dxa"/>
                  <w:gridSpan w:val="3"/>
                  <w:tcBorders>
                    <w:top w:val="single" w:color="auto" w:sz="4" w:space="0"/>
                    <w:left w:val="single" w:color="auto" w:sz="4" w:space="0"/>
                    <w:right w:val="single" w:color="auto" w:sz="4" w:space="0"/>
                  </w:tcBorders>
                  <w:noWrap w:val="0"/>
                  <w:vAlign w:val="center"/>
                </w:tcPr>
                <w:p w14:paraId="2BD216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一般防渗区：卫生旱厕、原辅材料存储区</w:t>
                  </w:r>
                  <w:r>
                    <w:rPr>
                      <w:rFonts w:hint="eastAsia" w:ascii="Times New Roman" w:hAnsi="Times New Roman" w:eastAsia="宋体" w:cs="Times New Roman"/>
                      <w:b w:val="0"/>
                      <w:bCs w:val="0"/>
                      <w:color w:val="auto"/>
                      <w:sz w:val="21"/>
                      <w:szCs w:val="21"/>
                      <w:highlight w:val="none"/>
                      <w:vertAlign w:val="baseline"/>
                      <w:lang w:val="en-US" w:eastAsia="zh-CN"/>
                    </w:rPr>
                    <w:t>。根据《环境影响评价技术导则地下水环境》（HJ610-2016），</w:t>
                  </w:r>
                  <w:r>
                    <w:rPr>
                      <w:rFonts w:hint="default" w:ascii="Times New Roman" w:hAnsi="Times New Roman" w:eastAsia="宋体" w:cs="Times New Roman"/>
                      <w:b w:val="0"/>
                      <w:bCs w:val="0"/>
                      <w:color w:val="auto"/>
                      <w:sz w:val="21"/>
                      <w:szCs w:val="21"/>
                      <w:highlight w:val="none"/>
                      <w:vertAlign w:val="baseline"/>
                      <w:lang w:val="en-US" w:eastAsia="zh-CN"/>
                    </w:rPr>
                    <w:t>防渗层的防渗性能不应低于1.5m厚渗透系数为1.0×10</w:t>
                  </w:r>
                  <w:r>
                    <w:rPr>
                      <w:rFonts w:hint="default" w:ascii="Times New Roman" w:hAnsi="Times New Roman" w:eastAsia="宋体" w:cs="Times New Roman"/>
                      <w:b w:val="0"/>
                      <w:bCs w:val="0"/>
                      <w:color w:val="auto"/>
                      <w:sz w:val="21"/>
                      <w:szCs w:val="21"/>
                      <w:highlight w:val="none"/>
                      <w:vertAlign w:val="superscript"/>
                      <w:lang w:val="en-US" w:eastAsia="zh-CN"/>
                    </w:rPr>
                    <w:t>-7</w:t>
                  </w:r>
                  <w:r>
                    <w:rPr>
                      <w:rFonts w:hint="default" w:ascii="Times New Roman" w:hAnsi="Times New Roman" w:eastAsia="宋体" w:cs="Times New Roman"/>
                      <w:b w:val="0"/>
                      <w:bCs w:val="0"/>
                      <w:color w:val="auto"/>
                      <w:sz w:val="21"/>
                      <w:szCs w:val="21"/>
                      <w:highlight w:val="none"/>
                      <w:vertAlign w:val="baseline"/>
                      <w:lang w:val="en-US" w:eastAsia="zh-CN"/>
                    </w:rPr>
                    <w:t>cm/s的黏土层的防渗性能</w:t>
                  </w:r>
                  <w:r>
                    <w:rPr>
                      <w:rFonts w:hint="eastAsia" w:ascii="Times New Roman" w:hAnsi="Times New Roman" w:eastAsia="宋体" w:cs="Times New Roman"/>
                      <w:b w:val="0"/>
                      <w:bCs w:val="0"/>
                      <w:color w:val="auto"/>
                      <w:sz w:val="21"/>
                      <w:szCs w:val="21"/>
                      <w:highlight w:val="none"/>
                      <w:vertAlign w:val="baseline"/>
                      <w:lang w:val="en-US" w:eastAsia="zh-CN"/>
                    </w:rPr>
                    <w:t>。</w:t>
                  </w:r>
                </w:p>
              </w:tc>
            </w:tr>
            <w:tr w14:paraId="78350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vMerge w:val="continue"/>
                  <w:tcBorders>
                    <w:top w:val="single" w:color="auto" w:sz="4" w:space="0"/>
                    <w:left w:val="single" w:color="auto" w:sz="4" w:space="0"/>
                    <w:bottom w:val="single" w:color="auto" w:sz="4" w:space="0"/>
                    <w:right w:val="single" w:color="auto" w:sz="4" w:space="0"/>
                  </w:tcBorders>
                  <w:noWrap w:val="0"/>
                  <w:vAlign w:val="center"/>
                </w:tcPr>
                <w:p w14:paraId="55C1F260">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426" w:type="dxa"/>
                  <w:vMerge w:val="continue"/>
                  <w:tcBorders>
                    <w:left w:val="single" w:color="auto" w:sz="4" w:space="0"/>
                    <w:bottom w:val="single" w:color="auto" w:sz="4" w:space="0"/>
                    <w:right w:val="single" w:color="auto" w:sz="4" w:space="0"/>
                  </w:tcBorders>
                  <w:noWrap w:val="0"/>
                  <w:vAlign w:val="center"/>
                </w:tcPr>
                <w:p w14:paraId="699DC9DD">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7519" w:type="dxa"/>
                  <w:gridSpan w:val="3"/>
                  <w:tcBorders>
                    <w:top w:val="single" w:color="auto" w:sz="4" w:space="0"/>
                    <w:left w:val="single" w:color="auto" w:sz="4" w:space="0"/>
                    <w:bottom w:val="single" w:color="auto" w:sz="4" w:space="0"/>
                    <w:right w:val="single" w:color="auto" w:sz="4" w:space="0"/>
                  </w:tcBorders>
                  <w:noWrap w:val="0"/>
                  <w:vAlign w:val="center"/>
                </w:tcPr>
                <w:p w14:paraId="578536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简单防渗区：生活区、物料区等其他区域。采用黏土碾压方式进行防渗。</w:t>
                  </w:r>
                </w:p>
              </w:tc>
            </w:tr>
            <w:tr w14:paraId="1C13C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atLeast"/>
              </w:trPr>
              <w:tc>
                <w:tcPr>
                  <w:tcW w:w="445" w:type="dxa"/>
                  <w:vMerge w:val="continue"/>
                  <w:tcBorders>
                    <w:top w:val="single" w:color="auto" w:sz="4" w:space="0"/>
                    <w:left w:val="single" w:color="auto" w:sz="4" w:space="0"/>
                    <w:bottom w:val="single" w:color="auto" w:sz="4" w:space="0"/>
                    <w:right w:val="single" w:color="auto" w:sz="4" w:space="0"/>
                  </w:tcBorders>
                  <w:noWrap w:val="0"/>
                  <w:vAlign w:val="center"/>
                </w:tcPr>
                <w:p w14:paraId="3C0A9053">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1788" w:type="dxa"/>
                  <w:gridSpan w:val="3"/>
                  <w:vMerge w:val="restart"/>
                  <w:tcBorders>
                    <w:top w:val="single" w:color="auto" w:sz="4" w:space="0"/>
                    <w:left w:val="single" w:color="auto" w:sz="4" w:space="0"/>
                    <w:right w:val="single" w:color="auto" w:sz="4" w:space="0"/>
                  </w:tcBorders>
                  <w:noWrap w:val="0"/>
                  <w:vAlign w:val="center"/>
                </w:tcPr>
                <w:p w14:paraId="0F9F1A4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固体废物</w:t>
                  </w:r>
                </w:p>
              </w:tc>
              <w:tc>
                <w:tcPr>
                  <w:tcW w:w="6157" w:type="dxa"/>
                  <w:tcBorders>
                    <w:top w:val="single" w:color="auto" w:sz="4" w:space="0"/>
                    <w:left w:val="single" w:color="auto" w:sz="4" w:space="0"/>
                    <w:bottom w:val="single" w:color="auto" w:sz="4" w:space="0"/>
                    <w:right w:val="single" w:color="auto" w:sz="4" w:space="0"/>
                  </w:tcBorders>
                  <w:noWrap w:val="0"/>
                  <w:vAlign w:val="center"/>
                </w:tcPr>
                <w:p w14:paraId="660B40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泥饼、钻井岩屑：分别暂存于移动式收集罐内，施工结束后委托</w:t>
                  </w:r>
                  <w:r>
                    <w:rPr>
                      <w:rFonts w:hint="eastAsia" w:ascii="Times New Roman" w:hAnsi="Times New Roman" w:eastAsia="宋体" w:cs="Times New Roman"/>
                      <w:b w:val="0"/>
                      <w:bCs w:val="0"/>
                      <w:color w:val="auto"/>
                      <w:sz w:val="21"/>
                      <w:szCs w:val="21"/>
                      <w:highlight w:val="none"/>
                      <w:vertAlign w:val="baseline"/>
                      <w:lang w:val="en-US" w:eastAsia="zh-CN"/>
                    </w:rPr>
                    <w:t>协议的有能力单位</w:t>
                  </w:r>
                  <w:r>
                    <w:rPr>
                      <w:rFonts w:hint="default" w:ascii="Times New Roman" w:hAnsi="Times New Roman" w:eastAsia="宋体" w:cs="Times New Roman"/>
                      <w:b w:val="0"/>
                      <w:bCs w:val="0"/>
                      <w:color w:val="auto"/>
                      <w:sz w:val="21"/>
                      <w:szCs w:val="21"/>
                      <w:highlight w:val="none"/>
                      <w:vertAlign w:val="baseline"/>
                      <w:lang w:val="en-US" w:eastAsia="zh-CN"/>
                    </w:rPr>
                    <w:t>外运处理。</w:t>
                  </w:r>
                </w:p>
                <w:p w14:paraId="160476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val="0"/>
                      <w:bCs w:val="0"/>
                      <w:color w:val="auto"/>
                      <w:sz w:val="21"/>
                      <w:szCs w:val="21"/>
                      <w:highlight w:val="none"/>
                      <w:vertAlign w:val="baseline"/>
                      <w:lang w:val="en-US" w:eastAsia="zh-CN"/>
                    </w:rPr>
                    <w:t>岩芯</w:t>
                  </w:r>
                  <w:r>
                    <w:rPr>
                      <w:rFonts w:hint="eastAsia" w:ascii="Times New Roman" w:hAnsi="Times New Roman" w:eastAsia="宋体" w:cs="Times New Roman"/>
                      <w:b w:val="0"/>
                      <w:bCs w:val="0"/>
                      <w:color w:val="auto"/>
                      <w:sz w:val="21"/>
                      <w:szCs w:val="21"/>
                      <w:highlight w:val="none"/>
                      <w:vertAlign w:val="baseline"/>
                      <w:lang w:val="en-US" w:eastAsia="zh-CN"/>
                    </w:rPr>
                    <w:t>后</w:t>
                  </w:r>
                  <w:r>
                    <w:rPr>
                      <w:rFonts w:hint="default" w:ascii="Times New Roman" w:hAnsi="Times New Roman" w:eastAsia="宋体" w:cs="Times New Roman"/>
                      <w:b w:val="0"/>
                      <w:bCs w:val="0"/>
                      <w:color w:val="auto"/>
                      <w:sz w:val="21"/>
                      <w:szCs w:val="21"/>
                      <w:highlight w:val="none"/>
                      <w:vertAlign w:val="baseline"/>
                      <w:lang w:val="en-US" w:eastAsia="zh-CN"/>
                    </w:rPr>
                    <w:t>首选用于产气量、气密性等的研究，废弃岩芯交</w:t>
                  </w:r>
                  <w:r>
                    <w:rPr>
                      <w:rFonts w:hint="eastAsia" w:ascii="Times New Roman" w:hAnsi="Times New Roman" w:eastAsia="宋体" w:cs="Times New Roman"/>
                      <w:b w:val="0"/>
                      <w:bCs w:val="0"/>
                      <w:color w:val="auto"/>
                      <w:sz w:val="21"/>
                      <w:szCs w:val="21"/>
                      <w:highlight w:val="none"/>
                      <w:vertAlign w:val="baseline"/>
                      <w:lang w:val="en-US" w:eastAsia="zh-CN"/>
                    </w:rPr>
                    <w:t>协议的有能力单位</w:t>
                  </w:r>
                  <w:r>
                    <w:rPr>
                      <w:rFonts w:hint="default" w:ascii="Times New Roman" w:hAnsi="Times New Roman" w:eastAsia="宋体" w:cs="Times New Roman"/>
                      <w:b w:val="0"/>
                      <w:bCs w:val="0"/>
                      <w:color w:val="auto"/>
                      <w:sz w:val="21"/>
                      <w:szCs w:val="21"/>
                      <w:highlight w:val="none"/>
                      <w:vertAlign w:val="baseline"/>
                      <w:lang w:val="en-US" w:eastAsia="zh-CN"/>
                    </w:rPr>
                    <w:t>外运处理。</w:t>
                  </w:r>
                </w:p>
              </w:tc>
            </w:tr>
            <w:tr w14:paraId="47B58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vMerge w:val="continue"/>
                  <w:tcBorders>
                    <w:top w:val="single" w:color="auto" w:sz="4" w:space="0"/>
                    <w:left w:val="single" w:color="auto" w:sz="4" w:space="0"/>
                    <w:bottom w:val="single" w:color="auto" w:sz="4" w:space="0"/>
                    <w:right w:val="single" w:color="auto" w:sz="4" w:space="0"/>
                  </w:tcBorders>
                  <w:noWrap w:val="0"/>
                  <w:vAlign w:val="center"/>
                </w:tcPr>
                <w:p w14:paraId="20A640EA">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1788" w:type="dxa"/>
                  <w:gridSpan w:val="3"/>
                  <w:vMerge w:val="continue"/>
                  <w:tcBorders>
                    <w:left w:val="single" w:color="auto" w:sz="4" w:space="0"/>
                    <w:right w:val="single" w:color="auto" w:sz="4" w:space="0"/>
                  </w:tcBorders>
                  <w:noWrap w:val="0"/>
                  <w:vAlign w:val="center"/>
                </w:tcPr>
                <w:p w14:paraId="6E8E202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p>
              </w:tc>
              <w:tc>
                <w:tcPr>
                  <w:tcW w:w="6157" w:type="dxa"/>
                  <w:tcBorders>
                    <w:top w:val="single" w:color="auto" w:sz="4" w:space="0"/>
                    <w:left w:val="single" w:color="auto" w:sz="4" w:space="0"/>
                    <w:bottom w:val="single" w:color="auto" w:sz="4" w:space="0"/>
                    <w:right w:val="single" w:color="auto" w:sz="4" w:space="0"/>
                  </w:tcBorders>
                  <w:noWrap w:val="0"/>
                  <w:vAlign w:val="center"/>
                </w:tcPr>
                <w:p w14:paraId="355D87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val="0"/>
                      <w:bCs w:val="0"/>
                      <w:color w:val="auto"/>
                      <w:sz w:val="21"/>
                      <w:szCs w:val="21"/>
                      <w:highlight w:val="none"/>
                      <w:vertAlign w:val="baseline"/>
                      <w:lang w:val="en-US" w:eastAsia="zh-CN"/>
                    </w:rPr>
                    <w:t>废纯碱</w:t>
                  </w:r>
                  <w:r>
                    <w:rPr>
                      <w:rFonts w:hint="eastAsia" w:ascii="Times New Roman" w:hAnsi="Times New Roman" w:eastAsia="宋体" w:cs="Times New Roman"/>
                      <w:b w:val="0"/>
                      <w:bCs w:val="0"/>
                      <w:color w:val="auto"/>
                      <w:sz w:val="21"/>
                      <w:szCs w:val="21"/>
                      <w:highlight w:val="none"/>
                      <w:vertAlign w:val="baseline"/>
                      <w:lang w:val="en-US" w:eastAsia="zh-CN"/>
                    </w:rPr>
                    <w:t>及</w:t>
                  </w:r>
                  <w:r>
                    <w:rPr>
                      <w:rFonts w:hint="default" w:ascii="Times New Roman" w:hAnsi="Times New Roman" w:eastAsia="宋体" w:cs="Times New Roman"/>
                      <w:b w:val="0"/>
                      <w:bCs w:val="0"/>
                      <w:color w:val="auto"/>
                      <w:sz w:val="21"/>
                      <w:szCs w:val="21"/>
                      <w:highlight w:val="none"/>
                      <w:vertAlign w:val="baseline"/>
                      <w:lang w:val="en-US" w:eastAsia="zh-CN"/>
                    </w:rPr>
                    <w:t>膨润土包装袋、不含油废防渗膜集中收集后交由物资回收公司进行回收再利用</w:t>
                  </w:r>
                  <w:r>
                    <w:rPr>
                      <w:rFonts w:hint="eastAsia" w:ascii="Times New Roman" w:hAnsi="Times New Roman" w:eastAsia="宋体" w:cs="Times New Roman"/>
                      <w:b w:val="0"/>
                      <w:bCs w:val="0"/>
                      <w:color w:val="auto"/>
                      <w:sz w:val="21"/>
                      <w:szCs w:val="21"/>
                      <w:highlight w:val="none"/>
                      <w:vertAlign w:val="baseline"/>
                      <w:lang w:val="en-US" w:eastAsia="zh-CN"/>
                    </w:rPr>
                    <w:t>。</w:t>
                  </w:r>
                </w:p>
              </w:tc>
            </w:tr>
            <w:tr w14:paraId="0F2FC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vMerge w:val="continue"/>
                  <w:tcBorders>
                    <w:top w:val="single" w:color="auto" w:sz="4" w:space="0"/>
                    <w:left w:val="single" w:color="auto" w:sz="4" w:space="0"/>
                    <w:bottom w:val="single" w:color="auto" w:sz="4" w:space="0"/>
                    <w:right w:val="single" w:color="auto" w:sz="4" w:space="0"/>
                  </w:tcBorders>
                  <w:noWrap w:val="0"/>
                  <w:vAlign w:val="center"/>
                </w:tcPr>
                <w:p w14:paraId="2A4CF961">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1788"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1A755E8C">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6157" w:type="dxa"/>
                  <w:tcBorders>
                    <w:top w:val="single" w:color="auto" w:sz="4" w:space="0"/>
                    <w:left w:val="single" w:color="auto" w:sz="4" w:space="0"/>
                    <w:bottom w:val="single" w:color="auto" w:sz="4" w:space="0"/>
                    <w:right w:val="single" w:color="auto" w:sz="4" w:space="0"/>
                  </w:tcBorders>
                  <w:noWrap w:val="0"/>
                  <w:vAlign w:val="center"/>
                </w:tcPr>
                <w:p w14:paraId="2D96A19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危险废物（</w:t>
                  </w:r>
                  <w:r>
                    <w:rPr>
                      <w:rFonts w:hint="default" w:ascii="Times New Roman" w:hAnsi="Times New Roman" w:eastAsia="宋体" w:cs="Times New Roman"/>
                      <w:b w:val="0"/>
                      <w:bCs w:val="0"/>
                      <w:color w:val="auto"/>
                      <w:sz w:val="21"/>
                      <w:szCs w:val="21"/>
                      <w:highlight w:val="none"/>
                      <w:vertAlign w:val="baseline"/>
                      <w:lang w:val="en-US" w:eastAsia="zh-CN"/>
                    </w:rPr>
                    <w:t>废机油</w:t>
                  </w:r>
                  <w:r>
                    <w:rPr>
                      <w:rFonts w:hint="eastAsia" w:ascii="Times New Roman" w:hAnsi="Times New Roman" w:eastAsia="宋体" w:cs="Times New Roman"/>
                      <w:b w:val="0"/>
                      <w:bCs w:val="0"/>
                      <w:color w:val="auto"/>
                      <w:sz w:val="21"/>
                      <w:szCs w:val="21"/>
                      <w:highlight w:val="none"/>
                      <w:vertAlign w:val="baseline"/>
                      <w:lang w:val="en-US" w:eastAsia="zh-CN"/>
                    </w:rPr>
                    <w:t>、含油</w:t>
                  </w:r>
                  <w:r>
                    <w:rPr>
                      <w:rFonts w:hint="default" w:ascii="Times New Roman" w:hAnsi="Times New Roman" w:eastAsia="宋体" w:cs="Times New Roman"/>
                      <w:b w:val="0"/>
                      <w:bCs w:val="0"/>
                      <w:color w:val="auto"/>
                      <w:sz w:val="21"/>
                      <w:szCs w:val="21"/>
                      <w:highlight w:val="none"/>
                      <w:vertAlign w:val="baseline"/>
                      <w:lang w:val="en-US" w:eastAsia="zh-CN"/>
                    </w:rPr>
                    <w:t>废防渗膜</w:t>
                  </w:r>
                  <w:r>
                    <w:rPr>
                      <w:rFonts w:hint="eastAsia" w:ascii="Times New Roman" w:hAnsi="Times New Roman" w:eastAsia="宋体" w:cs="Times New Roman"/>
                      <w:b w:val="0"/>
                      <w:bCs w:val="0"/>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：暂存于撬装式危废贮存库，委托有资质单位进行处置。</w:t>
                  </w:r>
                </w:p>
              </w:tc>
            </w:tr>
            <w:tr w14:paraId="07DC5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vMerge w:val="continue"/>
                  <w:tcBorders>
                    <w:top w:val="single" w:color="auto" w:sz="4" w:space="0"/>
                    <w:left w:val="single" w:color="auto" w:sz="4" w:space="0"/>
                    <w:bottom w:val="single" w:color="auto" w:sz="4" w:space="0"/>
                    <w:right w:val="single" w:color="auto" w:sz="4" w:space="0"/>
                  </w:tcBorders>
                  <w:noWrap w:val="0"/>
                  <w:vAlign w:val="center"/>
                </w:tcPr>
                <w:p w14:paraId="75C39B0E">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1788"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5470D079">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6157" w:type="dxa"/>
                  <w:tcBorders>
                    <w:top w:val="single" w:color="auto" w:sz="4" w:space="0"/>
                    <w:left w:val="single" w:color="auto" w:sz="4" w:space="0"/>
                    <w:bottom w:val="single" w:color="auto" w:sz="4" w:space="0"/>
                    <w:right w:val="single" w:color="auto" w:sz="4" w:space="0"/>
                  </w:tcBorders>
                  <w:noWrap w:val="0"/>
                  <w:vAlign w:val="center"/>
                </w:tcPr>
                <w:p w14:paraId="0607560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生活垃圾：经垃圾桶收集后定期交环卫部门处理。</w:t>
                  </w:r>
                </w:p>
              </w:tc>
            </w:tr>
            <w:tr w14:paraId="2CECD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445" w:type="dxa"/>
                  <w:vMerge w:val="continue"/>
                  <w:tcBorders>
                    <w:top w:val="single" w:color="auto" w:sz="4" w:space="0"/>
                    <w:left w:val="single" w:color="auto" w:sz="4" w:space="0"/>
                    <w:bottom w:val="single" w:color="auto" w:sz="4" w:space="0"/>
                    <w:right w:val="single" w:color="auto" w:sz="4" w:space="0"/>
                  </w:tcBorders>
                  <w:noWrap w:val="0"/>
                  <w:vAlign w:val="center"/>
                </w:tcPr>
                <w:p w14:paraId="60B13C2D">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1788" w:type="dxa"/>
                  <w:gridSpan w:val="3"/>
                  <w:tcBorders>
                    <w:top w:val="single" w:color="auto" w:sz="4" w:space="0"/>
                    <w:left w:val="single" w:color="auto" w:sz="4" w:space="0"/>
                    <w:bottom w:val="single" w:color="auto" w:sz="4" w:space="0"/>
                    <w:right w:val="single" w:color="auto" w:sz="4" w:space="0"/>
                  </w:tcBorders>
                  <w:noWrap w:val="0"/>
                  <w:vAlign w:val="center"/>
                </w:tcPr>
                <w:p w14:paraId="6289B33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噪声</w:t>
                  </w:r>
                </w:p>
              </w:tc>
              <w:tc>
                <w:tcPr>
                  <w:tcW w:w="6157" w:type="dxa"/>
                  <w:tcBorders>
                    <w:top w:val="single" w:color="auto" w:sz="4" w:space="0"/>
                    <w:left w:val="single" w:color="auto" w:sz="4" w:space="0"/>
                    <w:bottom w:val="single" w:color="auto" w:sz="4" w:space="0"/>
                    <w:right w:val="single" w:color="auto" w:sz="4" w:space="0"/>
                  </w:tcBorders>
                  <w:noWrap w:val="0"/>
                  <w:vAlign w:val="center"/>
                </w:tcPr>
                <w:p w14:paraId="18971C6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泥浆泵加衬弹性垫料，管理和作业过程中平稳操作，避免特种作业时产生非正常噪声。</w:t>
                  </w:r>
                </w:p>
              </w:tc>
            </w:tr>
            <w:tr w14:paraId="3811A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vMerge w:val="continue"/>
                  <w:tcBorders>
                    <w:top w:val="single" w:color="auto" w:sz="4" w:space="0"/>
                    <w:left w:val="single" w:color="auto" w:sz="4" w:space="0"/>
                    <w:bottom w:val="single" w:color="auto" w:sz="4" w:space="0"/>
                    <w:right w:val="single" w:color="auto" w:sz="4" w:space="0"/>
                  </w:tcBorders>
                  <w:noWrap w:val="0"/>
                  <w:vAlign w:val="center"/>
                </w:tcPr>
                <w:p w14:paraId="621C4D68">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1788" w:type="dxa"/>
                  <w:gridSpan w:val="3"/>
                  <w:tcBorders>
                    <w:top w:val="single" w:color="auto" w:sz="4" w:space="0"/>
                    <w:left w:val="single" w:color="auto" w:sz="4" w:space="0"/>
                    <w:bottom w:val="single" w:color="auto" w:sz="4" w:space="0"/>
                    <w:right w:val="single" w:color="auto" w:sz="4" w:space="0"/>
                  </w:tcBorders>
                  <w:noWrap w:val="0"/>
                  <w:vAlign w:val="center"/>
                </w:tcPr>
                <w:p w14:paraId="22761426">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生态</w:t>
                  </w:r>
                </w:p>
              </w:tc>
              <w:tc>
                <w:tcPr>
                  <w:tcW w:w="6157" w:type="dxa"/>
                  <w:tcBorders>
                    <w:top w:val="single" w:color="auto" w:sz="4" w:space="0"/>
                    <w:left w:val="single" w:color="auto" w:sz="4" w:space="0"/>
                    <w:bottom w:val="single" w:color="auto" w:sz="4" w:space="0"/>
                    <w:right w:val="single" w:color="auto" w:sz="4" w:space="0"/>
                  </w:tcBorders>
                  <w:noWrap w:val="0"/>
                  <w:vAlign w:val="center"/>
                </w:tcPr>
                <w:p w14:paraId="1D57E16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对临时占用土地进行表土留存，分层回填，整平翻松，恢复植被。</w:t>
                  </w:r>
                </w:p>
                <w:p w14:paraId="7904C66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对临时占用的耕地及时进行复耕，园地种植原有果树，草地植被恢复，林地恢复为林地，并辅以草地搭配。</w:t>
                  </w:r>
                </w:p>
              </w:tc>
            </w:tr>
            <w:tr w14:paraId="57DA7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233" w:type="dxa"/>
                  <w:gridSpan w:val="4"/>
                  <w:tcBorders>
                    <w:top w:val="single" w:color="auto" w:sz="4" w:space="0"/>
                    <w:left w:val="single" w:color="auto" w:sz="4" w:space="0"/>
                    <w:right w:val="single" w:color="auto" w:sz="4" w:space="0"/>
                  </w:tcBorders>
                  <w:noWrap w:val="0"/>
                  <w:vAlign w:val="center"/>
                </w:tcPr>
                <w:p w14:paraId="40B813C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
                    </w:rPr>
                    <w:t>依托工程</w:t>
                  </w:r>
                </w:p>
              </w:tc>
              <w:tc>
                <w:tcPr>
                  <w:tcW w:w="6157" w:type="dxa"/>
                  <w:tcBorders>
                    <w:top w:val="single" w:color="auto" w:sz="4" w:space="0"/>
                    <w:left w:val="single" w:color="auto" w:sz="4" w:space="0"/>
                    <w:right w:val="single" w:color="auto" w:sz="4" w:space="0"/>
                  </w:tcBorders>
                  <w:noWrap w:val="0"/>
                  <w:vAlign w:val="center"/>
                </w:tcPr>
                <w:p w14:paraId="21F5D358">
                  <w:pPr>
                    <w:pStyle w:val="21"/>
                    <w:keepNext w:val="0"/>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bl>
          <w:p w14:paraId="6537435F">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三、井身结构</w:t>
            </w:r>
          </w:p>
          <w:p w14:paraId="26C4FB29">
            <w:pPr>
              <w:pStyle w:val="2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本项目</w:t>
            </w:r>
            <w:r>
              <w:rPr>
                <w:rFonts w:hint="eastAsia" w:ascii="Times New Roman" w:hAnsi="Times New Roman" w:cs="Times New Roman"/>
                <w:color w:val="auto"/>
                <w:highlight w:val="none"/>
                <w:lang w:val="en-US" w:eastAsia="zh-CN"/>
              </w:rPr>
              <w:t>包含直井</w:t>
            </w:r>
            <w:r>
              <w:rPr>
                <w:rFonts w:hint="default" w:ascii="Times New Roman" w:hAnsi="Times New Roman" w:cs="Times New Roman"/>
                <w:color w:val="auto"/>
                <w:highlight w:val="none"/>
                <w:lang w:eastAsia="zh-CN"/>
              </w:rPr>
              <w:t>，井身结构设计数据见</w:t>
            </w:r>
            <w:r>
              <w:rPr>
                <w:rFonts w:hint="eastAsia" w:ascii="Times New Roman" w:hAnsi="Times New Roman" w:cs="Times New Roman"/>
                <w:color w:val="auto"/>
                <w:highlight w:val="none"/>
                <w:lang w:val="en-US" w:eastAsia="zh-CN"/>
              </w:rPr>
              <w:t>下表</w:t>
            </w:r>
            <w:r>
              <w:rPr>
                <w:rFonts w:hint="default" w:ascii="Times New Roman" w:hAnsi="Times New Roman" w:cs="Times New Roman"/>
                <w:color w:val="auto"/>
                <w:highlight w:val="none"/>
                <w:lang w:eastAsia="zh-CN"/>
              </w:rPr>
              <w:t>。</w:t>
            </w:r>
          </w:p>
          <w:p w14:paraId="28F8FB0B">
            <w:pPr>
              <w:pStyle w:val="3"/>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表</w:t>
            </w:r>
            <w:r>
              <w:rPr>
                <w:rFonts w:hint="default" w:ascii="Times New Roman" w:hAnsi="Times New Roman"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eastAsia="zh-CN"/>
              </w:rPr>
              <w:t xml:space="preserve">  </w:t>
            </w:r>
            <w:r>
              <w:rPr>
                <w:rFonts w:hint="eastAsia" w:ascii="Times New Roman" w:hAnsi="Times New Roman" w:cs="Times New Roman"/>
                <w:color w:val="auto"/>
                <w:sz w:val="21"/>
                <w:szCs w:val="21"/>
                <w:highlight w:val="none"/>
                <w:lang w:val="en-US" w:eastAsia="zh-CN"/>
              </w:rPr>
              <w:t>直</w:t>
            </w:r>
            <w:r>
              <w:rPr>
                <w:rFonts w:hint="default" w:ascii="Times New Roman" w:hAnsi="Times New Roman" w:cs="Times New Roman"/>
                <w:color w:val="auto"/>
                <w:sz w:val="21"/>
                <w:szCs w:val="21"/>
                <w:highlight w:val="none"/>
                <w:lang w:eastAsia="zh-CN"/>
              </w:rPr>
              <w:t>井</w:t>
            </w:r>
            <w:r>
              <w:rPr>
                <w:rFonts w:hint="eastAsia" w:ascii="Times New Roman" w:hAnsi="Times New Roman" w:cs="Times New Roman"/>
                <w:color w:val="auto"/>
                <w:sz w:val="21"/>
                <w:szCs w:val="21"/>
                <w:highlight w:val="none"/>
                <w:lang w:val="en-US" w:eastAsia="zh-CN"/>
              </w:rPr>
              <w:t>井</w:t>
            </w:r>
            <w:r>
              <w:rPr>
                <w:rFonts w:hint="default" w:ascii="Times New Roman" w:hAnsi="Times New Roman" w:cs="Times New Roman"/>
                <w:color w:val="auto"/>
                <w:sz w:val="21"/>
                <w:szCs w:val="21"/>
                <w:highlight w:val="none"/>
                <w:lang w:eastAsia="zh-CN"/>
              </w:rPr>
              <w:t>身结构表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1395"/>
              <w:gridCol w:w="1395"/>
              <w:gridCol w:w="1395"/>
              <w:gridCol w:w="1395"/>
              <w:gridCol w:w="1395"/>
              <w:gridCol w:w="1396"/>
            </w:tblGrid>
            <w:tr w14:paraId="262CA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33" w:type="pct"/>
                  <w:tcBorders>
                    <w:top w:val="single" w:color="auto" w:sz="4" w:space="0"/>
                    <w:left w:val="single" w:color="auto" w:sz="4" w:space="0"/>
                    <w:bottom w:val="single" w:color="auto" w:sz="4" w:space="0"/>
                    <w:right w:val="single" w:color="auto" w:sz="4" w:space="0"/>
                  </w:tcBorders>
                  <w:noWrap w:val="0"/>
                  <w:vAlign w:val="center"/>
                </w:tcPr>
                <w:p w14:paraId="65D39829">
                  <w:pPr>
                    <w:pStyle w:val="21"/>
                    <w:widowControl/>
                    <w:rPr>
                      <w:rFonts w:hint="default"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开钻次序</w:t>
                  </w:r>
                </w:p>
              </w:tc>
              <w:tc>
                <w:tcPr>
                  <w:tcW w:w="833" w:type="pct"/>
                  <w:tcBorders>
                    <w:top w:val="single" w:color="auto" w:sz="4" w:space="0"/>
                    <w:left w:val="single" w:color="auto" w:sz="4" w:space="0"/>
                    <w:bottom w:val="single" w:color="auto" w:sz="4" w:space="0"/>
                    <w:right w:val="single" w:color="auto" w:sz="4" w:space="0"/>
                  </w:tcBorders>
                  <w:noWrap w:val="0"/>
                  <w:vAlign w:val="center"/>
                </w:tcPr>
                <w:p w14:paraId="4BE440F0">
                  <w:pPr>
                    <w:pStyle w:val="21"/>
                    <w:widowControl/>
                    <w:rPr>
                      <w:rFonts w:hint="default"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井深（</w:t>
                  </w:r>
                  <w:r>
                    <w:rPr>
                      <w:rFonts w:hint="default" w:ascii="Times New Roman" w:hAnsi="Times New Roman"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lang w:eastAsia="zh-CN"/>
                    </w:rPr>
                    <w:t>）</w:t>
                  </w:r>
                </w:p>
              </w:tc>
              <w:tc>
                <w:tcPr>
                  <w:tcW w:w="833" w:type="pct"/>
                  <w:tcBorders>
                    <w:top w:val="single" w:color="auto" w:sz="4" w:space="0"/>
                    <w:left w:val="single" w:color="auto" w:sz="4" w:space="0"/>
                    <w:bottom w:val="single" w:color="auto" w:sz="4" w:space="0"/>
                    <w:right w:val="single" w:color="auto" w:sz="4" w:space="0"/>
                  </w:tcBorders>
                  <w:noWrap w:val="0"/>
                  <w:vAlign w:val="center"/>
                </w:tcPr>
                <w:p w14:paraId="476DABFC">
                  <w:pPr>
                    <w:pStyle w:val="21"/>
                    <w:widowControl/>
                    <w:rPr>
                      <w:rFonts w:hint="default"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钻头尺寸（</w:t>
                  </w:r>
                  <w:r>
                    <w:rPr>
                      <w:rFonts w:hint="default" w:ascii="Times New Roman" w:hAnsi="Times New Roman" w:cs="Times New Roman"/>
                      <w:b/>
                      <w:bCs/>
                      <w:color w:val="auto"/>
                      <w:sz w:val="21"/>
                      <w:szCs w:val="21"/>
                      <w:highlight w:val="none"/>
                      <w:lang w:val="en-US" w:eastAsia="zh-CN"/>
                    </w:rPr>
                    <w:t>mm</w:t>
                  </w:r>
                  <w:r>
                    <w:rPr>
                      <w:rFonts w:hint="default" w:ascii="Times New Roman" w:hAnsi="Times New Roman" w:eastAsia="宋体" w:cs="Times New Roman"/>
                      <w:b/>
                      <w:bCs/>
                      <w:color w:val="auto"/>
                      <w:sz w:val="21"/>
                      <w:szCs w:val="21"/>
                      <w:highlight w:val="none"/>
                      <w:lang w:eastAsia="zh-CN"/>
                    </w:rPr>
                    <w:t>）</w:t>
                  </w:r>
                </w:p>
              </w:tc>
              <w:tc>
                <w:tcPr>
                  <w:tcW w:w="833" w:type="pct"/>
                  <w:tcBorders>
                    <w:top w:val="single" w:color="auto" w:sz="4" w:space="0"/>
                    <w:left w:val="single" w:color="auto" w:sz="4" w:space="0"/>
                    <w:bottom w:val="single" w:color="auto" w:sz="4" w:space="0"/>
                    <w:right w:val="single" w:color="auto" w:sz="4" w:space="0"/>
                  </w:tcBorders>
                  <w:noWrap w:val="0"/>
                  <w:vAlign w:val="center"/>
                </w:tcPr>
                <w:p w14:paraId="7491CB37">
                  <w:pPr>
                    <w:pStyle w:val="21"/>
                    <w:widowControl/>
                    <w:rPr>
                      <w:rFonts w:hint="default"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套管尺寸（</w:t>
                  </w:r>
                  <w:r>
                    <w:rPr>
                      <w:rFonts w:hint="default" w:ascii="Times New Roman" w:hAnsi="Times New Roman" w:cs="Times New Roman"/>
                      <w:b/>
                      <w:bCs/>
                      <w:color w:val="auto"/>
                      <w:sz w:val="21"/>
                      <w:szCs w:val="21"/>
                      <w:highlight w:val="none"/>
                      <w:lang w:val="en-US" w:eastAsia="zh-CN"/>
                    </w:rPr>
                    <w:t>mm</w:t>
                  </w:r>
                  <w:r>
                    <w:rPr>
                      <w:rFonts w:hint="default" w:ascii="Times New Roman" w:hAnsi="Times New Roman" w:eastAsia="宋体" w:cs="Times New Roman"/>
                      <w:b/>
                      <w:bCs/>
                      <w:color w:val="auto"/>
                      <w:sz w:val="21"/>
                      <w:szCs w:val="21"/>
                      <w:highlight w:val="none"/>
                      <w:lang w:eastAsia="zh-CN"/>
                    </w:rPr>
                    <w:t>）</w:t>
                  </w:r>
                </w:p>
              </w:tc>
              <w:tc>
                <w:tcPr>
                  <w:tcW w:w="833" w:type="pct"/>
                  <w:tcBorders>
                    <w:top w:val="single" w:color="auto" w:sz="4" w:space="0"/>
                    <w:left w:val="single" w:color="auto" w:sz="4" w:space="0"/>
                    <w:bottom w:val="single" w:color="auto" w:sz="4" w:space="0"/>
                    <w:right w:val="single" w:color="auto" w:sz="4" w:space="0"/>
                  </w:tcBorders>
                  <w:noWrap w:val="0"/>
                  <w:vAlign w:val="center"/>
                </w:tcPr>
                <w:p w14:paraId="4BA723EF">
                  <w:pPr>
                    <w:pStyle w:val="21"/>
                    <w:widowControl/>
                    <w:rPr>
                      <w:rFonts w:hint="default"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套管下深（</w:t>
                  </w:r>
                  <w:r>
                    <w:rPr>
                      <w:rFonts w:hint="default" w:ascii="Times New Roman" w:hAnsi="Times New Roman"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lang w:eastAsia="zh-CN"/>
                    </w:rPr>
                    <w:t>）</w:t>
                  </w:r>
                </w:p>
              </w:tc>
              <w:tc>
                <w:tcPr>
                  <w:tcW w:w="833" w:type="pct"/>
                  <w:tcBorders>
                    <w:top w:val="single" w:color="auto" w:sz="4" w:space="0"/>
                    <w:left w:val="single" w:color="auto" w:sz="4" w:space="0"/>
                    <w:bottom w:val="single" w:color="auto" w:sz="4" w:space="0"/>
                    <w:right w:val="single" w:color="auto" w:sz="4" w:space="0"/>
                  </w:tcBorders>
                  <w:noWrap w:val="0"/>
                  <w:vAlign w:val="center"/>
                </w:tcPr>
                <w:p w14:paraId="527BEE5A">
                  <w:pPr>
                    <w:pStyle w:val="21"/>
                    <w:widowControl/>
                    <w:rPr>
                      <w:rFonts w:hint="default"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水泥返高</w:t>
                  </w:r>
                </w:p>
              </w:tc>
            </w:tr>
            <w:tr w14:paraId="2E6B7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33" w:type="pct"/>
                  <w:tcBorders>
                    <w:top w:val="single" w:color="auto" w:sz="4" w:space="0"/>
                    <w:left w:val="single" w:color="auto" w:sz="4" w:space="0"/>
                    <w:bottom w:val="single" w:color="auto" w:sz="4" w:space="0"/>
                    <w:right w:val="single" w:color="auto" w:sz="4" w:space="0"/>
                  </w:tcBorders>
                  <w:noWrap w:val="0"/>
                  <w:vAlign w:val="center"/>
                </w:tcPr>
                <w:p w14:paraId="36631102">
                  <w:pPr>
                    <w:pStyle w:val="21"/>
                    <w:widowControl/>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一开</w:t>
                  </w:r>
                </w:p>
              </w:tc>
              <w:tc>
                <w:tcPr>
                  <w:tcW w:w="833" w:type="pct"/>
                  <w:tcBorders>
                    <w:top w:val="single" w:color="auto" w:sz="4" w:space="0"/>
                    <w:left w:val="single" w:color="auto" w:sz="4" w:space="0"/>
                    <w:bottom w:val="single" w:color="auto" w:sz="4" w:space="0"/>
                    <w:right w:val="single" w:color="auto" w:sz="4" w:space="0"/>
                  </w:tcBorders>
                  <w:noWrap w:val="0"/>
                  <w:vAlign w:val="center"/>
                </w:tcPr>
                <w:p w14:paraId="4D2BDC3E">
                  <w:pPr>
                    <w:pStyle w:val="21"/>
                    <w:widowControl/>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0~600</w:t>
                  </w:r>
                </w:p>
              </w:tc>
              <w:tc>
                <w:tcPr>
                  <w:tcW w:w="833" w:type="pct"/>
                  <w:tcBorders>
                    <w:top w:val="single" w:color="auto" w:sz="4" w:space="0"/>
                    <w:left w:val="single" w:color="auto" w:sz="4" w:space="0"/>
                    <w:bottom w:val="single" w:color="auto" w:sz="4" w:space="0"/>
                    <w:right w:val="single" w:color="auto" w:sz="4" w:space="0"/>
                  </w:tcBorders>
                  <w:noWrap w:val="0"/>
                  <w:vAlign w:val="center"/>
                </w:tcPr>
                <w:p w14:paraId="628966A3">
                  <w:pPr>
                    <w:pStyle w:val="21"/>
                    <w:widowControl/>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346</w:t>
                  </w:r>
                </w:p>
              </w:tc>
              <w:tc>
                <w:tcPr>
                  <w:tcW w:w="833" w:type="pct"/>
                  <w:tcBorders>
                    <w:top w:val="single" w:color="auto" w:sz="4" w:space="0"/>
                    <w:left w:val="single" w:color="auto" w:sz="4" w:space="0"/>
                    <w:bottom w:val="single" w:color="auto" w:sz="4" w:space="0"/>
                    <w:right w:val="single" w:color="auto" w:sz="4" w:space="0"/>
                  </w:tcBorders>
                  <w:noWrap w:val="0"/>
                  <w:vAlign w:val="center"/>
                </w:tcPr>
                <w:p w14:paraId="07D30328">
                  <w:pPr>
                    <w:pStyle w:val="21"/>
                    <w:widowControl/>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273.1</w:t>
                  </w:r>
                </w:p>
              </w:tc>
              <w:tc>
                <w:tcPr>
                  <w:tcW w:w="833" w:type="pct"/>
                  <w:tcBorders>
                    <w:top w:val="single" w:color="auto" w:sz="4" w:space="0"/>
                    <w:left w:val="single" w:color="auto" w:sz="4" w:space="0"/>
                    <w:bottom w:val="single" w:color="auto" w:sz="4" w:space="0"/>
                    <w:right w:val="single" w:color="auto" w:sz="4" w:space="0"/>
                  </w:tcBorders>
                  <w:noWrap w:val="0"/>
                  <w:vAlign w:val="center"/>
                </w:tcPr>
                <w:p w14:paraId="2B7986D9">
                  <w:pPr>
                    <w:pStyle w:val="21"/>
                    <w:widowControl/>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下到稳定岩层</w:t>
                  </w:r>
                </w:p>
              </w:tc>
              <w:tc>
                <w:tcPr>
                  <w:tcW w:w="833" w:type="pct"/>
                  <w:tcBorders>
                    <w:top w:val="single" w:color="auto" w:sz="4" w:space="0"/>
                    <w:left w:val="single" w:color="auto" w:sz="4" w:space="0"/>
                    <w:bottom w:val="single" w:color="auto" w:sz="4" w:space="0"/>
                    <w:right w:val="single" w:color="auto" w:sz="4" w:space="0"/>
                  </w:tcBorders>
                  <w:noWrap w:val="0"/>
                  <w:vAlign w:val="center"/>
                </w:tcPr>
                <w:p w14:paraId="7E6D6FD3">
                  <w:pPr>
                    <w:pStyle w:val="21"/>
                    <w:widowControl/>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地面</w:t>
                  </w:r>
                </w:p>
              </w:tc>
            </w:tr>
            <w:tr w14:paraId="3B807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33" w:type="pct"/>
                  <w:tcBorders>
                    <w:top w:val="single" w:color="auto" w:sz="4" w:space="0"/>
                    <w:left w:val="single" w:color="auto" w:sz="4" w:space="0"/>
                    <w:bottom w:val="single" w:color="auto" w:sz="4" w:space="0"/>
                    <w:right w:val="single" w:color="auto" w:sz="4" w:space="0"/>
                  </w:tcBorders>
                  <w:noWrap w:val="0"/>
                  <w:vAlign w:val="center"/>
                </w:tcPr>
                <w:p w14:paraId="631AE414">
                  <w:pPr>
                    <w:pStyle w:val="21"/>
                    <w:widowControl/>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二开</w:t>
                  </w:r>
                </w:p>
              </w:tc>
              <w:tc>
                <w:tcPr>
                  <w:tcW w:w="833" w:type="pct"/>
                  <w:tcBorders>
                    <w:top w:val="single" w:color="auto" w:sz="4" w:space="0"/>
                    <w:left w:val="single" w:color="auto" w:sz="4" w:space="0"/>
                    <w:bottom w:val="single" w:color="auto" w:sz="4" w:space="0"/>
                    <w:right w:val="single" w:color="auto" w:sz="4" w:space="0"/>
                  </w:tcBorders>
                  <w:noWrap w:val="0"/>
                  <w:vAlign w:val="center"/>
                </w:tcPr>
                <w:p w14:paraId="03AA0018">
                  <w:pPr>
                    <w:pStyle w:val="21"/>
                    <w:widowControl/>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600~</w:t>
                  </w:r>
                  <w:r>
                    <w:rPr>
                      <w:rFonts w:hint="default" w:ascii="Times New Roman" w:hAnsi="Times New Roman" w:eastAsia="宋体" w:cs="Times New Roman"/>
                      <w:color w:val="auto"/>
                      <w:sz w:val="21"/>
                      <w:szCs w:val="21"/>
                      <w:highlight w:val="none"/>
                      <w:lang w:eastAsia="zh-CN"/>
                    </w:rPr>
                    <w:t>目的层</w:t>
                  </w:r>
                </w:p>
              </w:tc>
              <w:tc>
                <w:tcPr>
                  <w:tcW w:w="833" w:type="pct"/>
                  <w:tcBorders>
                    <w:top w:val="single" w:color="auto" w:sz="4" w:space="0"/>
                    <w:left w:val="single" w:color="auto" w:sz="4" w:space="0"/>
                    <w:bottom w:val="single" w:color="auto" w:sz="4" w:space="0"/>
                    <w:right w:val="single" w:color="auto" w:sz="4" w:space="0"/>
                  </w:tcBorders>
                  <w:noWrap w:val="0"/>
                  <w:vAlign w:val="center"/>
                </w:tcPr>
                <w:p w14:paraId="2A32ED14">
                  <w:pPr>
                    <w:pStyle w:val="21"/>
                    <w:widowControl/>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273</w:t>
                  </w:r>
                </w:p>
              </w:tc>
              <w:tc>
                <w:tcPr>
                  <w:tcW w:w="833" w:type="pct"/>
                  <w:tcBorders>
                    <w:top w:val="single" w:color="auto" w:sz="4" w:space="0"/>
                    <w:left w:val="single" w:color="auto" w:sz="4" w:space="0"/>
                    <w:bottom w:val="single" w:color="auto" w:sz="4" w:space="0"/>
                    <w:right w:val="single" w:color="auto" w:sz="4" w:space="0"/>
                  </w:tcBorders>
                  <w:noWrap w:val="0"/>
                  <w:vAlign w:val="center"/>
                </w:tcPr>
                <w:p w14:paraId="25B4DE24">
                  <w:pPr>
                    <w:pStyle w:val="21"/>
                    <w:widowControl/>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219.1</w:t>
                  </w:r>
                </w:p>
              </w:tc>
              <w:tc>
                <w:tcPr>
                  <w:tcW w:w="833" w:type="pct"/>
                  <w:tcBorders>
                    <w:top w:val="single" w:color="auto" w:sz="4" w:space="0"/>
                    <w:left w:val="single" w:color="auto" w:sz="4" w:space="0"/>
                    <w:bottom w:val="single" w:color="auto" w:sz="4" w:space="0"/>
                    <w:right w:val="single" w:color="auto" w:sz="4" w:space="0"/>
                  </w:tcBorders>
                  <w:noWrap w:val="0"/>
                  <w:vAlign w:val="center"/>
                </w:tcPr>
                <w:p w14:paraId="79B0B910">
                  <w:pPr>
                    <w:pStyle w:val="21"/>
                    <w:widowControl/>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距井底</w:t>
                  </w:r>
                  <w:r>
                    <w:rPr>
                      <w:rFonts w:hint="default"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5m</w:t>
                  </w:r>
                </w:p>
              </w:tc>
              <w:tc>
                <w:tcPr>
                  <w:tcW w:w="833" w:type="pct"/>
                  <w:tcBorders>
                    <w:top w:val="single" w:color="auto" w:sz="4" w:space="0"/>
                    <w:left w:val="single" w:color="auto" w:sz="4" w:space="0"/>
                    <w:bottom w:val="single" w:color="auto" w:sz="4" w:space="0"/>
                    <w:right w:val="single" w:color="auto" w:sz="4" w:space="0"/>
                  </w:tcBorders>
                  <w:noWrap w:val="0"/>
                  <w:vAlign w:val="center"/>
                </w:tcPr>
                <w:p w14:paraId="5737583C">
                  <w:pPr>
                    <w:pStyle w:val="21"/>
                    <w:widowControl/>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地面</w:t>
                  </w:r>
                </w:p>
              </w:tc>
            </w:tr>
          </w:tbl>
          <w:p w14:paraId="086105A9">
            <w:pPr>
              <w:pStyle w:val="20"/>
              <w:keepNext w:val="0"/>
              <w:keepLines w:val="0"/>
              <w:pageBreakBefore w:val="0"/>
              <w:widowControl w:val="0"/>
              <w:kinsoku/>
              <w:wordWrap/>
              <w:overflowPunct/>
              <w:topLinePunct w:val="0"/>
              <w:autoSpaceDE/>
              <w:autoSpaceDN/>
              <w:bidi w:val="0"/>
              <w:adjustRightInd w:val="0"/>
              <w:snapToGrid w:val="0"/>
              <w:spacing w:before="79" w:beforeLines="25"/>
              <w:ind w:left="0" w:leftChars="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本项目井身结构示意图见</w:t>
            </w:r>
            <w:r>
              <w:rPr>
                <w:rFonts w:hint="eastAsia" w:ascii="Times New Roman" w:hAnsi="Times New Roman" w:cs="Times New Roman"/>
                <w:color w:val="auto"/>
                <w:highlight w:val="none"/>
                <w:lang w:val="en-US" w:eastAsia="zh-CN"/>
              </w:rPr>
              <w:t>下图</w:t>
            </w:r>
            <w:r>
              <w:rPr>
                <w:rFonts w:hint="default" w:ascii="Times New Roman" w:hAnsi="Times New Roman" w:cs="Times New Roman"/>
                <w:color w:val="auto"/>
                <w:highlight w:val="none"/>
                <w:lang w:val="en-US" w:eastAsia="zh-CN"/>
              </w:rPr>
              <w:t>。</w:t>
            </w:r>
          </w:p>
          <w:p w14:paraId="7E9A36EA">
            <w:pPr>
              <w:pStyle w:val="20"/>
              <w:widowControl/>
              <w:spacing w:line="240" w:lineRule="auto"/>
              <w:ind w:left="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drawing>
                <wp:inline distT="0" distB="0" distL="114300" distR="114300">
                  <wp:extent cx="3281680" cy="2354580"/>
                  <wp:effectExtent l="0" t="0" r="13970" b="7620"/>
                  <wp:docPr id="6"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图片1"/>
                          <pic:cNvPicPr>
                            <a:picLocks noChangeAspect="1"/>
                          </pic:cNvPicPr>
                        </pic:nvPicPr>
                        <pic:blipFill>
                          <a:blip r:embed="rId6"/>
                          <a:stretch>
                            <a:fillRect/>
                          </a:stretch>
                        </pic:blipFill>
                        <pic:spPr>
                          <a:xfrm>
                            <a:off x="0" y="0"/>
                            <a:ext cx="3281680" cy="2354580"/>
                          </a:xfrm>
                          <a:prstGeom prst="rect">
                            <a:avLst/>
                          </a:prstGeom>
                          <a:noFill/>
                          <a:ln>
                            <a:noFill/>
                          </a:ln>
                        </pic:spPr>
                      </pic:pic>
                    </a:graphicData>
                  </a:graphic>
                </wp:inline>
              </w:drawing>
            </w:r>
          </w:p>
          <w:p w14:paraId="226513C4">
            <w:pPr>
              <w:pStyle w:val="3"/>
              <w:widowControl/>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图</w:t>
            </w:r>
            <w:r>
              <w:rPr>
                <w:rFonts w:hint="default"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 xml:space="preserve">2 </w:t>
            </w:r>
            <w:r>
              <w:rPr>
                <w:rFonts w:hint="default" w:ascii="Times New Roman" w:hAnsi="Times New Roman" w:cs="Times New Roman"/>
                <w:color w:val="auto"/>
                <w:sz w:val="24"/>
                <w:szCs w:val="24"/>
                <w:highlight w:val="none"/>
                <w:lang w:eastAsia="zh-CN"/>
              </w:rPr>
              <w:t>井身结构图</w:t>
            </w:r>
          </w:p>
          <w:p w14:paraId="68E01DC1">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四、</w:t>
            </w:r>
            <w:r>
              <w:rPr>
                <w:rFonts w:hint="eastAsia" w:ascii="Times New Roman" w:hAnsi="Times New Roman" w:eastAsia="宋体" w:cs="Times New Roman"/>
                <w:b/>
                <w:bCs/>
                <w:color w:val="auto"/>
                <w:kern w:val="0"/>
                <w:sz w:val="24"/>
                <w:szCs w:val="24"/>
                <w:highlight w:val="none"/>
                <w:lang w:val="en-US" w:eastAsia="zh-CN" w:bidi="ar"/>
              </w:rPr>
              <w:t>项目区地质特征</w:t>
            </w:r>
          </w:p>
          <w:p w14:paraId="5804C7BD">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sz w:val="24"/>
                <w:szCs w:val="28"/>
                <w:highlight w:val="none"/>
                <w:lang w:val="zh-CN"/>
              </w:rPr>
            </w:pPr>
            <w:r>
              <w:rPr>
                <w:rFonts w:hint="default" w:ascii="Times New Roman" w:hAnsi="Times New Roman" w:eastAsia="宋体" w:cs="Times New Roman"/>
                <w:bCs/>
                <w:color w:val="auto"/>
                <w:sz w:val="24"/>
                <w:szCs w:val="28"/>
                <w:highlight w:val="none"/>
                <w:lang w:val="zh-CN"/>
              </w:rPr>
              <w:t>鄂尔多斯盆地是一个多旋回演化、多沉积类型的大型沉积盆地，盆地本部面积约25×10</w:t>
            </w:r>
            <w:r>
              <w:rPr>
                <w:rFonts w:hint="default" w:ascii="Times New Roman" w:hAnsi="Times New Roman" w:eastAsia="宋体" w:cs="Times New Roman"/>
                <w:bCs/>
                <w:color w:val="auto"/>
                <w:sz w:val="24"/>
                <w:szCs w:val="28"/>
                <w:highlight w:val="none"/>
                <w:vertAlign w:val="superscript"/>
                <w:lang w:val="en-US" w:eastAsia="zh-CN"/>
              </w:rPr>
              <w:t>4</w:t>
            </w:r>
            <w:r>
              <w:rPr>
                <w:rFonts w:hint="default" w:ascii="Times New Roman" w:hAnsi="Times New Roman" w:eastAsia="宋体" w:cs="Times New Roman"/>
                <w:bCs/>
                <w:color w:val="auto"/>
                <w:sz w:val="24"/>
                <w:szCs w:val="28"/>
                <w:highlight w:val="none"/>
                <w:lang w:val="zh-CN"/>
              </w:rPr>
              <w:t>km</w:t>
            </w:r>
            <w:r>
              <w:rPr>
                <w:rFonts w:hint="default" w:ascii="Times New Roman" w:hAnsi="Times New Roman" w:eastAsia="宋体" w:cs="Times New Roman"/>
                <w:bCs/>
                <w:color w:val="auto"/>
                <w:sz w:val="24"/>
                <w:szCs w:val="28"/>
                <w:highlight w:val="none"/>
                <w:vertAlign w:val="superscript"/>
                <w:lang w:val="zh-CN"/>
              </w:rPr>
              <w:t>2</w:t>
            </w:r>
            <w:r>
              <w:rPr>
                <w:rFonts w:hint="default" w:ascii="Times New Roman" w:hAnsi="Times New Roman" w:eastAsia="宋体" w:cs="Times New Roman"/>
                <w:bCs/>
                <w:color w:val="auto"/>
                <w:sz w:val="24"/>
                <w:szCs w:val="28"/>
                <w:highlight w:val="none"/>
                <w:lang w:val="zh-CN"/>
              </w:rPr>
              <w:t>。盆地基底为前寒武纪结晶变质岩系，沉积盖层大体经历了中晚元古代坳拉谷、早古生代华北陆表海、晚古生代华北滨浅海、中生代内陆湖盆及新生代周边断陷等五大阶段，形成了下古生界陆表海碳酸盐岩、上古生界海陆过渡相煤系碎屑岩及中新生界内陆湖盆碎屑岩沉积的三层结构。盆地主体除缺失中上奥陶统、志留系、泥盆系及下石炭统外，地层基本齐全，沉积岩厚度约6000m。目前在盆地内发现了下古生界、上古生界及中生界三套含油气层系。</w:t>
            </w:r>
          </w:p>
          <w:p w14:paraId="2EC2FDEF">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rPr>
              <w:t>气田所在区域古生界地层缺失中、上奥陶统、志留系、泥盆系及下石炭统地层。上、下古生界地层呈平行不整合接触，顶部与中生界地层整合接触。上古生界地层内部沉积连续，均为整合接触，以海陆过渡相－内陆湖盆沉积为主。自下而上发育石炭系本溪组、二叠系太原组、山西组、下石盒子组、上石盒子组和石千峰组地层</w:t>
            </w:r>
            <w:r>
              <w:rPr>
                <w:rFonts w:hint="eastAsia" w:ascii="Times New Roman" w:hAnsi="Times New Roman" w:eastAsia="宋体" w:cs="Times New Roman"/>
                <w:color w:val="auto"/>
                <w:sz w:val="24"/>
                <w:szCs w:val="22"/>
                <w:highlight w:val="none"/>
                <w:lang w:val="en-US" w:eastAsia="zh-CN"/>
              </w:rPr>
              <w:t>。</w:t>
            </w:r>
          </w:p>
          <w:p w14:paraId="2BF9EBDE">
            <w:pPr>
              <w:pStyle w:val="3"/>
              <w:widowControl/>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表</w:t>
            </w:r>
            <w:r>
              <w:rPr>
                <w:rFonts w:hint="default"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5  项目评价井目的地层示意简表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966"/>
              <w:gridCol w:w="966"/>
              <w:gridCol w:w="970"/>
              <w:gridCol w:w="1333"/>
              <w:gridCol w:w="1660"/>
              <w:gridCol w:w="1660"/>
            </w:tblGrid>
            <w:tr w14:paraId="6D5D4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blHeader/>
                <w:jc w:val="center"/>
              </w:trPr>
              <w:tc>
                <w:tcPr>
                  <w:tcW w:w="2220" w:type="pct"/>
                  <w:gridSpan w:val="4"/>
                  <w:noWrap w:val="0"/>
                  <w:vAlign w:val="center"/>
                </w:tcPr>
                <w:p w14:paraId="0B9F19F3">
                  <w:pPr>
                    <w:snapToGrid w:val="0"/>
                    <w:spacing w:line="240" w:lineRule="auto"/>
                    <w:ind w:firstLine="0" w:firstLineChars="0"/>
                    <w:jc w:val="center"/>
                    <w:rPr>
                      <w:rFonts w:hint="default" w:ascii="Times New Roman" w:hAnsi="Times New Roman" w:cs="Times New Roman"/>
                      <w:b/>
                      <w:snapToGrid w:val="0"/>
                      <w:color w:val="auto"/>
                      <w:kern w:val="0"/>
                      <w:sz w:val="21"/>
                      <w:highlight w:val="none"/>
                      <w:lang w:val="pt-BR"/>
                    </w:rPr>
                  </w:pPr>
                  <w:r>
                    <w:rPr>
                      <w:rFonts w:hint="default" w:ascii="Times New Roman" w:hAnsi="Times New Roman" w:cs="Times New Roman"/>
                      <w:b/>
                      <w:snapToGrid w:val="0"/>
                      <w:color w:val="auto"/>
                      <w:kern w:val="0"/>
                      <w:sz w:val="21"/>
                      <w:highlight w:val="none"/>
                      <w:lang w:val="pt-BR"/>
                    </w:rPr>
                    <w:t>层位</w:t>
                  </w:r>
                </w:p>
              </w:tc>
              <w:tc>
                <w:tcPr>
                  <w:tcW w:w="796" w:type="pct"/>
                  <w:vMerge w:val="restart"/>
                  <w:noWrap w:val="0"/>
                  <w:vAlign w:val="center"/>
                </w:tcPr>
                <w:p w14:paraId="58A3A0FF">
                  <w:pPr>
                    <w:snapToGrid w:val="0"/>
                    <w:spacing w:line="240" w:lineRule="auto"/>
                    <w:ind w:firstLine="0" w:firstLineChars="0"/>
                    <w:jc w:val="center"/>
                    <w:rPr>
                      <w:rFonts w:hint="default" w:ascii="Times New Roman" w:hAnsi="Times New Roman" w:cs="Times New Roman"/>
                      <w:b/>
                      <w:snapToGrid w:val="0"/>
                      <w:color w:val="auto"/>
                      <w:kern w:val="0"/>
                      <w:sz w:val="21"/>
                      <w:highlight w:val="none"/>
                      <w:lang w:val="pt-BR"/>
                    </w:rPr>
                  </w:pPr>
                  <w:r>
                    <w:rPr>
                      <w:rFonts w:hint="default" w:ascii="Times New Roman" w:hAnsi="Times New Roman" w:cs="Times New Roman"/>
                      <w:b/>
                      <w:snapToGrid w:val="0"/>
                      <w:color w:val="auto"/>
                      <w:kern w:val="0"/>
                      <w:sz w:val="21"/>
                      <w:highlight w:val="none"/>
                      <w:lang w:val="pt-BR"/>
                    </w:rPr>
                    <w:t>层位代号</w:t>
                  </w:r>
                </w:p>
              </w:tc>
              <w:tc>
                <w:tcPr>
                  <w:tcW w:w="991" w:type="pct"/>
                  <w:vMerge w:val="restart"/>
                  <w:noWrap w:val="0"/>
                  <w:vAlign w:val="center"/>
                </w:tcPr>
                <w:p w14:paraId="4394E4F9">
                  <w:pPr>
                    <w:snapToGrid w:val="0"/>
                    <w:spacing w:line="240" w:lineRule="auto"/>
                    <w:ind w:firstLine="0" w:firstLineChars="0"/>
                    <w:jc w:val="center"/>
                    <w:rPr>
                      <w:rFonts w:hint="default" w:ascii="Times New Roman" w:hAnsi="Times New Roman" w:cs="Times New Roman"/>
                      <w:b/>
                      <w:snapToGrid w:val="0"/>
                      <w:color w:val="auto"/>
                      <w:kern w:val="0"/>
                      <w:sz w:val="21"/>
                      <w:highlight w:val="none"/>
                      <w:lang w:val="pt-BR"/>
                    </w:rPr>
                  </w:pPr>
                  <w:r>
                    <w:rPr>
                      <w:rFonts w:hint="default" w:ascii="Times New Roman" w:hAnsi="Times New Roman" w:cs="Times New Roman"/>
                      <w:b/>
                      <w:snapToGrid w:val="0"/>
                      <w:color w:val="auto"/>
                      <w:kern w:val="0"/>
                      <w:sz w:val="21"/>
                      <w:highlight w:val="none"/>
                      <w:lang w:val="pt-BR"/>
                    </w:rPr>
                    <w:t>岩相</w:t>
                  </w:r>
                </w:p>
              </w:tc>
              <w:tc>
                <w:tcPr>
                  <w:tcW w:w="991" w:type="pct"/>
                  <w:vMerge w:val="restart"/>
                  <w:noWrap w:val="0"/>
                  <w:vAlign w:val="center"/>
                </w:tcPr>
                <w:p w14:paraId="17B7F3F8">
                  <w:pPr>
                    <w:snapToGrid w:val="0"/>
                    <w:spacing w:line="240" w:lineRule="auto"/>
                    <w:ind w:firstLine="0" w:firstLineChars="0"/>
                    <w:jc w:val="center"/>
                    <w:rPr>
                      <w:rFonts w:hint="eastAsia" w:ascii="Times New Roman" w:hAnsi="Times New Roman" w:eastAsia="宋体" w:cs="Times New Roman"/>
                      <w:b/>
                      <w:snapToGrid w:val="0"/>
                      <w:color w:val="auto"/>
                      <w:kern w:val="0"/>
                      <w:sz w:val="21"/>
                      <w:highlight w:val="none"/>
                      <w:lang w:val="en-US" w:eastAsia="zh-CN"/>
                    </w:rPr>
                  </w:pPr>
                  <w:r>
                    <w:rPr>
                      <w:rFonts w:hint="eastAsia" w:ascii="Times New Roman" w:hAnsi="Times New Roman" w:cs="Times New Roman"/>
                      <w:b/>
                      <w:snapToGrid w:val="0"/>
                      <w:color w:val="auto"/>
                      <w:kern w:val="0"/>
                      <w:sz w:val="21"/>
                      <w:highlight w:val="none"/>
                      <w:lang w:val="en-US" w:eastAsia="zh-CN"/>
                    </w:rPr>
                    <w:t>备注</w:t>
                  </w:r>
                </w:p>
              </w:tc>
            </w:tr>
            <w:tr w14:paraId="79B81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blHeader/>
                <w:jc w:val="center"/>
              </w:trPr>
              <w:tc>
                <w:tcPr>
                  <w:tcW w:w="487" w:type="pct"/>
                  <w:noWrap w:val="0"/>
                  <w:vAlign w:val="center"/>
                </w:tcPr>
                <w:p w14:paraId="31FD002B">
                  <w:pPr>
                    <w:snapToGrid w:val="0"/>
                    <w:spacing w:line="240" w:lineRule="auto"/>
                    <w:ind w:firstLine="0" w:firstLineChars="0"/>
                    <w:jc w:val="center"/>
                    <w:rPr>
                      <w:rFonts w:hint="default" w:ascii="Times New Roman" w:hAnsi="Times New Roman" w:cs="Times New Roman"/>
                      <w:b/>
                      <w:snapToGrid w:val="0"/>
                      <w:color w:val="auto"/>
                      <w:kern w:val="0"/>
                      <w:sz w:val="21"/>
                      <w:highlight w:val="none"/>
                      <w:lang w:val="pt-BR"/>
                    </w:rPr>
                  </w:pPr>
                  <w:r>
                    <w:rPr>
                      <w:rFonts w:hint="default" w:ascii="Times New Roman" w:hAnsi="Times New Roman" w:cs="Times New Roman"/>
                      <w:b/>
                      <w:snapToGrid w:val="0"/>
                      <w:color w:val="auto"/>
                      <w:kern w:val="0"/>
                      <w:sz w:val="21"/>
                      <w:highlight w:val="none"/>
                      <w:lang w:val="pt-BR"/>
                    </w:rPr>
                    <w:t>系</w:t>
                  </w:r>
                </w:p>
              </w:tc>
              <w:tc>
                <w:tcPr>
                  <w:tcW w:w="576" w:type="pct"/>
                  <w:noWrap w:val="0"/>
                  <w:vAlign w:val="center"/>
                </w:tcPr>
                <w:p w14:paraId="17D82589">
                  <w:pPr>
                    <w:snapToGrid w:val="0"/>
                    <w:spacing w:line="240" w:lineRule="auto"/>
                    <w:ind w:firstLine="0" w:firstLineChars="0"/>
                    <w:jc w:val="center"/>
                    <w:rPr>
                      <w:rFonts w:hint="default" w:ascii="Times New Roman" w:hAnsi="Times New Roman" w:cs="Times New Roman"/>
                      <w:b/>
                      <w:snapToGrid w:val="0"/>
                      <w:color w:val="auto"/>
                      <w:kern w:val="0"/>
                      <w:sz w:val="21"/>
                      <w:highlight w:val="none"/>
                      <w:lang w:val="pt-BR"/>
                    </w:rPr>
                  </w:pPr>
                  <w:r>
                    <w:rPr>
                      <w:rFonts w:hint="default" w:ascii="Times New Roman" w:hAnsi="Times New Roman" w:cs="Times New Roman"/>
                      <w:b/>
                      <w:snapToGrid w:val="0"/>
                      <w:color w:val="auto"/>
                      <w:kern w:val="0"/>
                      <w:sz w:val="21"/>
                      <w:highlight w:val="none"/>
                      <w:lang w:val="pt-BR"/>
                    </w:rPr>
                    <w:t>统</w:t>
                  </w:r>
                </w:p>
              </w:tc>
              <w:tc>
                <w:tcPr>
                  <w:tcW w:w="576" w:type="pct"/>
                  <w:noWrap w:val="0"/>
                  <w:vAlign w:val="center"/>
                </w:tcPr>
                <w:p w14:paraId="4ECBFD07">
                  <w:pPr>
                    <w:snapToGrid w:val="0"/>
                    <w:spacing w:line="240" w:lineRule="auto"/>
                    <w:ind w:firstLine="0" w:firstLineChars="0"/>
                    <w:jc w:val="center"/>
                    <w:rPr>
                      <w:rFonts w:hint="default" w:ascii="Times New Roman" w:hAnsi="Times New Roman" w:cs="Times New Roman"/>
                      <w:b/>
                      <w:snapToGrid w:val="0"/>
                      <w:color w:val="auto"/>
                      <w:kern w:val="0"/>
                      <w:sz w:val="21"/>
                      <w:highlight w:val="none"/>
                      <w:lang w:val="pt-BR"/>
                    </w:rPr>
                  </w:pPr>
                  <w:r>
                    <w:rPr>
                      <w:rFonts w:hint="default" w:ascii="Times New Roman" w:hAnsi="Times New Roman" w:cs="Times New Roman"/>
                      <w:b/>
                      <w:snapToGrid w:val="0"/>
                      <w:color w:val="auto"/>
                      <w:kern w:val="0"/>
                      <w:sz w:val="21"/>
                      <w:highlight w:val="none"/>
                      <w:lang w:val="pt-BR"/>
                    </w:rPr>
                    <w:t>组</w:t>
                  </w:r>
                </w:p>
              </w:tc>
              <w:tc>
                <w:tcPr>
                  <w:tcW w:w="579" w:type="pct"/>
                  <w:noWrap w:val="0"/>
                  <w:vAlign w:val="center"/>
                </w:tcPr>
                <w:p w14:paraId="676569E1">
                  <w:pPr>
                    <w:snapToGrid w:val="0"/>
                    <w:spacing w:line="240" w:lineRule="auto"/>
                    <w:ind w:firstLine="0" w:firstLineChars="0"/>
                    <w:jc w:val="center"/>
                    <w:rPr>
                      <w:rFonts w:hint="default" w:ascii="Times New Roman" w:hAnsi="Times New Roman" w:cs="Times New Roman"/>
                      <w:b/>
                      <w:snapToGrid w:val="0"/>
                      <w:color w:val="auto"/>
                      <w:kern w:val="0"/>
                      <w:sz w:val="21"/>
                      <w:highlight w:val="none"/>
                      <w:lang w:val="pt-BR"/>
                    </w:rPr>
                  </w:pPr>
                  <w:r>
                    <w:rPr>
                      <w:rFonts w:hint="default" w:ascii="Times New Roman" w:hAnsi="Times New Roman" w:cs="Times New Roman"/>
                      <w:b/>
                      <w:snapToGrid w:val="0"/>
                      <w:color w:val="auto"/>
                      <w:kern w:val="0"/>
                      <w:sz w:val="21"/>
                      <w:highlight w:val="none"/>
                      <w:lang w:val="pt-BR"/>
                    </w:rPr>
                    <w:t>段</w:t>
                  </w:r>
                </w:p>
              </w:tc>
              <w:tc>
                <w:tcPr>
                  <w:tcW w:w="796" w:type="pct"/>
                  <w:vMerge w:val="continue"/>
                  <w:noWrap w:val="0"/>
                  <w:vAlign w:val="center"/>
                </w:tcPr>
                <w:p w14:paraId="0839EC08">
                  <w:pPr>
                    <w:snapToGrid w:val="0"/>
                    <w:spacing w:line="240" w:lineRule="auto"/>
                    <w:ind w:firstLine="0" w:firstLineChars="0"/>
                    <w:jc w:val="center"/>
                    <w:rPr>
                      <w:rFonts w:hint="default" w:ascii="Times New Roman" w:hAnsi="Times New Roman" w:cs="Times New Roman"/>
                      <w:b/>
                      <w:snapToGrid w:val="0"/>
                      <w:color w:val="auto"/>
                      <w:kern w:val="0"/>
                      <w:sz w:val="21"/>
                      <w:highlight w:val="none"/>
                      <w:lang w:val="pt-BR"/>
                    </w:rPr>
                  </w:pPr>
                </w:p>
              </w:tc>
              <w:tc>
                <w:tcPr>
                  <w:tcW w:w="991" w:type="pct"/>
                  <w:vMerge w:val="continue"/>
                  <w:noWrap w:val="0"/>
                  <w:vAlign w:val="center"/>
                </w:tcPr>
                <w:p w14:paraId="42A4C5E5">
                  <w:pPr>
                    <w:snapToGrid w:val="0"/>
                    <w:spacing w:line="240" w:lineRule="auto"/>
                    <w:ind w:firstLine="0" w:firstLineChars="0"/>
                    <w:jc w:val="center"/>
                    <w:rPr>
                      <w:rFonts w:hint="default" w:ascii="Times New Roman" w:hAnsi="Times New Roman" w:cs="Times New Roman"/>
                      <w:b/>
                      <w:snapToGrid w:val="0"/>
                      <w:color w:val="auto"/>
                      <w:kern w:val="0"/>
                      <w:sz w:val="21"/>
                      <w:highlight w:val="none"/>
                      <w:lang w:val="pt-BR"/>
                    </w:rPr>
                  </w:pPr>
                </w:p>
              </w:tc>
              <w:tc>
                <w:tcPr>
                  <w:tcW w:w="991" w:type="pct"/>
                  <w:vMerge w:val="continue"/>
                  <w:noWrap w:val="0"/>
                  <w:vAlign w:val="center"/>
                </w:tcPr>
                <w:p w14:paraId="4D634A31">
                  <w:pPr>
                    <w:snapToGrid w:val="0"/>
                    <w:spacing w:line="240" w:lineRule="auto"/>
                    <w:ind w:firstLine="0" w:firstLineChars="0"/>
                    <w:jc w:val="center"/>
                    <w:rPr>
                      <w:rFonts w:hint="default" w:ascii="Times New Roman" w:hAnsi="Times New Roman" w:cs="Times New Roman"/>
                      <w:b/>
                      <w:snapToGrid w:val="0"/>
                      <w:color w:val="auto"/>
                      <w:kern w:val="0"/>
                      <w:sz w:val="21"/>
                      <w:highlight w:val="none"/>
                      <w:lang w:val="pt-BR"/>
                    </w:rPr>
                  </w:pPr>
                </w:p>
              </w:tc>
            </w:tr>
            <w:tr w14:paraId="3E142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87" w:type="pct"/>
                  <w:vMerge w:val="restart"/>
                  <w:noWrap w:val="0"/>
                  <w:vAlign w:val="center"/>
                </w:tcPr>
                <w:p w14:paraId="3203E845">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二叠系</w:t>
                  </w:r>
                </w:p>
              </w:tc>
              <w:tc>
                <w:tcPr>
                  <w:tcW w:w="576" w:type="pct"/>
                  <w:noWrap w:val="0"/>
                  <w:vAlign w:val="center"/>
                </w:tcPr>
                <w:p w14:paraId="75448B9F">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上统</w:t>
                  </w:r>
                </w:p>
              </w:tc>
              <w:tc>
                <w:tcPr>
                  <w:tcW w:w="576" w:type="pct"/>
                  <w:noWrap w:val="0"/>
                  <w:vAlign w:val="center"/>
                </w:tcPr>
                <w:p w14:paraId="0EAE1224">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石千峰组</w:t>
                  </w:r>
                </w:p>
              </w:tc>
              <w:tc>
                <w:tcPr>
                  <w:tcW w:w="579" w:type="pct"/>
                  <w:noWrap w:val="0"/>
                  <w:vAlign w:val="center"/>
                </w:tcPr>
                <w:p w14:paraId="0BF5A05B">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w:t>
                  </w:r>
                </w:p>
              </w:tc>
              <w:tc>
                <w:tcPr>
                  <w:tcW w:w="796" w:type="pct"/>
                  <w:noWrap w:val="0"/>
                  <w:vAlign w:val="center"/>
                </w:tcPr>
                <w:p w14:paraId="38958DC8">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P</w:t>
                  </w:r>
                  <w:r>
                    <w:rPr>
                      <w:rFonts w:hint="default" w:ascii="Times New Roman" w:hAnsi="Times New Roman" w:cs="Times New Roman"/>
                      <w:bCs/>
                      <w:snapToGrid w:val="0"/>
                      <w:color w:val="auto"/>
                      <w:kern w:val="0"/>
                      <w:sz w:val="21"/>
                      <w:highlight w:val="none"/>
                      <w:vertAlign w:val="subscript"/>
                      <w:lang w:val="pt-BR"/>
                    </w:rPr>
                    <w:t>3</w:t>
                  </w:r>
                  <w:r>
                    <w:rPr>
                      <w:rFonts w:hint="default" w:ascii="Times New Roman" w:hAnsi="Times New Roman" w:cs="Times New Roman"/>
                      <w:bCs/>
                      <w:snapToGrid w:val="0"/>
                      <w:color w:val="auto"/>
                      <w:kern w:val="0"/>
                      <w:sz w:val="21"/>
                      <w:highlight w:val="none"/>
                      <w:lang w:val="pt-BR"/>
                    </w:rPr>
                    <w:t>q</w:t>
                  </w:r>
                </w:p>
              </w:tc>
              <w:tc>
                <w:tcPr>
                  <w:tcW w:w="991" w:type="pct"/>
                  <w:noWrap w:val="0"/>
                  <w:vAlign w:val="center"/>
                </w:tcPr>
                <w:p w14:paraId="63E2635D">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泛滥平原</w:t>
                  </w:r>
                </w:p>
              </w:tc>
              <w:tc>
                <w:tcPr>
                  <w:tcW w:w="991" w:type="pct"/>
                  <w:noWrap w:val="0"/>
                  <w:vAlign w:val="center"/>
                </w:tcPr>
                <w:p w14:paraId="5B9CBD01">
                  <w:pPr>
                    <w:snapToGrid w:val="0"/>
                    <w:spacing w:line="240" w:lineRule="auto"/>
                    <w:ind w:firstLine="0" w:firstLineChars="0"/>
                    <w:jc w:val="center"/>
                    <w:rPr>
                      <w:rFonts w:hint="eastAsia" w:ascii="Times New Roman" w:hAnsi="Times New Roman" w:eastAsia="宋体" w:cs="Times New Roman"/>
                      <w:bCs/>
                      <w:snapToGrid w:val="0"/>
                      <w:color w:val="auto"/>
                      <w:kern w:val="0"/>
                      <w:sz w:val="21"/>
                      <w:highlight w:val="none"/>
                      <w:lang w:val="en-US" w:eastAsia="zh-CN"/>
                    </w:rPr>
                  </w:pPr>
                  <w:r>
                    <w:rPr>
                      <w:rFonts w:hint="eastAsia" w:ascii="Times New Roman" w:hAnsi="Times New Roman" w:cs="Times New Roman"/>
                      <w:bCs/>
                      <w:snapToGrid w:val="0"/>
                      <w:color w:val="auto"/>
                      <w:kern w:val="0"/>
                      <w:sz w:val="21"/>
                      <w:highlight w:val="none"/>
                      <w:lang w:val="en-US" w:eastAsia="zh-CN"/>
                    </w:rPr>
                    <w:t>/</w:t>
                  </w:r>
                </w:p>
              </w:tc>
            </w:tr>
            <w:tr w14:paraId="24FF3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87" w:type="pct"/>
                  <w:vMerge w:val="continue"/>
                  <w:noWrap w:val="0"/>
                  <w:vAlign w:val="center"/>
                </w:tcPr>
                <w:p w14:paraId="37D90E5F">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576" w:type="pct"/>
                  <w:vMerge w:val="restart"/>
                  <w:noWrap w:val="0"/>
                  <w:vAlign w:val="center"/>
                </w:tcPr>
                <w:p w14:paraId="5D2BD636">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中统</w:t>
                  </w:r>
                </w:p>
              </w:tc>
              <w:tc>
                <w:tcPr>
                  <w:tcW w:w="576" w:type="pct"/>
                  <w:vMerge w:val="restart"/>
                  <w:noWrap w:val="0"/>
                  <w:vAlign w:val="center"/>
                </w:tcPr>
                <w:p w14:paraId="07FF91E2">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上石盒子组</w:t>
                  </w:r>
                </w:p>
              </w:tc>
              <w:tc>
                <w:tcPr>
                  <w:tcW w:w="579" w:type="pct"/>
                  <w:noWrap w:val="0"/>
                  <w:vAlign w:val="center"/>
                </w:tcPr>
                <w:p w14:paraId="74A31521">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盒</w:t>
                  </w:r>
                  <w:r>
                    <w:rPr>
                      <w:rFonts w:hint="default" w:ascii="Times New Roman" w:hAnsi="Times New Roman" w:cs="Times New Roman"/>
                      <w:bCs/>
                      <w:snapToGrid w:val="0"/>
                      <w:color w:val="auto"/>
                      <w:kern w:val="0"/>
                      <w:sz w:val="21"/>
                      <w:highlight w:val="none"/>
                      <w:vertAlign w:val="subscript"/>
                      <w:lang w:val="pt-BR"/>
                    </w:rPr>
                    <w:t>1</w:t>
                  </w:r>
                </w:p>
              </w:tc>
              <w:tc>
                <w:tcPr>
                  <w:tcW w:w="796" w:type="pct"/>
                  <w:noWrap w:val="0"/>
                  <w:vAlign w:val="center"/>
                </w:tcPr>
                <w:p w14:paraId="6F4E469C">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P</w:t>
                  </w:r>
                  <w:r>
                    <w:rPr>
                      <w:rFonts w:hint="default" w:ascii="Times New Roman" w:hAnsi="Times New Roman" w:cs="Times New Roman"/>
                      <w:bCs/>
                      <w:snapToGrid w:val="0"/>
                      <w:color w:val="auto"/>
                      <w:kern w:val="0"/>
                      <w:sz w:val="21"/>
                      <w:highlight w:val="none"/>
                      <w:vertAlign w:val="subscript"/>
                      <w:lang w:val="pt-BR"/>
                    </w:rPr>
                    <w:t>2</w:t>
                  </w:r>
                  <w:r>
                    <w:rPr>
                      <w:rFonts w:hint="default" w:ascii="Times New Roman" w:hAnsi="Times New Roman" w:cs="Times New Roman"/>
                      <w:bCs/>
                      <w:snapToGrid w:val="0"/>
                      <w:color w:val="auto"/>
                      <w:kern w:val="0"/>
                      <w:sz w:val="21"/>
                      <w:highlight w:val="none"/>
                      <w:lang w:val="pt-BR"/>
                    </w:rPr>
                    <w:t>sh</w:t>
                  </w:r>
                  <w:r>
                    <w:rPr>
                      <w:rFonts w:hint="default" w:ascii="Times New Roman" w:hAnsi="Times New Roman" w:cs="Times New Roman"/>
                      <w:bCs/>
                      <w:snapToGrid w:val="0"/>
                      <w:color w:val="auto"/>
                      <w:kern w:val="0"/>
                      <w:sz w:val="21"/>
                      <w:highlight w:val="none"/>
                      <w:vertAlign w:val="subscript"/>
                      <w:lang w:val="pt-BR"/>
                    </w:rPr>
                    <w:t>1</w:t>
                  </w:r>
                </w:p>
              </w:tc>
              <w:tc>
                <w:tcPr>
                  <w:tcW w:w="991" w:type="pct"/>
                  <w:vMerge w:val="restart"/>
                  <w:noWrap w:val="0"/>
                  <w:vAlign w:val="center"/>
                </w:tcPr>
                <w:p w14:paraId="6526D9AC">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滨浅湖沉积</w:t>
                  </w:r>
                </w:p>
              </w:tc>
              <w:tc>
                <w:tcPr>
                  <w:tcW w:w="991" w:type="pct"/>
                  <w:noWrap w:val="0"/>
                  <w:vAlign w:val="center"/>
                </w:tcPr>
                <w:p w14:paraId="03EAA3D9">
                  <w:pPr>
                    <w:snapToGrid w:val="0"/>
                    <w:spacing w:line="240" w:lineRule="auto"/>
                    <w:ind w:firstLine="0" w:firstLineChars="0"/>
                    <w:jc w:val="center"/>
                    <w:rPr>
                      <w:rFonts w:hint="eastAsia" w:ascii="Times New Roman" w:hAnsi="Times New Roman" w:eastAsia="宋体" w:cs="Times New Roman"/>
                      <w:bCs/>
                      <w:snapToGrid w:val="0"/>
                      <w:color w:val="auto"/>
                      <w:kern w:val="0"/>
                      <w:sz w:val="21"/>
                      <w:highlight w:val="none"/>
                      <w:lang w:val="en-US" w:eastAsia="zh-CN"/>
                    </w:rPr>
                  </w:pPr>
                  <w:r>
                    <w:rPr>
                      <w:rFonts w:hint="eastAsia" w:ascii="Times New Roman" w:hAnsi="Times New Roman" w:cs="Times New Roman"/>
                      <w:bCs/>
                      <w:snapToGrid w:val="0"/>
                      <w:color w:val="auto"/>
                      <w:kern w:val="0"/>
                      <w:sz w:val="21"/>
                      <w:highlight w:val="none"/>
                      <w:lang w:val="en-US" w:eastAsia="zh-CN"/>
                    </w:rPr>
                    <w:t>/</w:t>
                  </w:r>
                </w:p>
              </w:tc>
            </w:tr>
            <w:tr w14:paraId="41864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87" w:type="pct"/>
                  <w:vMerge w:val="continue"/>
                  <w:noWrap w:val="0"/>
                  <w:vAlign w:val="center"/>
                </w:tcPr>
                <w:p w14:paraId="3D5C865B">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576" w:type="pct"/>
                  <w:vMerge w:val="continue"/>
                  <w:noWrap w:val="0"/>
                  <w:vAlign w:val="center"/>
                </w:tcPr>
                <w:p w14:paraId="7A453533">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576" w:type="pct"/>
                  <w:vMerge w:val="continue"/>
                  <w:noWrap w:val="0"/>
                  <w:vAlign w:val="center"/>
                </w:tcPr>
                <w:p w14:paraId="2842292D">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579" w:type="pct"/>
                  <w:noWrap w:val="0"/>
                  <w:vAlign w:val="center"/>
                </w:tcPr>
                <w:p w14:paraId="5D7F4AA7">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盒</w:t>
                  </w:r>
                  <w:r>
                    <w:rPr>
                      <w:rFonts w:hint="default" w:ascii="Times New Roman" w:hAnsi="Times New Roman" w:cs="Times New Roman"/>
                      <w:bCs/>
                      <w:snapToGrid w:val="0"/>
                      <w:color w:val="auto"/>
                      <w:kern w:val="0"/>
                      <w:sz w:val="21"/>
                      <w:highlight w:val="none"/>
                      <w:vertAlign w:val="subscript"/>
                      <w:lang w:val="pt-BR"/>
                    </w:rPr>
                    <w:t>2</w:t>
                  </w:r>
                </w:p>
              </w:tc>
              <w:tc>
                <w:tcPr>
                  <w:tcW w:w="796" w:type="pct"/>
                  <w:noWrap w:val="0"/>
                  <w:vAlign w:val="center"/>
                </w:tcPr>
                <w:p w14:paraId="2901946A">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P</w:t>
                  </w:r>
                  <w:r>
                    <w:rPr>
                      <w:rFonts w:hint="default" w:ascii="Times New Roman" w:hAnsi="Times New Roman" w:cs="Times New Roman"/>
                      <w:bCs/>
                      <w:snapToGrid w:val="0"/>
                      <w:color w:val="auto"/>
                      <w:kern w:val="0"/>
                      <w:sz w:val="21"/>
                      <w:highlight w:val="none"/>
                      <w:vertAlign w:val="subscript"/>
                      <w:lang w:val="pt-BR"/>
                    </w:rPr>
                    <w:t>2</w:t>
                  </w:r>
                  <w:r>
                    <w:rPr>
                      <w:rFonts w:hint="default" w:ascii="Times New Roman" w:hAnsi="Times New Roman" w:cs="Times New Roman"/>
                      <w:bCs/>
                      <w:snapToGrid w:val="0"/>
                      <w:color w:val="auto"/>
                      <w:kern w:val="0"/>
                      <w:sz w:val="21"/>
                      <w:highlight w:val="none"/>
                      <w:lang w:val="pt-BR"/>
                    </w:rPr>
                    <w:t>sh</w:t>
                  </w:r>
                  <w:r>
                    <w:rPr>
                      <w:rFonts w:hint="default" w:ascii="Times New Roman" w:hAnsi="Times New Roman" w:cs="Times New Roman"/>
                      <w:bCs/>
                      <w:snapToGrid w:val="0"/>
                      <w:color w:val="auto"/>
                      <w:kern w:val="0"/>
                      <w:sz w:val="21"/>
                      <w:highlight w:val="none"/>
                      <w:vertAlign w:val="subscript"/>
                      <w:lang w:val="pt-BR"/>
                    </w:rPr>
                    <w:t>2</w:t>
                  </w:r>
                </w:p>
              </w:tc>
              <w:tc>
                <w:tcPr>
                  <w:tcW w:w="991" w:type="pct"/>
                  <w:vMerge w:val="continue"/>
                  <w:noWrap w:val="0"/>
                  <w:vAlign w:val="center"/>
                </w:tcPr>
                <w:p w14:paraId="45DA2873">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991" w:type="pct"/>
                  <w:noWrap w:val="0"/>
                  <w:vAlign w:val="center"/>
                </w:tcPr>
                <w:p w14:paraId="0A8BDE44">
                  <w:pPr>
                    <w:snapToGrid w:val="0"/>
                    <w:spacing w:line="240" w:lineRule="auto"/>
                    <w:ind w:firstLine="0" w:firstLineChars="0"/>
                    <w:jc w:val="center"/>
                    <w:rPr>
                      <w:rFonts w:hint="eastAsia" w:ascii="Times New Roman" w:hAnsi="Times New Roman" w:eastAsia="宋体" w:cs="Times New Roman"/>
                      <w:bCs/>
                      <w:snapToGrid w:val="0"/>
                      <w:color w:val="auto"/>
                      <w:kern w:val="0"/>
                      <w:sz w:val="21"/>
                      <w:highlight w:val="none"/>
                      <w:lang w:val="en-US" w:eastAsia="zh-CN"/>
                    </w:rPr>
                  </w:pPr>
                  <w:r>
                    <w:rPr>
                      <w:rFonts w:hint="eastAsia" w:ascii="Times New Roman" w:hAnsi="Times New Roman" w:cs="Times New Roman"/>
                      <w:bCs/>
                      <w:snapToGrid w:val="0"/>
                      <w:color w:val="auto"/>
                      <w:kern w:val="0"/>
                      <w:sz w:val="21"/>
                      <w:highlight w:val="none"/>
                      <w:lang w:val="en-US" w:eastAsia="zh-CN"/>
                    </w:rPr>
                    <w:t>/</w:t>
                  </w:r>
                </w:p>
              </w:tc>
            </w:tr>
            <w:tr w14:paraId="28ECA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87" w:type="pct"/>
                  <w:vMerge w:val="continue"/>
                  <w:noWrap w:val="0"/>
                  <w:vAlign w:val="center"/>
                </w:tcPr>
                <w:p w14:paraId="004B68F2">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576" w:type="pct"/>
                  <w:vMerge w:val="continue"/>
                  <w:noWrap w:val="0"/>
                  <w:vAlign w:val="center"/>
                </w:tcPr>
                <w:p w14:paraId="0177C93A">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576" w:type="pct"/>
                  <w:vMerge w:val="continue"/>
                  <w:noWrap w:val="0"/>
                  <w:vAlign w:val="center"/>
                </w:tcPr>
                <w:p w14:paraId="2299A314">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579" w:type="pct"/>
                  <w:noWrap w:val="0"/>
                  <w:vAlign w:val="center"/>
                </w:tcPr>
                <w:p w14:paraId="4747DF0E">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盒</w:t>
                  </w:r>
                  <w:r>
                    <w:rPr>
                      <w:rFonts w:hint="default" w:ascii="Times New Roman" w:hAnsi="Times New Roman" w:cs="Times New Roman"/>
                      <w:bCs/>
                      <w:snapToGrid w:val="0"/>
                      <w:color w:val="auto"/>
                      <w:kern w:val="0"/>
                      <w:sz w:val="21"/>
                      <w:highlight w:val="none"/>
                      <w:vertAlign w:val="subscript"/>
                      <w:lang w:val="pt-BR"/>
                    </w:rPr>
                    <w:t>3</w:t>
                  </w:r>
                </w:p>
              </w:tc>
              <w:tc>
                <w:tcPr>
                  <w:tcW w:w="796" w:type="pct"/>
                  <w:noWrap w:val="0"/>
                  <w:vAlign w:val="center"/>
                </w:tcPr>
                <w:p w14:paraId="48059CBA">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P</w:t>
                  </w:r>
                  <w:r>
                    <w:rPr>
                      <w:rFonts w:hint="default" w:ascii="Times New Roman" w:hAnsi="Times New Roman" w:cs="Times New Roman"/>
                      <w:bCs/>
                      <w:snapToGrid w:val="0"/>
                      <w:color w:val="auto"/>
                      <w:kern w:val="0"/>
                      <w:sz w:val="21"/>
                      <w:highlight w:val="none"/>
                      <w:vertAlign w:val="subscript"/>
                      <w:lang w:val="pt-BR"/>
                    </w:rPr>
                    <w:t>2</w:t>
                  </w:r>
                  <w:r>
                    <w:rPr>
                      <w:rFonts w:hint="default" w:ascii="Times New Roman" w:hAnsi="Times New Roman" w:cs="Times New Roman"/>
                      <w:bCs/>
                      <w:snapToGrid w:val="0"/>
                      <w:color w:val="auto"/>
                      <w:kern w:val="0"/>
                      <w:sz w:val="21"/>
                      <w:highlight w:val="none"/>
                      <w:lang w:val="pt-BR"/>
                    </w:rPr>
                    <w:t>sh</w:t>
                  </w:r>
                  <w:r>
                    <w:rPr>
                      <w:rFonts w:hint="default" w:ascii="Times New Roman" w:hAnsi="Times New Roman" w:cs="Times New Roman"/>
                      <w:bCs/>
                      <w:snapToGrid w:val="0"/>
                      <w:color w:val="auto"/>
                      <w:kern w:val="0"/>
                      <w:sz w:val="21"/>
                      <w:highlight w:val="none"/>
                      <w:vertAlign w:val="subscript"/>
                      <w:lang w:val="pt-BR"/>
                    </w:rPr>
                    <w:t>3</w:t>
                  </w:r>
                </w:p>
              </w:tc>
              <w:tc>
                <w:tcPr>
                  <w:tcW w:w="991" w:type="pct"/>
                  <w:vMerge w:val="continue"/>
                  <w:noWrap w:val="0"/>
                  <w:vAlign w:val="center"/>
                </w:tcPr>
                <w:p w14:paraId="23BB66EB">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991" w:type="pct"/>
                  <w:noWrap w:val="0"/>
                  <w:vAlign w:val="center"/>
                </w:tcPr>
                <w:p w14:paraId="6CE2A728">
                  <w:pPr>
                    <w:snapToGrid w:val="0"/>
                    <w:spacing w:line="240" w:lineRule="auto"/>
                    <w:ind w:firstLine="0" w:firstLineChars="0"/>
                    <w:jc w:val="center"/>
                    <w:rPr>
                      <w:rFonts w:hint="eastAsia" w:ascii="Times New Roman" w:hAnsi="Times New Roman" w:eastAsia="宋体" w:cs="Times New Roman"/>
                      <w:bCs/>
                      <w:snapToGrid w:val="0"/>
                      <w:color w:val="auto"/>
                      <w:kern w:val="0"/>
                      <w:sz w:val="21"/>
                      <w:highlight w:val="none"/>
                      <w:lang w:val="en-US" w:eastAsia="zh-CN"/>
                    </w:rPr>
                  </w:pPr>
                  <w:r>
                    <w:rPr>
                      <w:rFonts w:hint="eastAsia" w:ascii="Times New Roman" w:hAnsi="Times New Roman" w:cs="Times New Roman"/>
                      <w:bCs/>
                      <w:snapToGrid w:val="0"/>
                      <w:color w:val="auto"/>
                      <w:kern w:val="0"/>
                      <w:sz w:val="21"/>
                      <w:highlight w:val="none"/>
                      <w:lang w:val="en-US" w:eastAsia="zh-CN"/>
                    </w:rPr>
                    <w:t>/</w:t>
                  </w:r>
                </w:p>
              </w:tc>
            </w:tr>
            <w:tr w14:paraId="317C2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87" w:type="pct"/>
                  <w:vMerge w:val="continue"/>
                  <w:noWrap w:val="0"/>
                  <w:vAlign w:val="center"/>
                </w:tcPr>
                <w:p w14:paraId="37C215EE">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576" w:type="pct"/>
                  <w:vMerge w:val="continue"/>
                  <w:noWrap w:val="0"/>
                  <w:vAlign w:val="center"/>
                </w:tcPr>
                <w:p w14:paraId="3E9AAB6A">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576" w:type="pct"/>
                  <w:vMerge w:val="continue"/>
                  <w:noWrap w:val="0"/>
                  <w:vAlign w:val="center"/>
                </w:tcPr>
                <w:p w14:paraId="3C5A245E">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579" w:type="pct"/>
                  <w:noWrap w:val="0"/>
                  <w:vAlign w:val="center"/>
                </w:tcPr>
                <w:p w14:paraId="14B26124">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盒</w:t>
                  </w:r>
                  <w:r>
                    <w:rPr>
                      <w:rFonts w:hint="default" w:ascii="Times New Roman" w:hAnsi="Times New Roman" w:cs="Times New Roman"/>
                      <w:bCs/>
                      <w:snapToGrid w:val="0"/>
                      <w:color w:val="auto"/>
                      <w:kern w:val="0"/>
                      <w:sz w:val="21"/>
                      <w:highlight w:val="none"/>
                      <w:vertAlign w:val="subscript"/>
                      <w:lang w:val="pt-BR"/>
                    </w:rPr>
                    <w:t>4</w:t>
                  </w:r>
                </w:p>
              </w:tc>
              <w:tc>
                <w:tcPr>
                  <w:tcW w:w="796" w:type="pct"/>
                  <w:noWrap w:val="0"/>
                  <w:vAlign w:val="center"/>
                </w:tcPr>
                <w:p w14:paraId="24887850">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P</w:t>
                  </w:r>
                  <w:r>
                    <w:rPr>
                      <w:rFonts w:hint="default" w:ascii="Times New Roman" w:hAnsi="Times New Roman" w:cs="Times New Roman"/>
                      <w:bCs/>
                      <w:snapToGrid w:val="0"/>
                      <w:color w:val="auto"/>
                      <w:kern w:val="0"/>
                      <w:sz w:val="21"/>
                      <w:highlight w:val="none"/>
                      <w:vertAlign w:val="subscript"/>
                      <w:lang w:val="pt-BR"/>
                    </w:rPr>
                    <w:t>2</w:t>
                  </w:r>
                  <w:r>
                    <w:rPr>
                      <w:rFonts w:hint="default" w:ascii="Times New Roman" w:hAnsi="Times New Roman" w:cs="Times New Roman"/>
                      <w:bCs/>
                      <w:snapToGrid w:val="0"/>
                      <w:color w:val="auto"/>
                      <w:kern w:val="0"/>
                      <w:sz w:val="21"/>
                      <w:highlight w:val="none"/>
                      <w:lang w:val="pt-BR"/>
                    </w:rPr>
                    <w:t>sh</w:t>
                  </w:r>
                  <w:r>
                    <w:rPr>
                      <w:rFonts w:hint="default" w:ascii="Times New Roman" w:hAnsi="Times New Roman" w:cs="Times New Roman"/>
                      <w:bCs/>
                      <w:snapToGrid w:val="0"/>
                      <w:color w:val="auto"/>
                      <w:kern w:val="0"/>
                      <w:sz w:val="21"/>
                      <w:highlight w:val="none"/>
                      <w:vertAlign w:val="subscript"/>
                      <w:lang w:val="pt-BR"/>
                    </w:rPr>
                    <w:t>4</w:t>
                  </w:r>
                </w:p>
              </w:tc>
              <w:tc>
                <w:tcPr>
                  <w:tcW w:w="991" w:type="pct"/>
                  <w:vMerge w:val="continue"/>
                  <w:noWrap w:val="0"/>
                  <w:vAlign w:val="center"/>
                </w:tcPr>
                <w:p w14:paraId="7CD00E9C">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991" w:type="pct"/>
                  <w:noWrap w:val="0"/>
                  <w:vAlign w:val="center"/>
                </w:tcPr>
                <w:p w14:paraId="04DD7101">
                  <w:pPr>
                    <w:snapToGrid w:val="0"/>
                    <w:spacing w:line="240" w:lineRule="auto"/>
                    <w:ind w:firstLine="0" w:firstLineChars="0"/>
                    <w:jc w:val="center"/>
                    <w:rPr>
                      <w:rFonts w:hint="eastAsia" w:ascii="Times New Roman" w:hAnsi="Times New Roman" w:eastAsia="宋体" w:cs="Times New Roman"/>
                      <w:bCs/>
                      <w:snapToGrid w:val="0"/>
                      <w:color w:val="auto"/>
                      <w:kern w:val="0"/>
                      <w:sz w:val="21"/>
                      <w:highlight w:val="none"/>
                      <w:lang w:val="en-US" w:eastAsia="zh-CN"/>
                    </w:rPr>
                  </w:pPr>
                  <w:r>
                    <w:rPr>
                      <w:rFonts w:hint="eastAsia" w:ascii="Times New Roman" w:hAnsi="Times New Roman" w:cs="Times New Roman"/>
                      <w:bCs/>
                      <w:snapToGrid w:val="0"/>
                      <w:color w:val="auto"/>
                      <w:kern w:val="0"/>
                      <w:sz w:val="21"/>
                      <w:highlight w:val="none"/>
                      <w:lang w:val="en-US" w:eastAsia="zh-CN"/>
                    </w:rPr>
                    <w:t>/</w:t>
                  </w:r>
                </w:p>
              </w:tc>
            </w:tr>
            <w:tr w14:paraId="3AF26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87" w:type="pct"/>
                  <w:vMerge w:val="continue"/>
                  <w:noWrap w:val="0"/>
                  <w:vAlign w:val="center"/>
                </w:tcPr>
                <w:p w14:paraId="285E0E25">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576" w:type="pct"/>
                  <w:vMerge w:val="continue"/>
                  <w:noWrap w:val="0"/>
                  <w:vAlign w:val="center"/>
                </w:tcPr>
                <w:p w14:paraId="43A52599">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576" w:type="pct"/>
                  <w:vMerge w:val="restart"/>
                  <w:noWrap w:val="0"/>
                  <w:vAlign w:val="center"/>
                </w:tcPr>
                <w:p w14:paraId="1B61E167">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下石盒子组</w:t>
                  </w:r>
                </w:p>
              </w:tc>
              <w:tc>
                <w:tcPr>
                  <w:tcW w:w="579" w:type="pct"/>
                  <w:noWrap w:val="0"/>
                  <w:vAlign w:val="center"/>
                </w:tcPr>
                <w:p w14:paraId="38B7416D">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盒</w:t>
                  </w:r>
                  <w:r>
                    <w:rPr>
                      <w:rFonts w:hint="default" w:ascii="Times New Roman" w:hAnsi="Times New Roman" w:cs="Times New Roman"/>
                      <w:bCs/>
                      <w:snapToGrid w:val="0"/>
                      <w:color w:val="auto"/>
                      <w:kern w:val="0"/>
                      <w:sz w:val="21"/>
                      <w:highlight w:val="none"/>
                      <w:vertAlign w:val="subscript"/>
                      <w:lang w:val="pt-BR"/>
                    </w:rPr>
                    <w:t>5</w:t>
                  </w:r>
                </w:p>
              </w:tc>
              <w:tc>
                <w:tcPr>
                  <w:tcW w:w="796" w:type="pct"/>
                  <w:noWrap w:val="0"/>
                  <w:vAlign w:val="center"/>
                </w:tcPr>
                <w:p w14:paraId="5E7AD663">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P</w:t>
                  </w:r>
                  <w:r>
                    <w:rPr>
                      <w:rFonts w:hint="default" w:ascii="Times New Roman" w:hAnsi="Times New Roman" w:cs="Times New Roman"/>
                      <w:bCs/>
                      <w:snapToGrid w:val="0"/>
                      <w:color w:val="auto"/>
                      <w:kern w:val="0"/>
                      <w:sz w:val="21"/>
                      <w:highlight w:val="none"/>
                      <w:vertAlign w:val="subscript"/>
                      <w:lang w:val="pt-BR"/>
                    </w:rPr>
                    <w:t>2</w:t>
                  </w:r>
                  <w:r>
                    <w:rPr>
                      <w:rFonts w:hint="default" w:ascii="Times New Roman" w:hAnsi="Times New Roman" w:cs="Times New Roman"/>
                      <w:bCs/>
                      <w:snapToGrid w:val="0"/>
                      <w:color w:val="auto"/>
                      <w:kern w:val="0"/>
                      <w:sz w:val="21"/>
                      <w:highlight w:val="none"/>
                      <w:lang w:val="pt-BR"/>
                    </w:rPr>
                    <w:t>x</w:t>
                  </w:r>
                  <w:r>
                    <w:rPr>
                      <w:rFonts w:hint="default" w:ascii="Times New Roman" w:hAnsi="Times New Roman" w:cs="Times New Roman"/>
                      <w:bCs/>
                      <w:snapToGrid w:val="0"/>
                      <w:color w:val="auto"/>
                      <w:kern w:val="0"/>
                      <w:sz w:val="21"/>
                      <w:highlight w:val="none"/>
                      <w:vertAlign w:val="subscript"/>
                      <w:lang w:val="pt-BR"/>
                    </w:rPr>
                    <w:t>5</w:t>
                  </w:r>
                </w:p>
              </w:tc>
              <w:tc>
                <w:tcPr>
                  <w:tcW w:w="991" w:type="pct"/>
                  <w:vMerge w:val="restart"/>
                  <w:noWrap w:val="0"/>
                  <w:vAlign w:val="center"/>
                </w:tcPr>
                <w:p w14:paraId="672D836E">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河流－三角洲沉积</w:t>
                  </w:r>
                </w:p>
              </w:tc>
              <w:tc>
                <w:tcPr>
                  <w:tcW w:w="991" w:type="pct"/>
                  <w:noWrap w:val="0"/>
                  <w:vAlign w:val="center"/>
                </w:tcPr>
                <w:p w14:paraId="102FA5D8">
                  <w:pPr>
                    <w:snapToGrid w:val="0"/>
                    <w:spacing w:line="240" w:lineRule="auto"/>
                    <w:ind w:firstLine="0" w:firstLineChars="0"/>
                    <w:jc w:val="center"/>
                    <w:rPr>
                      <w:rFonts w:hint="eastAsia" w:ascii="Times New Roman" w:hAnsi="Times New Roman" w:eastAsia="宋体" w:cs="Times New Roman"/>
                      <w:bCs/>
                      <w:snapToGrid w:val="0"/>
                      <w:color w:val="auto"/>
                      <w:kern w:val="0"/>
                      <w:sz w:val="21"/>
                      <w:highlight w:val="none"/>
                      <w:lang w:val="en-US" w:eastAsia="zh-CN"/>
                    </w:rPr>
                  </w:pPr>
                  <w:r>
                    <w:rPr>
                      <w:rFonts w:hint="eastAsia" w:ascii="Times New Roman" w:hAnsi="Times New Roman" w:cs="Times New Roman"/>
                      <w:bCs/>
                      <w:snapToGrid w:val="0"/>
                      <w:color w:val="auto"/>
                      <w:kern w:val="0"/>
                      <w:sz w:val="21"/>
                      <w:highlight w:val="none"/>
                      <w:lang w:val="en-US" w:eastAsia="zh-CN"/>
                    </w:rPr>
                    <w:t>/</w:t>
                  </w:r>
                </w:p>
              </w:tc>
            </w:tr>
            <w:tr w14:paraId="58606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87" w:type="pct"/>
                  <w:vMerge w:val="continue"/>
                  <w:noWrap w:val="0"/>
                  <w:vAlign w:val="center"/>
                </w:tcPr>
                <w:p w14:paraId="53898DA6">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576" w:type="pct"/>
                  <w:vMerge w:val="continue"/>
                  <w:noWrap w:val="0"/>
                  <w:vAlign w:val="center"/>
                </w:tcPr>
                <w:p w14:paraId="7C574208">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576" w:type="pct"/>
                  <w:vMerge w:val="continue"/>
                  <w:noWrap w:val="0"/>
                  <w:vAlign w:val="center"/>
                </w:tcPr>
                <w:p w14:paraId="59C9982C">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579" w:type="pct"/>
                  <w:noWrap w:val="0"/>
                  <w:vAlign w:val="center"/>
                </w:tcPr>
                <w:p w14:paraId="541F7A53">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盒</w:t>
                  </w:r>
                  <w:r>
                    <w:rPr>
                      <w:rFonts w:hint="default" w:ascii="Times New Roman" w:hAnsi="Times New Roman" w:cs="Times New Roman"/>
                      <w:bCs/>
                      <w:snapToGrid w:val="0"/>
                      <w:color w:val="auto"/>
                      <w:kern w:val="0"/>
                      <w:sz w:val="21"/>
                      <w:highlight w:val="none"/>
                      <w:vertAlign w:val="subscript"/>
                      <w:lang w:val="pt-BR"/>
                    </w:rPr>
                    <w:t>6</w:t>
                  </w:r>
                </w:p>
              </w:tc>
              <w:tc>
                <w:tcPr>
                  <w:tcW w:w="796" w:type="pct"/>
                  <w:noWrap w:val="0"/>
                  <w:vAlign w:val="center"/>
                </w:tcPr>
                <w:p w14:paraId="1C14B9F8">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P</w:t>
                  </w:r>
                  <w:r>
                    <w:rPr>
                      <w:rFonts w:hint="default" w:ascii="Times New Roman" w:hAnsi="Times New Roman" w:cs="Times New Roman"/>
                      <w:bCs/>
                      <w:snapToGrid w:val="0"/>
                      <w:color w:val="auto"/>
                      <w:kern w:val="0"/>
                      <w:sz w:val="21"/>
                      <w:highlight w:val="none"/>
                      <w:vertAlign w:val="subscript"/>
                      <w:lang w:val="pt-BR"/>
                    </w:rPr>
                    <w:t>2</w:t>
                  </w:r>
                  <w:r>
                    <w:rPr>
                      <w:rFonts w:hint="default" w:ascii="Times New Roman" w:hAnsi="Times New Roman" w:cs="Times New Roman"/>
                      <w:bCs/>
                      <w:snapToGrid w:val="0"/>
                      <w:color w:val="auto"/>
                      <w:kern w:val="0"/>
                      <w:sz w:val="21"/>
                      <w:highlight w:val="none"/>
                      <w:lang w:val="pt-BR"/>
                    </w:rPr>
                    <w:t>x</w:t>
                  </w:r>
                  <w:r>
                    <w:rPr>
                      <w:rFonts w:hint="default" w:ascii="Times New Roman" w:hAnsi="Times New Roman" w:cs="Times New Roman"/>
                      <w:bCs/>
                      <w:snapToGrid w:val="0"/>
                      <w:color w:val="auto"/>
                      <w:kern w:val="0"/>
                      <w:sz w:val="21"/>
                      <w:highlight w:val="none"/>
                      <w:vertAlign w:val="subscript"/>
                      <w:lang w:val="pt-BR"/>
                    </w:rPr>
                    <w:t>6</w:t>
                  </w:r>
                </w:p>
              </w:tc>
              <w:tc>
                <w:tcPr>
                  <w:tcW w:w="991" w:type="pct"/>
                  <w:vMerge w:val="continue"/>
                  <w:noWrap w:val="0"/>
                  <w:vAlign w:val="center"/>
                </w:tcPr>
                <w:p w14:paraId="7F32539D">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991" w:type="pct"/>
                  <w:noWrap w:val="0"/>
                  <w:vAlign w:val="center"/>
                </w:tcPr>
                <w:p w14:paraId="6DF2466E">
                  <w:pPr>
                    <w:snapToGrid w:val="0"/>
                    <w:spacing w:line="240" w:lineRule="auto"/>
                    <w:ind w:firstLine="0" w:firstLineChars="0"/>
                    <w:jc w:val="center"/>
                    <w:rPr>
                      <w:rFonts w:hint="eastAsia" w:ascii="Times New Roman" w:hAnsi="Times New Roman" w:eastAsia="宋体" w:cs="Times New Roman"/>
                      <w:bCs/>
                      <w:snapToGrid w:val="0"/>
                      <w:color w:val="auto"/>
                      <w:kern w:val="0"/>
                      <w:sz w:val="21"/>
                      <w:highlight w:val="none"/>
                      <w:lang w:val="en-US" w:eastAsia="zh-CN"/>
                    </w:rPr>
                  </w:pPr>
                  <w:r>
                    <w:rPr>
                      <w:rFonts w:hint="eastAsia" w:ascii="Times New Roman" w:hAnsi="Times New Roman" w:cs="Times New Roman"/>
                      <w:bCs/>
                      <w:snapToGrid w:val="0"/>
                      <w:color w:val="auto"/>
                      <w:kern w:val="0"/>
                      <w:sz w:val="21"/>
                      <w:highlight w:val="none"/>
                      <w:lang w:val="en-US" w:eastAsia="zh-CN"/>
                    </w:rPr>
                    <w:t>/</w:t>
                  </w:r>
                </w:p>
              </w:tc>
            </w:tr>
            <w:tr w14:paraId="69CD8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87" w:type="pct"/>
                  <w:vMerge w:val="continue"/>
                  <w:noWrap w:val="0"/>
                  <w:vAlign w:val="center"/>
                </w:tcPr>
                <w:p w14:paraId="1DCC4F5E">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576" w:type="pct"/>
                  <w:vMerge w:val="continue"/>
                  <w:noWrap w:val="0"/>
                  <w:vAlign w:val="center"/>
                </w:tcPr>
                <w:p w14:paraId="45C9D950">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576" w:type="pct"/>
                  <w:vMerge w:val="continue"/>
                  <w:noWrap w:val="0"/>
                  <w:vAlign w:val="center"/>
                </w:tcPr>
                <w:p w14:paraId="3DB71D61">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579" w:type="pct"/>
                  <w:noWrap w:val="0"/>
                  <w:vAlign w:val="center"/>
                </w:tcPr>
                <w:p w14:paraId="6DBAEF33">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盒</w:t>
                  </w:r>
                  <w:r>
                    <w:rPr>
                      <w:rFonts w:hint="default" w:ascii="Times New Roman" w:hAnsi="Times New Roman" w:cs="Times New Roman"/>
                      <w:bCs/>
                      <w:snapToGrid w:val="0"/>
                      <w:color w:val="auto"/>
                      <w:kern w:val="0"/>
                      <w:sz w:val="21"/>
                      <w:highlight w:val="none"/>
                      <w:vertAlign w:val="subscript"/>
                      <w:lang w:val="pt-BR"/>
                    </w:rPr>
                    <w:t>7</w:t>
                  </w:r>
                </w:p>
              </w:tc>
              <w:tc>
                <w:tcPr>
                  <w:tcW w:w="796" w:type="pct"/>
                  <w:noWrap w:val="0"/>
                  <w:vAlign w:val="center"/>
                </w:tcPr>
                <w:p w14:paraId="10C96705">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P</w:t>
                  </w:r>
                  <w:r>
                    <w:rPr>
                      <w:rFonts w:hint="default" w:ascii="Times New Roman" w:hAnsi="Times New Roman" w:cs="Times New Roman"/>
                      <w:bCs/>
                      <w:snapToGrid w:val="0"/>
                      <w:color w:val="auto"/>
                      <w:kern w:val="0"/>
                      <w:sz w:val="21"/>
                      <w:highlight w:val="none"/>
                      <w:vertAlign w:val="subscript"/>
                      <w:lang w:val="pt-BR"/>
                    </w:rPr>
                    <w:t>2</w:t>
                  </w:r>
                  <w:r>
                    <w:rPr>
                      <w:rFonts w:hint="default" w:ascii="Times New Roman" w:hAnsi="Times New Roman" w:cs="Times New Roman"/>
                      <w:bCs/>
                      <w:snapToGrid w:val="0"/>
                      <w:color w:val="auto"/>
                      <w:kern w:val="0"/>
                      <w:sz w:val="21"/>
                      <w:highlight w:val="none"/>
                      <w:lang w:val="pt-BR"/>
                    </w:rPr>
                    <w:t>x</w:t>
                  </w:r>
                  <w:r>
                    <w:rPr>
                      <w:rFonts w:hint="default" w:ascii="Times New Roman" w:hAnsi="Times New Roman" w:cs="Times New Roman"/>
                      <w:bCs/>
                      <w:snapToGrid w:val="0"/>
                      <w:color w:val="auto"/>
                      <w:kern w:val="0"/>
                      <w:sz w:val="21"/>
                      <w:highlight w:val="none"/>
                      <w:vertAlign w:val="subscript"/>
                      <w:lang w:val="pt-BR"/>
                    </w:rPr>
                    <w:t>7</w:t>
                  </w:r>
                </w:p>
              </w:tc>
              <w:tc>
                <w:tcPr>
                  <w:tcW w:w="991" w:type="pct"/>
                  <w:vMerge w:val="continue"/>
                  <w:noWrap w:val="0"/>
                  <w:vAlign w:val="center"/>
                </w:tcPr>
                <w:p w14:paraId="6FC6070C">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991" w:type="pct"/>
                  <w:noWrap w:val="0"/>
                  <w:vAlign w:val="center"/>
                </w:tcPr>
                <w:p w14:paraId="5CD16A21">
                  <w:pPr>
                    <w:snapToGrid w:val="0"/>
                    <w:spacing w:line="240" w:lineRule="auto"/>
                    <w:ind w:firstLine="0" w:firstLineChars="0"/>
                    <w:jc w:val="center"/>
                    <w:rPr>
                      <w:rFonts w:hint="eastAsia" w:ascii="Times New Roman" w:hAnsi="Times New Roman" w:eastAsia="宋体" w:cs="Times New Roman"/>
                      <w:bCs/>
                      <w:snapToGrid w:val="0"/>
                      <w:color w:val="auto"/>
                      <w:kern w:val="0"/>
                      <w:sz w:val="21"/>
                      <w:highlight w:val="none"/>
                      <w:lang w:val="en-US" w:eastAsia="zh-CN"/>
                    </w:rPr>
                  </w:pPr>
                  <w:r>
                    <w:rPr>
                      <w:rFonts w:hint="eastAsia" w:ascii="Times New Roman" w:hAnsi="Times New Roman" w:cs="Times New Roman"/>
                      <w:bCs/>
                      <w:snapToGrid w:val="0"/>
                      <w:color w:val="auto"/>
                      <w:kern w:val="0"/>
                      <w:sz w:val="21"/>
                      <w:highlight w:val="none"/>
                      <w:lang w:val="en-US" w:eastAsia="zh-CN"/>
                    </w:rPr>
                    <w:t>/</w:t>
                  </w:r>
                </w:p>
              </w:tc>
            </w:tr>
            <w:tr w14:paraId="42842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87" w:type="pct"/>
                  <w:vMerge w:val="continue"/>
                  <w:noWrap w:val="0"/>
                  <w:vAlign w:val="center"/>
                </w:tcPr>
                <w:p w14:paraId="37D67A15">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576" w:type="pct"/>
                  <w:vMerge w:val="continue"/>
                  <w:noWrap w:val="0"/>
                  <w:vAlign w:val="center"/>
                </w:tcPr>
                <w:p w14:paraId="72A73866">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576" w:type="pct"/>
                  <w:vMerge w:val="continue"/>
                  <w:noWrap w:val="0"/>
                  <w:vAlign w:val="center"/>
                </w:tcPr>
                <w:p w14:paraId="12EA4656">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579" w:type="pct"/>
                  <w:noWrap w:val="0"/>
                  <w:vAlign w:val="center"/>
                </w:tcPr>
                <w:p w14:paraId="11ECA279">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盒</w:t>
                  </w:r>
                  <w:r>
                    <w:rPr>
                      <w:rFonts w:hint="default" w:ascii="Times New Roman" w:hAnsi="Times New Roman" w:cs="Times New Roman"/>
                      <w:bCs/>
                      <w:snapToGrid w:val="0"/>
                      <w:color w:val="auto"/>
                      <w:kern w:val="0"/>
                      <w:sz w:val="21"/>
                      <w:highlight w:val="none"/>
                      <w:vertAlign w:val="subscript"/>
                      <w:lang w:val="pt-BR"/>
                    </w:rPr>
                    <w:t>8</w:t>
                  </w:r>
                </w:p>
              </w:tc>
              <w:tc>
                <w:tcPr>
                  <w:tcW w:w="796" w:type="pct"/>
                  <w:noWrap w:val="0"/>
                  <w:vAlign w:val="center"/>
                </w:tcPr>
                <w:p w14:paraId="5CD5A12A">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P</w:t>
                  </w:r>
                  <w:r>
                    <w:rPr>
                      <w:rFonts w:hint="default" w:ascii="Times New Roman" w:hAnsi="Times New Roman" w:cs="Times New Roman"/>
                      <w:bCs/>
                      <w:snapToGrid w:val="0"/>
                      <w:color w:val="auto"/>
                      <w:kern w:val="0"/>
                      <w:sz w:val="21"/>
                      <w:highlight w:val="none"/>
                      <w:vertAlign w:val="subscript"/>
                      <w:lang w:val="pt-BR"/>
                    </w:rPr>
                    <w:t>2</w:t>
                  </w:r>
                  <w:r>
                    <w:rPr>
                      <w:rFonts w:hint="default" w:ascii="Times New Roman" w:hAnsi="Times New Roman" w:cs="Times New Roman"/>
                      <w:bCs/>
                      <w:snapToGrid w:val="0"/>
                      <w:color w:val="auto"/>
                      <w:kern w:val="0"/>
                      <w:sz w:val="21"/>
                      <w:highlight w:val="none"/>
                      <w:lang w:val="pt-BR"/>
                    </w:rPr>
                    <w:t>x</w:t>
                  </w:r>
                  <w:r>
                    <w:rPr>
                      <w:rFonts w:hint="default" w:ascii="Times New Roman" w:hAnsi="Times New Roman" w:cs="Times New Roman"/>
                      <w:bCs/>
                      <w:snapToGrid w:val="0"/>
                      <w:color w:val="auto"/>
                      <w:kern w:val="0"/>
                      <w:sz w:val="21"/>
                      <w:highlight w:val="none"/>
                      <w:vertAlign w:val="subscript"/>
                      <w:lang w:val="pt-BR"/>
                    </w:rPr>
                    <w:t>8</w:t>
                  </w:r>
                </w:p>
              </w:tc>
              <w:tc>
                <w:tcPr>
                  <w:tcW w:w="991" w:type="pct"/>
                  <w:vMerge w:val="continue"/>
                  <w:noWrap w:val="0"/>
                  <w:vAlign w:val="center"/>
                </w:tcPr>
                <w:p w14:paraId="0F8C29D4">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991" w:type="pct"/>
                  <w:noWrap w:val="0"/>
                  <w:vAlign w:val="center"/>
                </w:tcPr>
                <w:p w14:paraId="1DB56E23">
                  <w:pPr>
                    <w:snapToGrid w:val="0"/>
                    <w:spacing w:line="240" w:lineRule="auto"/>
                    <w:ind w:firstLine="0" w:firstLineChars="0"/>
                    <w:jc w:val="center"/>
                    <w:rPr>
                      <w:rFonts w:hint="eastAsia" w:ascii="Times New Roman" w:hAnsi="Times New Roman" w:eastAsia="宋体" w:cs="Times New Roman"/>
                      <w:bCs/>
                      <w:snapToGrid w:val="0"/>
                      <w:color w:val="auto"/>
                      <w:kern w:val="0"/>
                      <w:sz w:val="21"/>
                      <w:highlight w:val="none"/>
                      <w:lang w:val="en-US" w:eastAsia="zh-CN"/>
                    </w:rPr>
                  </w:pPr>
                  <w:r>
                    <w:rPr>
                      <w:rFonts w:hint="eastAsia" w:ascii="Times New Roman" w:hAnsi="Times New Roman" w:cs="Times New Roman"/>
                      <w:bCs/>
                      <w:snapToGrid w:val="0"/>
                      <w:color w:val="auto"/>
                      <w:kern w:val="0"/>
                      <w:sz w:val="21"/>
                      <w:highlight w:val="none"/>
                      <w:lang w:val="en-US" w:eastAsia="zh-CN"/>
                    </w:rPr>
                    <w:t>/</w:t>
                  </w:r>
                </w:p>
              </w:tc>
            </w:tr>
            <w:tr w14:paraId="27D2C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87" w:type="pct"/>
                  <w:vMerge w:val="continue"/>
                  <w:noWrap w:val="0"/>
                  <w:vAlign w:val="center"/>
                </w:tcPr>
                <w:p w14:paraId="27A22706">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576" w:type="pct"/>
                  <w:vMerge w:val="restart"/>
                  <w:noWrap w:val="0"/>
                  <w:vAlign w:val="center"/>
                </w:tcPr>
                <w:p w14:paraId="6089BD3C">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下统</w:t>
                  </w:r>
                </w:p>
              </w:tc>
              <w:tc>
                <w:tcPr>
                  <w:tcW w:w="576" w:type="pct"/>
                  <w:vMerge w:val="restart"/>
                  <w:noWrap w:val="0"/>
                  <w:vAlign w:val="center"/>
                </w:tcPr>
                <w:p w14:paraId="25DB86EA">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山西组</w:t>
                  </w:r>
                </w:p>
              </w:tc>
              <w:tc>
                <w:tcPr>
                  <w:tcW w:w="579" w:type="pct"/>
                  <w:noWrap w:val="0"/>
                  <w:vAlign w:val="center"/>
                </w:tcPr>
                <w:p w14:paraId="0FCE3E2F">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山</w:t>
                  </w:r>
                  <w:r>
                    <w:rPr>
                      <w:rFonts w:hint="default" w:ascii="Times New Roman" w:hAnsi="Times New Roman" w:cs="Times New Roman"/>
                      <w:bCs/>
                      <w:snapToGrid w:val="0"/>
                      <w:color w:val="auto"/>
                      <w:kern w:val="0"/>
                      <w:sz w:val="21"/>
                      <w:highlight w:val="none"/>
                      <w:vertAlign w:val="subscript"/>
                      <w:lang w:val="pt-BR"/>
                    </w:rPr>
                    <w:t>1</w:t>
                  </w:r>
                </w:p>
              </w:tc>
              <w:tc>
                <w:tcPr>
                  <w:tcW w:w="796" w:type="pct"/>
                  <w:noWrap w:val="0"/>
                  <w:vAlign w:val="center"/>
                </w:tcPr>
                <w:p w14:paraId="4F22607A">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P</w:t>
                  </w:r>
                  <w:r>
                    <w:rPr>
                      <w:rFonts w:hint="default" w:ascii="Times New Roman" w:hAnsi="Times New Roman" w:cs="Times New Roman"/>
                      <w:bCs/>
                      <w:snapToGrid w:val="0"/>
                      <w:color w:val="auto"/>
                      <w:kern w:val="0"/>
                      <w:sz w:val="21"/>
                      <w:highlight w:val="none"/>
                      <w:vertAlign w:val="subscript"/>
                      <w:lang w:val="pt-BR"/>
                    </w:rPr>
                    <w:t>1</w:t>
                  </w:r>
                  <w:r>
                    <w:rPr>
                      <w:rFonts w:hint="default" w:ascii="Times New Roman" w:hAnsi="Times New Roman" w:cs="Times New Roman"/>
                      <w:bCs/>
                      <w:snapToGrid w:val="0"/>
                      <w:color w:val="auto"/>
                      <w:kern w:val="0"/>
                      <w:sz w:val="21"/>
                      <w:highlight w:val="none"/>
                      <w:lang w:val="pt-BR"/>
                    </w:rPr>
                    <w:t>s</w:t>
                  </w:r>
                  <w:r>
                    <w:rPr>
                      <w:rFonts w:hint="default" w:ascii="Times New Roman" w:hAnsi="Times New Roman" w:cs="Times New Roman"/>
                      <w:bCs/>
                      <w:snapToGrid w:val="0"/>
                      <w:color w:val="auto"/>
                      <w:kern w:val="0"/>
                      <w:sz w:val="21"/>
                      <w:highlight w:val="none"/>
                      <w:vertAlign w:val="subscript"/>
                      <w:lang w:val="pt-BR"/>
                    </w:rPr>
                    <w:t>1</w:t>
                  </w:r>
                </w:p>
              </w:tc>
              <w:tc>
                <w:tcPr>
                  <w:tcW w:w="991" w:type="pct"/>
                  <w:vMerge w:val="restart"/>
                  <w:noWrap w:val="0"/>
                  <w:vAlign w:val="center"/>
                </w:tcPr>
                <w:p w14:paraId="18DC5789">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河流－三角洲沉积</w:t>
                  </w:r>
                </w:p>
              </w:tc>
              <w:tc>
                <w:tcPr>
                  <w:tcW w:w="991" w:type="pct"/>
                  <w:noWrap w:val="0"/>
                  <w:vAlign w:val="center"/>
                </w:tcPr>
                <w:p w14:paraId="518A0EE4">
                  <w:pPr>
                    <w:snapToGrid w:val="0"/>
                    <w:spacing w:line="240" w:lineRule="auto"/>
                    <w:ind w:firstLine="0" w:firstLineChars="0"/>
                    <w:jc w:val="center"/>
                    <w:rPr>
                      <w:rFonts w:hint="eastAsia" w:ascii="Times New Roman" w:hAnsi="Times New Roman" w:eastAsia="宋体" w:cs="Times New Roman"/>
                      <w:bCs/>
                      <w:snapToGrid w:val="0"/>
                      <w:color w:val="auto"/>
                      <w:kern w:val="0"/>
                      <w:sz w:val="21"/>
                      <w:highlight w:val="none"/>
                      <w:lang w:val="en-US" w:eastAsia="zh-CN"/>
                    </w:rPr>
                  </w:pPr>
                  <w:r>
                    <w:rPr>
                      <w:rFonts w:hint="eastAsia" w:ascii="Times New Roman" w:hAnsi="Times New Roman" w:cs="Times New Roman"/>
                      <w:bCs/>
                      <w:snapToGrid w:val="0"/>
                      <w:color w:val="auto"/>
                      <w:kern w:val="0"/>
                      <w:sz w:val="21"/>
                      <w:highlight w:val="none"/>
                      <w:lang w:val="en-US" w:eastAsia="zh-CN"/>
                    </w:rPr>
                    <w:t>目的层</w:t>
                  </w:r>
                </w:p>
              </w:tc>
            </w:tr>
            <w:tr w14:paraId="20E66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87" w:type="pct"/>
                  <w:vMerge w:val="continue"/>
                  <w:noWrap w:val="0"/>
                  <w:vAlign w:val="center"/>
                </w:tcPr>
                <w:p w14:paraId="3FCBFD9F">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576" w:type="pct"/>
                  <w:vMerge w:val="continue"/>
                  <w:noWrap w:val="0"/>
                  <w:vAlign w:val="center"/>
                </w:tcPr>
                <w:p w14:paraId="6DB0456A">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576" w:type="pct"/>
                  <w:vMerge w:val="continue"/>
                  <w:noWrap w:val="0"/>
                  <w:vAlign w:val="center"/>
                </w:tcPr>
                <w:p w14:paraId="3B894866">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579" w:type="pct"/>
                  <w:noWrap w:val="0"/>
                  <w:vAlign w:val="center"/>
                </w:tcPr>
                <w:p w14:paraId="4D58E20D">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山</w:t>
                  </w:r>
                  <w:r>
                    <w:rPr>
                      <w:rFonts w:hint="default" w:ascii="Times New Roman" w:hAnsi="Times New Roman" w:cs="Times New Roman"/>
                      <w:bCs/>
                      <w:snapToGrid w:val="0"/>
                      <w:color w:val="auto"/>
                      <w:kern w:val="0"/>
                      <w:sz w:val="21"/>
                      <w:highlight w:val="none"/>
                      <w:vertAlign w:val="subscript"/>
                      <w:lang w:val="pt-BR"/>
                    </w:rPr>
                    <w:t>2</w:t>
                  </w:r>
                </w:p>
              </w:tc>
              <w:tc>
                <w:tcPr>
                  <w:tcW w:w="796" w:type="pct"/>
                  <w:noWrap w:val="0"/>
                  <w:vAlign w:val="center"/>
                </w:tcPr>
                <w:p w14:paraId="296E1977">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P</w:t>
                  </w:r>
                  <w:r>
                    <w:rPr>
                      <w:rFonts w:hint="default" w:ascii="Times New Roman" w:hAnsi="Times New Roman" w:cs="Times New Roman"/>
                      <w:bCs/>
                      <w:snapToGrid w:val="0"/>
                      <w:color w:val="auto"/>
                      <w:kern w:val="0"/>
                      <w:sz w:val="21"/>
                      <w:highlight w:val="none"/>
                      <w:vertAlign w:val="subscript"/>
                      <w:lang w:val="pt-BR"/>
                    </w:rPr>
                    <w:t>1</w:t>
                  </w:r>
                  <w:r>
                    <w:rPr>
                      <w:rFonts w:hint="default" w:ascii="Times New Roman" w:hAnsi="Times New Roman" w:cs="Times New Roman"/>
                      <w:bCs/>
                      <w:snapToGrid w:val="0"/>
                      <w:color w:val="auto"/>
                      <w:kern w:val="0"/>
                      <w:sz w:val="21"/>
                      <w:highlight w:val="none"/>
                      <w:lang w:val="pt-BR"/>
                    </w:rPr>
                    <w:t>s</w:t>
                  </w:r>
                  <w:r>
                    <w:rPr>
                      <w:rFonts w:hint="default" w:ascii="Times New Roman" w:hAnsi="Times New Roman" w:cs="Times New Roman"/>
                      <w:bCs/>
                      <w:snapToGrid w:val="0"/>
                      <w:color w:val="auto"/>
                      <w:kern w:val="0"/>
                      <w:sz w:val="21"/>
                      <w:highlight w:val="none"/>
                      <w:vertAlign w:val="subscript"/>
                      <w:lang w:val="pt-BR"/>
                    </w:rPr>
                    <w:t>2</w:t>
                  </w:r>
                </w:p>
              </w:tc>
              <w:tc>
                <w:tcPr>
                  <w:tcW w:w="991" w:type="pct"/>
                  <w:vMerge w:val="continue"/>
                  <w:noWrap w:val="0"/>
                  <w:vAlign w:val="center"/>
                </w:tcPr>
                <w:p w14:paraId="32F4AC64">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991" w:type="pct"/>
                  <w:noWrap w:val="0"/>
                  <w:vAlign w:val="center"/>
                </w:tcPr>
                <w:p w14:paraId="4DF297F9">
                  <w:pPr>
                    <w:snapToGrid w:val="0"/>
                    <w:spacing w:line="240" w:lineRule="auto"/>
                    <w:ind w:firstLine="0" w:firstLineChars="0"/>
                    <w:jc w:val="center"/>
                    <w:rPr>
                      <w:rFonts w:hint="eastAsia" w:ascii="Times New Roman" w:hAnsi="Times New Roman" w:eastAsia="宋体" w:cs="Times New Roman"/>
                      <w:bCs/>
                      <w:snapToGrid w:val="0"/>
                      <w:color w:val="auto"/>
                      <w:kern w:val="0"/>
                      <w:sz w:val="21"/>
                      <w:highlight w:val="none"/>
                      <w:lang w:val="en-US" w:eastAsia="zh-CN"/>
                    </w:rPr>
                  </w:pPr>
                  <w:r>
                    <w:rPr>
                      <w:rFonts w:hint="eastAsia" w:ascii="Times New Roman" w:hAnsi="Times New Roman" w:cs="Times New Roman"/>
                      <w:bCs/>
                      <w:snapToGrid w:val="0"/>
                      <w:color w:val="auto"/>
                      <w:kern w:val="0"/>
                      <w:sz w:val="21"/>
                      <w:highlight w:val="none"/>
                      <w:lang w:val="en-US" w:eastAsia="zh-CN"/>
                    </w:rPr>
                    <w:t>/</w:t>
                  </w:r>
                </w:p>
              </w:tc>
            </w:tr>
            <w:tr w14:paraId="19AE0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7" w:type="pct"/>
                  <w:vMerge w:val="continue"/>
                  <w:noWrap w:val="0"/>
                  <w:vAlign w:val="center"/>
                </w:tcPr>
                <w:p w14:paraId="25DBE1C0">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576" w:type="pct"/>
                  <w:vMerge w:val="continue"/>
                  <w:noWrap w:val="0"/>
                  <w:vAlign w:val="center"/>
                </w:tcPr>
                <w:p w14:paraId="1AF4872B">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p>
              </w:tc>
              <w:tc>
                <w:tcPr>
                  <w:tcW w:w="576" w:type="pct"/>
                  <w:noWrap w:val="0"/>
                  <w:vAlign w:val="center"/>
                </w:tcPr>
                <w:p w14:paraId="791335FA">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太原组</w:t>
                  </w:r>
                </w:p>
              </w:tc>
              <w:tc>
                <w:tcPr>
                  <w:tcW w:w="579" w:type="pct"/>
                  <w:noWrap w:val="0"/>
                  <w:vAlign w:val="center"/>
                </w:tcPr>
                <w:p w14:paraId="2BAA0E0D">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w:t>
                  </w:r>
                </w:p>
              </w:tc>
              <w:tc>
                <w:tcPr>
                  <w:tcW w:w="796" w:type="pct"/>
                  <w:noWrap w:val="0"/>
                  <w:vAlign w:val="center"/>
                </w:tcPr>
                <w:p w14:paraId="52865AB5">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P</w:t>
                  </w:r>
                  <w:r>
                    <w:rPr>
                      <w:rFonts w:hint="default" w:ascii="Times New Roman" w:hAnsi="Times New Roman" w:cs="Times New Roman"/>
                      <w:bCs/>
                      <w:snapToGrid w:val="0"/>
                      <w:color w:val="auto"/>
                      <w:kern w:val="0"/>
                      <w:sz w:val="21"/>
                      <w:highlight w:val="none"/>
                      <w:vertAlign w:val="subscript"/>
                      <w:lang w:val="pt-BR"/>
                    </w:rPr>
                    <w:t>1</w:t>
                  </w:r>
                  <w:r>
                    <w:rPr>
                      <w:rFonts w:hint="default" w:ascii="Times New Roman" w:hAnsi="Times New Roman" w:cs="Times New Roman"/>
                      <w:bCs/>
                      <w:snapToGrid w:val="0"/>
                      <w:color w:val="auto"/>
                      <w:kern w:val="0"/>
                      <w:sz w:val="21"/>
                      <w:highlight w:val="none"/>
                      <w:lang w:val="pt-BR"/>
                    </w:rPr>
                    <w:t>t</w:t>
                  </w:r>
                </w:p>
              </w:tc>
              <w:tc>
                <w:tcPr>
                  <w:tcW w:w="991" w:type="pct"/>
                  <w:noWrap w:val="0"/>
                  <w:vAlign w:val="center"/>
                </w:tcPr>
                <w:p w14:paraId="5D51940E">
                  <w:pPr>
                    <w:snapToGrid w:val="0"/>
                    <w:spacing w:line="240" w:lineRule="auto"/>
                    <w:ind w:firstLine="0" w:firstLineChars="0"/>
                    <w:jc w:val="center"/>
                    <w:rPr>
                      <w:rFonts w:hint="default" w:ascii="Times New Roman" w:hAnsi="Times New Roman" w:cs="Times New Roman"/>
                      <w:bCs/>
                      <w:snapToGrid w:val="0"/>
                      <w:color w:val="auto"/>
                      <w:kern w:val="0"/>
                      <w:sz w:val="21"/>
                      <w:highlight w:val="none"/>
                      <w:lang w:val="pt-BR"/>
                    </w:rPr>
                  </w:pPr>
                  <w:r>
                    <w:rPr>
                      <w:rFonts w:hint="default" w:ascii="Times New Roman" w:hAnsi="Times New Roman" w:cs="Times New Roman"/>
                      <w:bCs/>
                      <w:snapToGrid w:val="0"/>
                      <w:color w:val="auto"/>
                      <w:kern w:val="0"/>
                      <w:sz w:val="21"/>
                      <w:highlight w:val="none"/>
                      <w:lang w:val="pt-BR"/>
                    </w:rPr>
                    <w:t>三角洲平原</w:t>
                  </w:r>
                </w:p>
              </w:tc>
              <w:tc>
                <w:tcPr>
                  <w:tcW w:w="991" w:type="pct"/>
                  <w:noWrap w:val="0"/>
                  <w:vAlign w:val="center"/>
                </w:tcPr>
                <w:p w14:paraId="73181A4B">
                  <w:pPr>
                    <w:snapToGrid w:val="0"/>
                    <w:spacing w:line="240" w:lineRule="auto"/>
                    <w:ind w:firstLine="0" w:firstLineChars="0"/>
                    <w:jc w:val="center"/>
                    <w:rPr>
                      <w:rFonts w:hint="eastAsia" w:ascii="Times New Roman" w:hAnsi="Times New Roman" w:eastAsia="宋体" w:cs="Times New Roman"/>
                      <w:bCs/>
                      <w:snapToGrid w:val="0"/>
                      <w:color w:val="auto"/>
                      <w:kern w:val="0"/>
                      <w:sz w:val="21"/>
                      <w:highlight w:val="none"/>
                      <w:lang w:val="en-US" w:eastAsia="zh-CN"/>
                    </w:rPr>
                  </w:pPr>
                  <w:r>
                    <w:rPr>
                      <w:rFonts w:hint="eastAsia" w:ascii="Times New Roman" w:hAnsi="Times New Roman" w:cs="Times New Roman"/>
                      <w:bCs/>
                      <w:snapToGrid w:val="0"/>
                      <w:color w:val="auto"/>
                      <w:kern w:val="0"/>
                      <w:sz w:val="21"/>
                      <w:highlight w:val="none"/>
                      <w:lang w:val="en-US" w:eastAsia="zh-CN"/>
                    </w:rPr>
                    <w:t>/</w:t>
                  </w:r>
                </w:p>
              </w:tc>
            </w:tr>
          </w:tbl>
          <w:p w14:paraId="3D168791">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kern w:val="0"/>
                <w:sz w:val="24"/>
                <w:szCs w:val="24"/>
                <w:highlight w:val="none"/>
                <w:lang w:val="en-US" w:eastAsia="zh-CN" w:bidi="ar"/>
              </w:rPr>
              <w:t>五</w:t>
            </w:r>
            <w:r>
              <w:rPr>
                <w:rFonts w:hint="default" w:ascii="Times New Roman" w:hAnsi="Times New Roman" w:eastAsia="宋体" w:cs="Times New Roman"/>
                <w:b/>
                <w:bCs/>
                <w:color w:val="auto"/>
                <w:kern w:val="0"/>
                <w:sz w:val="24"/>
                <w:szCs w:val="24"/>
                <w:highlight w:val="none"/>
                <w:lang w:val="en-US" w:eastAsia="zh-CN" w:bidi="ar"/>
              </w:rPr>
              <w:t>、工程占地</w:t>
            </w:r>
          </w:p>
          <w:p w14:paraId="531651EB">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项目占地为临时占地</w:t>
            </w:r>
            <w:r>
              <w:rPr>
                <w:rFonts w:hint="eastAsia" w:ascii="Times New Roman" w:hAnsi="Times New Roman" w:cs="Times New Roman"/>
                <w:color w:val="auto"/>
                <w:kern w:val="0"/>
                <w:sz w:val="24"/>
                <w:szCs w:val="24"/>
                <w:highlight w:val="none"/>
                <w:lang w:val="en-US" w:eastAsia="zh-CN" w:bidi="ar"/>
              </w:rPr>
              <w:t>，总面积</w:t>
            </w:r>
            <w:r>
              <w:rPr>
                <w:rFonts w:hint="eastAsia" w:ascii="Times New Roman" w:hAnsi="Times New Roman" w:eastAsia="宋体" w:cs="Times New Roman"/>
                <w:color w:val="auto"/>
                <w:kern w:val="0"/>
                <w:sz w:val="24"/>
                <w:szCs w:val="24"/>
                <w:highlight w:val="none"/>
                <w:lang w:val="en-US" w:eastAsia="zh-CN" w:bidi="ar"/>
              </w:rPr>
              <w:t>16559</w:t>
            </w:r>
            <w:r>
              <w:rPr>
                <w:rFonts w:hint="default" w:ascii="Times New Roman" w:hAnsi="Times New Roman" w:eastAsia="宋体" w:cs="Times New Roman"/>
                <w:color w:val="auto"/>
                <w:kern w:val="0"/>
                <w:sz w:val="24"/>
                <w:szCs w:val="24"/>
                <w:highlight w:val="none"/>
                <w:lang w:val="en-US" w:eastAsia="zh-CN" w:bidi="ar"/>
              </w:rPr>
              <w:t>m</w:t>
            </w:r>
            <w:r>
              <w:rPr>
                <w:rFonts w:hint="eastAsia" w:ascii="Times New Roman" w:hAnsi="Times New Roman" w:cs="Times New Roman"/>
                <w:color w:val="auto"/>
                <w:kern w:val="0"/>
                <w:sz w:val="24"/>
                <w:szCs w:val="24"/>
                <w:highlight w:val="none"/>
                <w:vertAlign w:val="superscript"/>
                <w:lang w:val="en-US" w:eastAsia="zh-CN" w:bidi="ar"/>
              </w:rPr>
              <w:t>2</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若完井测试表明气井有开采价值，再征用井场用地。</w:t>
            </w:r>
          </w:p>
          <w:p w14:paraId="554C453A">
            <w:pPr>
              <w:pStyle w:val="3"/>
              <w:widowControl/>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表</w:t>
            </w:r>
            <w:r>
              <w:rPr>
                <w:rFonts w:hint="default"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 xml:space="preserve">6 </w:t>
            </w:r>
            <w:r>
              <w:rPr>
                <w:rFonts w:hint="default" w:ascii="Times New Roman" w:hAnsi="Times New Roman" w:cs="Times New Roman"/>
                <w:color w:val="auto"/>
                <w:sz w:val="24"/>
                <w:szCs w:val="24"/>
                <w:highlight w:val="none"/>
                <w:lang w:eastAsia="zh-CN"/>
              </w:rPr>
              <w:t>占地面积情况表</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1287"/>
              <w:gridCol w:w="1455"/>
              <w:gridCol w:w="1457"/>
              <w:gridCol w:w="1518"/>
              <w:gridCol w:w="1324"/>
              <w:gridCol w:w="1325"/>
            </w:tblGrid>
            <w:tr w14:paraId="75C46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769" w:type="pct"/>
                  <w:tcBorders>
                    <w:top w:val="single" w:color="auto" w:sz="4" w:space="0"/>
                    <w:left w:val="single" w:color="auto" w:sz="4" w:space="0"/>
                    <w:bottom w:val="single" w:color="auto" w:sz="4" w:space="0"/>
                    <w:right w:val="single" w:color="auto" w:sz="4" w:space="0"/>
                  </w:tcBorders>
                  <w:noWrap w:val="0"/>
                  <w:vAlign w:val="center"/>
                </w:tcPr>
                <w:p w14:paraId="1963D1E9">
                  <w:pPr>
                    <w:pStyle w:val="21"/>
                    <w:widowControl/>
                    <w:rPr>
                      <w:rFonts w:hint="default"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井号</w:t>
                  </w:r>
                </w:p>
              </w:tc>
              <w:tc>
                <w:tcPr>
                  <w:tcW w:w="869" w:type="pct"/>
                  <w:tcBorders>
                    <w:top w:val="single" w:color="auto" w:sz="4" w:space="0"/>
                    <w:left w:val="single" w:color="auto" w:sz="4" w:space="0"/>
                    <w:bottom w:val="single" w:color="auto" w:sz="4" w:space="0"/>
                    <w:right w:val="single" w:color="auto" w:sz="4" w:space="0"/>
                  </w:tcBorders>
                  <w:noWrap w:val="0"/>
                  <w:vAlign w:val="center"/>
                </w:tcPr>
                <w:p w14:paraId="360E8DC1">
                  <w:pPr>
                    <w:pStyle w:val="21"/>
                    <w:widowControl/>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总面积</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lang w:val="en-US" w:eastAsia="zh-CN"/>
                    </w:rPr>
                    <w:t>m</w:t>
                  </w:r>
                  <w:r>
                    <w:rPr>
                      <w:rFonts w:hint="default" w:ascii="Times New Roman" w:hAnsi="Times New Roman" w:cs="Times New Roman"/>
                      <w:b/>
                      <w:bCs/>
                      <w:color w:val="auto"/>
                      <w:sz w:val="21"/>
                      <w:szCs w:val="21"/>
                      <w:highlight w:val="none"/>
                      <w:vertAlign w:val="superscript"/>
                      <w:lang w:val="en-US" w:eastAsia="zh-CN"/>
                    </w:rPr>
                    <w:t>2</w:t>
                  </w:r>
                  <w:r>
                    <w:rPr>
                      <w:rFonts w:hint="default" w:ascii="Times New Roman" w:hAnsi="Times New Roman" w:eastAsia="宋体" w:cs="Times New Roman"/>
                      <w:b/>
                      <w:bCs/>
                      <w:color w:val="auto"/>
                      <w:sz w:val="21"/>
                      <w:szCs w:val="21"/>
                      <w:highlight w:val="none"/>
                      <w:lang w:eastAsia="zh-CN"/>
                    </w:rPr>
                    <w:t>）</w:t>
                  </w:r>
                </w:p>
              </w:tc>
              <w:tc>
                <w:tcPr>
                  <w:tcW w:w="870" w:type="pct"/>
                  <w:tcBorders>
                    <w:top w:val="single" w:color="auto" w:sz="4" w:space="0"/>
                    <w:left w:val="single" w:color="auto" w:sz="4" w:space="0"/>
                    <w:bottom w:val="single" w:color="auto" w:sz="4" w:space="0"/>
                    <w:right w:val="single" w:color="auto" w:sz="4" w:space="0"/>
                  </w:tcBorders>
                  <w:noWrap w:val="0"/>
                  <w:vAlign w:val="center"/>
                </w:tcPr>
                <w:p w14:paraId="07188E23">
                  <w:pPr>
                    <w:pStyle w:val="21"/>
                    <w:widowControl/>
                    <w:rPr>
                      <w:rFonts w:hint="default"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井场面积（</w:t>
                  </w:r>
                  <w:r>
                    <w:rPr>
                      <w:rFonts w:hint="default" w:ascii="Times New Roman" w:hAnsi="Times New Roman" w:cs="Times New Roman"/>
                      <w:b/>
                      <w:bCs/>
                      <w:color w:val="auto"/>
                      <w:sz w:val="21"/>
                      <w:szCs w:val="21"/>
                      <w:highlight w:val="none"/>
                      <w:lang w:val="en-US" w:eastAsia="zh-CN"/>
                    </w:rPr>
                    <w:t>m</w:t>
                  </w:r>
                  <w:r>
                    <w:rPr>
                      <w:rFonts w:hint="default" w:ascii="Times New Roman" w:hAnsi="Times New Roman" w:cs="Times New Roman"/>
                      <w:b/>
                      <w:bCs/>
                      <w:color w:val="auto"/>
                      <w:sz w:val="21"/>
                      <w:szCs w:val="21"/>
                      <w:highlight w:val="none"/>
                      <w:vertAlign w:val="superscript"/>
                      <w:lang w:val="en-US" w:eastAsia="zh-CN"/>
                    </w:rPr>
                    <w:t>2</w:t>
                  </w:r>
                  <w:r>
                    <w:rPr>
                      <w:rFonts w:hint="default" w:ascii="Times New Roman" w:hAnsi="Times New Roman" w:eastAsia="宋体" w:cs="Times New Roman"/>
                      <w:b/>
                      <w:bCs/>
                      <w:color w:val="auto"/>
                      <w:sz w:val="21"/>
                      <w:szCs w:val="21"/>
                      <w:highlight w:val="none"/>
                      <w:lang w:eastAsia="zh-CN"/>
                    </w:rPr>
                    <w:t>）</w:t>
                  </w:r>
                </w:p>
              </w:tc>
              <w:tc>
                <w:tcPr>
                  <w:tcW w:w="907" w:type="pct"/>
                  <w:tcBorders>
                    <w:top w:val="single" w:color="auto" w:sz="4" w:space="0"/>
                    <w:left w:val="single" w:color="auto" w:sz="4" w:space="0"/>
                    <w:bottom w:val="single" w:color="auto" w:sz="4" w:space="0"/>
                    <w:right w:val="single" w:color="auto" w:sz="4" w:space="0"/>
                  </w:tcBorders>
                  <w:noWrap w:val="0"/>
                  <w:vAlign w:val="center"/>
                </w:tcPr>
                <w:p w14:paraId="366CA94B">
                  <w:pPr>
                    <w:pStyle w:val="21"/>
                    <w:widowControl/>
                    <w:rPr>
                      <w:rFonts w:hint="default"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生活区面积（</w:t>
                  </w:r>
                  <w:r>
                    <w:rPr>
                      <w:rFonts w:hint="default" w:ascii="Times New Roman" w:hAnsi="Times New Roman" w:cs="Times New Roman"/>
                      <w:b/>
                      <w:bCs/>
                      <w:color w:val="auto"/>
                      <w:sz w:val="21"/>
                      <w:szCs w:val="21"/>
                      <w:highlight w:val="none"/>
                      <w:lang w:val="en-US" w:eastAsia="zh-CN"/>
                    </w:rPr>
                    <w:t>m</w:t>
                  </w:r>
                  <w:r>
                    <w:rPr>
                      <w:rFonts w:hint="default" w:ascii="Times New Roman" w:hAnsi="Times New Roman" w:cs="Times New Roman"/>
                      <w:b/>
                      <w:bCs/>
                      <w:color w:val="auto"/>
                      <w:sz w:val="21"/>
                      <w:szCs w:val="21"/>
                      <w:highlight w:val="none"/>
                      <w:vertAlign w:val="superscript"/>
                      <w:lang w:val="en-US" w:eastAsia="zh-CN"/>
                    </w:rPr>
                    <w:t>2</w:t>
                  </w:r>
                  <w:r>
                    <w:rPr>
                      <w:rFonts w:hint="default" w:ascii="Times New Roman" w:hAnsi="Times New Roman" w:eastAsia="宋体" w:cs="Times New Roman"/>
                      <w:b/>
                      <w:bCs/>
                      <w:color w:val="auto"/>
                      <w:sz w:val="21"/>
                      <w:szCs w:val="21"/>
                      <w:highlight w:val="none"/>
                      <w:lang w:eastAsia="zh-CN"/>
                    </w:rPr>
                    <w:t>）</w:t>
                  </w:r>
                </w:p>
              </w:tc>
              <w:tc>
                <w:tcPr>
                  <w:tcW w:w="791" w:type="pct"/>
                  <w:tcBorders>
                    <w:top w:val="single" w:color="auto" w:sz="4" w:space="0"/>
                    <w:left w:val="single" w:color="auto" w:sz="4" w:space="0"/>
                    <w:bottom w:val="single" w:color="auto" w:sz="4" w:space="0"/>
                    <w:right w:val="single" w:color="auto" w:sz="4" w:space="0"/>
                  </w:tcBorders>
                  <w:noWrap w:val="0"/>
                  <w:vAlign w:val="center"/>
                </w:tcPr>
                <w:p w14:paraId="0BE5BB25">
                  <w:pPr>
                    <w:pStyle w:val="21"/>
                    <w:widowControl/>
                    <w:rPr>
                      <w:rFonts w:hint="default"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进场道路面积（m</w:t>
                  </w:r>
                  <w:r>
                    <w:rPr>
                      <w:rFonts w:hint="default" w:ascii="Times New Roman" w:hAnsi="Times New Roman" w:eastAsia="宋体" w:cs="Times New Roman"/>
                      <w:b/>
                      <w:bCs/>
                      <w:color w:val="auto"/>
                      <w:sz w:val="21"/>
                      <w:szCs w:val="21"/>
                      <w:highlight w:val="none"/>
                      <w:vertAlign w:val="superscript"/>
                      <w:lang w:val="en-US" w:eastAsia="zh-CN"/>
                    </w:rPr>
                    <w:t>2</w:t>
                  </w:r>
                  <w:r>
                    <w:rPr>
                      <w:rFonts w:hint="default" w:ascii="Times New Roman" w:hAnsi="Times New Roman" w:eastAsia="宋体" w:cs="Times New Roman"/>
                      <w:b/>
                      <w:bCs/>
                      <w:color w:val="auto"/>
                      <w:sz w:val="21"/>
                      <w:szCs w:val="21"/>
                      <w:highlight w:val="none"/>
                      <w:lang w:val="en-US" w:eastAsia="zh-CN"/>
                    </w:rPr>
                    <w:t>）</w:t>
                  </w:r>
                </w:p>
              </w:tc>
              <w:tc>
                <w:tcPr>
                  <w:tcW w:w="791" w:type="pct"/>
                  <w:tcBorders>
                    <w:top w:val="single" w:color="auto" w:sz="4" w:space="0"/>
                    <w:left w:val="single" w:color="auto" w:sz="4" w:space="0"/>
                    <w:bottom w:val="single" w:color="auto" w:sz="4" w:space="0"/>
                    <w:right w:val="single" w:color="auto" w:sz="4" w:space="0"/>
                  </w:tcBorders>
                  <w:noWrap w:val="0"/>
                  <w:vAlign w:val="center"/>
                </w:tcPr>
                <w:p w14:paraId="095B26F6">
                  <w:pPr>
                    <w:pStyle w:val="21"/>
                    <w:widowControl/>
                    <w:rPr>
                      <w:rFonts w:hint="default"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占地类型</w:t>
                  </w:r>
                </w:p>
              </w:tc>
            </w:tr>
            <w:tr w14:paraId="3968C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769" w:type="pct"/>
                  <w:tcBorders>
                    <w:top w:val="single" w:color="auto" w:sz="4" w:space="0"/>
                    <w:left w:val="single" w:color="auto" w:sz="4" w:space="0"/>
                    <w:bottom w:val="single" w:color="auto" w:sz="4" w:space="0"/>
                    <w:right w:val="single" w:color="auto" w:sz="4" w:space="0"/>
                  </w:tcBorders>
                  <w:noWrap w:val="0"/>
                  <w:vAlign w:val="center"/>
                </w:tcPr>
                <w:p w14:paraId="6EF27F84">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米75-3M</w:t>
                  </w:r>
                </w:p>
              </w:tc>
              <w:tc>
                <w:tcPr>
                  <w:tcW w:w="869" w:type="pct"/>
                  <w:tcBorders>
                    <w:top w:val="single" w:color="auto" w:sz="4" w:space="0"/>
                    <w:left w:val="single" w:color="auto" w:sz="4" w:space="0"/>
                    <w:bottom w:val="single" w:color="auto" w:sz="4" w:space="0"/>
                    <w:right w:val="single" w:color="auto" w:sz="4" w:space="0"/>
                  </w:tcBorders>
                  <w:noWrap w:val="0"/>
                  <w:vAlign w:val="center"/>
                </w:tcPr>
                <w:p w14:paraId="248F9586">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16559</w:t>
                  </w:r>
                </w:p>
              </w:tc>
              <w:tc>
                <w:tcPr>
                  <w:tcW w:w="870" w:type="pct"/>
                  <w:tcBorders>
                    <w:top w:val="single" w:color="auto" w:sz="4" w:space="0"/>
                    <w:left w:val="single" w:color="auto" w:sz="4" w:space="0"/>
                    <w:bottom w:val="single" w:color="auto" w:sz="4" w:space="0"/>
                    <w:right w:val="single" w:color="auto" w:sz="4" w:space="0"/>
                  </w:tcBorders>
                  <w:noWrap w:val="0"/>
                  <w:vAlign w:val="center"/>
                </w:tcPr>
                <w:p w14:paraId="2AAA369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15642</w:t>
                  </w:r>
                </w:p>
              </w:tc>
              <w:tc>
                <w:tcPr>
                  <w:tcW w:w="907" w:type="pct"/>
                  <w:tcBorders>
                    <w:top w:val="single" w:color="auto" w:sz="4" w:space="0"/>
                    <w:left w:val="single" w:color="auto" w:sz="4" w:space="0"/>
                    <w:bottom w:val="single" w:color="auto" w:sz="4" w:space="0"/>
                    <w:right w:val="single" w:color="auto" w:sz="4" w:space="0"/>
                  </w:tcBorders>
                  <w:noWrap w:val="0"/>
                  <w:vAlign w:val="center"/>
                </w:tcPr>
                <w:p w14:paraId="462E920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917</w:t>
                  </w:r>
                </w:p>
              </w:tc>
              <w:tc>
                <w:tcPr>
                  <w:tcW w:w="791" w:type="pct"/>
                  <w:tcBorders>
                    <w:left w:val="single" w:color="auto" w:sz="4" w:space="0"/>
                    <w:bottom w:val="single" w:color="auto" w:sz="4" w:space="0"/>
                    <w:right w:val="single" w:color="auto" w:sz="4" w:space="0"/>
                  </w:tcBorders>
                  <w:noWrap w:val="0"/>
                  <w:vAlign w:val="center"/>
                </w:tcPr>
                <w:p w14:paraId="26DDE684">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0（依托现有）</w:t>
                  </w:r>
                </w:p>
              </w:tc>
              <w:tc>
                <w:tcPr>
                  <w:tcW w:w="791" w:type="pct"/>
                  <w:tcBorders>
                    <w:top w:val="single" w:color="auto" w:sz="4" w:space="0"/>
                    <w:left w:val="single" w:color="auto" w:sz="4" w:space="0"/>
                    <w:bottom w:val="single" w:color="auto" w:sz="4" w:space="0"/>
                    <w:right w:val="single" w:color="auto" w:sz="4" w:space="0"/>
                  </w:tcBorders>
                  <w:noWrap w:val="0"/>
                  <w:vAlign w:val="center"/>
                </w:tcPr>
                <w:p w14:paraId="720B18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草地10212</w:t>
                  </w:r>
                  <w:r>
                    <w:rPr>
                      <w:rFonts w:hint="default" w:ascii="Times New Roman" w:hAnsi="Times New Roman" w:cs="Times New Roman"/>
                      <w:b/>
                      <w:bCs/>
                      <w:color w:val="auto"/>
                      <w:sz w:val="21"/>
                      <w:szCs w:val="21"/>
                      <w:highlight w:val="none"/>
                      <w:lang w:val="en-US" w:eastAsia="zh-CN"/>
                    </w:rPr>
                    <w:t>m</w:t>
                  </w:r>
                  <w:r>
                    <w:rPr>
                      <w:rFonts w:hint="default" w:ascii="Times New Roman" w:hAnsi="Times New Roman" w:cs="Times New Roman"/>
                      <w:b/>
                      <w:bCs/>
                      <w:color w:val="auto"/>
                      <w:sz w:val="21"/>
                      <w:szCs w:val="21"/>
                      <w:highlight w:val="none"/>
                      <w:vertAlign w:val="superscript"/>
                      <w:lang w:val="en-US" w:eastAsia="zh-CN"/>
                    </w:rPr>
                    <w:t>2</w:t>
                  </w:r>
                </w:p>
                <w:p w14:paraId="46AD9A2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、种植园用地6347</w:t>
                  </w:r>
                  <w:r>
                    <w:rPr>
                      <w:rFonts w:hint="default" w:ascii="Times New Roman" w:hAnsi="Times New Roman" w:cs="Times New Roman"/>
                      <w:b/>
                      <w:bCs/>
                      <w:color w:val="auto"/>
                      <w:sz w:val="21"/>
                      <w:szCs w:val="21"/>
                      <w:highlight w:val="none"/>
                      <w:lang w:val="en-US" w:eastAsia="zh-CN"/>
                    </w:rPr>
                    <w:t>m</w:t>
                  </w:r>
                  <w:r>
                    <w:rPr>
                      <w:rFonts w:hint="default" w:ascii="Times New Roman" w:hAnsi="Times New Roman" w:cs="Times New Roman"/>
                      <w:b/>
                      <w:bCs/>
                      <w:color w:val="auto"/>
                      <w:sz w:val="21"/>
                      <w:szCs w:val="21"/>
                      <w:highlight w:val="none"/>
                      <w:vertAlign w:val="superscript"/>
                      <w:lang w:val="en-US" w:eastAsia="zh-CN"/>
                    </w:rPr>
                    <w:t>2</w:t>
                  </w:r>
                </w:p>
              </w:tc>
            </w:tr>
            <w:tr w14:paraId="3F75D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769" w:type="pct"/>
                  <w:tcBorders>
                    <w:top w:val="single" w:color="auto" w:sz="4" w:space="0"/>
                    <w:left w:val="single" w:color="auto" w:sz="4" w:space="0"/>
                    <w:bottom w:val="single" w:color="auto" w:sz="4" w:space="0"/>
                    <w:right w:val="single" w:color="auto" w:sz="4" w:space="0"/>
                  </w:tcBorders>
                  <w:noWrap w:val="0"/>
                  <w:vAlign w:val="center"/>
                </w:tcPr>
                <w:p w14:paraId="0A245197">
                  <w:pPr>
                    <w:pStyle w:val="21"/>
                    <w:widowControl/>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合计</w:t>
                  </w:r>
                </w:p>
              </w:tc>
              <w:tc>
                <w:tcPr>
                  <w:tcW w:w="869" w:type="pct"/>
                  <w:tcBorders>
                    <w:top w:val="single" w:color="auto" w:sz="4" w:space="0"/>
                    <w:left w:val="single" w:color="auto" w:sz="4" w:space="0"/>
                    <w:bottom w:val="single" w:color="auto" w:sz="4" w:space="0"/>
                    <w:right w:val="single" w:color="auto" w:sz="4" w:space="0"/>
                  </w:tcBorders>
                  <w:noWrap w:val="0"/>
                  <w:vAlign w:val="center"/>
                </w:tcPr>
                <w:p w14:paraId="05792694">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16559</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69BBA2E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15642</w:t>
                  </w:r>
                </w:p>
              </w:tc>
              <w:tc>
                <w:tcPr>
                  <w:tcW w:w="1518" w:type="dxa"/>
                  <w:tcBorders>
                    <w:top w:val="single" w:color="auto" w:sz="4" w:space="0"/>
                    <w:left w:val="single" w:color="auto" w:sz="4" w:space="0"/>
                    <w:bottom w:val="single" w:color="auto" w:sz="4" w:space="0"/>
                    <w:right w:val="single" w:color="auto" w:sz="4" w:space="0"/>
                  </w:tcBorders>
                  <w:noWrap w:val="0"/>
                  <w:vAlign w:val="center"/>
                </w:tcPr>
                <w:p w14:paraId="5A21870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917</w:t>
                  </w:r>
                </w:p>
              </w:tc>
              <w:tc>
                <w:tcPr>
                  <w:tcW w:w="791" w:type="pct"/>
                  <w:tcBorders>
                    <w:top w:val="single" w:color="auto" w:sz="4" w:space="0"/>
                    <w:left w:val="single" w:color="auto" w:sz="4" w:space="0"/>
                    <w:bottom w:val="single" w:color="auto" w:sz="4" w:space="0"/>
                    <w:right w:val="single" w:color="auto" w:sz="4" w:space="0"/>
                  </w:tcBorders>
                  <w:noWrap w:val="0"/>
                  <w:vAlign w:val="center"/>
                </w:tcPr>
                <w:p w14:paraId="1426A8E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91" w:type="pct"/>
                  <w:tcBorders>
                    <w:top w:val="single" w:color="auto" w:sz="4" w:space="0"/>
                    <w:left w:val="single" w:color="auto" w:sz="4" w:space="0"/>
                    <w:bottom w:val="single" w:color="auto" w:sz="4" w:space="0"/>
                    <w:right w:val="single" w:color="auto" w:sz="4" w:space="0"/>
                  </w:tcBorders>
                  <w:noWrap w:val="0"/>
                  <w:vAlign w:val="center"/>
                </w:tcPr>
                <w:p w14:paraId="4C57B27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bl>
          <w:p w14:paraId="7DEA2B04">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kern w:val="0"/>
                <w:sz w:val="24"/>
                <w:szCs w:val="24"/>
                <w:highlight w:val="none"/>
                <w:lang w:val="en-US" w:eastAsia="zh-CN" w:bidi="ar"/>
              </w:rPr>
              <w:t>六</w:t>
            </w:r>
            <w:r>
              <w:rPr>
                <w:rFonts w:hint="default" w:ascii="Times New Roman" w:hAnsi="Times New Roman" w:eastAsia="宋体" w:cs="Times New Roman"/>
                <w:b/>
                <w:bCs/>
                <w:color w:val="auto"/>
                <w:kern w:val="0"/>
                <w:sz w:val="24"/>
                <w:szCs w:val="24"/>
                <w:highlight w:val="none"/>
                <w:lang w:val="en-US" w:eastAsia="zh-CN" w:bidi="ar"/>
              </w:rPr>
              <w:t>、项目主要设备清单</w:t>
            </w:r>
          </w:p>
          <w:p w14:paraId="379296A7">
            <w:pPr>
              <w:pStyle w:val="20"/>
              <w:widowControl/>
              <w:adjustRightInd/>
              <w:snapToGrid/>
              <w:ind w:left="0"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根据《榆林市人民政府关于禁止使用高排放非道路移动机械的通告》要求，项目施工现场禁止使用高排放非道路移动机械，禁止使用未编码登记挂牌及环保检测不达标的非道路移动机械。</w:t>
            </w:r>
          </w:p>
          <w:p w14:paraId="53964CE8">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项目主要设备清单见表2-</w:t>
            </w:r>
            <w:r>
              <w:rPr>
                <w:rFonts w:hint="eastAsia" w:ascii="Times New Roman" w:hAnsi="Times New Roman" w:cs="Times New Roman"/>
                <w:color w:val="auto"/>
                <w:kern w:val="0"/>
                <w:sz w:val="24"/>
                <w:szCs w:val="24"/>
                <w:highlight w:val="none"/>
                <w:lang w:val="en-US" w:eastAsia="zh-CN" w:bidi="ar"/>
              </w:rPr>
              <w:t>7</w:t>
            </w:r>
            <w:r>
              <w:rPr>
                <w:rFonts w:hint="default" w:ascii="Times New Roman" w:hAnsi="Times New Roman" w:eastAsia="宋体" w:cs="Times New Roman"/>
                <w:color w:val="auto"/>
                <w:kern w:val="0"/>
                <w:sz w:val="24"/>
                <w:szCs w:val="24"/>
                <w:highlight w:val="none"/>
                <w:lang w:val="en-US" w:eastAsia="zh-CN" w:bidi="ar"/>
              </w:rPr>
              <w:t>。</w:t>
            </w:r>
          </w:p>
          <w:p w14:paraId="04F068F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表2-</w:t>
            </w:r>
            <w:r>
              <w:rPr>
                <w:rFonts w:hint="eastAsia" w:ascii="Times New Roman" w:hAnsi="Times New Roman" w:cs="Times New Roman"/>
                <w:b/>
                <w:bCs/>
                <w:color w:val="auto"/>
                <w:kern w:val="0"/>
                <w:sz w:val="24"/>
                <w:szCs w:val="24"/>
                <w:highlight w:val="none"/>
                <w:lang w:val="en-US" w:eastAsia="zh-CN" w:bidi="ar"/>
              </w:rPr>
              <w:t xml:space="preserve">7  </w:t>
            </w:r>
            <w:r>
              <w:rPr>
                <w:rFonts w:hint="default" w:ascii="Times New Roman" w:hAnsi="Times New Roman" w:eastAsia="宋体" w:cs="Times New Roman"/>
                <w:b/>
                <w:bCs/>
                <w:color w:val="auto"/>
                <w:kern w:val="0"/>
                <w:sz w:val="24"/>
                <w:szCs w:val="24"/>
                <w:highlight w:val="none"/>
                <w:lang w:val="en-US" w:eastAsia="zh-CN" w:bidi="ar"/>
              </w:rPr>
              <w:t>项目单井主要设备清单一览表</w:t>
            </w:r>
          </w:p>
          <w:tbl>
            <w:tblPr>
              <w:tblStyle w:val="16"/>
              <w:tblW w:w="497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407"/>
              <w:gridCol w:w="945"/>
              <w:gridCol w:w="1625"/>
              <w:gridCol w:w="2214"/>
              <w:gridCol w:w="923"/>
              <w:gridCol w:w="863"/>
              <w:gridCol w:w="1364"/>
            </w:tblGrid>
            <w:tr w14:paraId="3882EC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3" w:type="pct"/>
                  <w:tcBorders>
                    <w:top w:val="single" w:color="auto" w:sz="2" w:space="0"/>
                    <w:left w:val="single" w:color="auto" w:sz="2" w:space="0"/>
                    <w:bottom w:val="single" w:color="auto" w:sz="2" w:space="0"/>
                    <w:right w:val="single" w:color="auto" w:sz="2" w:space="0"/>
                  </w:tcBorders>
                  <w:noWrap w:val="0"/>
                  <w:vAlign w:val="center"/>
                </w:tcPr>
                <w:p w14:paraId="1929A81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lang w:val="en-US"/>
                    </w:rPr>
                  </w:pPr>
                  <w:r>
                    <w:rPr>
                      <w:rFonts w:hint="default" w:ascii="Times New Roman" w:hAnsi="Times New Roman" w:eastAsia="宋体" w:cs="Times New Roman"/>
                      <w:b/>
                      <w:bCs/>
                      <w:color w:val="auto"/>
                      <w:kern w:val="0"/>
                      <w:sz w:val="21"/>
                      <w:szCs w:val="21"/>
                      <w:highlight w:val="none"/>
                      <w:lang w:val="en-US" w:eastAsia="zh-CN" w:bidi="ar"/>
                    </w:rPr>
                    <w:t>序号</w:t>
                  </w:r>
                </w:p>
              </w:tc>
              <w:tc>
                <w:tcPr>
                  <w:tcW w:w="1540" w:type="pct"/>
                  <w:gridSpan w:val="2"/>
                  <w:tcBorders>
                    <w:top w:val="single" w:color="auto" w:sz="2" w:space="0"/>
                    <w:left w:val="single" w:color="auto" w:sz="2" w:space="0"/>
                    <w:bottom w:val="single" w:color="auto" w:sz="2" w:space="0"/>
                    <w:right w:val="single" w:color="auto" w:sz="2" w:space="0"/>
                  </w:tcBorders>
                  <w:noWrap w:val="0"/>
                  <w:vAlign w:val="center"/>
                </w:tcPr>
                <w:p w14:paraId="51C765E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lang w:val="en-US"/>
                    </w:rPr>
                  </w:pPr>
                  <w:r>
                    <w:rPr>
                      <w:rFonts w:hint="default" w:ascii="Times New Roman" w:hAnsi="Times New Roman" w:eastAsia="宋体" w:cs="Times New Roman"/>
                      <w:b/>
                      <w:bCs/>
                      <w:color w:val="auto"/>
                      <w:kern w:val="0"/>
                      <w:sz w:val="21"/>
                      <w:szCs w:val="21"/>
                      <w:highlight w:val="none"/>
                      <w:lang w:val="en-US" w:eastAsia="zh-CN" w:bidi="ar"/>
                    </w:rPr>
                    <w:t>设备名称</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22DA087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lang w:val="en-US"/>
                    </w:rPr>
                  </w:pPr>
                  <w:r>
                    <w:rPr>
                      <w:rFonts w:hint="default" w:ascii="Times New Roman" w:hAnsi="Times New Roman" w:eastAsia="宋体" w:cs="Times New Roman"/>
                      <w:b/>
                      <w:bCs/>
                      <w:color w:val="auto"/>
                      <w:kern w:val="0"/>
                      <w:sz w:val="21"/>
                      <w:szCs w:val="21"/>
                      <w:highlight w:val="none"/>
                      <w:lang w:val="en-US" w:eastAsia="zh-CN" w:bidi="ar"/>
                    </w:rPr>
                    <w:t>型号</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38C67F9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lang w:val="en-US"/>
                    </w:rPr>
                  </w:pPr>
                  <w:r>
                    <w:rPr>
                      <w:rFonts w:hint="default" w:ascii="Times New Roman" w:hAnsi="Times New Roman" w:eastAsia="宋体" w:cs="Times New Roman"/>
                      <w:b/>
                      <w:bCs/>
                      <w:color w:val="auto"/>
                      <w:kern w:val="0"/>
                      <w:sz w:val="21"/>
                      <w:szCs w:val="21"/>
                      <w:highlight w:val="none"/>
                      <w:lang w:val="en-US" w:eastAsia="zh-CN" w:bidi="ar"/>
                    </w:rPr>
                    <w:t>规格</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465FC5A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lang w:val="en-US"/>
                    </w:rPr>
                  </w:pPr>
                  <w:r>
                    <w:rPr>
                      <w:rFonts w:hint="default" w:ascii="Times New Roman" w:hAnsi="Times New Roman" w:eastAsia="宋体" w:cs="Times New Roman"/>
                      <w:b/>
                      <w:bCs/>
                      <w:color w:val="auto"/>
                      <w:kern w:val="0"/>
                      <w:sz w:val="21"/>
                      <w:szCs w:val="21"/>
                      <w:highlight w:val="none"/>
                      <w:lang w:val="en-US" w:eastAsia="zh-CN" w:bidi="ar"/>
                    </w:rPr>
                    <w:t>数量</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57F64F0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lang w:val="en-US"/>
                    </w:rPr>
                  </w:pPr>
                  <w:r>
                    <w:rPr>
                      <w:rFonts w:hint="default" w:ascii="Times New Roman" w:hAnsi="Times New Roman" w:eastAsia="宋体" w:cs="Times New Roman"/>
                      <w:b/>
                      <w:bCs/>
                      <w:color w:val="auto"/>
                      <w:kern w:val="0"/>
                      <w:sz w:val="21"/>
                      <w:szCs w:val="21"/>
                      <w:highlight w:val="none"/>
                      <w:lang w:val="en-US" w:eastAsia="zh-CN" w:bidi="ar"/>
                    </w:rPr>
                    <w:t>备注</w:t>
                  </w:r>
                </w:p>
              </w:tc>
            </w:tr>
            <w:tr w14:paraId="41E97D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3" w:type="pct"/>
                  <w:vMerge w:val="restart"/>
                  <w:tcBorders>
                    <w:top w:val="single" w:color="auto" w:sz="2" w:space="0"/>
                    <w:left w:val="single" w:color="auto" w:sz="2" w:space="0"/>
                    <w:bottom w:val="single" w:color="auto" w:sz="2" w:space="0"/>
                    <w:right w:val="single" w:color="auto" w:sz="2" w:space="0"/>
                  </w:tcBorders>
                  <w:noWrap w:val="0"/>
                  <w:vAlign w:val="center"/>
                </w:tcPr>
                <w:p w14:paraId="0D0A31F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w:t>
                  </w:r>
                </w:p>
              </w:tc>
              <w:tc>
                <w:tcPr>
                  <w:tcW w:w="566" w:type="pct"/>
                  <w:vMerge w:val="restart"/>
                  <w:tcBorders>
                    <w:top w:val="single" w:color="auto" w:sz="2" w:space="0"/>
                    <w:left w:val="single" w:color="auto" w:sz="2" w:space="0"/>
                    <w:bottom w:val="single" w:color="auto" w:sz="2" w:space="0"/>
                    <w:right w:val="single" w:color="auto" w:sz="2" w:space="0"/>
                  </w:tcBorders>
                  <w:noWrap w:val="0"/>
                  <w:vAlign w:val="center"/>
                </w:tcPr>
                <w:p w14:paraId="77C48B1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钻井设备</w:t>
                  </w:r>
                </w:p>
              </w:tc>
              <w:tc>
                <w:tcPr>
                  <w:tcW w:w="974" w:type="pct"/>
                  <w:tcBorders>
                    <w:top w:val="single" w:color="auto" w:sz="2" w:space="0"/>
                    <w:left w:val="single" w:color="auto" w:sz="2" w:space="0"/>
                    <w:bottom w:val="single" w:color="auto" w:sz="2" w:space="0"/>
                    <w:right w:val="single" w:color="auto" w:sz="2" w:space="0"/>
                  </w:tcBorders>
                  <w:noWrap w:val="0"/>
                  <w:vAlign w:val="center"/>
                </w:tcPr>
                <w:p w14:paraId="1076FAC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钻机</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3AD02F6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ZJ50</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4D3BDBA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荷载315t</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7AE45BF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台</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791996D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08BE1D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3" w:type="pct"/>
                  <w:vMerge w:val="continue"/>
                  <w:tcBorders>
                    <w:top w:val="single" w:color="auto" w:sz="2" w:space="0"/>
                    <w:left w:val="single" w:color="auto" w:sz="2" w:space="0"/>
                    <w:bottom w:val="single" w:color="auto" w:sz="2" w:space="0"/>
                    <w:right w:val="single" w:color="auto" w:sz="2" w:space="0"/>
                  </w:tcBorders>
                  <w:noWrap w:val="0"/>
                  <w:vAlign w:val="center"/>
                </w:tcPr>
                <w:p w14:paraId="7E9EF638">
                  <w:pPr>
                    <w:jc w:val="center"/>
                    <w:rPr>
                      <w:rFonts w:hint="default" w:ascii="Times New Roman" w:hAnsi="Times New Roman" w:cs="Times New Roman"/>
                      <w:color w:val="auto"/>
                      <w:sz w:val="20"/>
                      <w:szCs w:val="20"/>
                      <w:highlight w:val="none"/>
                    </w:rPr>
                  </w:pPr>
                </w:p>
              </w:tc>
              <w:tc>
                <w:tcPr>
                  <w:tcW w:w="566" w:type="pct"/>
                  <w:vMerge w:val="continue"/>
                  <w:tcBorders>
                    <w:top w:val="single" w:color="auto" w:sz="2" w:space="0"/>
                    <w:left w:val="single" w:color="auto" w:sz="2" w:space="0"/>
                    <w:bottom w:val="single" w:color="auto" w:sz="2" w:space="0"/>
                    <w:right w:val="single" w:color="auto" w:sz="2" w:space="0"/>
                  </w:tcBorders>
                  <w:noWrap w:val="0"/>
                  <w:vAlign w:val="center"/>
                </w:tcPr>
                <w:p w14:paraId="1FBC8E87">
                  <w:pPr>
                    <w:jc w:val="center"/>
                    <w:rPr>
                      <w:rFonts w:hint="default" w:ascii="Times New Roman" w:hAnsi="Times New Roman" w:cs="Times New Roman"/>
                      <w:color w:val="auto"/>
                      <w:sz w:val="20"/>
                      <w:szCs w:val="20"/>
                      <w:highlight w:val="none"/>
                    </w:rPr>
                  </w:pPr>
                </w:p>
              </w:tc>
              <w:tc>
                <w:tcPr>
                  <w:tcW w:w="974" w:type="pct"/>
                  <w:tcBorders>
                    <w:top w:val="single" w:color="auto" w:sz="2" w:space="0"/>
                    <w:left w:val="single" w:color="auto" w:sz="2" w:space="0"/>
                    <w:bottom w:val="single" w:color="auto" w:sz="2" w:space="0"/>
                    <w:right w:val="single" w:color="auto" w:sz="2" w:space="0"/>
                  </w:tcBorders>
                  <w:noWrap w:val="0"/>
                  <w:vAlign w:val="center"/>
                </w:tcPr>
                <w:p w14:paraId="05102B1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井架</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618E350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JJ315/45-K</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2CFFAFA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6845CD8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套</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6E8D6A5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21C6C0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3" w:type="pct"/>
                  <w:vMerge w:val="continue"/>
                  <w:tcBorders>
                    <w:top w:val="single" w:color="auto" w:sz="2" w:space="0"/>
                    <w:left w:val="single" w:color="auto" w:sz="2" w:space="0"/>
                    <w:bottom w:val="single" w:color="auto" w:sz="2" w:space="0"/>
                    <w:right w:val="single" w:color="auto" w:sz="2" w:space="0"/>
                  </w:tcBorders>
                  <w:noWrap w:val="0"/>
                  <w:vAlign w:val="center"/>
                </w:tcPr>
                <w:p w14:paraId="2E98AFBD">
                  <w:pPr>
                    <w:jc w:val="center"/>
                    <w:rPr>
                      <w:rFonts w:hint="default" w:ascii="Times New Roman" w:hAnsi="Times New Roman" w:cs="Times New Roman"/>
                      <w:color w:val="auto"/>
                      <w:sz w:val="20"/>
                      <w:szCs w:val="20"/>
                      <w:highlight w:val="none"/>
                    </w:rPr>
                  </w:pPr>
                </w:p>
              </w:tc>
              <w:tc>
                <w:tcPr>
                  <w:tcW w:w="566" w:type="pct"/>
                  <w:vMerge w:val="continue"/>
                  <w:tcBorders>
                    <w:top w:val="single" w:color="auto" w:sz="2" w:space="0"/>
                    <w:left w:val="single" w:color="auto" w:sz="2" w:space="0"/>
                    <w:bottom w:val="single" w:color="auto" w:sz="2" w:space="0"/>
                    <w:right w:val="single" w:color="auto" w:sz="2" w:space="0"/>
                  </w:tcBorders>
                  <w:noWrap w:val="0"/>
                  <w:vAlign w:val="center"/>
                </w:tcPr>
                <w:p w14:paraId="20E79141">
                  <w:pPr>
                    <w:jc w:val="center"/>
                    <w:rPr>
                      <w:rFonts w:hint="default" w:ascii="Times New Roman" w:hAnsi="Times New Roman" w:cs="Times New Roman"/>
                      <w:color w:val="auto"/>
                      <w:sz w:val="20"/>
                      <w:szCs w:val="20"/>
                      <w:highlight w:val="none"/>
                    </w:rPr>
                  </w:pPr>
                </w:p>
              </w:tc>
              <w:tc>
                <w:tcPr>
                  <w:tcW w:w="974" w:type="pct"/>
                  <w:tcBorders>
                    <w:top w:val="single" w:color="auto" w:sz="2" w:space="0"/>
                    <w:left w:val="single" w:color="auto" w:sz="2" w:space="0"/>
                    <w:bottom w:val="single" w:color="auto" w:sz="2" w:space="0"/>
                    <w:right w:val="single" w:color="auto" w:sz="2" w:space="0"/>
                  </w:tcBorders>
                  <w:noWrap w:val="0"/>
                  <w:vAlign w:val="center"/>
                </w:tcPr>
                <w:p w14:paraId="58B55A0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底座</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405511A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DZ450/9-S</w:t>
                  </w:r>
                  <w:r>
                    <w:rPr>
                      <w:rFonts w:hint="default" w:ascii="Times New Roman" w:hAnsi="Times New Roman" w:eastAsia="宋体" w:cs="Times New Roman"/>
                      <w:color w:val="auto"/>
                      <w:kern w:val="0"/>
                      <w:sz w:val="21"/>
                      <w:szCs w:val="21"/>
                      <w:highlight w:val="none"/>
                      <w:lang w:val="en-US" w:eastAsia="zh-CN" w:bidi="ar"/>
                    </w:rPr>
                    <w:t>底座</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78B0AFE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08DEDD3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套</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5EBCCD9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4E72E7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3" w:type="pct"/>
                  <w:vMerge w:val="continue"/>
                  <w:tcBorders>
                    <w:top w:val="single" w:color="auto" w:sz="2" w:space="0"/>
                    <w:left w:val="single" w:color="auto" w:sz="2" w:space="0"/>
                    <w:bottom w:val="single" w:color="auto" w:sz="2" w:space="0"/>
                    <w:right w:val="single" w:color="auto" w:sz="2" w:space="0"/>
                  </w:tcBorders>
                  <w:noWrap w:val="0"/>
                  <w:vAlign w:val="center"/>
                </w:tcPr>
                <w:p w14:paraId="5B59DE4E">
                  <w:pPr>
                    <w:jc w:val="center"/>
                    <w:rPr>
                      <w:rFonts w:hint="default" w:ascii="Times New Roman" w:hAnsi="Times New Roman" w:cs="Times New Roman"/>
                      <w:color w:val="auto"/>
                      <w:sz w:val="20"/>
                      <w:szCs w:val="20"/>
                      <w:highlight w:val="none"/>
                    </w:rPr>
                  </w:pPr>
                </w:p>
              </w:tc>
              <w:tc>
                <w:tcPr>
                  <w:tcW w:w="566" w:type="pct"/>
                  <w:vMerge w:val="continue"/>
                  <w:tcBorders>
                    <w:top w:val="single" w:color="auto" w:sz="2" w:space="0"/>
                    <w:left w:val="single" w:color="auto" w:sz="2" w:space="0"/>
                    <w:bottom w:val="single" w:color="auto" w:sz="2" w:space="0"/>
                    <w:right w:val="single" w:color="auto" w:sz="2" w:space="0"/>
                  </w:tcBorders>
                  <w:noWrap w:val="0"/>
                  <w:vAlign w:val="center"/>
                </w:tcPr>
                <w:p w14:paraId="6B69092C">
                  <w:pPr>
                    <w:jc w:val="center"/>
                    <w:rPr>
                      <w:rFonts w:hint="default" w:ascii="Times New Roman" w:hAnsi="Times New Roman" w:cs="Times New Roman"/>
                      <w:color w:val="auto"/>
                      <w:sz w:val="20"/>
                      <w:szCs w:val="20"/>
                      <w:highlight w:val="none"/>
                    </w:rPr>
                  </w:pPr>
                </w:p>
              </w:tc>
              <w:tc>
                <w:tcPr>
                  <w:tcW w:w="974" w:type="pct"/>
                  <w:tcBorders>
                    <w:top w:val="single" w:color="auto" w:sz="2" w:space="0"/>
                    <w:left w:val="single" w:color="auto" w:sz="2" w:space="0"/>
                    <w:bottom w:val="single" w:color="auto" w:sz="2" w:space="0"/>
                    <w:right w:val="single" w:color="auto" w:sz="2" w:space="0"/>
                  </w:tcBorders>
                  <w:noWrap w:val="0"/>
                  <w:vAlign w:val="center"/>
                </w:tcPr>
                <w:p w14:paraId="0592730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天车</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4494D99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TC-315</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0C6C49E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252CDA7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套</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476B707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0AC40B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3" w:type="pct"/>
                  <w:vMerge w:val="continue"/>
                  <w:tcBorders>
                    <w:top w:val="single" w:color="auto" w:sz="2" w:space="0"/>
                    <w:left w:val="single" w:color="auto" w:sz="2" w:space="0"/>
                    <w:bottom w:val="single" w:color="auto" w:sz="2" w:space="0"/>
                    <w:right w:val="single" w:color="auto" w:sz="2" w:space="0"/>
                  </w:tcBorders>
                  <w:noWrap w:val="0"/>
                  <w:vAlign w:val="center"/>
                </w:tcPr>
                <w:p w14:paraId="23149E39">
                  <w:pPr>
                    <w:jc w:val="center"/>
                    <w:rPr>
                      <w:rFonts w:hint="default" w:ascii="Times New Roman" w:hAnsi="Times New Roman" w:cs="Times New Roman"/>
                      <w:color w:val="auto"/>
                      <w:sz w:val="20"/>
                      <w:szCs w:val="20"/>
                      <w:highlight w:val="none"/>
                    </w:rPr>
                  </w:pPr>
                </w:p>
              </w:tc>
              <w:tc>
                <w:tcPr>
                  <w:tcW w:w="566" w:type="pct"/>
                  <w:vMerge w:val="continue"/>
                  <w:tcBorders>
                    <w:top w:val="single" w:color="auto" w:sz="2" w:space="0"/>
                    <w:left w:val="single" w:color="auto" w:sz="2" w:space="0"/>
                    <w:bottom w:val="single" w:color="auto" w:sz="2" w:space="0"/>
                    <w:right w:val="single" w:color="auto" w:sz="2" w:space="0"/>
                  </w:tcBorders>
                  <w:noWrap w:val="0"/>
                  <w:vAlign w:val="center"/>
                </w:tcPr>
                <w:p w14:paraId="15713786">
                  <w:pPr>
                    <w:jc w:val="center"/>
                    <w:rPr>
                      <w:rFonts w:hint="default" w:ascii="Times New Roman" w:hAnsi="Times New Roman" w:cs="Times New Roman"/>
                      <w:color w:val="auto"/>
                      <w:sz w:val="20"/>
                      <w:szCs w:val="20"/>
                      <w:highlight w:val="none"/>
                    </w:rPr>
                  </w:pPr>
                </w:p>
              </w:tc>
              <w:tc>
                <w:tcPr>
                  <w:tcW w:w="974" w:type="pct"/>
                  <w:tcBorders>
                    <w:top w:val="single" w:color="auto" w:sz="2" w:space="0"/>
                    <w:left w:val="single" w:color="auto" w:sz="2" w:space="0"/>
                    <w:bottom w:val="single" w:color="auto" w:sz="2" w:space="0"/>
                    <w:right w:val="single" w:color="auto" w:sz="2" w:space="0"/>
                  </w:tcBorders>
                  <w:noWrap w:val="0"/>
                  <w:vAlign w:val="center"/>
                </w:tcPr>
                <w:p w14:paraId="4897705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绞车</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5A6EF87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JC50DB</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4443DBF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0E69123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台</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11B692D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53DAF4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3" w:type="pct"/>
                  <w:vMerge w:val="continue"/>
                  <w:tcBorders>
                    <w:top w:val="single" w:color="auto" w:sz="2" w:space="0"/>
                    <w:left w:val="single" w:color="auto" w:sz="2" w:space="0"/>
                    <w:bottom w:val="single" w:color="auto" w:sz="2" w:space="0"/>
                    <w:right w:val="single" w:color="auto" w:sz="2" w:space="0"/>
                  </w:tcBorders>
                  <w:noWrap w:val="0"/>
                  <w:vAlign w:val="center"/>
                </w:tcPr>
                <w:p w14:paraId="1A23DA0A">
                  <w:pPr>
                    <w:jc w:val="center"/>
                    <w:rPr>
                      <w:rFonts w:hint="default" w:ascii="Times New Roman" w:hAnsi="Times New Roman" w:cs="Times New Roman"/>
                      <w:color w:val="auto"/>
                      <w:sz w:val="20"/>
                      <w:szCs w:val="20"/>
                      <w:highlight w:val="none"/>
                    </w:rPr>
                  </w:pPr>
                </w:p>
              </w:tc>
              <w:tc>
                <w:tcPr>
                  <w:tcW w:w="566" w:type="pct"/>
                  <w:vMerge w:val="continue"/>
                  <w:tcBorders>
                    <w:top w:val="single" w:color="auto" w:sz="2" w:space="0"/>
                    <w:left w:val="single" w:color="auto" w:sz="2" w:space="0"/>
                    <w:bottom w:val="single" w:color="auto" w:sz="2" w:space="0"/>
                    <w:right w:val="single" w:color="auto" w:sz="2" w:space="0"/>
                  </w:tcBorders>
                  <w:noWrap w:val="0"/>
                  <w:vAlign w:val="center"/>
                </w:tcPr>
                <w:p w14:paraId="765D657B">
                  <w:pPr>
                    <w:jc w:val="center"/>
                    <w:rPr>
                      <w:rFonts w:hint="default" w:ascii="Times New Roman" w:hAnsi="Times New Roman" w:cs="Times New Roman"/>
                      <w:color w:val="auto"/>
                      <w:sz w:val="20"/>
                      <w:szCs w:val="20"/>
                      <w:highlight w:val="none"/>
                    </w:rPr>
                  </w:pPr>
                </w:p>
              </w:tc>
              <w:tc>
                <w:tcPr>
                  <w:tcW w:w="974" w:type="pct"/>
                  <w:tcBorders>
                    <w:top w:val="single" w:color="auto" w:sz="2" w:space="0"/>
                    <w:left w:val="single" w:color="auto" w:sz="2" w:space="0"/>
                    <w:bottom w:val="single" w:color="auto" w:sz="2" w:space="0"/>
                    <w:right w:val="single" w:color="auto" w:sz="2" w:space="0"/>
                  </w:tcBorders>
                  <w:noWrap w:val="0"/>
                  <w:vAlign w:val="center"/>
                </w:tcPr>
                <w:p w14:paraId="1E439D7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游动滑车</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3910CF0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YC-315</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4ACB79E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6A25D0B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台</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2E4EEFC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0D643D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3" w:type="pct"/>
                  <w:vMerge w:val="continue"/>
                  <w:tcBorders>
                    <w:top w:val="single" w:color="auto" w:sz="2" w:space="0"/>
                    <w:left w:val="single" w:color="auto" w:sz="2" w:space="0"/>
                    <w:bottom w:val="single" w:color="auto" w:sz="2" w:space="0"/>
                    <w:right w:val="single" w:color="auto" w:sz="2" w:space="0"/>
                  </w:tcBorders>
                  <w:noWrap w:val="0"/>
                  <w:vAlign w:val="center"/>
                </w:tcPr>
                <w:p w14:paraId="0E8721FA">
                  <w:pPr>
                    <w:jc w:val="center"/>
                    <w:rPr>
                      <w:rFonts w:hint="default" w:ascii="Times New Roman" w:hAnsi="Times New Roman" w:cs="Times New Roman"/>
                      <w:color w:val="auto"/>
                      <w:sz w:val="20"/>
                      <w:szCs w:val="20"/>
                      <w:highlight w:val="none"/>
                    </w:rPr>
                  </w:pPr>
                </w:p>
              </w:tc>
              <w:tc>
                <w:tcPr>
                  <w:tcW w:w="566" w:type="pct"/>
                  <w:vMerge w:val="continue"/>
                  <w:tcBorders>
                    <w:top w:val="single" w:color="auto" w:sz="2" w:space="0"/>
                    <w:left w:val="single" w:color="auto" w:sz="2" w:space="0"/>
                    <w:bottom w:val="single" w:color="auto" w:sz="2" w:space="0"/>
                    <w:right w:val="single" w:color="auto" w:sz="2" w:space="0"/>
                  </w:tcBorders>
                  <w:noWrap w:val="0"/>
                  <w:vAlign w:val="center"/>
                </w:tcPr>
                <w:p w14:paraId="5585ED39">
                  <w:pPr>
                    <w:jc w:val="center"/>
                    <w:rPr>
                      <w:rFonts w:hint="default" w:ascii="Times New Roman" w:hAnsi="Times New Roman" w:cs="Times New Roman"/>
                      <w:color w:val="auto"/>
                      <w:sz w:val="20"/>
                      <w:szCs w:val="20"/>
                      <w:highlight w:val="none"/>
                    </w:rPr>
                  </w:pPr>
                </w:p>
              </w:tc>
              <w:tc>
                <w:tcPr>
                  <w:tcW w:w="974" w:type="pct"/>
                  <w:tcBorders>
                    <w:top w:val="single" w:color="auto" w:sz="2" w:space="0"/>
                    <w:left w:val="single" w:color="auto" w:sz="2" w:space="0"/>
                    <w:bottom w:val="single" w:color="auto" w:sz="2" w:space="0"/>
                    <w:right w:val="single" w:color="auto" w:sz="2" w:space="0"/>
                  </w:tcBorders>
                  <w:noWrap w:val="0"/>
                  <w:vAlign w:val="center"/>
                </w:tcPr>
                <w:p w14:paraId="072EE80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大钩</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0970001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DG-315</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2E0C2AE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691F90F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台</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77A1405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1C6FB5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3" w:type="pct"/>
                  <w:vMerge w:val="continue"/>
                  <w:tcBorders>
                    <w:top w:val="single" w:color="auto" w:sz="2" w:space="0"/>
                    <w:left w:val="single" w:color="auto" w:sz="2" w:space="0"/>
                    <w:bottom w:val="single" w:color="auto" w:sz="2" w:space="0"/>
                    <w:right w:val="single" w:color="auto" w:sz="2" w:space="0"/>
                  </w:tcBorders>
                  <w:noWrap w:val="0"/>
                  <w:vAlign w:val="center"/>
                </w:tcPr>
                <w:p w14:paraId="52D3EE39">
                  <w:pPr>
                    <w:jc w:val="center"/>
                    <w:rPr>
                      <w:rFonts w:hint="default" w:ascii="Times New Roman" w:hAnsi="Times New Roman" w:cs="Times New Roman"/>
                      <w:color w:val="auto"/>
                      <w:sz w:val="20"/>
                      <w:szCs w:val="20"/>
                      <w:highlight w:val="none"/>
                    </w:rPr>
                  </w:pPr>
                </w:p>
              </w:tc>
              <w:tc>
                <w:tcPr>
                  <w:tcW w:w="566" w:type="pct"/>
                  <w:vMerge w:val="continue"/>
                  <w:tcBorders>
                    <w:top w:val="single" w:color="auto" w:sz="2" w:space="0"/>
                    <w:left w:val="single" w:color="auto" w:sz="2" w:space="0"/>
                    <w:bottom w:val="single" w:color="auto" w:sz="2" w:space="0"/>
                    <w:right w:val="single" w:color="auto" w:sz="2" w:space="0"/>
                  </w:tcBorders>
                  <w:noWrap w:val="0"/>
                  <w:vAlign w:val="center"/>
                </w:tcPr>
                <w:p w14:paraId="47A48A7B">
                  <w:pPr>
                    <w:jc w:val="center"/>
                    <w:rPr>
                      <w:rFonts w:hint="default" w:ascii="Times New Roman" w:hAnsi="Times New Roman" w:cs="Times New Roman"/>
                      <w:color w:val="auto"/>
                      <w:sz w:val="20"/>
                      <w:szCs w:val="20"/>
                      <w:highlight w:val="none"/>
                    </w:rPr>
                  </w:pPr>
                </w:p>
              </w:tc>
              <w:tc>
                <w:tcPr>
                  <w:tcW w:w="974" w:type="pct"/>
                  <w:tcBorders>
                    <w:top w:val="single" w:color="auto" w:sz="2" w:space="0"/>
                    <w:left w:val="single" w:color="auto" w:sz="2" w:space="0"/>
                    <w:bottom w:val="single" w:color="auto" w:sz="2" w:space="0"/>
                    <w:right w:val="single" w:color="auto" w:sz="2" w:space="0"/>
                  </w:tcBorders>
                  <w:noWrap w:val="0"/>
                  <w:vAlign w:val="center"/>
                </w:tcPr>
                <w:p w14:paraId="492006D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转盘</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2474A77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ZP-275</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5CA1903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0800695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台</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3AB8048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629CB5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33" w:hRule="atLeast"/>
                <w:jc w:val="center"/>
              </w:trPr>
              <w:tc>
                <w:tcPr>
                  <w:tcW w:w="243" w:type="pct"/>
                  <w:vMerge w:val="continue"/>
                  <w:tcBorders>
                    <w:top w:val="single" w:color="auto" w:sz="2" w:space="0"/>
                    <w:left w:val="single" w:color="auto" w:sz="2" w:space="0"/>
                    <w:bottom w:val="single" w:color="auto" w:sz="2" w:space="0"/>
                    <w:right w:val="single" w:color="auto" w:sz="2" w:space="0"/>
                  </w:tcBorders>
                  <w:noWrap w:val="0"/>
                  <w:vAlign w:val="center"/>
                </w:tcPr>
                <w:p w14:paraId="7995BE03">
                  <w:pPr>
                    <w:jc w:val="center"/>
                    <w:rPr>
                      <w:rFonts w:hint="default" w:ascii="Times New Roman" w:hAnsi="Times New Roman" w:cs="Times New Roman"/>
                      <w:color w:val="auto"/>
                      <w:sz w:val="20"/>
                      <w:szCs w:val="20"/>
                      <w:highlight w:val="none"/>
                    </w:rPr>
                  </w:pPr>
                </w:p>
              </w:tc>
              <w:tc>
                <w:tcPr>
                  <w:tcW w:w="566" w:type="pct"/>
                  <w:vMerge w:val="continue"/>
                  <w:tcBorders>
                    <w:top w:val="single" w:color="auto" w:sz="2" w:space="0"/>
                    <w:left w:val="single" w:color="auto" w:sz="2" w:space="0"/>
                    <w:bottom w:val="single" w:color="auto" w:sz="2" w:space="0"/>
                    <w:right w:val="single" w:color="auto" w:sz="2" w:space="0"/>
                  </w:tcBorders>
                  <w:noWrap w:val="0"/>
                  <w:vAlign w:val="center"/>
                </w:tcPr>
                <w:p w14:paraId="13D4F102">
                  <w:pPr>
                    <w:jc w:val="center"/>
                    <w:rPr>
                      <w:rFonts w:hint="default" w:ascii="Times New Roman" w:hAnsi="Times New Roman" w:cs="Times New Roman"/>
                      <w:color w:val="auto"/>
                      <w:sz w:val="20"/>
                      <w:szCs w:val="20"/>
                      <w:highlight w:val="none"/>
                    </w:rPr>
                  </w:pPr>
                </w:p>
              </w:tc>
              <w:tc>
                <w:tcPr>
                  <w:tcW w:w="974" w:type="pct"/>
                  <w:tcBorders>
                    <w:top w:val="single" w:color="auto" w:sz="2" w:space="0"/>
                    <w:left w:val="single" w:color="auto" w:sz="2" w:space="0"/>
                    <w:right w:val="single" w:color="auto" w:sz="2" w:space="0"/>
                  </w:tcBorders>
                  <w:noWrap w:val="0"/>
                  <w:vAlign w:val="center"/>
                </w:tcPr>
                <w:p w14:paraId="242026E2">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钻井泵</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76092484">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w:t>
                  </w:r>
                </w:p>
              </w:tc>
              <w:tc>
                <w:tcPr>
                  <w:tcW w:w="553" w:type="pct"/>
                  <w:tcBorders>
                    <w:top w:val="single" w:color="auto" w:sz="2" w:space="0"/>
                    <w:left w:val="single" w:color="auto" w:sz="2" w:space="0"/>
                    <w:right w:val="single" w:color="auto" w:sz="2" w:space="0"/>
                  </w:tcBorders>
                  <w:noWrap w:val="0"/>
                  <w:vAlign w:val="center"/>
                </w:tcPr>
                <w:p w14:paraId="50345952">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517" w:type="pct"/>
                  <w:tcBorders>
                    <w:top w:val="single" w:color="auto" w:sz="2" w:space="0"/>
                    <w:left w:val="single" w:color="auto" w:sz="2" w:space="0"/>
                    <w:right w:val="single" w:color="auto" w:sz="2" w:space="0"/>
                  </w:tcBorders>
                  <w:noWrap w:val="0"/>
                  <w:vAlign w:val="center"/>
                </w:tcPr>
                <w:p w14:paraId="23A3110B">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台</w:t>
                  </w:r>
                </w:p>
              </w:tc>
              <w:tc>
                <w:tcPr>
                  <w:tcW w:w="817" w:type="pct"/>
                  <w:tcBorders>
                    <w:top w:val="single" w:color="auto" w:sz="2" w:space="0"/>
                    <w:left w:val="single" w:color="auto" w:sz="2" w:space="0"/>
                    <w:right w:val="single" w:color="auto" w:sz="2" w:space="0"/>
                  </w:tcBorders>
                  <w:noWrap w:val="0"/>
                  <w:vAlign w:val="center"/>
                </w:tcPr>
                <w:p w14:paraId="337573D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62C742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33" w:hRule="atLeast"/>
                <w:jc w:val="center"/>
              </w:trPr>
              <w:tc>
                <w:tcPr>
                  <w:tcW w:w="243" w:type="pct"/>
                  <w:vMerge w:val="continue"/>
                  <w:tcBorders>
                    <w:left w:val="single" w:color="auto" w:sz="2" w:space="0"/>
                    <w:bottom w:val="single" w:color="auto" w:sz="2" w:space="0"/>
                    <w:right w:val="single" w:color="auto" w:sz="2" w:space="0"/>
                  </w:tcBorders>
                  <w:noWrap w:val="0"/>
                  <w:vAlign w:val="center"/>
                </w:tcPr>
                <w:p w14:paraId="2AF7CC19">
                  <w:pPr>
                    <w:keepNext w:val="0"/>
                    <w:keepLines w:val="0"/>
                    <w:widowControl w:val="0"/>
                    <w:suppressLineNumbers w:val="0"/>
                    <w:adjustRightInd w:val="0"/>
                    <w:snapToGrid w:val="0"/>
                    <w:spacing w:before="0" w:beforeAutospacing="0" w:after="0" w:afterAutospacing="0"/>
                    <w:ind w:left="0" w:leftChars="0" w:right="0" w:rightChars="0"/>
                    <w:jc w:val="center"/>
                    <w:rPr>
                      <w:color w:val="auto"/>
                      <w:highlight w:val="none"/>
                    </w:rPr>
                  </w:pPr>
                </w:p>
              </w:tc>
              <w:tc>
                <w:tcPr>
                  <w:tcW w:w="566" w:type="pct"/>
                  <w:vMerge w:val="continue"/>
                  <w:tcBorders>
                    <w:left w:val="single" w:color="auto" w:sz="2" w:space="0"/>
                    <w:bottom w:val="single" w:color="auto" w:sz="2" w:space="0"/>
                    <w:right w:val="single" w:color="auto" w:sz="2" w:space="0"/>
                  </w:tcBorders>
                  <w:noWrap w:val="0"/>
                  <w:vAlign w:val="center"/>
                </w:tcPr>
                <w:p w14:paraId="7B6AAC60">
                  <w:pPr>
                    <w:keepNext w:val="0"/>
                    <w:keepLines w:val="0"/>
                    <w:widowControl w:val="0"/>
                    <w:suppressLineNumbers w:val="0"/>
                    <w:adjustRightInd w:val="0"/>
                    <w:snapToGrid w:val="0"/>
                    <w:spacing w:before="0" w:beforeAutospacing="0" w:after="0" w:afterAutospacing="0"/>
                    <w:ind w:left="0" w:leftChars="0" w:right="0" w:rightChars="0"/>
                    <w:jc w:val="center"/>
                    <w:rPr>
                      <w:color w:val="auto"/>
                      <w:highlight w:val="none"/>
                    </w:rPr>
                  </w:pPr>
                </w:p>
              </w:tc>
              <w:tc>
                <w:tcPr>
                  <w:tcW w:w="974" w:type="pct"/>
                  <w:tcBorders>
                    <w:left w:val="single" w:color="auto" w:sz="2" w:space="0"/>
                    <w:bottom w:val="single" w:color="auto" w:sz="2" w:space="0"/>
                    <w:right w:val="single" w:color="auto" w:sz="2" w:space="0"/>
                  </w:tcBorders>
                  <w:noWrap w:val="0"/>
                  <w:vAlign w:val="center"/>
                </w:tcPr>
                <w:p w14:paraId="43C2C61D">
                  <w:pPr>
                    <w:keepNext w:val="0"/>
                    <w:keepLines w:val="0"/>
                    <w:widowControl w:val="0"/>
                    <w:suppressLineNumbers w:val="0"/>
                    <w:adjustRightInd w:val="0"/>
                    <w:snapToGrid w:val="0"/>
                    <w:spacing w:before="0" w:beforeAutospacing="0" w:after="0" w:afterAutospacing="0"/>
                    <w:ind w:left="0" w:leftChars="0" w:right="0" w:rightChars="0"/>
                    <w:jc w:val="center"/>
                    <w:rPr>
                      <w:color w:val="auto"/>
                      <w:highlight w:val="none"/>
                    </w:rPr>
                  </w:pPr>
                  <w:r>
                    <w:rPr>
                      <w:rFonts w:hint="default" w:ascii="Times New Roman" w:hAnsi="Times New Roman" w:eastAsia="宋体" w:cs="Times New Roman"/>
                      <w:color w:val="auto"/>
                      <w:kern w:val="0"/>
                      <w:sz w:val="21"/>
                      <w:szCs w:val="21"/>
                      <w:highlight w:val="none"/>
                      <w:lang w:val="en-US" w:eastAsia="zh-CN" w:bidi="ar"/>
                    </w:rPr>
                    <w:t>加重泵</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35A40333">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Calibri"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p>
              </w:tc>
              <w:tc>
                <w:tcPr>
                  <w:tcW w:w="553" w:type="pct"/>
                  <w:tcBorders>
                    <w:left w:val="single" w:color="auto" w:sz="2" w:space="0"/>
                    <w:bottom w:val="single" w:color="auto" w:sz="2" w:space="0"/>
                    <w:right w:val="single" w:color="auto" w:sz="2" w:space="0"/>
                  </w:tcBorders>
                  <w:noWrap w:val="0"/>
                  <w:vAlign w:val="center"/>
                </w:tcPr>
                <w:p w14:paraId="2423A068">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Calibri"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p>
              </w:tc>
              <w:tc>
                <w:tcPr>
                  <w:tcW w:w="517" w:type="pct"/>
                  <w:tcBorders>
                    <w:left w:val="single" w:color="auto" w:sz="2" w:space="0"/>
                    <w:bottom w:val="single" w:color="auto" w:sz="2" w:space="0"/>
                    <w:right w:val="single" w:color="auto" w:sz="2" w:space="0"/>
                  </w:tcBorders>
                  <w:noWrap w:val="0"/>
                  <w:vAlign w:val="center"/>
                </w:tcPr>
                <w:p w14:paraId="241C8D68">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Calibri" w:cs="Times New Roman"/>
                      <w:color w:val="auto"/>
                      <w:kern w:val="0"/>
                      <w:sz w:val="21"/>
                      <w:szCs w:val="21"/>
                      <w:highlight w:val="none"/>
                      <w:lang w:val="en-US" w:eastAsia="zh-CN" w:bidi="ar"/>
                    </w:rPr>
                  </w:pPr>
                  <w:r>
                    <w:rPr>
                      <w:rFonts w:hint="eastAsia" w:ascii="Times New Roman" w:hAnsi="Times New Roman" w:eastAsia="Calibri"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台</w:t>
                  </w:r>
                </w:p>
              </w:tc>
              <w:tc>
                <w:tcPr>
                  <w:tcW w:w="817" w:type="pct"/>
                  <w:tcBorders>
                    <w:left w:val="single" w:color="auto" w:sz="2" w:space="0"/>
                    <w:bottom w:val="single" w:color="auto" w:sz="2" w:space="0"/>
                    <w:right w:val="single" w:color="auto" w:sz="2" w:space="0"/>
                  </w:tcBorders>
                  <w:noWrap w:val="0"/>
                  <w:vAlign w:val="center"/>
                </w:tcPr>
                <w:p w14:paraId="5CD4219D">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Calibri" w:cs="Times New Roman"/>
                      <w:color w:val="auto"/>
                      <w:kern w:val="0"/>
                      <w:sz w:val="21"/>
                      <w:szCs w:val="21"/>
                      <w:highlight w:val="none"/>
                      <w:lang w:val="en-US" w:eastAsia="zh-CN" w:bidi="ar"/>
                    </w:rPr>
                  </w:pPr>
                  <w:r>
                    <w:rPr>
                      <w:rFonts w:hint="eastAsia" w:ascii="Times New Roman" w:hAnsi="Times New Roman" w:eastAsia="Calibri" w:cs="Times New Roman"/>
                      <w:color w:val="auto"/>
                      <w:kern w:val="0"/>
                      <w:sz w:val="21"/>
                      <w:szCs w:val="21"/>
                      <w:highlight w:val="none"/>
                      <w:lang w:val="en-US" w:eastAsia="zh-CN" w:bidi="ar"/>
                    </w:rPr>
                    <w:t>/</w:t>
                  </w:r>
                </w:p>
              </w:tc>
            </w:tr>
            <w:tr w14:paraId="78A1EF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3" w:type="pct"/>
                  <w:vMerge w:val="restart"/>
                  <w:tcBorders>
                    <w:top w:val="single" w:color="auto" w:sz="2" w:space="0"/>
                    <w:left w:val="single" w:color="auto" w:sz="2" w:space="0"/>
                    <w:bottom w:val="single" w:color="auto" w:sz="2" w:space="0"/>
                    <w:right w:val="single" w:color="auto" w:sz="2" w:space="0"/>
                  </w:tcBorders>
                  <w:noWrap w:val="0"/>
                  <w:vAlign w:val="center"/>
                </w:tcPr>
                <w:p w14:paraId="30A5733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w:t>
                  </w:r>
                </w:p>
              </w:tc>
              <w:tc>
                <w:tcPr>
                  <w:tcW w:w="566" w:type="pct"/>
                  <w:vMerge w:val="restart"/>
                  <w:tcBorders>
                    <w:top w:val="single" w:color="auto" w:sz="2" w:space="0"/>
                    <w:left w:val="single" w:color="auto" w:sz="2" w:space="0"/>
                    <w:bottom w:val="single" w:color="auto" w:sz="2" w:space="0"/>
                    <w:right w:val="single" w:color="auto" w:sz="2" w:space="0"/>
                  </w:tcBorders>
                  <w:noWrap w:val="0"/>
                  <w:vAlign w:val="center"/>
                </w:tcPr>
                <w:p w14:paraId="5ED7E9A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钻机控制系统</w:t>
                  </w:r>
                </w:p>
              </w:tc>
              <w:tc>
                <w:tcPr>
                  <w:tcW w:w="974" w:type="pct"/>
                  <w:tcBorders>
                    <w:top w:val="single" w:color="auto" w:sz="2" w:space="0"/>
                    <w:left w:val="single" w:color="auto" w:sz="2" w:space="0"/>
                    <w:bottom w:val="single" w:color="auto" w:sz="2" w:space="0"/>
                    <w:right w:val="single" w:color="auto" w:sz="2" w:space="0"/>
                  </w:tcBorders>
                  <w:noWrap w:val="0"/>
                  <w:vAlign w:val="center"/>
                </w:tcPr>
                <w:p w14:paraId="205A04F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自动压风机</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6ADDF6A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2V-</w:t>
                  </w:r>
                  <w:r>
                    <w:rPr>
                      <w:rFonts w:hint="default" w:ascii="Times New Roman" w:hAnsi="Times New Roman" w:eastAsia="宋体" w:cs="Times New Roman"/>
                      <w:color w:val="auto"/>
                      <w:kern w:val="0"/>
                      <w:sz w:val="21"/>
                      <w:szCs w:val="21"/>
                      <w:highlight w:val="none"/>
                      <w:lang w:val="en-US" w:eastAsia="zh-CN" w:bidi="ar"/>
                    </w:rPr>
                    <w:t>7</w:t>
                  </w:r>
                  <w:r>
                    <w:rPr>
                      <w:rFonts w:hint="default" w:ascii="Times New Roman" w:hAnsi="Times New Roman" w:eastAsia="Calibri" w:cs="Times New Roman"/>
                      <w:color w:val="auto"/>
                      <w:kern w:val="0"/>
                      <w:sz w:val="21"/>
                      <w:szCs w:val="21"/>
                      <w:highlight w:val="none"/>
                      <w:lang w:val="en-US" w:eastAsia="zh-CN" w:bidi="ar"/>
                    </w:rPr>
                    <w:t>-12</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732ACA2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3AEF7BC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个</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3150C8B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028D08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3" w:type="pct"/>
                  <w:vMerge w:val="continue"/>
                  <w:tcBorders>
                    <w:top w:val="single" w:color="auto" w:sz="2" w:space="0"/>
                    <w:left w:val="single" w:color="auto" w:sz="2" w:space="0"/>
                    <w:bottom w:val="single" w:color="auto" w:sz="2" w:space="0"/>
                    <w:right w:val="single" w:color="auto" w:sz="2" w:space="0"/>
                  </w:tcBorders>
                  <w:noWrap w:val="0"/>
                  <w:vAlign w:val="center"/>
                </w:tcPr>
                <w:p w14:paraId="5114C86E">
                  <w:pPr>
                    <w:jc w:val="center"/>
                    <w:rPr>
                      <w:rFonts w:hint="default" w:ascii="Times New Roman" w:hAnsi="Times New Roman" w:cs="Times New Roman"/>
                      <w:color w:val="auto"/>
                      <w:sz w:val="20"/>
                      <w:szCs w:val="20"/>
                      <w:highlight w:val="none"/>
                    </w:rPr>
                  </w:pPr>
                </w:p>
              </w:tc>
              <w:tc>
                <w:tcPr>
                  <w:tcW w:w="566" w:type="pct"/>
                  <w:vMerge w:val="continue"/>
                  <w:tcBorders>
                    <w:top w:val="single" w:color="auto" w:sz="2" w:space="0"/>
                    <w:left w:val="single" w:color="auto" w:sz="2" w:space="0"/>
                    <w:bottom w:val="single" w:color="auto" w:sz="2" w:space="0"/>
                    <w:right w:val="single" w:color="auto" w:sz="2" w:space="0"/>
                  </w:tcBorders>
                  <w:noWrap w:val="0"/>
                  <w:vAlign w:val="center"/>
                </w:tcPr>
                <w:p w14:paraId="28E5C294">
                  <w:pPr>
                    <w:jc w:val="center"/>
                    <w:rPr>
                      <w:rFonts w:hint="default" w:ascii="Times New Roman" w:hAnsi="Times New Roman" w:cs="Times New Roman"/>
                      <w:color w:val="auto"/>
                      <w:sz w:val="20"/>
                      <w:szCs w:val="20"/>
                      <w:highlight w:val="none"/>
                    </w:rPr>
                  </w:pPr>
                </w:p>
              </w:tc>
              <w:tc>
                <w:tcPr>
                  <w:tcW w:w="974" w:type="pct"/>
                  <w:tcBorders>
                    <w:top w:val="single" w:color="auto" w:sz="2" w:space="0"/>
                    <w:left w:val="single" w:color="auto" w:sz="2" w:space="0"/>
                    <w:bottom w:val="single" w:color="auto" w:sz="2" w:space="0"/>
                    <w:right w:val="single" w:color="auto" w:sz="2" w:space="0"/>
                  </w:tcBorders>
                  <w:noWrap w:val="0"/>
                  <w:vAlign w:val="center"/>
                </w:tcPr>
                <w:p w14:paraId="2A11E73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电动压风机</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1ECFE4C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2V-</w:t>
                  </w:r>
                  <w:r>
                    <w:rPr>
                      <w:rFonts w:hint="default" w:ascii="Times New Roman" w:hAnsi="Times New Roman" w:eastAsia="宋体" w:cs="Times New Roman"/>
                      <w:color w:val="auto"/>
                      <w:kern w:val="0"/>
                      <w:sz w:val="21"/>
                      <w:szCs w:val="21"/>
                      <w:highlight w:val="none"/>
                      <w:lang w:val="en-US" w:eastAsia="zh-CN" w:bidi="ar"/>
                    </w:rPr>
                    <w:t>7</w:t>
                  </w:r>
                  <w:r>
                    <w:rPr>
                      <w:rFonts w:hint="default" w:ascii="Times New Roman" w:hAnsi="Times New Roman" w:eastAsia="Calibri" w:cs="Times New Roman"/>
                      <w:color w:val="auto"/>
                      <w:kern w:val="0"/>
                      <w:sz w:val="21"/>
                      <w:szCs w:val="21"/>
                      <w:highlight w:val="none"/>
                      <w:lang w:val="en-US" w:eastAsia="zh-CN" w:bidi="ar"/>
                    </w:rPr>
                    <w:t>-12</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4C4469F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1E82E5D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个</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6A15F26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068FF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3" w:type="pct"/>
                  <w:vMerge w:val="continue"/>
                  <w:tcBorders>
                    <w:top w:val="single" w:color="auto" w:sz="2" w:space="0"/>
                    <w:left w:val="single" w:color="auto" w:sz="2" w:space="0"/>
                    <w:bottom w:val="single" w:color="auto" w:sz="2" w:space="0"/>
                    <w:right w:val="single" w:color="auto" w:sz="2" w:space="0"/>
                  </w:tcBorders>
                  <w:noWrap w:val="0"/>
                  <w:vAlign w:val="center"/>
                </w:tcPr>
                <w:p w14:paraId="42134EDD">
                  <w:pPr>
                    <w:jc w:val="center"/>
                    <w:rPr>
                      <w:rFonts w:hint="default" w:ascii="Times New Roman" w:hAnsi="Times New Roman" w:cs="Times New Roman"/>
                      <w:color w:val="auto"/>
                      <w:sz w:val="20"/>
                      <w:szCs w:val="20"/>
                      <w:highlight w:val="none"/>
                    </w:rPr>
                  </w:pPr>
                </w:p>
              </w:tc>
              <w:tc>
                <w:tcPr>
                  <w:tcW w:w="566" w:type="pct"/>
                  <w:vMerge w:val="continue"/>
                  <w:tcBorders>
                    <w:top w:val="single" w:color="auto" w:sz="2" w:space="0"/>
                    <w:left w:val="single" w:color="auto" w:sz="2" w:space="0"/>
                    <w:bottom w:val="single" w:color="auto" w:sz="2" w:space="0"/>
                    <w:right w:val="single" w:color="auto" w:sz="2" w:space="0"/>
                  </w:tcBorders>
                  <w:noWrap w:val="0"/>
                  <w:vAlign w:val="center"/>
                </w:tcPr>
                <w:p w14:paraId="536020B9">
                  <w:pPr>
                    <w:jc w:val="center"/>
                    <w:rPr>
                      <w:rFonts w:hint="default" w:ascii="Times New Roman" w:hAnsi="Times New Roman" w:cs="Times New Roman"/>
                      <w:color w:val="auto"/>
                      <w:sz w:val="20"/>
                      <w:szCs w:val="20"/>
                      <w:highlight w:val="none"/>
                    </w:rPr>
                  </w:pPr>
                </w:p>
              </w:tc>
              <w:tc>
                <w:tcPr>
                  <w:tcW w:w="974" w:type="pct"/>
                  <w:tcBorders>
                    <w:top w:val="single" w:color="auto" w:sz="2" w:space="0"/>
                    <w:left w:val="single" w:color="auto" w:sz="2" w:space="0"/>
                    <w:bottom w:val="single" w:color="auto" w:sz="2" w:space="0"/>
                    <w:right w:val="single" w:color="auto" w:sz="2" w:space="0"/>
                  </w:tcBorders>
                  <w:noWrap w:val="0"/>
                  <w:vAlign w:val="center"/>
                </w:tcPr>
                <w:p w14:paraId="5EB7C07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刹车系统</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12E4F70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Calibri" w:cs="Times New Roman"/>
                      <w:color w:val="auto"/>
                      <w:kern w:val="0"/>
                      <w:sz w:val="21"/>
                      <w:szCs w:val="21"/>
                      <w:highlight w:val="none"/>
                      <w:lang w:val="en-US" w:eastAsia="zh-CN" w:bidi="ar"/>
                    </w:rPr>
                    <w:t>PSZ75</w:t>
                  </w:r>
                  <w:r>
                    <w:rPr>
                      <w:rFonts w:hint="default" w:ascii="Times New Roman" w:hAnsi="Times New Roman" w:eastAsia="宋体" w:cs="Times New Roman"/>
                      <w:color w:val="auto"/>
                      <w:kern w:val="0"/>
                      <w:sz w:val="21"/>
                      <w:szCs w:val="21"/>
                      <w:highlight w:val="none"/>
                      <w:lang w:val="en-US" w:eastAsia="zh-CN" w:bidi="ar"/>
                    </w:rPr>
                    <w:t>液压盘刹车系统</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4563D05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10ABCBE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套</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7442CBF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30FF72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3" w:type="pct"/>
                  <w:vMerge w:val="continue"/>
                  <w:tcBorders>
                    <w:top w:val="single" w:color="auto" w:sz="2" w:space="0"/>
                    <w:left w:val="single" w:color="auto" w:sz="2" w:space="0"/>
                    <w:bottom w:val="single" w:color="auto" w:sz="2" w:space="0"/>
                    <w:right w:val="single" w:color="auto" w:sz="2" w:space="0"/>
                  </w:tcBorders>
                  <w:noWrap w:val="0"/>
                  <w:vAlign w:val="center"/>
                </w:tcPr>
                <w:p w14:paraId="7DB5A178">
                  <w:pPr>
                    <w:jc w:val="center"/>
                    <w:rPr>
                      <w:rFonts w:hint="default" w:ascii="Times New Roman" w:hAnsi="Times New Roman" w:cs="Times New Roman"/>
                      <w:color w:val="auto"/>
                      <w:sz w:val="20"/>
                      <w:szCs w:val="20"/>
                      <w:highlight w:val="none"/>
                    </w:rPr>
                  </w:pPr>
                </w:p>
              </w:tc>
              <w:tc>
                <w:tcPr>
                  <w:tcW w:w="566" w:type="pct"/>
                  <w:vMerge w:val="continue"/>
                  <w:tcBorders>
                    <w:top w:val="single" w:color="auto" w:sz="2" w:space="0"/>
                    <w:left w:val="single" w:color="auto" w:sz="2" w:space="0"/>
                    <w:bottom w:val="single" w:color="auto" w:sz="2" w:space="0"/>
                    <w:right w:val="single" w:color="auto" w:sz="2" w:space="0"/>
                  </w:tcBorders>
                  <w:noWrap w:val="0"/>
                  <w:vAlign w:val="center"/>
                </w:tcPr>
                <w:p w14:paraId="56ECA4E2">
                  <w:pPr>
                    <w:jc w:val="center"/>
                    <w:rPr>
                      <w:rFonts w:hint="default" w:ascii="Times New Roman" w:hAnsi="Times New Roman" w:cs="Times New Roman"/>
                      <w:color w:val="auto"/>
                      <w:sz w:val="20"/>
                      <w:szCs w:val="20"/>
                      <w:highlight w:val="none"/>
                    </w:rPr>
                  </w:pPr>
                </w:p>
              </w:tc>
              <w:tc>
                <w:tcPr>
                  <w:tcW w:w="974" w:type="pct"/>
                  <w:tcBorders>
                    <w:top w:val="single" w:color="auto" w:sz="2" w:space="0"/>
                    <w:left w:val="single" w:color="auto" w:sz="2" w:space="0"/>
                    <w:bottom w:val="single" w:color="auto" w:sz="2" w:space="0"/>
                    <w:right w:val="single" w:color="auto" w:sz="2" w:space="0"/>
                  </w:tcBorders>
                  <w:noWrap w:val="0"/>
                  <w:vAlign w:val="center"/>
                </w:tcPr>
                <w:p w14:paraId="482C0B0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辅助刹车</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0862B37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SDF50L</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7D3D1D5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3789DCD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套</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6008ADA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46C273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3" w:type="pct"/>
                  <w:vMerge w:val="restart"/>
                  <w:tcBorders>
                    <w:top w:val="single" w:color="auto" w:sz="2" w:space="0"/>
                    <w:left w:val="single" w:color="auto" w:sz="2" w:space="0"/>
                    <w:bottom w:val="single" w:color="auto" w:sz="2" w:space="0"/>
                    <w:right w:val="single" w:color="auto" w:sz="2" w:space="0"/>
                  </w:tcBorders>
                  <w:noWrap w:val="0"/>
                  <w:vAlign w:val="center"/>
                </w:tcPr>
                <w:p w14:paraId="4E13674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3</w:t>
                  </w:r>
                </w:p>
              </w:tc>
              <w:tc>
                <w:tcPr>
                  <w:tcW w:w="566" w:type="pct"/>
                  <w:vMerge w:val="restart"/>
                  <w:tcBorders>
                    <w:top w:val="single" w:color="auto" w:sz="2" w:space="0"/>
                    <w:left w:val="single" w:color="auto" w:sz="2" w:space="0"/>
                    <w:bottom w:val="single" w:color="auto" w:sz="2" w:space="0"/>
                    <w:right w:val="single" w:color="auto" w:sz="2" w:space="0"/>
                  </w:tcBorders>
                  <w:noWrap w:val="0"/>
                  <w:vAlign w:val="center"/>
                </w:tcPr>
                <w:p w14:paraId="71BC58B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井控装置</w:t>
                  </w:r>
                </w:p>
              </w:tc>
              <w:tc>
                <w:tcPr>
                  <w:tcW w:w="974" w:type="pct"/>
                  <w:tcBorders>
                    <w:top w:val="single" w:color="auto" w:sz="2" w:space="0"/>
                    <w:left w:val="single" w:color="auto" w:sz="2" w:space="0"/>
                    <w:bottom w:val="single" w:color="auto" w:sz="2" w:space="0"/>
                    <w:right w:val="single" w:color="auto" w:sz="2" w:space="0"/>
                  </w:tcBorders>
                  <w:noWrap w:val="0"/>
                  <w:vAlign w:val="center"/>
                </w:tcPr>
                <w:p w14:paraId="2C9601F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环形防喷器</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46A2276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FH28-35</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0954A05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57C4929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台</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06D6CBC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788271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3" w:type="pct"/>
                  <w:vMerge w:val="continue"/>
                  <w:tcBorders>
                    <w:top w:val="single" w:color="auto" w:sz="2" w:space="0"/>
                    <w:left w:val="single" w:color="auto" w:sz="2" w:space="0"/>
                    <w:bottom w:val="single" w:color="auto" w:sz="2" w:space="0"/>
                    <w:right w:val="single" w:color="auto" w:sz="2" w:space="0"/>
                  </w:tcBorders>
                  <w:noWrap w:val="0"/>
                  <w:vAlign w:val="center"/>
                </w:tcPr>
                <w:p w14:paraId="51992651">
                  <w:pPr>
                    <w:jc w:val="center"/>
                    <w:rPr>
                      <w:rFonts w:hint="default" w:ascii="Times New Roman" w:hAnsi="Times New Roman" w:cs="Times New Roman"/>
                      <w:color w:val="auto"/>
                      <w:sz w:val="20"/>
                      <w:szCs w:val="20"/>
                      <w:highlight w:val="none"/>
                    </w:rPr>
                  </w:pPr>
                </w:p>
              </w:tc>
              <w:tc>
                <w:tcPr>
                  <w:tcW w:w="566" w:type="pct"/>
                  <w:vMerge w:val="continue"/>
                  <w:tcBorders>
                    <w:top w:val="single" w:color="auto" w:sz="2" w:space="0"/>
                    <w:left w:val="single" w:color="auto" w:sz="2" w:space="0"/>
                    <w:bottom w:val="single" w:color="auto" w:sz="2" w:space="0"/>
                    <w:right w:val="single" w:color="auto" w:sz="2" w:space="0"/>
                  </w:tcBorders>
                  <w:noWrap w:val="0"/>
                  <w:vAlign w:val="center"/>
                </w:tcPr>
                <w:p w14:paraId="19A0E2C4">
                  <w:pPr>
                    <w:jc w:val="center"/>
                    <w:rPr>
                      <w:rFonts w:hint="default" w:ascii="Times New Roman" w:hAnsi="Times New Roman" w:cs="Times New Roman"/>
                      <w:color w:val="auto"/>
                      <w:sz w:val="20"/>
                      <w:szCs w:val="20"/>
                      <w:highlight w:val="none"/>
                    </w:rPr>
                  </w:pPr>
                </w:p>
              </w:tc>
              <w:tc>
                <w:tcPr>
                  <w:tcW w:w="974" w:type="pct"/>
                  <w:tcBorders>
                    <w:top w:val="single" w:color="auto" w:sz="2" w:space="0"/>
                    <w:left w:val="single" w:color="auto" w:sz="2" w:space="0"/>
                    <w:bottom w:val="single" w:color="auto" w:sz="2" w:space="0"/>
                    <w:right w:val="single" w:color="auto" w:sz="2" w:space="0"/>
                  </w:tcBorders>
                  <w:noWrap w:val="0"/>
                  <w:vAlign w:val="center"/>
                </w:tcPr>
                <w:p w14:paraId="5E60072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闸板防喷器</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507055E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2FZ28-35</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51F1305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377BE6F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台</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795D36A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624985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3" w:type="pct"/>
                  <w:vMerge w:val="continue"/>
                  <w:tcBorders>
                    <w:top w:val="single" w:color="auto" w:sz="2" w:space="0"/>
                    <w:left w:val="single" w:color="auto" w:sz="2" w:space="0"/>
                    <w:bottom w:val="single" w:color="auto" w:sz="2" w:space="0"/>
                    <w:right w:val="single" w:color="auto" w:sz="2" w:space="0"/>
                  </w:tcBorders>
                  <w:noWrap w:val="0"/>
                  <w:vAlign w:val="center"/>
                </w:tcPr>
                <w:p w14:paraId="1AD783AE">
                  <w:pPr>
                    <w:jc w:val="center"/>
                    <w:rPr>
                      <w:rFonts w:hint="default" w:ascii="Times New Roman" w:hAnsi="Times New Roman" w:cs="Times New Roman"/>
                      <w:color w:val="auto"/>
                      <w:sz w:val="20"/>
                      <w:szCs w:val="20"/>
                      <w:highlight w:val="none"/>
                    </w:rPr>
                  </w:pPr>
                </w:p>
              </w:tc>
              <w:tc>
                <w:tcPr>
                  <w:tcW w:w="566" w:type="pct"/>
                  <w:vMerge w:val="continue"/>
                  <w:tcBorders>
                    <w:top w:val="single" w:color="auto" w:sz="2" w:space="0"/>
                    <w:left w:val="single" w:color="auto" w:sz="2" w:space="0"/>
                    <w:bottom w:val="single" w:color="auto" w:sz="2" w:space="0"/>
                    <w:right w:val="single" w:color="auto" w:sz="2" w:space="0"/>
                  </w:tcBorders>
                  <w:noWrap w:val="0"/>
                  <w:vAlign w:val="center"/>
                </w:tcPr>
                <w:p w14:paraId="6CBBBFFB">
                  <w:pPr>
                    <w:jc w:val="center"/>
                    <w:rPr>
                      <w:rFonts w:hint="default" w:ascii="Times New Roman" w:hAnsi="Times New Roman" w:cs="Times New Roman"/>
                      <w:color w:val="auto"/>
                      <w:sz w:val="20"/>
                      <w:szCs w:val="20"/>
                      <w:highlight w:val="none"/>
                    </w:rPr>
                  </w:pPr>
                </w:p>
              </w:tc>
              <w:tc>
                <w:tcPr>
                  <w:tcW w:w="974" w:type="pct"/>
                  <w:tcBorders>
                    <w:top w:val="single" w:color="auto" w:sz="2" w:space="0"/>
                    <w:left w:val="single" w:color="auto" w:sz="2" w:space="0"/>
                    <w:bottom w:val="single" w:color="auto" w:sz="2" w:space="0"/>
                    <w:right w:val="single" w:color="auto" w:sz="2" w:space="0"/>
                  </w:tcBorders>
                  <w:noWrap w:val="0"/>
                  <w:vAlign w:val="center"/>
                </w:tcPr>
                <w:p w14:paraId="351368D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四通</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05AC093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FS28-35</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78C6848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0B3A3A0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个</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325F55E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351B78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5" w:hRule="atLeast"/>
                <w:jc w:val="center"/>
              </w:trPr>
              <w:tc>
                <w:tcPr>
                  <w:tcW w:w="243" w:type="pct"/>
                  <w:vMerge w:val="continue"/>
                  <w:tcBorders>
                    <w:top w:val="single" w:color="auto" w:sz="2" w:space="0"/>
                    <w:left w:val="single" w:color="auto" w:sz="2" w:space="0"/>
                    <w:bottom w:val="single" w:color="auto" w:sz="2" w:space="0"/>
                    <w:right w:val="single" w:color="auto" w:sz="2" w:space="0"/>
                  </w:tcBorders>
                  <w:noWrap w:val="0"/>
                  <w:vAlign w:val="center"/>
                </w:tcPr>
                <w:p w14:paraId="29790E8F">
                  <w:pPr>
                    <w:jc w:val="center"/>
                    <w:rPr>
                      <w:rFonts w:hint="default" w:ascii="Times New Roman" w:hAnsi="Times New Roman" w:cs="Times New Roman"/>
                      <w:color w:val="auto"/>
                      <w:sz w:val="20"/>
                      <w:szCs w:val="20"/>
                      <w:highlight w:val="none"/>
                    </w:rPr>
                  </w:pPr>
                </w:p>
              </w:tc>
              <w:tc>
                <w:tcPr>
                  <w:tcW w:w="566" w:type="pct"/>
                  <w:vMerge w:val="continue"/>
                  <w:tcBorders>
                    <w:top w:val="single" w:color="auto" w:sz="2" w:space="0"/>
                    <w:left w:val="single" w:color="auto" w:sz="2" w:space="0"/>
                    <w:bottom w:val="single" w:color="auto" w:sz="2" w:space="0"/>
                    <w:right w:val="single" w:color="auto" w:sz="2" w:space="0"/>
                  </w:tcBorders>
                  <w:noWrap w:val="0"/>
                  <w:vAlign w:val="center"/>
                </w:tcPr>
                <w:p w14:paraId="05084E00">
                  <w:pPr>
                    <w:jc w:val="center"/>
                    <w:rPr>
                      <w:rFonts w:hint="default" w:ascii="Times New Roman" w:hAnsi="Times New Roman" w:cs="Times New Roman"/>
                      <w:color w:val="auto"/>
                      <w:sz w:val="20"/>
                      <w:szCs w:val="20"/>
                      <w:highlight w:val="none"/>
                    </w:rPr>
                  </w:pPr>
                </w:p>
              </w:tc>
              <w:tc>
                <w:tcPr>
                  <w:tcW w:w="974" w:type="pct"/>
                  <w:tcBorders>
                    <w:top w:val="single" w:color="auto" w:sz="2" w:space="0"/>
                    <w:left w:val="single" w:color="auto" w:sz="2" w:space="0"/>
                    <w:bottom w:val="single" w:color="auto" w:sz="2" w:space="0"/>
                    <w:right w:val="single" w:color="auto" w:sz="2" w:space="0"/>
                  </w:tcBorders>
                  <w:noWrap w:val="0"/>
                  <w:vAlign w:val="center"/>
                </w:tcPr>
                <w:p w14:paraId="6DFD265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节流管汇</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311611B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JG-35</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6B98C73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4E008F1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个</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3EC7DC3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259677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3" w:type="pct"/>
                  <w:vMerge w:val="continue"/>
                  <w:tcBorders>
                    <w:top w:val="single" w:color="auto" w:sz="2" w:space="0"/>
                    <w:left w:val="single" w:color="auto" w:sz="2" w:space="0"/>
                    <w:bottom w:val="single" w:color="auto" w:sz="2" w:space="0"/>
                    <w:right w:val="single" w:color="auto" w:sz="2" w:space="0"/>
                  </w:tcBorders>
                  <w:noWrap w:val="0"/>
                  <w:vAlign w:val="center"/>
                </w:tcPr>
                <w:p w14:paraId="204893A4">
                  <w:pPr>
                    <w:jc w:val="center"/>
                    <w:rPr>
                      <w:rFonts w:hint="default" w:ascii="Times New Roman" w:hAnsi="Times New Roman" w:cs="Times New Roman"/>
                      <w:color w:val="auto"/>
                      <w:sz w:val="20"/>
                      <w:szCs w:val="20"/>
                      <w:highlight w:val="none"/>
                    </w:rPr>
                  </w:pPr>
                </w:p>
              </w:tc>
              <w:tc>
                <w:tcPr>
                  <w:tcW w:w="566" w:type="pct"/>
                  <w:vMerge w:val="continue"/>
                  <w:tcBorders>
                    <w:top w:val="single" w:color="auto" w:sz="2" w:space="0"/>
                    <w:left w:val="single" w:color="auto" w:sz="2" w:space="0"/>
                    <w:bottom w:val="single" w:color="auto" w:sz="2" w:space="0"/>
                    <w:right w:val="single" w:color="auto" w:sz="2" w:space="0"/>
                  </w:tcBorders>
                  <w:noWrap w:val="0"/>
                  <w:vAlign w:val="center"/>
                </w:tcPr>
                <w:p w14:paraId="2442FC0E">
                  <w:pPr>
                    <w:jc w:val="center"/>
                    <w:rPr>
                      <w:rFonts w:hint="default" w:ascii="Times New Roman" w:hAnsi="Times New Roman" w:cs="Times New Roman"/>
                      <w:color w:val="auto"/>
                      <w:sz w:val="20"/>
                      <w:szCs w:val="20"/>
                      <w:highlight w:val="none"/>
                    </w:rPr>
                  </w:pPr>
                </w:p>
              </w:tc>
              <w:tc>
                <w:tcPr>
                  <w:tcW w:w="974" w:type="pct"/>
                  <w:tcBorders>
                    <w:top w:val="single" w:color="auto" w:sz="2" w:space="0"/>
                    <w:left w:val="single" w:color="auto" w:sz="2" w:space="0"/>
                    <w:bottom w:val="single" w:color="auto" w:sz="2" w:space="0"/>
                    <w:right w:val="single" w:color="auto" w:sz="2" w:space="0"/>
                  </w:tcBorders>
                  <w:noWrap w:val="0"/>
                  <w:vAlign w:val="center"/>
                </w:tcPr>
                <w:p w14:paraId="77A4886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压井管汇</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35306D5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YJ-35</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6E64741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3B22E9D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个</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7284599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5A576B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3" w:type="pct"/>
                  <w:vMerge w:val="continue"/>
                  <w:tcBorders>
                    <w:top w:val="single" w:color="auto" w:sz="2" w:space="0"/>
                    <w:left w:val="single" w:color="auto" w:sz="2" w:space="0"/>
                    <w:bottom w:val="single" w:color="auto" w:sz="2" w:space="0"/>
                    <w:right w:val="single" w:color="auto" w:sz="2" w:space="0"/>
                  </w:tcBorders>
                  <w:noWrap w:val="0"/>
                  <w:vAlign w:val="center"/>
                </w:tcPr>
                <w:p w14:paraId="44501EA2">
                  <w:pPr>
                    <w:jc w:val="center"/>
                    <w:rPr>
                      <w:rFonts w:hint="default" w:ascii="Times New Roman" w:hAnsi="Times New Roman" w:cs="Times New Roman"/>
                      <w:color w:val="auto"/>
                      <w:sz w:val="20"/>
                      <w:szCs w:val="20"/>
                      <w:highlight w:val="none"/>
                    </w:rPr>
                  </w:pPr>
                </w:p>
              </w:tc>
              <w:tc>
                <w:tcPr>
                  <w:tcW w:w="566" w:type="pct"/>
                  <w:vMerge w:val="continue"/>
                  <w:tcBorders>
                    <w:top w:val="single" w:color="auto" w:sz="2" w:space="0"/>
                    <w:left w:val="single" w:color="auto" w:sz="2" w:space="0"/>
                    <w:bottom w:val="single" w:color="auto" w:sz="2" w:space="0"/>
                    <w:right w:val="single" w:color="auto" w:sz="2" w:space="0"/>
                  </w:tcBorders>
                  <w:noWrap w:val="0"/>
                  <w:vAlign w:val="center"/>
                </w:tcPr>
                <w:p w14:paraId="18CBF93D">
                  <w:pPr>
                    <w:jc w:val="center"/>
                    <w:rPr>
                      <w:rFonts w:hint="default" w:ascii="Times New Roman" w:hAnsi="Times New Roman" w:cs="Times New Roman"/>
                      <w:color w:val="auto"/>
                      <w:sz w:val="20"/>
                      <w:szCs w:val="20"/>
                      <w:highlight w:val="none"/>
                    </w:rPr>
                  </w:pPr>
                </w:p>
              </w:tc>
              <w:tc>
                <w:tcPr>
                  <w:tcW w:w="974" w:type="pct"/>
                  <w:tcBorders>
                    <w:top w:val="single" w:color="auto" w:sz="2" w:space="0"/>
                    <w:left w:val="single" w:color="auto" w:sz="2" w:space="0"/>
                    <w:bottom w:val="single" w:color="auto" w:sz="2" w:space="0"/>
                    <w:right w:val="single" w:color="auto" w:sz="2" w:space="0"/>
                  </w:tcBorders>
                  <w:noWrap w:val="0"/>
                  <w:vAlign w:val="center"/>
                </w:tcPr>
                <w:p w14:paraId="253C818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控制装置</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4624BC2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FKQ3204B</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3618EAF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3ABC811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套</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438A729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069F59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3" w:type="pct"/>
                  <w:vMerge w:val="restart"/>
                  <w:tcBorders>
                    <w:top w:val="single" w:color="auto" w:sz="2" w:space="0"/>
                    <w:left w:val="single" w:color="auto" w:sz="2" w:space="0"/>
                    <w:bottom w:val="single" w:color="auto" w:sz="2" w:space="0"/>
                    <w:right w:val="single" w:color="auto" w:sz="2" w:space="0"/>
                  </w:tcBorders>
                  <w:noWrap w:val="0"/>
                  <w:vAlign w:val="center"/>
                </w:tcPr>
                <w:p w14:paraId="09A952E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4</w:t>
                  </w:r>
                </w:p>
              </w:tc>
              <w:tc>
                <w:tcPr>
                  <w:tcW w:w="566" w:type="pct"/>
                  <w:vMerge w:val="restart"/>
                  <w:tcBorders>
                    <w:top w:val="single" w:color="auto" w:sz="2" w:space="0"/>
                    <w:left w:val="single" w:color="auto" w:sz="2" w:space="0"/>
                    <w:bottom w:val="single" w:color="auto" w:sz="2" w:space="0"/>
                    <w:right w:val="single" w:color="auto" w:sz="2" w:space="0"/>
                  </w:tcBorders>
                  <w:noWrap w:val="0"/>
                  <w:vAlign w:val="center"/>
                </w:tcPr>
                <w:p w14:paraId="06D0330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检测系统</w:t>
                  </w:r>
                </w:p>
              </w:tc>
              <w:tc>
                <w:tcPr>
                  <w:tcW w:w="974" w:type="pct"/>
                  <w:tcBorders>
                    <w:top w:val="single" w:color="auto" w:sz="2" w:space="0"/>
                    <w:left w:val="single" w:color="auto" w:sz="2" w:space="0"/>
                    <w:bottom w:val="single" w:color="auto" w:sz="2" w:space="0"/>
                    <w:right w:val="single" w:color="auto" w:sz="2" w:space="0"/>
                  </w:tcBorders>
                  <w:noWrap w:val="0"/>
                  <w:vAlign w:val="center"/>
                </w:tcPr>
                <w:p w14:paraId="5C16124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固定式多功能气体检测仪</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58F80B9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456CAAA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08FAAAD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套</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5C8FDD9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653805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3" w:type="pct"/>
                  <w:vMerge w:val="continue"/>
                  <w:tcBorders>
                    <w:top w:val="single" w:color="auto" w:sz="2" w:space="0"/>
                    <w:left w:val="single" w:color="auto" w:sz="2" w:space="0"/>
                    <w:bottom w:val="single" w:color="auto" w:sz="2" w:space="0"/>
                    <w:right w:val="single" w:color="auto" w:sz="2" w:space="0"/>
                  </w:tcBorders>
                  <w:noWrap w:val="0"/>
                  <w:vAlign w:val="center"/>
                </w:tcPr>
                <w:p w14:paraId="572AF7D8">
                  <w:pPr>
                    <w:jc w:val="center"/>
                    <w:rPr>
                      <w:rFonts w:hint="default" w:ascii="Times New Roman" w:hAnsi="Times New Roman" w:cs="Times New Roman"/>
                      <w:color w:val="auto"/>
                      <w:sz w:val="20"/>
                      <w:szCs w:val="20"/>
                      <w:highlight w:val="none"/>
                    </w:rPr>
                  </w:pPr>
                </w:p>
              </w:tc>
              <w:tc>
                <w:tcPr>
                  <w:tcW w:w="566" w:type="pct"/>
                  <w:vMerge w:val="continue"/>
                  <w:tcBorders>
                    <w:top w:val="single" w:color="auto" w:sz="2" w:space="0"/>
                    <w:left w:val="single" w:color="auto" w:sz="2" w:space="0"/>
                    <w:bottom w:val="single" w:color="auto" w:sz="2" w:space="0"/>
                    <w:right w:val="single" w:color="auto" w:sz="2" w:space="0"/>
                  </w:tcBorders>
                  <w:noWrap w:val="0"/>
                  <w:vAlign w:val="center"/>
                </w:tcPr>
                <w:p w14:paraId="6EE94CF7">
                  <w:pPr>
                    <w:jc w:val="center"/>
                    <w:rPr>
                      <w:rFonts w:hint="default" w:ascii="Times New Roman" w:hAnsi="Times New Roman" w:cs="Times New Roman"/>
                      <w:color w:val="auto"/>
                      <w:sz w:val="20"/>
                      <w:szCs w:val="20"/>
                      <w:highlight w:val="none"/>
                    </w:rPr>
                  </w:pPr>
                </w:p>
              </w:tc>
              <w:tc>
                <w:tcPr>
                  <w:tcW w:w="974" w:type="pct"/>
                  <w:tcBorders>
                    <w:top w:val="single" w:color="auto" w:sz="2" w:space="0"/>
                    <w:left w:val="single" w:color="auto" w:sz="2" w:space="0"/>
                    <w:bottom w:val="single" w:color="auto" w:sz="2" w:space="0"/>
                    <w:right w:val="single" w:color="auto" w:sz="2" w:space="0"/>
                  </w:tcBorders>
                  <w:noWrap w:val="0"/>
                  <w:vAlign w:val="center"/>
                </w:tcPr>
                <w:p w14:paraId="7E0B064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便携式复合气体检测仪</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2B04B4C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4A20010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26929A7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eastAsia" w:ascii="Times New Roman" w:hAnsi="Times New Roman" w:eastAsia="Calibri" w:cs="Times New Roman"/>
                      <w:color w:val="auto"/>
                      <w:kern w:val="0"/>
                      <w:sz w:val="21"/>
                      <w:szCs w:val="21"/>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台</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0F6C418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547B2D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3" w:type="pct"/>
                  <w:tcBorders>
                    <w:top w:val="single" w:color="auto" w:sz="2" w:space="0"/>
                    <w:left w:val="single" w:color="auto" w:sz="2" w:space="0"/>
                    <w:bottom w:val="single" w:color="auto" w:sz="2" w:space="0"/>
                    <w:right w:val="single" w:color="auto" w:sz="2" w:space="0"/>
                  </w:tcBorders>
                  <w:noWrap w:val="0"/>
                  <w:vAlign w:val="center"/>
                </w:tcPr>
                <w:p w14:paraId="6E1E1F2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5</w:t>
                  </w:r>
                </w:p>
              </w:tc>
              <w:tc>
                <w:tcPr>
                  <w:tcW w:w="566" w:type="pct"/>
                  <w:tcBorders>
                    <w:top w:val="single" w:color="auto" w:sz="2" w:space="0"/>
                    <w:left w:val="single" w:color="auto" w:sz="2" w:space="0"/>
                    <w:bottom w:val="single" w:color="auto" w:sz="2" w:space="0"/>
                    <w:right w:val="single" w:color="auto" w:sz="2" w:space="0"/>
                  </w:tcBorders>
                  <w:noWrap w:val="0"/>
                  <w:vAlign w:val="center"/>
                </w:tcPr>
                <w:p w14:paraId="2E5CE67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呼吸器</w:t>
                  </w:r>
                </w:p>
              </w:tc>
              <w:tc>
                <w:tcPr>
                  <w:tcW w:w="974" w:type="pct"/>
                  <w:tcBorders>
                    <w:top w:val="single" w:color="auto" w:sz="2" w:space="0"/>
                    <w:left w:val="single" w:color="auto" w:sz="2" w:space="0"/>
                    <w:bottom w:val="single" w:color="auto" w:sz="2" w:space="0"/>
                    <w:right w:val="single" w:color="auto" w:sz="2" w:space="0"/>
                  </w:tcBorders>
                  <w:noWrap w:val="0"/>
                  <w:vAlign w:val="center"/>
                </w:tcPr>
                <w:p w14:paraId="2A287D4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正压式空气呼吸器</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313AE5E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38AC664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127DE3E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00AFE41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当班生产人员每人1套，并配备2套作为公用</w:t>
                  </w:r>
                </w:p>
              </w:tc>
            </w:tr>
            <w:tr w14:paraId="0CA812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94" w:hRule="atLeast"/>
                <w:jc w:val="center"/>
              </w:trPr>
              <w:tc>
                <w:tcPr>
                  <w:tcW w:w="243" w:type="pct"/>
                  <w:vMerge w:val="restart"/>
                  <w:tcBorders>
                    <w:top w:val="single" w:color="auto" w:sz="2" w:space="0"/>
                    <w:left w:val="single" w:color="auto" w:sz="2" w:space="0"/>
                    <w:bottom w:val="single" w:color="auto" w:sz="2" w:space="0"/>
                    <w:right w:val="single" w:color="auto" w:sz="2" w:space="0"/>
                  </w:tcBorders>
                  <w:noWrap w:val="0"/>
                  <w:vAlign w:val="center"/>
                </w:tcPr>
                <w:p w14:paraId="75ACB69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6</w:t>
                  </w:r>
                </w:p>
              </w:tc>
              <w:tc>
                <w:tcPr>
                  <w:tcW w:w="566" w:type="pct"/>
                  <w:vMerge w:val="restart"/>
                  <w:tcBorders>
                    <w:top w:val="single" w:color="auto" w:sz="2" w:space="0"/>
                    <w:left w:val="single" w:color="auto" w:sz="2" w:space="0"/>
                    <w:bottom w:val="single" w:color="auto" w:sz="2" w:space="0"/>
                    <w:right w:val="single" w:color="auto" w:sz="2" w:space="0"/>
                  </w:tcBorders>
                  <w:noWrap w:val="0"/>
                  <w:vAlign w:val="center"/>
                </w:tcPr>
                <w:p w14:paraId="407F5C2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eastAsia" w:ascii="Times New Roman" w:hAnsi="Times New Roman" w:cs="Times New Roman"/>
                      <w:color w:val="auto"/>
                      <w:kern w:val="0"/>
                      <w:sz w:val="21"/>
                      <w:szCs w:val="21"/>
                      <w:highlight w:val="none"/>
                      <w:lang w:val="en-US" w:eastAsia="zh-CN" w:bidi="ar"/>
                    </w:rPr>
                    <w:t>泥浆</w:t>
                  </w:r>
                  <w:r>
                    <w:rPr>
                      <w:rFonts w:hint="eastAsia" w:ascii="Times New Roman" w:hAnsi="Times New Roman" w:eastAsia="宋体" w:cs="Times New Roman"/>
                      <w:color w:val="auto"/>
                      <w:kern w:val="0"/>
                      <w:sz w:val="21"/>
                      <w:szCs w:val="21"/>
                      <w:highlight w:val="none"/>
                      <w:lang w:val="en-US" w:eastAsia="zh-CN" w:bidi="ar"/>
                    </w:rPr>
                    <w:t>不落地装置</w:t>
                  </w:r>
                </w:p>
              </w:tc>
              <w:tc>
                <w:tcPr>
                  <w:tcW w:w="974" w:type="pct"/>
                  <w:tcBorders>
                    <w:top w:val="single" w:color="auto" w:sz="2" w:space="0"/>
                    <w:left w:val="single" w:color="auto" w:sz="2" w:space="0"/>
                    <w:right w:val="single" w:color="auto" w:sz="2" w:space="0"/>
                  </w:tcBorders>
                  <w:noWrap w:val="0"/>
                  <w:vAlign w:val="center"/>
                </w:tcPr>
                <w:p w14:paraId="743E0FF3">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泥浆泵</w:t>
                  </w:r>
                </w:p>
              </w:tc>
              <w:tc>
                <w:tcPr>
                  <w:tcW w:w="1327" w:type="pct"/>
                  <w:tcBorders>
                    <w:top w:val="single" w:color="auto" w:sz="2" w:space="0"/>
                    <w:left w:val="single" w:color="auto" w:sz="2" w:space="0"/>
                    <w:right w:val="single" w:color="auto" w:sz="2" w:space="0"/>
                  </w:tcBorders>
                  <w:noWrap w:val="0"/>
                  <w:vAlign w:val="center"/>
                </w:tcPr>
                <w:p w14:paraId="7F54312C">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Calibri" w:cs="Times New Roman"/>
                      <w:color w:val="auto"/>
                      <w:kern w:val="0"/>
                      <w:sz w:val="21"/>
                      <w:szCs w:val="21"/>
                      <w:highlight w:val="none"/>
                      <w:lang w:val="en-US" w:eastAsia="zh-CN" w:bidi="ar"/>
                    </w:rPr>
                  </w:pPr>
                  <w:r>
                    <w:rPr>
                      <w:rFonts w:hint="default" w:ascii="Times New Roman" w:hAnsi="Times New Roman" w:eastAsia="Calibri" w:cs="Times New Roman"/>
                      <w:color w:val="auto"/>
                      <w:kern w:val="0"/>
                      <w:sz w:val="21"/>
                      <w:szCs w:val="21"/>
                      <w:highlight w:val="none"/>
                      <w:lang w:val="en-US" w:eastAsia="zh-CN" w:bidi="ar"/>
                    </w:rPr>
                    <w:t>F-1600</w:t>
                  </w:r>
                </w:p>
              </w:tc>
              <w:tc>
                <w:tcPr>
                  <w:tcW w:w="553" w:type="pct"/>
                  <w:tcBorders>
                    <w:top w:val="single" w:color="auto" w:sz="2" w:space="0"/>
                    <w:left w:val="single" w:color="auto" w:sz="2" w:space="0"/>
                    <w:right w:val="single" w:color="auto" w:sz="2" w:space="0"/>
                  </w:tcBorders>
                  <w:noWrap w:val="0"/>
                  <w:vAlign w:val="center"/>
                </w:tcPr>
                <w:p w14:paraId="53819628">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p>
              </w:tc>
              <w:tc>
                <w:tcPr>
                  <w:tcW w:w="517" w:type="pct"/>
                  <w:tcBorders>
                    <w:top w:val="single" w:color="auto" w:sz="2" w:space="0"/>
                    <w:left w:val="single" w:color="auto" w:sz="2" w:space="0"/>
                    <w:right w:val="single" w:color="auto" w:sz="2" w:space="0"/>
                  </w:tcBorders>
                  <w:noWrap w:val="0"/>
                  <w:vAlign w:val="center"/>
                </w:tcPr>
                <w:p w14:paraId="4738B4C7">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Calibri" w:cs="Times New Roman"/>
                      <w:color w:val="auto"/>
                      <w:kern w:val="0"/>
                      <w:sz w:val="21"/>
                      <w:szCs w:val="21"/>
                      <w:highlight w:val="none"/>
                      <w:lang w:val="en-US" w:eastAsia="zh-CN" w:bidi="ar"/>
                    </w:rPr>
                  </w:pPr>
                  <w:r>
                    <w:rPr>
                      <w:rFonts w:hint="default" w:ascii="Times New Roman" w:hAnsi="Times New Roman" w:eastAsia="Calibri"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台</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55836E8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58A5F4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94" w:hRule="atLeast"/>
                <w:jc w:val="center"/>
              </w:trPr>
              <w:tc>
                <w:tcPr>
                  <w:tcW w:w="243" w:type="pct"/>
                  <w:vMerge w:val="continue"/>
                  <w:tcBorders>
                    <w:left w:val="single" w:color="auto" w:sz="2" w:space="0"/>
                    <w:right w:val="single" w:color="auto" w:sz="2" w:space="0"/>
                  </w:tcBorders>
                  <w:noWrap w:val="0"/>
                  <w:vAlign w:val="center"/>
                </w:tcPr>
                <w:p w14:paraId="44A109C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p>
              </w:tc>
              <w:tc>
                <w:tcPr>
                  <w:tcW w:w="566" w:type="pct"/>
                  <w:vMerge w:val="continue"/>
                  <w:tcBorders>
                    <w:left w:val="single" w:color="auto" w:sz="2" w:space="0"/>
                    <w:right w:val="single" w:color="auto" w:sz="2" w:space="0"/>
                  </w:tcBorders>
                  <w:noWrap w:val="0"/>
                  <w:vAlign w:val="center"/>
                </w:tcPr>
                <w:p w14:paraId="41BCE87D">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kern w:val="0"/>
                      <w:sz w:val="21"/>
                      <w:szCs w:val="21"/>
                      <w:highlight w:val="none"/>
                      <w:lang w:val="en-US" w:eastAsia="zh-CN" w:bidi="ar"/>
                    </w:rPr>
                  </w:pPr>
                </w:p>
              </w:tc>
              <w:tc>
                <w:tcPr>
                  <w:tcW w:w="974" w:type="pct"/>
                  <w:tcBorders>
                    <w:top w:val="single" w:color="auto" w:sz="2" w:space="0"/>
                    <w:left w:val="single" w:color="auto" w:sz="2" w:space="0"/>
                    <w:right w:val="single" w:color="auto" w:sz="2" w:space="0"/>
                  </w:tcBorders>
                  <w:noWrap w:val="0"/>
                  <w:vAlign w:val="center"/>
                </w:tcPr>
                <w:p w14:paraId="4DD77F7D">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螺旋输送系统（轴）</w:t>
                  </w:r>
                </w:p>
              </w:tc>
              <w:tc>
                <w:tcPr>
                  <w:tcW w:w="1327" w:type="pct"/>
                  <w:tcBorders>
                    <w:top w:val="single" w:color="auto" w:sz="2" w:space="0"/>
                    <w:left w:val="single" w:color="auto" w:sz="2" w:space="0"/>
                    <w:right w:val="single" w:color="auto" w:sz="2" w:space="0"/>
                  </w:tcBorders>
                  <w:noWrap w:val="0"/>
                  <w:vAlign w:val="center"/>
                </w:tcPr>
                <w:p w14:paraId="6E13F3CA">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Calibri"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SS-300-12000</w:t>
                  </w:r>
                </w:p>
              </w:tc>
              <w:tc>
                <w:tcPr>
                  <w:tcW w:w="553" w:type="pct"/>
                  <w:tcBorders>
                    <w:top w:val="single" w:color="auto" w:sz="2" w:space="0"/>
                    <w:left w:val="single" w:color="auto" w:sz="2" w:space="0"/>
                    <w:right w:val="single" w:color="auto" w:sz="2" w:space="0"/>
                  </w:tcBorders>
                  <w:noWrap w:val="0"/>
                  <w:vAlign w:val="center"/>
                </w:tcPr>
                <w:p w14:paraId="6A080530">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5.5×3kW</w:t>
                  </w:r>
                </w:p>
              </w:tc>
              <w:tc>
                <w:tcPr>
                  <w:tcW w:w="517" w:type="pct"/>
                  <w:tcBorders>
                    <w:top w:val="single" w:color="auto" w:sz="2" w:space="0"/>
                    <w:left w:val="single" w:color="auto" w:sz="2" w:space="0"/>
                    <w:right w:val="single" w:color="auto" w:sz="2" w:space="0"/>
                  </w:tcBorders>
                  <w:noWrap w:val="0"/>
                  <w:vAlign w:val="center"/>
                </w:tcPr>
                <w:p w14:paraId="608BAEBB">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Calibri"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2B802AE0">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p>
              </w:tc>
            </w:tr>
            <w:tr w14:paraId="429ED5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94" w:hRule="atLeast"/>
                <w:jc w:val="center"/>
              </w:trPr>
              <w:tc>
                <w:tcPr>
                  <w:tcW w:w="243" w:type="pct"/>
                  <w:vMerge w:val="continue"/>
                  <w:tcBorders>
                    <w:left w:val="single" w:color="auto" w:sz="2" w:space="0"/>
                    <w:right w:val="single" w:color="auto" w:sz="2" w:space="0"/>
                  </w:tcBorders>
                  <w:noWrap w:val="0"/>
                  <w:vAlign w:val="center"/>
                </w:tcPr>
                <w:p w14:paraId="64F06B4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p>
              </w:tc>
              <w:tc>
                <w:tcPr>
                  <w:tcW w:w="566" w:type="pct"/>
                  <w:vMerge w:val="continue"/>
                  <w:tcBorders>
                    <w:left w:val="single" w:color="auto" w:sz="2" w:space="0"/>
                    <w:right w:val="single" w:color="auto" w:sz="2" w:space="0"/>
                  </w:tcBorders>
                  <w:noWrap w:val="0"/>
                  <w:vAlign w:val="center"/>
                </w:tcPr>
                <w:p w14:paraId="24431164">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kern w:val="0"/>
                      <w:sz w:val="21"/>
                      <w:szCs w:val="21"/>
                      <w:highlight w:val="none"/>
                      <w:lang w:val="en-US" w:eastAsia="zh-CN" w:bidi="ar"/>
                    </w:rPr>
                  </w:pPr>
                </w:p>
              </w:tc>
              <w:tc>
                <w:tcPr>
                  <w:tcW w:w="974" w:type="pct"/>
                  <w:tcBorders>
                    <w:top w:val="single" w:color="auto" w:sz="2" w:space="0"/>
                    <w:left w:val="single" w:color="auto" w:sz="2" w:space="0"/>
                    <w:right w:val="single" w:color="auto" w:sz="2" w:space="0"/>
                  </w:tcBorders>
                  <w:noWrap w:val="0"/>
                  <w:vAlign w:val="center"/>
                </w:tcPr>
                <w:p w14:paraId="3EE4ABDA">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螺旋输送系统（有轴）</w:t>
                  </w:r>
                </w:p>
              </w:tc>
              <w:tc>
                <w:tcPr>
                  <w:tcW w:w="1327" w:type="pct"/>
                  <w:tcBorders>
                    <w:top w:val="single" w:color="auto" w:sz="2" w:space="0"/>
                    <w:left w:val="single" w:color="auto" w:sz="2" w:space="0"/>
                    <w:right w:val="single" w:color="auto" w:sz="2" w:space="0"/>
                  </w:tcBorders>
                  <w:noWrap w:val="0"/>
                  <w:vAlign w:val="center"/>
                </w:tcPr>
                <w:p w14:paraId="00EC6236">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Calibri"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SS-200-6000</w:t>
                  </w:r>
                </w:p>
              </w:tc>
              <w:tc>
                <w:tcPr>
                  <w:tcW w:w="553" w:type="pct"/>
                  <w:tcBorders>
                    <w:top w:val="single" w:color="auto" w:sz="2" w:space="0"/>
                    <w:left w:val="single" w:color="auto" w:sz="2" w:space="0"/>
                    <w:right w:val="single" w:color="auto" w:sz="2" w:space="0"/>
                  </w:tcBorders>
                  <w:noWrap w:val="0"/>
                  <w:vAlign w:val="center"/>
                </w:tcPr>
                <w:p w14:paraId="2382FA4F">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2.2×3kW</w:t>
                  </w:r>
                </w:p>
              </w:tc>
              <w:tc>
                <w:tcPr>
                  <w:tcW w:w="517" w:type="pct"/>
                  <w:tcBorders>
                    <w:top w:val="single" w:color="auto" w:sz="2" w:space="0"/>
                    <w:left w:val="single" w:color="auto" w:sz="2" w:space="0"/>
                    <w:right w:val="single" w:color="auto" w:sz="2" w:space="0"/>
                  </w:tcBorders>
                  <w:noWrap w:val="0"/>
                  <w:vAlign w:val="center"/>
                </w:tcPr>
                <w:p w14:paraId="25ABBC4B">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Calibri"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21FDCAE5">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p>
              </w:tc>
            </w:tr>
            <w:tr w14:paraId="1898F5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3" w:type="pct"/>
                  <w:vMerge w:val="continue"/>
                  <w:tcBorders>
                    <w:left w:val="single" w:color="auto" w:sz="2" w:space="0"/>
                    <w:right w:val="single" w:color="auto" w:sz="2" w:space="0"/>
                  </w:tcBorders>
                  <w:noWrap w:val="0"/>
                  <w:vAlign w:val="center"/>
                </w:tcPr>
                <w:p w14:paraId="41A7ADB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p>
              </w:tc>
              <w:tc>
                <w:tcPr>
                  <w:tcW w:w="566" w:type="pct"/>
                  <w:vMerge w:val="continue"/>
                  <w:tcBorders>
                    <w:left w:val="single" w:color="auto" w:sz="2" w:space="0"/>
                    <w:right w:val="single" w:color="auto" w:sz="2" w:space="0"/>
                  </w:tcBorders>
                  <w:noWrap w:val="0"/>
                  <w:vAlign w:val="center"/>
                </w:tcPr>
                <w:p w14:paraId="311DD1A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p>
              </w:tc>
              <w:tc>
                <w:tcPr>
                  <w:tcW w:w="974" w:type="pct"/>
                  <w:tcBorders>
                    <w:top w:val="single" w:color="auto" w:sz="2" w:space="0"/>
                    <w:left w:val="single" w:color="auto" w:sz="2" w:space="0"/>
                    <w:bottom w:val="single" w:color="auto" w:sz="2" w:space="0"/>
                    <w:right w:val="single" w:color="auto" w:sz="2" w:space="0"/>
                  </w:tcBorders>
                  <w:noWrap w:val="0"/>
                  <w:vAlign w:val="center"/>
                </w:tcPr>
                <w:p w14:paraId="43210C59">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振动筛</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15188DDD">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Calibri" w:cs="Times New Roman"/>
                      <w:color w:val="auto"/>
                      <w:kern w:val="0"/>
                      <w:sz w:val="21"/>
                      <w:szCs w:val="21"/>
                      <w:highlight w:val="none"/>
                      <w:lang w:val="en-US" w:eastAsia="zh-CN" w:bidi="ar"/>
                    </w:rPr>
                  </w:pPr>
                  <w:r>
                    <w:rPr>
                      <w:rFonts w:hint="default" w:ascii="Times New Roman" w:hAnsi="Times New Roman" w:eastAsia="Calibri" w:cs="Times New Roman"/>
                      <w:color w:val="auto"/>
                      <w:kern w:val="0"/>
                      <w:sz w:val="21"/>
                      <w:szCs w:val="21"/>
                      <w:highlight w:val="none"/>
                      <w:lang w:val="en-US" w:eastAsia="zh-CN" w:bidi="ar"/>
                    </w:rPr>
                    <w:t>CQ-2</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1065FC5C">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3EA72976">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Calibri" w:cs="Times New Roman"/>
                      <w:color w:val="auto"/>
                      <w:kern w:val="0"/>
                      <w:sz w:val="21"/>
                      <w:szCs w:val="21"/>
                      <w:highlight w:val="none"/>
                      <w:lang w:val="en-US" w:eastAsia="zh-CN" w:bidi="ar"/>
                    </w:rPr>
                  </w:pPr>
                  <w:r>
                    <w:rPr>
                      <w:rFonts w:hint="default" w:ascii="Times New Roman" w:hAnsi="Times New Roman" w:eastAsia="Calibri" w:cs="Times New Roman"/>
                      <w:color w:val="auto"/>
                      <w:kern w:val="0"/>
                      <w:sz w:val="21"/>
                      <w:szCs w:val="21"/>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台</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4C536E8F">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p>
              </w:tc>
            </w:tr>
            <w:tr w14:paraId="464E6C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3" w:type="pct"/>
                  <w:vMerge w:val="continue"/>
                  <w:tcBorders>
                    <w:left w:val="single" w:color="auto" w:sz="2" w:space="0"/>
                    <w:right w:val="single" w:color="auto" w:sz="2" w:space="0"/>
                  </w:tcBorders>
                  <w:noWrap w:val="0"/>
                  <w:vAlign w:val="center"/>
                </w:tcPr>
                <w:p w14:paraId="4DD4203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p>
              </w:tc>
              <w:tc>
                <w:tcPr>
                  <w:tcW w:w="566" w:type="pct"/>
                  <w:vMerge w:val="continue"/>
                  <w:tcBorders>
                    <w:left w:val="single" w:color="auto" w:sz="2" w:space="0"/>
                    <w:right w:val="single" w:color="auto" w:sz="2" w:space="0"/>
                  </w:tcBorders>
                  <w:noWrap w:val="0"/>
                  <w:vAlign w:val="center"/>
                </w:tcPr>
                <w:p w14:paraId="3F152EE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p>
              </w:tc>
              <w:tc>
                <w:tcPr>
                  <w:tcW w:w="974" w:type="pct"/>
                  <w:tcBorders>
                    <w:top w:val="single" w:color="auto" w:sz="2" w:space="0"/>
                    <w:left w:val="single" w:color="auto" w:sz="2" w:space="0"/>
                    <w:bottom w:val="single" w:color="auto" w:sz="2" w:space="0"/>
                    <w:right w:val="single" w:color="auto" w:sz="2" w:space="0"/>
                  </w:tcBorders>
                  <w:noWrap w:val="0"/>
                  <w:vAlign w:val="center"/>
                </w:tcPr>
                <w:p w14:paraId="3283EB91">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除气器</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591D25BF">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Calibri" w:cs="Times New Roman"/>
                      <w:color w:val="auto"/>
                      <w:kern w:val="0"/>
                      <w:sz w:val="21"/>
                      <w:szCs w:val="21"/>
                      <w:highlight w:val="none"/>
                      <w:lang w:val="en-US" w:eastAsia="zh-CN" w:bidi="ar"/>
                    </w:rPr>
                  </w:pPr>
                  <w:r>
                    <w:rPr>
                      <w:rFonts w:hint="default" w:ascii="Times New Roman" w:hAnsi="Times New Roman" w:eastAsia="Calibri" w:cs="Times New Roman"/>
                      <w:color w:val="auto"/>
                      <w:kern w:val="0"/>
                      <w:sz w:val="21"/>
                      <w:szCs w:val="21"/>
                      <w:highlight w:val="none"/>
                      <w:lang w:val="en-US" w:eastAsia="zh-CN" w:bidi="ar"/>
                    </w:rPr>
                    <w:t>CQ1/4</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3C6119D5">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4986B957">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Calibri" w:cs="Times New Roman"/>
                      <w:color w:val="auto"/>
                      <w:kern w:val="0"/>
                      <w:sz w:val="21"/>
                      <w:szCs w:val="21"/>
                      <w:highlight w:val="none"/>
                      <w:lang w:val="en-US" w:eastAsia="zh-CN" w:bidi="ar"/>
                    </w:rPr>
                  </w:pPr>
                  <w:r>
                    <w:rPr>
                      <w:rFonts w:hint="default" w:ascii="Times New Roman" w:hAnsi="Times New Roman" w:eastAsia="Calibri"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台</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1C6C5690">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p>
              </w:tc>
            </w:tr>
            <w:tr w14:paraId="638F25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3" w:type="pct"/>
                  <w:vMerge w:val="continue"/>
                  <w:tcBorders>
                    <w:left w:val="single" w:color="auto" w:sz="2" w:space="0"/>
                    <w:right w:val="single" w:color="auto" w:sz="2" w:space="0"/>
                  </w:tcBorders>
                  <w:noWrap w:val="0"/>
                  <w:vAlign w:val="center"/>
                </w:tcPr>
                <w:p w14:paraId="0888A22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p>
              </w:tc>
              <w:tc>
                <w:tcPr>
                  <w:tcW w:w="566" w:type="pct"/>
                  <w:vMerge w:val="continue"/>
                  <w:tcBorders>
                    <w:left w:val="single" w:color="auto" w:sz="2" w:space="0"/>
                    <w:right w:val="single" w:color="auto" w:sz="2" w:space="0"/>
                  </w:tcBorders>
                  <w:noWrap w:val="0"/>
                  <w:vAlign w:val="center"/>
                </w:tcPr>
                <w:p w14:paraId="3C3F029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p>
              </w:tc>
              <w:tc>
                <w:tcPr>
                  <w:tcW w:w="974" w:type="pct"/>
                  <w:tcBorders>
                    <w:top w:val="single" w:color="auto" w:sz="2" w:space="0"/>
                    <w:left w:val="single" w:color="auto" w:sz="2" w:space="0"/>
                    <w:bottom w:val="single" w:color="auto" w:sz="2" w:space="0"/>
                    <w:right w:val="single" w:color="auto" w:sz="2" w:space="0"/>
                  </w:tcBorders>
                  <w:noWrap w:val="0"/>
                  <w:vAlign w:val="center"/>
                </w:tcPr>
                <w:p w14:paraId="7B33D486">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除砂器</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37B3FC3F">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Calibri" w:cs="Times New Roman"/>
                      <w:color w:val="auto"/>
                      <w:kern w:val="0"/>
                      <w:sz w:val="21"/>
                      <w:szCs w:val="21"/>
                      <w:highlight w:val="none"/>
                      <w:lang w:val="en-US" w:eastAsia="zh-CN" w:bidi="ar"/>
                    </w:rPr>
                  </w:pPr>
                  <w:r>
                    <w:rPr>
                      <w:rFonts w:hint="default" w:ascii="Times New Roman" w:hAnsi="Times New Roman" w:eastAsia="Calibri" w:cs="Times New Roman"/>
                      <w:color w:val="auto"/>
                      <w:kern w:val="0"/>
                      <w:sz w:val="21"/>
                      <w:szCs w:val="21"/>
                      <w:highlight w:val="none"/>
                      <w:lang w:val="en-US" w:eastAsia="zh-CN" w:bidi="ar"/>
                    </w:rPr>
                    <w:t>ZQJ250×2</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127E2226">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630FA68E">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Calibri" w:cs="Times New Roman"/>
                      <w:color w:val="auto"/>
                      <w:kern w:val="0"/>
                      <w:sz w:val="21"/>
                      <w:szCs w:val="21"/>
                      <w:highlight w:val="none"/>
                      <w:lang w:val="en-US" w:eastAsia="zh-CN" w:bidi="ar"/>
                    </w:rPr>
                  </w:pPr>
                  <w:r>
                    <w:rPr>
                      <w:rFonts w:hint="default" w:ascii="Times New Roman" w:hAnsi="Times New Roman" w:eastAsia="Calibri"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个</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12E662D7">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p>
              </w:tc>
            </w:tr>
            <w:tr w14:paraId="640583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3" w:type="pct"/>
                  <w:vMerge w:val="continue"/>
                  <w:tcBorders>
                    <w:left w:val="single" w:color="auto" w:sz="2" w:space="0"/>
                    <w:right w:val="single" w:color="auto" w:sz="2" w:space="0"/>
                  </w:tcBorders>
                  <w:noWrap w:val="0"/>
                  <w:vAlign w:val="center"/>
                </w:tcPr>
                <w:p w14:paraId="55EF33D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p>
              </w:tc>
              <w:tc>
                <w:tcPr>
                  <w:tcW w:w="566" w:type="pct"/>
                  <w:vMerge w:val="continue"/>
                  <w:tcBorders>
                    <w:left w:val="single" w:color="auto" w:sz="2" w:space="0"/>
                    <w:right w:val="single" w:color="auto" w:sz="2" w:space="0"/>
                  </w:tcBorders>
                  <w:noWrap w:val="0"/>
                  <w:vAlign w:val="center"/>
                </w:tcPr>
                <w:p w14:paraId="3EAC8B3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p>
              </w:tc>
              <w:tc>
                <w:tcPr>
                  <w:tcW w:w="974" w:type="pct"/>
                  <w:tcBorders>
                    <w:top w:val="single" w:color="auto" w:sz="2" w:space="0"/>
                    <w:left w:val="single" w:color="auto" w:sz="2" w:space="0"/>
                    <w:bottom w:val="single" w:color="auto" w:sz="2" w:space="0"/>
                    <w:right w:val="single" w:color="auto" w:sz="2" w:space="0"/>
                  </w:tcBorders>
                  <w:noWrap w:val="0"/>
                  <w:vAlign w:val="center"/>
                </w:tcPr>
                <w:p w14:paraId="0C0FA29F">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除泥器</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2EE7D07C">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Calibri" w:cs="Times New Roman"/>
                      <w:color w:val="auto"/>
                      <w:kern w:val="0"/>
                      <w:sz w:val="21"/>
                      <w:szCs w:val="21"/>
                      <w:highlight w:val="none"/>
                      <w:lang w:val="en-US" w:eastAsia="zh-CN" w:bidi="ar"/>
                    </w:rPr>
                  </w:pPr>
                  <w:r>
                    <w:rPr>
                      <w:rFonts w:hint="default" w:ascii="Times New Roman" w:hAnsi="Times New Roman" w:eastAsia="Calibri" w:cs="Times New Roman"/>
                      <w:color w:val="auto"/>
                      <w:kern w:val="0"/>
                      <w:sz w:val="21"/>
                      <w:szCs w:val="21"/>
                      <w:highlight w:val="none"/>
                      <w:lang w:val="en-US" w:eastAsia="zh-CN" w:bidi="ar"/>
                    </w:rPr>
                    <w:t>ZQJ100×10</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2928BF68">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1E3E88AE">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Calibri" w:cs="Times New Roman"/>
                      <w:color w:val="auto"/>
                      <w:kern w:val="0"/>
                      <w:sz w:val="21"/>
                      <w:szCs w:val="21"/>
                      <w:highlight w:val="none"/>
                      <w:lang w:val="en-US" w:eastAsia="zh-CN" w:bidi="ar"/>
                    </w:rPr>
                  </w:pPr>
                  <w:r>
                    <w:rPr>
                      <w:rFonts w:hint="default" w:ascii="Times New Roman" w:hAnsi="Times New Roman" w:eastAsia="Calibri"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个</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6AA0731D">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p>
              </w:tc>
            </w:tr>
            <w:tr w14:paraId="58C52B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3" w:type="pct"/>
                  <w:vMerge w:val="continue"/>
                  <w:tcBorders>
                    <w:left w:val="single" w:color="auto" w:sz="2" w:space="0"/>
                    <w:right w:val="single" w:color="auto" w:sz="2" w:space="0"/>
                  </w:tcBorders>
                  <w:noWrap w:val="0"/>
                  <w:vAlign w:val="center"/>
                </w:tcPr>
                <w:p w14:paraId="7C54966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p>
              </w:tc>
              <w:tc>
                <w:tcPr>
                  <w:tcW w:w="566" w:type="pct"/>
                  <w:vMerge w:val="continue"/>
                  <w:tcBorders>
                    <w:left w:val="single" w:color="auto" w:sz="2" w:space="0"/>
                    <w:right w:val="single" w:color="auto" w:sz="2" w:space="0"/>
                  </w:tcBorders>
                  <w:noWrap w:val="0"/>
                  <w:vAlign w:val="center"/>
                </w:tcPr>
                <w:p w14:paraId="0DD7E0A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p>
              </w:tc>
              <w:tc>
                <w:tcPr>
                  <w:tcW w:w="974" w:type="pct"/>
                  <w:tcBorders>
                    <w:top w:val="single" w:color="auto" w:sz="2" w:space="0"/>
                    <w:left w:val="single" w:color="auto" w:sz="2" w:space="0"/>
                    <w:bottom w:val="single" w:color="auto" w:sz="2" w:space="0"/>
                    <w:right w:val="single" w:color="auto" w:sz="2" w:space="0"/>
                  </w:tcBorders>
                  <w:noWrap w:val="0"/>
                  <w:vAlign w:val="center"/>
                </w:tcPr>
                <w:p w14:paraId="370F00F5">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搅拌器</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04E2C2F1">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Calibri" w:cs="Times New Roman"/>
                      <w:color w:val="auto"/>
                      <w:kern w:val="0"/>
                      <w:sz w:val="21"/>
                      <w:szCs w:val="21"/>
                      <w:highlight w:val="none"/>
                      <w:lang w:val="en-US" w:eastAsia="zh-CN" w:bidi="ar"/>
                    </w:rPr>
                  </w:pPr>
                  <w:r>
                    <w:rPr>
                      <w:rFonts w:hint="default" w:ascii="Times New Roman" w:hAnsi="Times New Roman" w:eastAsia="Calibri" w:cs="Times New Roman"/>
                      <w:color w:val="auto"/>
                      <w:kern w:val="0"/>
                      <w:sz w:val="21"/>
                      <w:szCs w:val="21"/>
                      <w:highlight w:val="none"/>
                      <w:lang w:val="en-US" w:eastAsia="zh-CN" w:bidi="ar"/>
                    </w:rPr>
                    <w:t>/</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124CD209">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Calibri" w:cs="Times New Roman"/>
                      <w:color w:val="auto"/>
                      <w:kern w:val="0"/>
                      <w:sz w:val="21"/>
                      <w:szCs w:val="21"/>
                      <w:highlight w:val="none"/>
                      <w:lang w:val="en-US" w:eastAsia="zh-CN" w:bidi="ar"/>
                    </w:rPr>
                    <w:t>NJ-7.5</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46D129D7">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Calibri" w:cs="Times New Roman"/>
                      <w:color w:val="auto"/>
                      <w:kern w:val="0"/>
                      <w:sz w:val="21"/>
                      <w:szCs w:val="21"/>
                      <w:highlight w:val="none"/>
                      <w:lang w:val="en-US" w:eastAsia="zh-CN" w:bidi="ar"/>
                    </w:rPr>
                  </w:pPr>
                  <w:r>
                    <w:rPr>
                      <w:rFonts w:hint="default" w:ascii="Times New Roman" w:hAnsi="Times New Roman" w:eastAsia="Calibri"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lang w:val="en-US" w:eastAsia="zh-CN" w:bidi="ar"/>
                    </w:rPr>
                    <w:t>个</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26C92EA0">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p>
              </w:tc>
            </w:tr>
            <w:tr w14:paraId="0AA75B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3" w:type="pct"/>
                  <w:vMerge w:val="continue"/>
                  <w:tcBorders>
                    <w:left w:val="single" w:color="auto" w:sz="2" w:space="0"/>
                    <w:right w:val="single" w:color="auto" w:sz="2" w:space="0"/>
                  </w:tcBorders>
                  <w:noWrap w:val="0"/>
                  <w:vAlign w:val="center"/>
                </w:tcPr>
                <w:p w14:paraId="42456F6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p>
              </w:tc>
              <w:tc>
                <w:tcPr>
                  <w:tcW w:w="566" w:type="pct"/>
                  <w:vMerge w:val="continue"/>
                  <w:tcBorders>
                    <w:left w:val="single" w:color="auto" w:sz="2" w:space="0"/>
                    <w:right w:val="single" w:color="auto" w:sz="2" w:space="0"/>
                  </w:tcBorders>
                  <w:noWrap w:val="0"/>
                  <w:vAlign w:val="center"/>
                </w:tcPr>
                <w:p w14:paraId="531E576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p>
              </w:tc>
              <w:tc>
                <w:tcPr>
                  <w:tcW w:w="974" w:type="pct"/>
                  <w:tcBorders>
                    <w:top w:val="single" w:color="auto" w:sz="2" w:space="0"/>
                    <w:left w:val="single" w:color="auto" w:sz="2" w:space="0"/>
                    <w:bottom w:val="single" w:color="auto" w:sz="2" w:space="0"/>
                    <w:right w:val="single" w:color="auto" w:sz="2" w:space="0"/>
                  </w:tcBorders>
                  <w:noWrap w:val="0"/>
                  <w:vAlign w:val="center"/>
                </w:tcPr>
                <w:p w14:paraId="52787534">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离心机</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6C1D85FE">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Calibri" w:cs="Times New Roman"/>
                      <w:color w:val="auto"/>
                      <w:kern w:val="0"/>
                      <w:sz w:val="21"/>
                      <w:szCs w:val="21"/>
                      <w:highlight w:val="none"/>
                      <w:lang w:val="en-US" w:eastAsia="zh-CN" w:bidi="ar"/>
                    </w:rPr>
                  </w:pPr>
                  <w:r>
                    <w:rPr>
                      <w:rFonts w:hint="default" w:ascii="Times New Roman" w:hAnsi="Times New Roman" w:eastAsia="Calibri" w:cs="Times New Roman"/>
                      <w:color w:val="auto"/>
                      <w:kern w:val="0"/>
                      <w:sz w:val="21"/>
                      <w:szCs w:val="21"/>
                      <w:highlight w:val="none"/>
                      <w:lang w:val="en-US" w:eastAsia="zh-CN" w:bidi="ar"/>
                    </w:rPr>
                    <w:t>LW600</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40978515">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1D67B8AF">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Calibri" w:cs="Times New Roman"/>
                      <w:color w:val="auto"/>
                      <w:kern w:val="0"/>
                      <w:sz w:val="21"/>
                      <w:szCs w:val="21"/>
                      <w:highlight w:val="none"/>
                      <w:lang w:val="en-US" w:eastAsia="zh-CN" w:bidi="ar"/>
                    </w:rPr>
                  </w:pPr>
                  <w:r>
                    <w:rPr>
                      <w:rFonts w:hint="default" w:ascii="Times New Roman" w:hAnsi="Times New Roman" w:eastAsia="Calibri"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台</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76307341">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p>
              </w:tc>
            </w:tr>
            <w:tr w14:paraId="144975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3" w:type="pct"/>
                  <w:vMerge w:val="continue"/>
                  <w:tcBorders>
                    <w:left w:val="single" w:color="auto" w:sz="2" w:space="0"/>
                    <w:right w:val="single" w:color="auto" w:sz="2" w:space="0"/>
                  </w:tcBorders>
                  <w:noWrap w:val="0"/>
                  <w:vAlign w:val="center"/>
                </w:tcPr>
                <w:p w14:paraId="0C72785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p>
              </w:tc>
              <w:tc>
                <w:tcPr>
                  <w:tcW w:w="566" w:type="pct"/>
                  <w:vMerge w:val="continue"/>
                  <w:tcBorders>
                    <w:left w:val="single" w:color="auto" w:sz="2" w:space="0"/>
                    <w:right w:val="single" w:color="auto" w:sz="2" w:space="0"/>
                  </w:tcBorders>
                  <w:noWrap w:val="0"/>
                  <w:vAlign w:val="center"/>
                </w:tcPr>
                <w:p w14:paraId="3D40658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p>
              </w:tc>
              <w:tc>
                <w:tcPr>
                  <w:tcW w:w="974" w:type="pct"/>
                  <w:tcBorders>
                    <w:top w:val="single" w:color="auto" w:sz="2" w:space="0"/>
                    <w:left w:val="single" w:color="auto" w:sz="2" w:space="0"/>
                    <w:bottom w:val="single" w:color="auto" w:sz="2" w:space="0"/>
                    <w:right w:val="single" w:color="auto" w:sz="2" w:space="0"/>
                  </w:tcBorders>
                  <w:noWrap w:val="0"/>
                  <w:vAlign w:val="center"/>
                </w:tcPr>
                <w:p w14:paraId="48AFB2E6">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压滤机</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565D2325">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Calibri"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XM220/1250-UB</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45AA79B3">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09FD8175">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Calibri" w:cs="Times New Roman"/>
                      <w:color w:val="auto"/>
                      <w:kern w:val="0"/>
                      <w:sz w:val="21"/>
                      <w:szCs w:val="21"/>
                      <w:highlight w:val="none"/>
                      <w:lang w:val="en-US" w:eastAsia="zh-CN" w:bidi="ar"/>
                    </w:rPr>
                  </w:pPr>
                  <w:r>
                    <w:rPr>
                      <w:rFonts w:hint="eastAsia" w:ascii="Times New Roman" w:hAnsi="Times New Roman" w:eastAsia="Calibri"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台</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1D72349A">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p>
              </w:tc>
            </w:tr>
            <w:tr w14:paraId="45EC90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3" w:type="pct"/>
                  <w:vMerge w:val="continue"/>
                  <w:tcBorders>
                    <w:left w:val="single" w:color="auto" w:sz="2" w:space="0"/>
                    <w:right w:val="single" w:color="auto" w:sz="2" w:space="0"/>
                  </w:tcBorders>
                  <w:noWrap w:val="0"/>
                  <w:vAlign w:val="center"/>
                </w:tcPr>
                <w:p w14:paraId="2E2E06F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p>
              </w:tc>
              <w:tc>
                <w:tcPr>
                  <w:tcW w:w="566" w:type="pct"/>
                  <w:vMerge w:val="continue"/>
                  <w:tcBorders>
                    <w:left w:val="single" w:color="auto" w:sz="2" w:space="0"/>
                    <w:right w:val="single" w:color="auto" w:sz="2" w:space="0"/>
                  </w:tcBorders>
                  <w:noWrap w:val="0"/>
                  <w:vAlign w:val="center"/>
                </w:tcPr>
                <w:p w14:paraId="7522259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p>
              </w:tc>
              <w:tc>
                <w:tcPr>
                  <w:tcW w:w="974" w:type="pct"/>
                  <w:tcBorders>
                    <w:top w:val="single" w:color="auto" w:sz="2" w:space="0"/>
                    <w:left w:val="single" w:color="auto" w:sz="2" w:space="0"/>
                    <w:bottom w:val="single" w:color="auto" w:sz="2" w:space="0"/>
                    <w:right w:val="single" w:color="auto" w:sz="2" w:space="0"/>
                  </w:tcBorders>
                  <w:noWrap w:val="0"/>
                  <w:vAlign w:val="center"/>
                </w:tcPr>
                <w:p w14:paraId="5DE8B1E8">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漏斗</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49ACDF25">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3F653098">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7AA6BFAE">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Calibri" w:cs="Times New Roman"/>
                      <w:color w:val="auto"/>
                      <w:kern w:val="0"/>
                      <w:sz w:val="21"/>
                      <w:szCs w:val="21"/>
                      <w:highlight w:val="none"/>
                      <w:lang w:val="en-US" w:eastAsia="zh-CN" w:bidi="ar"/>
                    </w:rPr>
                  </w:pPr>
                  <w:r>
                    <w:rPr>
                      <w:rFonts w:hint="default" w:ascii="Times New Roman" w:hAnsi="Times New Roman" w:eastAsia="Calibri"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个</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4E30A672">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p>
              </w:tc>
            </w:tr>
            <w:tr w14:paraId="27FC90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3" w:type="pct"/>
                  <w:vMerge w:val="continue"/>
                  <w:tcBorders>
                    <w:top w:val="single" w:color="auto" w:sz="2" w:space="0"/>
                    <w:left w:val="single" w:color="auto" w:sz="2" w:space="0"/>
                    <w:bottom w:val="single" w:color="auto" w:sz="4" w:space="0"/>
                    <w:right w:val="single" w:color="auto" w:sz="2" w:space="0"/>
                  </w:tcBorders>
                  <w:noWrap w:val="0"/>
                  <w:vAlign w:val="center"/>
                </w:tcPr>
                <w:p w14:paraId="18027E6B">
                  <w:pPr>
                    <w:jc w:val="center"/>
                    <w:rPr>
                      <w:rFonts w:hint="default" w:ascii="Times New Roman" w:hAnsi="Times New Roman" w:cs="Times New Roman"/>
                      <w:color w:val="auto"/>
                      <w:sz w:val="20"/>
                      <w:szCs w:val="20"/>
                      <w:highlight w:val="none"/>
                    </w:rPr>
                  </w:pPr>
                </w:p>
              </w:tc>
              <w:tc>
                <w:tcPr>
                  <w:tcW w:w="566" w:type="pct"/>
                  <w:vMerge w:val="continue"/>
                  <w:tcBorders>
                    <w:top w:val="single" w:color="auto" w:sz="2" w:space="0"/>
                    <w:left w:val="single" w:color="auto" w:sz="2" w:space="0"/>
                    <w:bottom w:val="single" w:color="auto" w:sz="4" w:space="0"/>
                    <w:right w:val="single" w:color="auto" w:sz="2" w:space="0"/>
                  </w:tcBorders>
                  <w:noWrap w:val="0"/>
                  <w:vAlign w:val="center"/>
                </w:tcPr>
                <w:p w14:paraId="6D991FCF">
                  <w:pPr>
                    <w:jc w:val="center"/>
                    <w:rPr>
                      <w:rFonts w:hint="default" w:ascii="Times New Roman" w:hAnsi="Times New Roman" w:cs="Times New Roman"/>
                      <w:color w:val="auto"/>
                      <w:sz w:val="20"/>
                      <w:szCs w:val="20"/>
                      <w:highlight w:val="none"/>
                    </w:rPr>
                  </w:pPr>
                </w:p>
              </w:tc>
              <w:tc>
                <w:tcPr>
                  <w:tcW w:w="974" w:type="pct"/>
                  <w:tcBorders>
                    <w:top w:val="single" w:color="auto" w:sz="2" w:space="0"/>
                    <w:left w:val="single" w:color="auto" w:sz="2" w:space="0"/>
                    <w:bottom w:val="single" w:color="auto" w:sz="4" w:space="0"/>
                    <w:right w:val="single" w:color="auto" w:sz="2" w:space="0"/>
                  </w:tcBorders>
                  <w:noWrap w:val="0"/>
                  <w:vAlign w:val="center"/>
                </w:tcPr>
                <w:p w14:paraId="67212EF7">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泥浆循环罐</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768BED9F">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Calibri" w:cs="Times New Roman"/>
                      <w:color w:val="auto"/>
                      <w:kern w:val="0"/>
                      <w:sz w:val="21"/>
                      <w:szCs w:val="21"/>
                      <w:highlight w:val="none"/>
                      <w:lang w:val="en-US" w:eastAsia="zh-CN" w:bidi="ar"/>
                    </w:rPr>
                  </w:pPr>
                  <w:r>
                    <w:rPr>
                      <w:rFonts w:hint="default" w:ascii="Times New Roman" w:hAnsi="Times New Roman" w:eastAsia="Calibri" w:cs="Times New Roman"/>
                      <w:color w:val="auto"/>
                      <w:kern w:val="0"/>
                      <w:sz w:val="21"/>
                      <w:szCs w:val="21"/>
                      <w:highlight w:val="none"/>
                      <w:lang w:val="en-US" w:eastAsia="zh-CN" w:bidi="ar"/>
                    </w:rPr>
                    <w:t>/</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50F43173">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Calibri" w:cs="Times New Roman"/>
                      <w:color w:val="auto"/>
                      <w:kern w:val="0"/>
                      <w:sz w:val="21"/>
                      <w:szCs w:val="21"/>
                      <w:highlight w:val="none"/>
                      <w:lang w:val="en-US" w:eastAsia="zh-CN" w:bidi="ar"/>
                    </w:rPr>
                  </w:pPr>
                  <w:r>
                    <w:rPr>
                      <w:rFonts w:hint="eastAsia" w:ascii="Times New Roman" w:hAnsi="Times New Roman" w:eastAsia="Calibri" w:cs="Times New Roman"/>
                      <w:color w:val="auto"/>
                      <w:kern w:val="0"/>
                      <w:sz w:val="21"/>
                      <w:szCs w:val="21"/>
                      <w:highlight w:val="none"/>
                      <w:lang w:val="en-US" w:eastAsia="zh-CN" w:bidi="ar"/>
                    </w:rPr>
                    <w:t>50</w:t>
                  </w:r>
                  <w:r>
                    <w:rPr>
                      <w:rFonts w:hint="default" w:ascii="Times New Roman" w:hAnsi="Times New Roman" w:eastAsia="Calibri" w:cs="Times New Roman"/>
                      <w:color w:val="auto"/>
                      <w:kern w:val="0"/>
                      <w:sz w:val="21"/>
                      <w:szCs w:val="21"/>
                      <w:highlight w:val="none"/>
                      <w:lang w:val="en-US" w:eastAsia="zh-CN" w:bidi="ar"/>
                    </w:rPr>
                    <w:t>m</w:t>
                  </w:r>
                  <w:r>
                    <w:rPr>
                      <w:rFonts w:hint="default" w:ascii="Times New Roman" w:hAnsi="Times New Roman" w:eastAsia="Calibri" w:cs="Times New Roman"/>
                      <w:color w:val="auto"/>
                      <w:kern w:val="0"/>
                      <w:sz w:val="21"/>
                      <w:szCs w:val="21"/>
                      <w:highlight w:val="none"/>
                      <w:vertAlign w:val="superscript"/>
                      <w:lang w:val="en-US" w:eastAsia="zh-CN" w:bidi="ar"/>
                    </w:rPr>
                    <w:t>3</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1ED8F2DE">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Calibri"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7</w:t>
                  </w:r>
                  <w:r>
                    <w:rPr>
                      <w:rFonts w:hint="default" w:ascii="Times New Roman" w:hAnsi="Times New Roman" w:eastAsia="宋体" w:cs="Times New Roman"/>
                      <w:color w:val="auto"/>
                      <w:kern w:val="0"/>
                      <w:sz w:val="21"/>
                      <w:szCs w:val="21"/>
                      <w:highlight w:val="none"/>
                      <w:lang w:val="en-US" w:eastAsia="zh-CN" w:bidi="ar"/>
                    </w:rPr>
                    <w:t>个</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15E78517">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w:t>
                  </w:r>
                </w:p>
              </w:tc>
            </w:tr>
            <w:tr w14:paraId="1DBD55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243" w:type="pct"/>
                  <w:vMerge w:val="restart"/>
                  <w:tcBorders>
                    <w:top w:val="single" w:color="auto" w:sz="4" w:space="0"/>
                    <w:left w:val="single" w:color="auto" w:sz="2" w:space="0"/>
                    <w:right w:val="single" w:color="auto" w:sz="2" w:space="0"/>
                  </w:tcBorders>
                  <w:noWrap w:val="0"/>
                  <w:vAlign w:val="center"/>
                </w:tcPr>
                <w:p w14:paraId="3743AC74">
                  <w:pPr>
                    <w:jc w:val="center"/>
                    <w:rPr>
                      <w:rFonts w:hint="eastAsia" w:ascii="Times New Roman" w:hAnsi="Times New Roman" w:eastAsia="宋体"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7</w:t>
                  </w:r>
                </w:p>
              </w:tc>
              <w:tc>
                <w:tcPr>
                  <w:tcW w:w="566" w:type="pct"/>
                  <w:vMerge w:val="restart"/>
                  <w:tcBorders>
                    <w:top w:val="single" w:color="auto" w:sz="4" w:space="0"/>
                    <w:left w:val="single" w:color="auto" w:sz="2" w:space="0"/>
                    <w:bottom w:val="single" w:color="auto" w:sz="4" w:space="0"/>
                    <w:right w:val="single" w:color="auto" w:sz="2" w:space="0"/>
                  </w:tcBorders>
                  <w:noWrap w:val="0"/>
                  <w:vAlign w:val="center"/>
                </w:tcPr>
                <w:p w14:paraId="1848D41F">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收集罐</w:t>
                  </w:r>
                </w:p>
              </w:tc>
              <w:tc>
                <w:tcPr>
                  <w:tcW w:w="974" w:type="pct"/>
                  <w:tcBorders>
                    <w:top w:val="single" w:color="auto" w:sz="4" w:space="0"/>
                    <w:left w:val="single" w:color="auto" w:sz="2" w:space="0"/>
                    <w:bottom w:val="single" w:color="auto" w:sz="2" w:space="0"/>
                    <w:right w:val="single" w:color="auto" w:sz="2" w:space="0"/>
                  </w:tcBorders>
                  <w:noWrap w:val="0"/>
                  <w:vAlign w:val="center"/>
                </w:tcPr>
                <w:p w14:paraId="2A645D99">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压裂返排液罐</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75C3A75C">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789E26D1">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75m</w:t>
                  </w:r>
                  <w:r>
                    <w:rPr>
                      <w:rFonts w:hint="default" w:ascii="Times New Roman" w:hAnsi="Times New Roman" w:eastAsia="Calibri" w:cs="Times New Roman"/>
                      <w:color w:val="auto"/>
                      <w:kern w:val="0"/>
                      <w:sz w:val="21"/>
                      <w:szCs w:val="21"/>
                      <w:highlight w:val="none"/>
                      <w:vertAlign w:val="superscript"/>
                      <w:lang w:val="en-US" w:eastAsia="zh-CN" w:bidi="ar"/>
                    </w:rPr>
                    <w:t>3</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683DC9B0">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rPr>
                  </w:pPr>
                  <w:r>
                    <w:rPr>
                      <w:rFonts w:hint="eastAsia" w:ascii="Times New Roman" w:hAnsi="Times New Roman" w:eastAsia="Calibri" w:cs="Times New Roman"/>
                      <w:color w:val="auto"/>
                      <w:kern w:val="0"/>
                      <w:sz w:val="21"/>
                      <w:szCs w:val="21"/>
                      <w:highlight w:val="none"/>
                      <w:lang w:val="en-US" w:eastAsia="zh-CN" w:bidi="ar"/>
                    </w:rPr>
                    <w:t>13</w:t>
                  </w:r>
                  <w:r>
                    <w:rPr>
                      <w:rFonts w:hint="default" w:ascii="Times New Roman" w:hAnsi="Times New Roman" w:eastAsia="宋体" w:cs="Times New Roman"/>
                      <w:color w:val="auto"/>
                      <w:kern w:val="0"/>
                      <w:sz w:val="21"/>
                      <w:szCs w:val="21"/>
                      <w:highlight w:val="none"/>
                      <w:lang w:val="en-US" w:eastAsia="zh-CN" w:bidi="ar"/>
                    </w:rPr>
                    <w:t>个</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394450DF">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含射孔废水</w:t>
                  </w:r>
                </w:p>
              </w:tc>
            </w:tr>
            <w:tr w14:paraId="6CAD5C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3" w:type="pct"/>
                  <w:vMerge w:val="continue"/>
                  <w:tcBorders>
                    <w:top w:val="single" w:color="auto" w:sz="4" w:space="0"/>
                    <w:left w:val="single" w:color="auto" w:sz="2" w:space="0"/>
                    <w:bottom w:val="single" w:color="auto" w:sz="4" w:space="0"/>
                    <w:right w:val="single" w:color="auto" w:sz="2" w:space="0"/>
                  </w:tcBorders>
                  <w:noWrap w:val="0"/>
                  <w:vAlign w:val="center"/>
                </w:tcPr>
                <w:p w14:paraId="361EA0CB">
                  <w:pPr>
                    <w:jc w:val="center"/>
                    <w:rPr>
                      <w:rFonts w:hint="default" w:ascii="Times New Roman" w:hAnsi="Times New Roman" w:cs="Times New Roman"/>
                      <w:color w:val="auto"/>
                      <w:sz w:val="20"/>
                      <w:szCs w:val="20"/>
                      <w:highlight w:val="none"/>
                    </w:rPr>
                  </w:pPr>
                </w:p>
              </w:tc>
              <w:tc>
                <w:tcPr>
                  <w:tcW w:w="566" w:type="pct"/>
                  <w:vMerge w:val="continue"/>
                  <w:tcBorders>
                    <w:top w:val="single" w:color="auto" w:sz="4" w:space="0"/>
                    <w:left w:val="single" w:color="auto" w:sz="2" w:space="0"/>
                    <w:bottom w:val="single" w:color="auto" w:sz="4" w:space="0"/>
                    <w:right w:val="single" w:color="auto" w:sz="2" w:space="0"/>
                  </w:tcBorders>
                  <w:noWrap w:val="0"/>
                  <w:vAlign w:val="center"/>
                </w:tcPr>
                <w:p w14:paraId="0FB25A6A">
                  <w:pPr>
                    <w:jc w:val="center"/>
                    <w:rPr>
                      <w:rFonts w:hint="default" w:ascii="Times New Roman" w:hAnsi="Times New Roman" w:cs="Times New Roman"/>
                      <w:color w:val="auto"/>
                      <w:sz w:val="20"/>
                      <w:szCs w:val="20"/>
                      <w:highlight w:val="none"/>
                    </w:rPr>
                  </w:pPr>
                </w:p>
              </w:tc>
              <w:tc>
                <w:tcPr>
                  <w:tcW w:w="974" w:type="pct"/>
                  <w:tcBorders>
                    <w:top w:val="single" w:color="auto" w:sz="2" w:space="0"/>
                    <w:left w:val="single" w:color="auto" w:sz="2" w:space="0"/>
                    <w:bottom w:val="single" w:color="auto" w:sz="2" w:space="0"/>
                    <w:right w:val="single" w:color="auto" w:sz="2" w:space="0"/>
                  </w:tcBorders>
                  <w:noWrap w:val="0"/>
                  <w:vAlign w:val="center"/>
                </w:tcPr>
                <w:p w14:paraId="2418FA5B">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洗井废水罐</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417DBA32">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Calibri" w:cs="Times New Roman"/>
                      <w:color w:val="auto"/>
                      <w:kern w:val="0"/>
                      <w:sz w:val="21"/>
                      <w:szCs w:val="21"/>
                      <w:highlight w:val="none"/>
                      <w:lang w:val="en-US" w:eastAsia="zh-CN" w:bidi="ar"/>
                    </w:rPr>
                    <w:t>/</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3DFC9949">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Calibri" w:cs="Times New Roman"/>
                      <w:color w:val="auto"/>
                      <w:kern w:val="0"/>
                      <w:sz w:val="21"/>
                      <w:szCs w:val="21"/>
                      <w:highlight w:val="none"/>
                      <w:lang w:val="en-US" w:eastAsia="zh-CN" w:bidi="ar"/>
                    </w:rPr>
                    <w:t>75m</w:t>
                  </w:r>
                  <w:r>
                    <w:rPr>
                      <w:rFonts w:hint="default" w:ascii="Times New Roman" w:hAnsi="Times New Roman" w:eastAsia="Calibri" w:cs="Times New Roman"/>
                      <w:color w:val="auto"/>
                      <w:kern w:val="0"/>
                      <w:sz w:val="21"/>
                      <w:szCs w:val="21"/>
                      <w:highlight w:val="none"/>
                      <w:vertAlign w:val="superscript"/>
                      <w:lang w:val="en-US" w:eastAsia="zh-CN" w:bidi="ar"/>
                    </w:rPr>
                    <w:t>3</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00F4DE70">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Calibri" w:cs="Times New Roman"/>
                      <w:color w:val="auto"/>
                      <w:kern w:val="0"/>
                      <w:sz w:val="21"/>
                      <w:szCs w:val="21"/>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个</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6F546733">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w:t>
                  </w:r>
                </w:p>
              </w:tc>
            </w:tr>
            <w:tr w14:paraId="4FB93F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 w:hRule="atLeast"/>
                <w:jc w:val="center"/>
              </w:trPr>
              <w:tc>
                <w:tcPr>
                  <w:tcW w:w="243" w:type="pct"/>
                  <w:vMerge w:val="continue"/>
                  <w:tcBorders>
                    <w:top w:val="single" w:color="auto" w:sz="4" w:space="0"/>
                    <w:left w:val="single" w:color="auto" w:sz="2" w:space="0"/>
                    <w:bottom w:val="single" w:color="auto" w:sz="4" w:space="0"/>
                    <w:right w:val="single" w:color="auto" w:sz="2" w:space="0"/>
                  </w:tcBorders>
                  <w:noWrap w:val="0"/>
                  <w:vAlign w:val="center"/>
                </w:tcPr>
                <w:p w14:paraId="6F14E689">
                  <w:pPr>
                    <w:jc w:val="center"/>
                    <w:rPr>
                      <w:rFonts w:hint="default" w:ascii="Times New Roman" w:hAnsi="Times New Roman" w:cs="Times New Roman"/>
                      <w:color w:val="auto"/>
                      <w:sz w:val="20"/>
                      <w:szCs w:val="20"/>
                      <w:highlight w:val="none"/>
                    </w:rPr>
                  </w:pPr>
                </w:p>
              </w:tc>
              <w:tc>
                <w:tcPr>
                  <w:tcW w:w="566" w:type="pct"/>
                  <w:vMerge w:val="continue"/>
                  <w:tcBorders>
                    <w:top w:val="single" w:color="auto" w:sz="4" w:space="0"/>
                    <w:left w:val="single" w:color="auto" w:sz="2" w:space="0"/>
                    <w:bottom w:val="single" w:color="auto" w:sz="4" w:space="0"/>
                    <w:right w:val="single" w:color="auto" w:sz="2" w:space="0"/>
                  </w:tcBorders>
                  <w:noWrap w:val="0"/>
                  <w:vAlign w:val="center"/>
                </w:tcPr>
                <w:p w14:paraId="42961D97">
                  <w:pPr>
                    <w:jc w:val="center"/>
                    <w:rPr>
                      <w:rFonts w:hint="default" w:ascii="Times New Roman" w:hAnsi="Times New Roman" w:cs="Times New Roman"/>
                      <w:color w:val="auto"/>
                      <w:sz w:val="20"/>
                      <w:szCs w:val="20"/>
                      <w:highlight w:val="none"/>
                    </w:rPr>
                  </w:pPr>
                </w:p>
              </w:tc>
              <w:tc>
                <w:tcPr>
                  <w:tcW w:w="974" w:type="pct"/>
                  <w:tcBorders>
                    <w:top w:val="single" w:color="auto" w:sz="2" w:space="0"/>
                    <w:left w:val="single" w:color="auto" w:sz="2" w:space="0"/>
                    <w:bottom w:val="single" w:color="auto" w:sz="2" w:space="0"/>
                    <w:right w:val="single" w:color="auto" w:sz="2" w:space="0"/>
                  </w:tcBorders>
                  <w:noWrap w:val="0"/>
                  <w:vAlign w:val="center"/>
                </w:tcPr>
                <w:p w14:paraId="6AC17508">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移动式泥饼收集罐</w:t>
                  </w:r>
                </w:p>
              </w:tc>
              <w:tc>
                <w:tcPr>
                  <w:tcW w:w="1327" w:type="pct"/>
                  <w:vMerge w:val="restart"/>
                  <w:tcBorders>
                    <w:top w:val="single" w:color="auto" w:sz="2" w:space="0"/>
                    <w:left w:val="single" w:color="auto" w:sz="2" w:space="0"/>
                    <w:right w:val="single" w:color="auto" w:sz="2" w:space="0"/>
                  </w:tcBorders>
                  <w:noWrap w:val="0"/>
                  <w:vAlign w:val="center"/>
                </w:tcPr>
                <w:p w14:paraId="5090746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w:t>
                  </w:r>
                </w:p>
              </w:tc>
              <w:tc>
                <w:tcPr>
                  <w:tcW w:w="553" w:type="pct"/>
                  <w:vMerge w:val="restart"/>
                  <w:tcBorders>
                    <w:top w:val="single" w:color="auto" w:sz="2" w:space="0"/>
                    <w:left w:val="single" w:color="auto" w:sz="2" w:space="0"/>
                    <w:right w:val="single" w:color="auto" w:sz="2" w:space="0"/>
                  </w:tcBorders>
                  <w:noWrap w:val="0"/>
                  <w:vAlign w:val="center"/>
                </w:tcPr>
                <w:p w14:paraId="1824523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100m</w:t>
                  </w:r>
                  <w:r>
                    <w:rPr>
                      <w:rFonts w:hint="default" w:ascii="Times New Roman" w:hAnsi="Times New Roman" w:eastAsia="Calibri" w:cs="Times New Roman"/>
                      <w:color w:val="auto"/>
                      <w:kern w:val="0"/>
                      <w:sz w:val="21"/>
                      <w:szCs w:val="21"/>
                      <w:highlight w:val="none"/>
                      <w:vertAlign w:val="superscript"/>
                      <w:lang w:val="en-US" w:eastAsia="zh-CN" w:bidi="ar"/>
                    </w:rPr>
                    <w:t>3</w:t>
                  </w:r>
                </w:p>
              </w:tc>
              <w:tc>
                <w:tcPr>
                  <w:tcW w:w="517" w:type="pct"/>
                  <w:vMerge w:val="restart"/>
                  <w:tcBorders>
                    <w:top w:val="single" w:color="auto" w:sz="2" w:space="0"/>
                    <w:left w:val="single" w:color="auto" w:sz="2" w:space="0"/>
                    <w:right w:val="single" w:color="auto" w:sz="2" w:space="0"/>
                  </w:tcBorders>
                  <w:noWrap w:val="0"/>
                  <w:vAlign w:val="center"/>
                </w:tcPr>
                <w:p w14:paraId="60240A6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eastAsia" w:ascii="Times New Roman" w:hAnsi="Times New Roman" w:eastAsia="宋体" w:cs="Times New Roman"/>
                      <w:color w:val="auto"/>
                      <w:kern w:val="0"/>
                      <w:sz w:val="21"/>
                      <w:szCs w:val="21"/>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个</w:t>
                  </w:r>
                </w:p>
              </w:tc>
              <w:tc>
                <w:tcPr>
                  <w:tcW w:w="817" w:type="pct"/>
                  <w:vMerge w:val="restart"/>
                  <w:tcBorders>
                    <w:top w:val="single" w:color="auto" w:sz="2" w:space="0"/>
                    <w:left w:val="single" w:color="auto" w:sz="2" w:space="0"/>
                    <w:right w:val="single" w:color="auto" w:sz="2" w:space="0"/>
                  </w:tcBorders>
                  <w:noWrap w:val="0"/>
                  <w:vAlign w:val="center"/>
                </w:tcPr>
                <w:p w14:paraId="280813D5">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w:t>
                  </w:r>
                </w:p>
              </w:tc>
            </w:tr>
            <w:tr w14:paraId="640A69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 w:hRule="atLeast"/>
                <w:jc w:val="center"/>
              </w:trPr>
              <w:tc>
                <w:tcPr>
                  <w:tcW w:w="243" w:type="pct"/>
                  <w:vMerge w:val="continue"/>
                  <w:tcBorders>
                    <w:top w:val="single" w:color="auto" w:sz="4" w:space="0"/>
                    <w:left w:val="single" w:color="auto" w:sz="2" w:space="0"/>
                    <w:bottom w:val="single" w:color="auto" w:sz="4" w:space="0"/>
                    <w:right w:val="single" w:color="auto" w:sz="2" w:space="0"/>
                  </w:tcBorders>
                  <w:noWrap w:val="0"/>
                  <w:vAlign w:val="center"/>
                </w:tcPr>
                <w:p w14:paraId="0AF3752F">
                  <w:pPr>
                    <w:keepNext w:val="0"/>
                    <w:keepLines w:val="0"/>
                    <w:widowControl w:val="0"/>
                    <w:suppressLineNumbers w:val="0"/>
                    <w:adjustRightInd w:val="0"/>
                    <w:snapToGrid w:val="0"/>
                    <w:spacing w:before="0" w:beforeAutospacing="0" w:after="0" w:afterAutospacing="0"/>
                    <w:ind w:left="0" w:right="0"/>
                    <w:jc w:val="center"/>
                    <w:rPr>
                      <w:color w:val="auto"/>
                      <w:highlight w:val="none"/>
                    </w:rPr>
                  </w:pPr>
                </w:p>
              </w:tc>
              <w:tc>
                <w:tcPr>
                  <w:tcW w:w="566" w:type="pct"/>
                  <w:vMerge w:val="continue"/>
                  <w:tcBorders>
                    <w:top w:val="single" w:color="auto" w:sz="4" w:space="0"/>
                    <w:left w:val="single" w:color="auto" w:sz="2" w:space="0"/>
                    <w:bottom w:val="single" w:color="auto" w:sz="4" w:space="0"/>
                    <w:right w:val="single" w:color="auto" w:sz="2" w:space="0"/>
                  </w:tcBorders>
                  <w:noWrap w:val="0"/>
                  <w:vAlign w:val="center"/>
                </w:tcPr>
                <w:p w14:paraId="47FFE6AA">
                  <w:pPr>
                    <w:keepNext w:val="0"/>
                    <w:keepLines w:val="0"/>
                    <w:widowControl w:val="0"/>
                    <w:suppressLineNumbers w:val="0"/>
                    <w:adjustRightInd w:val="0"/>
                    <w:snapToGrid w:val="0"/>
                    <w:spacing w:before="0" w:beforeAutospacing="0" w:after="0" w:afterAutospacing="0"/>
                    <w:ind w:left="0" w:right="0"/>
                    <w:jc w:val="center"/>
                    <w:rPr>
                      <w:color w:val="auto"/>
                      <w:highlight w:val="none"/>
                    </w:rPr>
                  </w:pPr>
                </w:p>
              </w:tc>
              <w:tc>
                <w:tcPr>
                  <w:tcW w:w="974" w:type="pct"/>
                  <w:tcBorders>
                    <w:top w:val="single" w:color="auto" w:sz="2" w:space="0"/>
                    <w:left w:val="single" w:color="auto" w:sz="2" w:space="0"/>
                    <w:bottom w:val="single" w:color="auto" w:sz="2" w:space="0"/>
                    <w:right w:val="single" w:color="auto" w:sz="2" w:space="0"/>
                  </w:tcBorders>
                  <w:noWrap w:val="0"/>
                  <w:vAlign w:val="center"/>
                </w:tcPr>
                <w:p w14:paraId="5A23D367">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移动式</w:t>
                  </w:r>
                  <w:r>
                    <w:rPr>
                      <w:rFonts w:hint="default" w:ascii="Times New Roman" w:hAnsi="Times New Roman" w:eastAsia="宋体" w:cs="Times New Roman"/>
                      <w:color w:val="auto"/>
                      <w:kern w:val="0"/>
                      <w:sz w:val="21"/>
                      <w:szCs w:val="21"/>
                      <w:highlight w:val="none"/>
                      <w:lang w:val="en-US" w:eastAsia="zh-CN" w:bidi="ar"/>
                    </w:rPr>
                    <w:t>岩屑</w:t>
                  </w:r>
                  <w:r>
                    <w:rPr>
                      <w:rFonts w:hint="eastAsia" w:ascii="Times New Roman" w:hAnsi="Times New Roman" w:eastAsia="宋体" w:cs="Times New Roman"/>
                      <w:color w:val="auto"/>
                      <w:kern w:val="0"/>
                      <w:sz w:val="21"/>
                      <w:szCs w:val="21"/>
                      <w:highlight w:val="none"/>
                      <w:lang w:val="en-US" w:eastAsia="zh-CN" w:bidi="ar"/>
                    </w:rPr>
                    <w:t>收集</w:t>
                  </w:r>
                  <w:r>
                    <w:rPr>
                      <w:rFonts w:hint="default" w:ascii="Times New Roman" w:hAnsi="Times New Roman" w:eastAsia="宋体" w:cs="Times New Roman"/>
                      <w:color w:val="auto"/>
                      <w:kern w:val="0"/>
                      <w:sz w:val="21"/>
                      <w:szCs w:val="21"/>
                      <w:highlight w:val="none"/>
                      <w:lang w:val="en-US" w:eastAsia="zh-CN" w:bidi="ar"/>
                    </w:rPr>
                    <w:t>罐</w:t>
                  </w:r>
                </w:p>
              </w:tc>
              <w:tc>
                <w:tcPr>
                  <w:tcW w:w="1327" w:type="pct"/>
                  <w:vMerge w:val="continue"/>
                  <w:tcBorders>
                    <w:left w:val="single" w:color="auto" w:sz="2" w:space="0"/>
                    <w:bottom w:val="single" w:color="auto" w:sz="2" w:space="0"/>
                    <w:right w:val="single" w:color="auto" w:sz="2" w:space="0"/>
                  </w:tcBorders>
                  <w:noWrap w:val="0"/>
                  <w:vAlign w:val="center"/>
                </w:tcPr>
                <w:p w14:paraId="21E1C932">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kern w:val="0"/>
                      <w:sz w:val="21"/>
                      <w:szCs w:val="21"/>
                      <w:highlight w:val="none"/>
                      <w:lang w:val="en-US" w:eastAsia="zh-CN" w:bidi="ar"/>
                    </w:rPr>
                  </w:pPr>
                </w:p>
              </w:tc>
              <w:tc>
                <w:tcPr>
                  <w:tcW w:w="553" w:type="pct"/>
                  <w:vMerge w:val="continue"/>
                  <w:tcBorders>
                    <w:left w:val="single" w:color="auto" w:sz="2" w:space="0"/>
                    <w:bottom w:val="single" w:color="auto" w:sz="2" w:space="0"/>
                    <w:right w:val="single" w:color="auto" w:sz="2" w:space="0"/>
                  </w:tcBorders>
                  <w:noWrap w:val="0"/>
                  <w:vAlign w:val="center"/>
                </w:tcPr>
                <w:p w14:paraId="2DDB0CC1">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kern w:val="0"/>
                      <w:sz w:val="21"/>
                      <w:szCs w:val="21"/>
                      <w:highlight w:val="none"/>
                      <w:lang w:val="en-US" w:eastAsia="zh-CN" w:bidi="ar"/>
                    </w:rPr>
                  </w:pPr>
                </w:p>
              </w:tc>
              <w:tc>
                <w:tcPr>
                  <w:tcW w:w="517" w:type="pct"/>
                  <w:vMerge w:val="continue"/>
                  <w:tcBorders>
                    <w:left w:val="single" w:color="auto" w:sz="2" w:space="0"/>
                    <w:bottom w:val="single" w:color="auto" w:sz="2" w:space="0"/>
                    <w:right w:val="single" w:color="auto" w:sz="2" w:space="0"/>
                  </w:tcBorders>
                  <w:noWrap w:val="0"/>
                  <w:vAlign w:val="center"/>
                </w:tcPr>
                <w:p w14:paraId="130D9C9D">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kern w:val="0"/>
                      <w:sz w:val="21"/>
                      <w:szCs w:val="21"/>
                      <w:highlight w:val="none"/>
                      <w:lang w:val="en-US" w:eastAsia="zh-CN" w:bidi="ar"/>
                    </w:rPr>
                  </w:pPr>
                </w:p>
              </w:tc>
              <w:tc>
                <w:tcPr>
                  <w:tcW w:w="817" w:type="pct"/>
                  <w:vMerge w:val="continue"/>
                  <w:tcBorders>
                    <w:left w:val="single" w:color="auto" w:sz="2" w:space="0"/>
                    <w:bottom w:val="single" w:color="auto" w:sz="2" w:space="0"/>
                    <w:right w:val="single" w:color="auto" w:sz="2" w:space="0"/>
                  </w:tcBorders>
                  <w:noWrap w:val="0"/>
                  <w:vAlign w:val="center"/>
                </w:tcPr>
                <w:p w14:paraId="49170222">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kern w:val="0"/>
                      <w:sz w:val="21"/>
                      <w:szCs w:val="21"/>
                      <w:highlight w:val="none"/>
                      <w:lang w:val="en-US" w:eastAsia="zh-CN" w:bidi="ar"/>
                    </w:rPr>
                  </w:pPr>
                </w:p>
              </w:tc>
            </w:tr>
            <w:tr w14:paraId="5916A1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 w:hRule="atLeast"/>
                <w:jc w:val="center"/>
              </w:trPr>
              <w:tc>
                <w:tcPr>
                  <w:tcW w:w="243" w:type="pct"/>
                  <w:vMerge w:val="continue"/>
                  <w:tcBorders>
                    <w:top w:val="single" w:color="auto" w:sz="4" w:space="0"/>
                    <w:left w:val="single" w:color="auto" w:sz="2" w:space="0"/>
                    <w:bottom w:val="single" w:color="auto" w:sz="4" w:space="0"/>
                    <w:right w:val="single" w:color="auto" w:sz="2" w:space="0"/>
                  </w:tcBorders>
                  <w:noWrap w:val="0"/>
                  <w:vAlign w:val="center"/>
                </w:tcPr>
                <w:p w14:paraId="7FFFC67F">
                  <w:pPr>
                    <w:jc w:val="center"/>
                    <w:rPr>
                      <w:rFonts w:hint="default" w:ascii="Times New Roman" w:hAnsi="Times New Roman" w:cs="Times New Roman"/>
                      <w:color w:val="auto"/>
                      <w:sz w:val="20"/>
                      <w:szCs w:val="20"/>
                      <w:highlight w:val="none"/>
                    </w:rPr>
                  </w:pPr>
                </w:p>
              </w:tc>
              <w:tc>
                <w:tcPr>
                  <w:tcW w:w="566" w:type="pct"/>
                  <w:vMerge w:val="continue"/>
                  <w:tcBorders>
                    <w:top w:val="single" w:color="auto" w:sz="4" w:space="0"/>
                    <w:left w:val="single" w:color="auto" w:sz="2" w:space="0"/>
                    <w:bottom w:val="single" w:color="auto" w:sz="4" w:space="0"/>
                    <w:right w:val="single" w:color="auto" w:sz="2" w:space="0"/>
                  </w:tcBorders>
                  <w:noWrap w:val="0"/>
                  <w:vAlign w:val="center"/>
                </w:tcPr>
                <w:p w14:paraId="71E4B000">
                  <w:pPr>
                    <w:jc w:val="center"/>
                    <w:rPr>
                      <w:rFonts w:hint="default" w:ascii="Times New Roman" w:hAnsi="Times New Roman" w:cs="Times New Roman"/>
                      <w:color w:val="auto"/>
                      <w:sz w:val="20"/>
                      <w:szCs w:val="20"/>
                      <w:highlight w:val="none"/>
                    </w:rPr>
                  </w:pPr>
                </w:p>
              </w:tc>
              <w:tc>
                <w:tcPr>
                  <w:tcW w:w="974" w:type="pct"/>
                  <w:tcBorders>
                    <w:top w:val="single" w:color="auto" w:sz="2" w:space="0"/>
                    <w:left w:val="single" w:color="auto" w:sz="2" w:space="0"/>
                    <w:bottom w:val="single" w:color="auto" w:sz="2" w:space="0"/>
                    <w:right w:val="single" w:color="auto" w:sz="2" w:space="0"/>
                  </w:tcBorders>
                  <w:noWrap w:val="0"/>
                  <w:vAlign w:val="center"/>
                </w:tcPr>
                <w:p w14:paraId="546AE92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放喷废</w:t>
                  </w:r>
                  <w:r>
                    <w:rPr>
                      <w:rFonts w:hint="eastAsia" w:ascii="Times New Roman" w:hAnsi="Times New Roman" w:cs="Times New Roman"/>
                      <w:color w:val="auto"/>
                      <w:kern w:val="0"/>
                      <w:sz w:val="21"/>
                      <w:szCs w:val="21"/>
                      <w:highlight w:val="none"/>
                      <w:lang w:val="en-US" w:eastAsia="zh-CN" w:bidi="ar"/>
                    </w:rPr>
                    <w:t>水</w:t>
                  </w:r>
                  <w:r>
                    <w:rPr>
                      <w:rFonts w:hint="default" w:ascii="Times New Roman" w:hAnsi="Times New Roman" w:eastAsia="宋体" w:cs="Times New Roman"/>
                      <w:color w:val="auto"/>
                      <w:kern w:val="0"/>
                      <w:sz w:val="21"/>
                      <w:szCs w:val="21"/>
                      <w:highlight w:val="none"/>
                      <w:lang w:val="en-US" w:eastAsia="zh-CN" w:bidi="ar"/>
                    </w:rPr>
                    <w:t>收集</w:t>
                  </w:r>
                  <w:r>
                    <w:rPr>
                      <w:rFonts w:hint="eastAsia" w:ascii="Times New Roman" w:hAnsi="Times New Roman" w:cs="Times New Roman"/>
                      <w:color w:val="auto"/>
                      <w:kern w:val="0"/>
                      <w:sz w:val="21"/>
                      <w:szCs w:val="21"/>
                      <w:highlight w:val="none"/>
                      <w:lang w:val="en-US" w:eastAsia="zh-CN" w:bidi="ar"/>
                    </w:rPr>
                    <w:t>罐（放喷罐）</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042094C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24DF8B8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eastAsia" w:ascii="Times New Roman" w:hAnsi="Times New Roman" w:eastAsia="Calibri" w:cs="Times New Roman"/>
                      <w:color w:val="auto"/>
                      <w:kern w:val="0"/>
                      <w:sz w:val="21"/>
                      <w:szCs w:val="21"/>
                      <w:highlight w:val="none"/>
                      <w:lang w:val="en-US" w:eastAsia="zh-CN" w:bidi="ar"/>
                    </w:rPr>
                    <w:t>20</w:t>
                  </w:r>
                  <w:r>
                    <w:rPr>
                      <w:rFonts w:hint="default" w:ascii="Times New Roman" w:hAnsi="Times New Roman" w:eastAsia="Calibri" w:cs="Times New Roman"/>
                      <w:color w:val="auto"/>
                      <w:kern w:val="0"/>
                      <w:sz w:val="21"/>
                      <w:szCs w:val="21"/>
                      <w:highlight w:val="none"/>
                      <w:lang w:val="en-US" w:eastAsia="zh-CN" w:bidi="ar"/>
                    </w:rPr>
                    <w:t>m</w:t>
                  </w:r>
                  <w:r>
                    <w:rPr>
                      <w:rFonts w:hint="default" w:ascii="Times New Roman" w:hAnsi="Times New Roman" w:eastAsia="Calibri" w:cs="Times New Roman"/>
                      <w:color w:val="auto"/>
                      <w:kern w:val="0"/>
                      <w:sz w:val="21"/>
                      <w:szCs w:val="21"/>
                      <w:highlight w:val="none"/>
                      <w:vertAlign w:val="superscript"/>
                      <w:lang w:val="en-US" w:eastAsia="zh-CN" w:bidi="ar"/>
                    </w:rPr>
                    <w:t>3</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7F3E8DD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个</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34C7AE8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4FEF49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 w:hRule="atLeast"/>
                <w:jc w:val="center"/>
              </w:trPr>
              <w:tc>
                <w:tcPr>
                  <w:tcW w:w="243" w:type="pct"/>
                  <w:vMerge w:val="continue"/>
                  <w:tcBorders>
                    <w:top w:val="single" w:color="auto" w:sz="4" w:space="0"/>
                    <w:left w:val="single" w:color="auto" w:sz="2" w:space="0"/>
                    <w:bottom w:val="single" w:color="auto" w:sz="4" w:space="0"/>
                    <w:right w:val="single" w:color="auto" w:sz="2" w:space="0"/>
                  </w:tcBorders>
                  <w:noWrap w:val="0"/>
                  <w:vAlign w:val="center"/>
                </w:tcPr>
                <w:p w14:paraId="6F0CFF3F">
                  <w:pPr>
                    <w:jc w:val="center"/>
                    <w:rPr>
                      <w:rFonts w:hint="default" w:ascii="Times New Roman" w:hAnsi="Times New Roman" w:cs="Times New Roman"/>
                      <w:color w:val="auto"/>
                      <w:sz w:val="20"/>
                      <w:szCs w:val="20"/>
                      <w:highlight w:val="none"/>
                    </w:rPr>
                  </w:pPr>
                </w:p>
              </w:tc>
              <w:tc>
                <w:tcPr>
                  <w:tcW w:w="566" w:type="pct"/>
                  <w:vMerge w:val="continue"/>
                  <w:tcBorders>
                    <w:top w:val="single" w:color="auto" w:sz="4" w:space="0"/>
                    <w:left w:val="single" w:color="auto" w:sz="2" w:space="0"/>
                    <w:bottom w:val="single" w:color="auto" w:sz="4" w:space="0"/>
                    <w:right w:val="single" w:color="auto" w:sz="2" w:space="0"/>
                  </w:tcBorders>
                  <w:noWrap w:val="0"/>
                  <w:vAlign w:val="center"/>
                </w:tcPr>
                <w:p w14:paraId="7B616ACD">
                  <w:pPr>
                    <w:jc w:val="center"/>
                    <w:rPr>
                      <w:rFonts w:hint="default" w:ascii="Times New Roman" w:hAnsi="Times New Roman" w:cs="Times New Roman"/>
                      <w:color w:val="auto"/>
                      <w:sz w:val="20"/>
                      <w:szCs w:val="20"/>
                      <w:highlight w:val="none"/>
                    </w:rPr>
                  </w:pPr>
                </w:p>
              </w:tc>
              <w:tc>
                <w:tcPr>
                  <w:tcW w:w="974" w:type="pct"/>
                  <w:tcBorders>
                    <w:top w:val="single" w:color="auto" w:sz="2" w:space="0"/>
                    <w:left w:val="single" w:color="auto" w:sz="2" w:space="0"/>
                    <w:bottom w:val="single" w:color="auto" w:sz="2" w:space="0"/>
                    <w:right w:val="single" w:color="auto" w:sz="2" w:space="0"/>
                  </w:tcBorders>
                  <w:noWrap w:val="0"/>
                  <w:vAlign w:val="center"/>
                </w:tcPr>
                <w:p w14:paraId="4C21767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应急罐</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13F0FAD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Calibri" w:cs="Times New Roman"/>
                      <w:color w:val="auto"/>
                      <w:kern w:val="0"/>
                      <w:sz w:val="21"/>
                      <w:szCs w:val="21"/>
                      <w:highlight w:val="none"/>
                      <w:lang w:val="en-US" w:eastAsia="zh-CN" w:bidi="ar"/>
                    </w:rPr>
                  </w:pPr>
                  <w:r>
                    <w:rPr>
                      <w:rFonts w:hint="eastAsia" w:ascii="Times New Roman" w:hAnsi="Times New Roman" w:eastAsia="Calibri" w:cs="Times New Roman"/>
                      <w:color w:val="auto"/>
                      <w:kern w:val="0"/>
                      <w:sz w:val="21"/>
                      <w:szCs w:val="21"/>
                      <w:highlight w:val="none"/>
                      <w:lang w:val="en-US" w:eastAsia="zh-CN" w:bidi="ar"/>
                    </w:rPr>
                    <w:t>/</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07CAE685">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Calibri" w:cs="Times New Roman"/>
                      <w:color w:val="auto"/>
                      <w:kern w:val="0"/>
                      <w:sz w:val="21"/>
                      <w:szCs w:val="21"/>
                      <w:highlight w:val="none"/>
                      <w:lang w:val="en-US" w:eastAsia="zh-CN" w:bidi="ar"/>
                    </w:rPr>
                    <w:t>100m</w:t>
                  </w:r>
                  <w:r>
                    <w:rPr>
                      <w:rFonts w:hint="default" w:ascii="Times New Roman" w:hAnsi="Times New Roman" w:eastAsia="Calibri" w:cs="Times New Roman"/>
                      <w:color w:val="auto"/>
                      <w:kern w:val="0"/>
                      <w:sz w:val="21"/>
                      <w:szCs w:val="21"/>
                      <w:highlight w:val="none"/>
                      <w:vertAlign w:val="superscript"/>
                      <w:lang w:val="en-US" w:eastAsia="zh-CN" w:bidi="ar"/>
                    </w:rPr>
                    <w:t>3</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111428BD">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个</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1351C7A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r>
            <w:tr w14:paraId="44B847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3" w:type="pct"/>
                  <w:tcBorders>
                    <w:top w:val="single" w:color="auto" w:sz="4" w:space="0"/>
                    <w:left w:val="single" w:color="auto" w:sz="2" w:space="0"/>
                    <w:bottom w:val="single" w:color="auto" w:sz="2" w:space="0"/>
                    <w:right w:val="single" w:color="auto" w:sz="2" w:space="0"/>
                  </w:tcBorders>
                  <w:noWrap w:val="0"/>
                  <w:vAlign w:val="center"/>
                </w:tcPr>
                <w:p w14:paraId="0A31162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8</w:t>
                  </w:r>
                </w:p>
              </w:tc>
              <w:tc>
                <w:tcPr>
                  <w:tcW w:w="566" w:type="pct"/>
                  <w:tcBorders>
                    <w:top w:val="single" w:color="auto" w:sz="4" w:space="0"/>
                    <w:left w:val="single" w:color="auto" w:sz="2" w:space="0"/>
                    <w:bottom w:val="single" w:color="auto" w:sz="2" w:space="0"/>
                    <w:right w:val="single" w:color="auto" w:sz="2" w:space="0"/>
                  </w:tcBorders>
                  <w:noWrap w:val="0"/>
                  <w:vAlign w:val="center"/>
                </w:tcPr>
                <w:p w14:paraId="27FD215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压裂设备</w:t>
                  </w:r>
                </w:p>
              </w:tc>
              <w:tc>
                <w:tcPr>
                  <w:tcW w:w="974" w:type="pct"/>
                  <w:tcBorders>
                    <w:top w:val="single" w:color="auto" w:sz="2" w:space="0"/>
                    <w:left w:val="single" w:color="auto" w:sz="2" w:space="0"/>
                    <w:bottom w:val="single" w:color="auto" w:sz="2" w:space="0"/>
                    <w:right w:val="single" w:color="auto" w:sz="2" w:space="0"/>
                  </w:tcBorders>
                  <w:noWrap w:val="0"/>
                  <w:vAlign w:val="center"/>
                </w:tcPr>
                <w:p w14:paraId="3488DDC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压裂车</w:t>
                  </w:r>
                </w:p>
              </w:tc>
              <w:tc>
                <w:tcPr>
                  <w:tcW w:w="1327" w:type="pct"/>
                  <w:tcBorders>
                    <w:top w:val="single" w:color="auto" w:sz="2" w:space="0"/>
                    <w:left w:val="single" w:color="auto" w:sz="2" w:space="0"/>
                    <w:bottom w:val="single" w:color="auto" w:sz="2" w:space="0"/>
                    <w:right w:val="single" w:color="auto" w:sz="2" w:space="0"/>
                  </w:tcBorders>
                  <w:noWrap w:val="0"/>
                  <w:vAlign w:val="center"/>
                </w:tcPr>
                <w:p w14:paraId="0B783BA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553" w:type="pct"/>
                  <w:tcBorders>
                    <w:top w:val="single" w:color="auto" w:sz="2" w:space="0"/>
                    <w:left w:val="single" w:color="auto" w:sz="2" w:space="0"/>
                    <w:bottom w:val="single" w:color="auto" w:sz="2" w:space="0"/>
                    <w:right w:val="single" w:color="auto" w:sz="2" w:space="0"/>
                  </w:tcBorders>
                  <w:noWrap w:val="0"/>
                  <w:vAlign w:val="center"/>
                </w:tcPr>
                <w:p w14:paraId="35B07B9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517" w:type="pct"/>
                  <w:tcBorders>
                    <w:top w:val="single" w:color="auto" w:sz="2" w:space="0"/>
                    <w:left w:val="single" w:color="auto" w:sz="2" w:space="0"/>
                    <w:bottom w:val="single" w:color="auto" w:sz="2" w:space="0"/>
                    <w:right w:val="single" w:color="auto" w:sz="2" w:space="0"/>
                  </w:tcBorders>
                  <w:noWrap w:val="0"/>
                  <w:vAlign w:val="center"/>
                </w:tcPr>
                <w:p w14:paraId="2CCE6A7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4</w:t>
                  </w:r>
                  <w:r>
                    <w:rPr>
                      <w:rFonts w:hint="default" w:ascii="Times New Roman" w:hAnsi="Times New Roman" w:eastAsia="宋体" w:cs="Times New Roman"/>
                      <w:color w:val="auto"/>
                      <w:kern w:val="0"/>
                      <w:sz w:val="21"/>
                      <w:szCs w:val="21"/>
                      <w:highlight w:val="none"/>
                      <w:lang w:val="en-US" w:eastAsia="zh-CN" w:bidi="ar"/>
                    </w:rPr>
                    <w:t>台</w:t>
                  </w:r>
                </w:p>
              </w:tc>
              <w:tc>
                <w:tcPr>
                  <w:tcW w:w="817" w:type="pct"/>
                  <w:tcBorders>
                    <w:top w:val="single" w:color="auto" w:sz="2" w:space="0"/>
                    <w:left w:val="single" w:color="auto" w:sz="2" w:space="0"/>
                    <w:bottom w:val="single" w:color="auto" w:sz="2" w:space="0"/>
                    <w:right w:val="single" w:color="auto" w:sz="2" w:space="0"/>
                  </w:tcBorders>
                  <w:noWrap w:val="0"/>
                  <w:vAlign w:val="center"/>
                </w:tcPr>
                <w:p w14:paraId="22B533F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由发动机、液力传动箱、压力泵、吸入排出管汇、安全系统、润滑系统、电路系统、液压系统、仪表及控制系统等组成</w:t>
                  </w:r>
                </w:p>
              </w:tc>
            </w:tr>
          </w:tbl>
          <w:p w14:paraId="35AB74A3">
            <w:pPr>
              <w:pStyle w:val="20"/>
              <w:widowControl/>
              <w:adjustRightInd/>
              <w:snapToGrid/>
              <w:ind w:left="0"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val="en-US" w:eastAsia="zh-CN"/>
              </w:rPr>
              <w:t>）测井设备</w:t>
            </w:r>
          </w:p>
          <w:p w14:paraId="31764FB7">
            <w:pPr>
              <w:pStyle w:val="20"/>
              <w:widowControl/>
              <w:adjustRightInd/>
              <w:snapToGrid/>
              <w:ind w:left="0"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测井是利用专用仪器设备测量岩层的电化学特性、导电特性、声学特性、放射性等地球物理特性，以获取岩层的孔隙度、渗透率以及含气情况等地层信息。本项目完井测井采用CPlog系列仪器，小井眼采用吉艾GILEE系列仪器，测井项目包括双侧向、声波时差、自然伽马、自然电位、井径、方位等。</w:t>
            </w:r>
          </w:p>
          <w:p w14:paraId="6A210517">
            <w:pPr>
              <w:pStyle w:val="20"/>
              <w:widowControl/>
              <w:adjustRightInd/>
              <w:snapToGrid/>
              <w:ind w:left="0"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val="en-US" w:eastAsia="zh-CN"/>
              </w:rPr>
              <w:t>）录井设备</w:t>
            </w:r>
          </w:p>
          <w:p w14:paraId="63F29E3C">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kern w:val="0"/>
                <w:sz w:val="24"/>
                <w:szCs w:val="21"/>
                <w:highlight w:val="none"/>
                <w:lang w:val="en-US" w:eastAsia="zh-CN" w:bidi="ar"/>
              </w:rPr>
            </w:pPr>
            <w:r>
              <w:rPr>
                <w:rFonts w:hint="default" w:ascii="Times New Roman" w:hAnsi="Times New Roman" w:eastAsia="宋体" w:cs="Times New Roman"/>
                <w:color w:val="auto"/>
                <w:kern w:val="0"/>
                <w:sz w:val="24"/>
                <w:szCs w:val="21"/>
                <w:highlight w:val="none"/>
                <w:lang w:val="en-US" w:eastAsia="zh-CN" w:bidi="ar"/>
              </w:rPr>
              <w:t>录井是利用肉眼、综合录井仪，观察、采集、收集、记录、分析随钻过程中由井筒返出的固体、液体、气体等井筒返出物信息，以此建立录井地质剖面、发现油气显示，并为钻井提供信息服务。录井主要设备为综合录井仪</w:t>
            </w:r>
            <w:r>
              <w:rPr>
                <w:rFonts w:hint="eastAsia" w:ascii="Times New Roman" w:hAnsi="Times New Roman" w:eastAsia="宋体" w:cs="Times New Roman"/>
                <w:color w:val="auto"/>
                <w:kern w:val="0"/>
                <w:sz w:val="24"/>
                <w:szCs w:val="21"/>
                <w:highlight w:val="none"/>
                <w:lang w:val="en-US" w:eastAsia="zh-CN" w:bidi="ar"/>
              </w:rPr>
              <w:t>。</w:t>
            </w:r>
          </w:p>
          <w:p w14:paraId="6DCA94BA">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eastAsia="zh-CN"/>
              </w:rPr>
              <w:t>）钻井泥浆固液分离设备</w:t>
            </w:r>
          </w:p>
          <w:p w14:paraId="6ED6510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钻井泥浆固液分离设备见表2-</w:t>
            </w:r>
            <w:r>
              <w:rPr>
                <w:rFonts w:hint="eastAsia" w:ascii="Times New Roman" w:hAnsi="Times New Roman" w:eastAsia="宋体" w:cs="Times New Roman"/>
                <w:b w:val="0"/>
                <w:bCs w:val="0"/>
                <w:color w:val="auto"/>
                <w:sz w:val="24"/>
                <w:szCs w:val="24"/>
                <w:highlight w:val="none"/>
                <w:vertAlign w:val="baseline"/>
                <w:lang w:val="en-US" w:eastAsia="zh-CN"/>
              </w:rPr>
              <w:t>8</w:t>
            </w:r>
            <w:r>
              <w:rPr>
                <w:rFonts w:hint="default" w:ascii="Times New Roman" w:hAnsi="Times New Roman" w:eastAsia="宋体" w:cs="Times New Roman"/>
                <w:b w:val="0"/>
                <w:bCs w:val="0"/>
                <w:color w:val="auto"/>
                <w:sz w:val="24"/>
                <w:szCs w:val="24"/>
                <w:highlight w:val="none"/>
                <w:vertAlign w:val="baseline"/>
                <w:lang w:val="en-US" w:eastAsia="zh-CN"/>
              </w:rPr>
              <w:t>。</w:t>
            </w:r>
          </w:p>
          <w:p w14:paraId="46AF5FC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表2-</w:t>
            </w:r>
            <w:r>
              <w:rPr>
                <w:rFonts w:hint="eastAsia" w:ascii="Times New Roman" w:hAnsi="Times New Roman" w:eastAsia="宋体" w:cs="Times New Roman"/>
                <w:b/>
                <w:bCs/>
                <w:color w:val="auto"/>
                <w:sz w:val="21"/>
                <w:szCs w:val="21"/>
                <w:highlight w:val="none"/>
                <w:vertAlign w:val="baseline"/>
                <w:lang w:val="en-US" w:eastAsia="zh-CN"/>
              </w:rPr>
              <w:t>8</w:t>
            </w:r>
            <w:r>
              <w:rPr>
                <w:rFonts w:hint="default" w:ascii="Times New Roman" w:hAnsi="Times New Roman" w:eastAsia="宋体" w:cs="Times New Roman"/>
                <w:b/>
                <w:bCs/>
                <w:color w:val="auto"/>
                <w:sz w:val="21"/>
                <w:szCs w:val="21"/>
                <w:highlight w:val="none"/>
                <w:vertAlign w:val="baseline"/>
                <w:lang w:val="en-US" w:eastAsia="zh-CN"/>
              </w:rPr>
              <w:t xml:space="preserve">  单井钻井泥浆固液分离设备一览表</w:t>
            </w:r>
          </w:p>
          <w:tbl>
            <w:tblPr>
              <w:tblStyle w:val="16"/>
              <w:tblW w:w="4994"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474"/>
              <w:gridCol w:w="2337"/>
              <w:gridCol w:w="1756"/>
              <w:gridCol w:w="2381"/>
              <w:gridCol w:w="1418"/>
            </w:tblGrid>
            <w:tr w14:paraId="0AB609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283" w:type="pct"/>
                  <w:tcBorders>
                    <w:tl2br w:val="nil"/>
                    <w:tr2bl w:val="nil"/>
                  </w:tcBorders>
                  <w:noWrap w:val="0"/>
                  <w:vAlign w:val="center"/>
                </w:tcPr>
                <w:p w14:paraId="3103B39F">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396" w:type="pct"/>
                  <w:tcBorders>
                    <w:tl2br w:val="nil"/>
                    <w:tr2bl w:val="nil"/>
                  </w:tcBorders>
                  <w:noWrap w:val="0"/>
                  <w:vAlign w:val="center"/>
                </w:tcPr>
                <w:p w14:paraId="4044C64C">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1049" w:type="pct"/>
                  <w:tcBorders>
                    <w:tl2br w:val="nil"/>
                    <w:tr2bl w:val="nil"/>
                  </w:tcBorders>
                  <w:noWrap w:val="0"/>
                  <w:vAlign w:val="center"/>
                </w:tcPr>
                <w:p w14:paraId="13EFDF97">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型号</w:t>
                  </w:r>
                </w:p>
              </w:tc>
              <w:tc>
                <w:tcPr>
                  <w:tcW w:w="1422" w:type="pct"/>
                  <w:tcBorders>
                    <w:tl2br w:val="nil"/>
                    <w:tr2bl w:val="nil"/>
                  </w:tcBorders>
                  <w:noWrap w:val="0"/>
                  <w:vAlign w:val="center"/>
                </w:tcPr>
                <w:p w14:paraId="6F18AA16">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载荷或功率（KN/KW）</w:t>
                  </w:r>
                </w:p>
              </w:tc>
              <w:tc>
                <w:tcPr>
                  <w:tcW w:w="847" w:type="pct"/>
                  <w:tcBorders>
                    <w:tl2br w:val="nil"/>
                    <w:tr2bl w:val="nil"/>
                  </w:tcBorders>
                  <w:noWrap w:val="0"/>
                  <w:vAlign w:val="center"/>
                </w:tcPr>
                <w:p w14:paraId="6CACAD75">
                  <w:pPr>
                    <w:adjustRightInd w:val="0"/>
                    <w:snapToGrid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数量（台</w:t>
                  </w:r>
                  <w:r>
                    <w:rPr>
                      <w:rFonts w:hint="eastAsia" w:ascii="Times New Roman" w:hAnsi="Times New Roman" w:eastAsia="宋体" w:cs="Times New Roman"/>
                      <w:b/>
                      <w:bCs/>
                      <w:color w:val="auto"/>
                      <w:sz w:val="21"/>
                      <w:szCs w:val="21"/>
                      <w:highlight w:val="none"/>
                      <w:lang w:val="en-US" w:eastAsia="zh-CN"/>
                    </w:rPr>
                    <w:t>/个</w:t>
                  </w:r>
                  <w:r>
                    <w:rPr>
                      <w:rFonts w:hint="default" w:ascii="Times New Roman" w:hAnsi="Times New Roman" w:eastAsia="宋体" w:cs="Times New Roman"/>
                      <w:b/>
                      <w:bCs/>
                      <w:color w:val="auto"/>
                      <w:sz w:val="21"/>
                      <w:szCs w:val="21"/>
                      <w:highlight w:val="none"/>
                      <w:lang w:val="en-US" w:eastAsia="zh-CN"/>
                    </w:rPr>
                    <w:t>）</w:t>
                  </w:r>
                </w:p>
              </w:tc>
            </w:tr>
            <w:tr w14:paraId="32839C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283" w:type="pct"/>
                  <w:vMerge w:val="restart"/>
                  <w:tcBorders>
                    <w:tl2br w:val="nil"/>
                    <w:tr2bl w:val="nil"/>
                  </w:tcBorders>
                  <w:noWrap w:val="0"/>
                  <w:vAlign w:val="center"/>
                </w:tcPr>
                <w:p w14:paraId="40F0AD74">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396" w:type="pct"/>
                  <w:tcBorders>
                    <w:tl2br w:val="nil"/>
                    <w:tr2bl w:val="nil"/>
                  </w:tcBorders>
                  <w:noWrap w:val="0"/>
                  <w:vAlign w:val="center"/>
                </w:tcPr>
                <w:p w14:paraId="78A5F817">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螺旋输送系统（轴）</w:t>
                  </w:r>
                </w:p>
              </w:tc>
              <w:tc>
                <w:tcPr>
                  <w:tcW w:w="1049" w:type="pct"/>
                  <w:tcBorders>
                    <w:tl2br w:val="nil"/>
                    <w:tr2bl w:val="nil"/>
                  </w:tcBorders>
                  <w:noWrap w:val="0"/>
                  <w:vAlign w:val="center"/>
                </w:tcPr>
                <w:p w14:paraId="7989C76B">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SS-300-12000</w:t>
                  </w:r>
                </w:p>
              </w:tc>
              <w:tc>
                <w:tcPr>
                  <w:tcW w:w="1422" w:type="pct"/>
                  <w:tcBorders>
                    <w:tl2br w:val="nil"/>
                    <w:tr2bl w:val="nil"/>
                  </w:tcBorders>
                  <w:noWrap w:val="0"/>
                  <w:vAlign w:val="center"/>
                </w:tcPr>
                <w:p w14:paraId="5E009770">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5.5×3kW</w:t>
                  </w:r>
                </w:p>
              </w:tc>
              <w:tc>
                <w:tcPr>
                  <w:tcW w:w="847" w:type="pct"/>
                  <w:tcBorders>
                    <w:tl2br w:val="nil"/>
                    <w:tr2bl w:val="nil"/>
                  </w:tcBorders>
                  <w:noWrap w:val="0"/>
                  <w:vAlign w:val="center"/>
                </w:tcPr>
                <w:p w14:paraId="3997906D">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p>
              </w:tc>
            </w:tr>
            <w:tr w14:paraId="19665D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283" w:type="pct"/>
                  <w:vMerge w:val="continue"/>
                  <w:tcBorders>
                    <w:tl2br w:val="nil"/>
                    <w:tr2bl w:val="nil"/>
                  </w:tcBorders>
                  <w:noWrap w:val="0"/>
                  <w:vAlign w:val="center"/>
                </w:tcPr>
                <w:p w14:paraId="6CD83745">
                  <w:pPr>
                    <w:adjustRightInd w:val="0"/>
                    <w:snapToGrid w:val="0"/>
                    <w:jc w:val="center"/>
                    <w:rPr>
                      <w:rFonts w:hint="default" w:ascii="Times New Roman" w:hAnsi="Times New Roman" w:cs="Times New Roman"/>
                      <w:color w:val="auto"/>
                      <w:sz w:val="21"/>
                      <w:szCs w:val="21"/>
                      <w:highlight w:val="none"/>
                    </w:rPr>
                  </w:pPr>
                </w:p>
              </w:tc>
              <w:tc>
                <w:tcPr>
                  <w:tcW w:w="1396" w:type="pct"/>
                  <w:tcBorders>
                    <w:tl2br w:val="nil"/>
                    <w:tr2bl w:val="nil"/>
                  </w:tcBorders>
                  <w:noWrap w:val="0"/>
                  <w:vAlign w:val="center"/>
                </w:tcPr>
                <w:p w14:paraId="6BD82F88">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螺旋输送系统（有轴）</w:t>
                  </w:r>
                </w:p>
              </w:tc>
              <w:tc>
                <w:tcPr>
                  <w:tcW w:w="1049" w:type="pct"/>
                  <w:tcBorders>
                    <w:tl2br w:val="nil"/>
                    <w:tr2bl w:val="nil"/>
                  </w:tcBorders>
                  <w:noWrap w:val="0"/>
                  <w:vAlign w:val="center"/>
                </w:tcPr>
                <w:p w14:paraId="184167DD">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SS-200-6000</w:t>
                  </w:r>
                </w:p>
              </w:tc>
              <w:tc>
                <w:tcPr>
                  <w:tcW w:w="1422" w:type="pct"/>
                  <w:tcBorders>
                    <w:tl2br w:val="nil"/>
                    <w:tr2bl w:val="nil"/>
                  </w:tcBorders>
                  <w:noWrap w:val="0"/>
                  <w:vAlign w:val="center"/>
                </w:tcPr>
                <w:p w14:paraId="2B23AC91">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2.2×3kW</w:t>
                  </w:r>
                </w:p>
              </w:tc>
              <w:tc>
                <w:tcPr>
                  <w:tcW w:w="847" w:type="pct"/>
                  <w:tcBorders>
                    <w:tl2br w:val="nil"/>
                    <w:tr2bl w:val="nil"/>
                  </w:tcBorders>
                  <w:noWrap w:val="0"/>
                  <w:vAlign w:val="center"/>
                </w:tcPr>
                <w:p w14:paraId="756C2D86">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p>
              </w:tc>
            </w:tr>
            <w:tr w14:paraId="30C2B0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283" w:type="pct"/>
                  <w:tcBorders>
                    <w:tl2br w:val="nil"/>
                    <w:tr2bl w:val="nil"/>
                  </w:tcBorders>
                  <w:noWrap w:val="0"/>
                  <w:vAlign w:val="center"/>
                </w:tcPr>
                <w:p w14:paraId="5347A798">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w:t>
                  </w:r>
                </w:p>
              </w:tc>
              <w:tc>
                <w:tcPr>
                  <w:tcW w:w="1396" w:type="pct"/>
                  <w:tcBorders>
                    <w:tl2br w:val="nil"/>
                    <w:tr2bl w:val="nil"/>
                  </w:tcBorders>
                  <w:noWrap w:val="0"/>
                  <w:vAlign w:val="center"/>
                </w:tcPr>
                <w:p w14:paraId="15DDBE87">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除砂器</w:t>
                  </w:r>
                </w:p>
              </w:tc>
              <w:tc>
                <w:tcPr>
                  <w:tcW w:w="1049" w:type="pct"/>
                  <w:tcBorders>
                    <w:tl2br w:val="nil"/>
                    <w:tr2bl w:val="nil"/>
                  </w:tcBorders>
                  <w:noWrap w:val="0"/>
                  <w:vAlign w:val="center"/>
                </w:tcPr>
                <w:p w14:paraId="3F55585A">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ZQJ250</w:t>
                  </w:r>
                </w:p>
              </w:tc>
              <w:tc>
                <w:tcPr>
                  <w:tcW w:w="1422" w:type="pct"/>
                  <w:tcBorders>
                    <w:tl2br w:val="nil"/>
                    <w:tr2bl w:val="nil"/>
                  </w:tcBorders>
                  <w:noWrap w:val="0"/>
                  <w:vAlign w:val="center"/>
                </w:tcPr>
                <w:p w14:paraId="4F76538B">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847" w:type="pct"/>
                  <w:tcBorders>
                    <w:tl2br w:val="nil"/>
                    <w:tr2bl w:val="nil"/>
                  </w:tcBorders>
                  <w:noWrap w:val="0"/>
                  <w:vAlign w:val="center"/>
                </w:tcPr>
                <w:p w14:paraId="48A511A2">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82315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283" w:type="pct"/>
                  <w:tcBorders>
                    <w:tl2br w:val="nil"/>
                    <w:tr2bl w:val="nil"/>
                  </w:tcBorders>
                  <w:noWrap w:val="0"/>
                  <w:vAlign w:val="center"/>
                </w:tcPr>
                <w:p w14:paraId="3DD44519">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w:t>
                  </w:r>
                </w:p>
              </w:tc>
              <w:tc>
                <w:tcPr>
                  <w:tcW w:w="1396" w:type="pct"/>
                  <w:tcBorders>
                    <w:tl2br w:val="nil"/>
                    <w:tr2bl w:val="nil"/>
                  </w:tcBorders>
                  <w:noWrap w:val="0"/>
                  <w:vAlign w:val="center"/>
                </w:tcPr>
                <w:p w14:paraId="4EC6A394">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除泥器</w:t>
                  </w:r>
                </w:p>
              </w:tc>
              <w:tc>
                <w:tcPr>
                  <w:tcW w:w="1049" w:type="pct"/>
                  <w:tcBorders>
                    <w:tl2br w:val="nil"/>
                    <w:tr2bl w:val="nil"/>
                  </w:tcBorders>
                  <w:noWrap w:val="0"/>
                  <w:vAlign w:val="center"/>
                </w:tcPr>
                <w:p w14:paraId="47547862">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ZQJ250</w:t>
                  </w:r>
                </w:p>
              </w:tc>
              <w:tc>
                <w:tcPr>
                  <w:tcW w:w="1422" w:type="pct"/>
                  <w:tcBorders>
                    <w:tl2br w:val="nil"/>
                    <w:tr2bl w:val="nil"/>
                  </w:tcBorders>
                  <w:noWrap w:val="0"/>
                  <w:vAlign w:val="center"/>
                </w:tcPr>
                <w:p w14:paraId="208BA13B">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847" w:type="pct"/>
                  <w:tcBorders>
                    <w:tl2br w:val="nil"/>
                    <w:tr2bl w:val="nil"/>
                  </w:tcBorders>
                  <w:noWrap w:val="0"/>
                  <w:vAlign w:val="center"/>
                </w:tcPr>
                <w:p w14:paraId="59EB9695">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BD67E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283" w:type="pct"/>
                  <w:tcBorders>
                    <w:tl2br w:val="nil"/>
                    <w:tr2bl w:val="nil"/>
                  </w:tcBorders>
                  <w:noWrap w:val="0"/>
                  <w:vAlign w:val="center"/>
                </w:tcPr>
                <w:p w14:paraId="2E0A4DFB">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w:t>
                  </w:r>
                </w:p>
              </w:tc>
              <w:tc>
                <w:tcPr>
                  <w:tcW w:w="1396" w:type="pct"/>
                  <w:tcBorders>
                    <w:tl2br w:val="nil"/>
                    <w:tr2bl w:val="nil"/>
                  </w:tcBorders>
                  <w:noWrap w:val="0"/>
                  <w:vAlign w:val="center"/>
                </w:tcPr>
                <w:p w14:paraId="5C9F76AA">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甩干机</w:t>
                  </w:r>
                </w:p>
              </w:tc>
              <w:tc>
                <w:tcPr>
                  <w:tcW w:w="1049" w:type="pct"/>
                  <w:tcBorders>
                    <w:tl2br w:val="nil"/>
                    <w:tr2bl w:val="nil"/>
                  </w:tcBorders>
                  <w:noWrap w:val="0"/>
                  <w:vAlign w:val="center"/>
                </w:tcPr>
                <w:p w14:paraId="40D75523">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GHD-1</w:t>
                  </w:r>
                </w:p>
              </w:tc>
              <w:tc>
                <w:tcPr>
                  <w:tcW w:w="1422" w:type="pct"/>
                  <w:tcBorders>
                    <w:tl2br w:val="nil"/>
                    <w:tr2bl w:val="nil"/>
                  </w:tcBorders>
                  <w:noWrap w:val="0"/>
                  <w:vAlign w:val="center"/>
                </w:tcPr>
                <w:p w14:paraId="55CB25FB">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18.5kW</w:t>
                  </w:r>
                </w:p>
              </w:tc>
              <w:tc>
                <w:tcPr>
                  <w:tcW w:w="847" w:type="pct"/>
                  <w:tcBorders>
                    <w:tl2br w:val="nil"/>
                    <w:tr2bl w:val="nil"/>
                  </w:tcBorders>
                  <w:noWrap w:val="0"/>
                  <w:vAlign w:val="center"/>
                </w:tcPr>
                <w:p w14:paraId="7727BB02">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40FF2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283" w:type="pct"/>
                  <w:tcBorders>
                    <w:tl2br w:val="nil"/>
                    <w:tr2bl w:val="nil"/>
                  </w:tcBorders>
                  <w:noWrap w:val="0"/>
                  <w:vAlign w:val="center"/>
                </w:tcPr>
                <w:p w14:paraId="57BA52C6">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w:t>
                  </w:r>
                </w:p>
              </w:tc>
              <w:tc>
                <w:tcPr>
                  <w:tcW w:w="1396" w:type="pct"/>
                  <w:tcBorders>
                    <w:tl2br w:val="nil"/>
                    <w:tr2bl w:val="nil"/>
                  </w:tcBorders>
                  <w:noWrap w:val="0"/>
                  <w:vAlign w:val="center"/>
                </w:tcPr>
                <w:p w14:paraId="5AAD696E">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离心机</w:t>
                  </w:r>
                </w:p>
              </w:tc>
              <w:tc>
                <w:tcPr>
                  <w:tcW w:w="1049" w:type="pct"/>
                  <w:tcBorders>
                    <w:tl2br w:val="nil"/>
                    <w:tr2bl w:val="nil"/>
                  </w:tcBorders>
                  <w:noWrap w:val="0"/>
                  <w:vAlign w:val="center"/>
                </w:tcPr>
                <w:p w14:paraId="0BFA7D60">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LW600</w:t>
                  </w:r>
                </w:p>
              </w:tc>
              <w:tc>
                <w:tcPr>
                  <w:tcW w:w="1422" w:type="pct"/>
                  <w:tcBorders>
                    <w:tl2br w:val="nil"/>
                    <w:tr2bl w:val="nil"/>
                  </w:tcBorders>
                  <w:noWrap w:val="0"/>
                  <w:vAlign w:val="center"/>
                </w:tcPr>
                <w:p w14:paraId="51A8B5C9">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7.5KW</w:t>
                  </w:r>
                </w:p>
              </w:tc>
              <w:tc>
                <w:tcPr>
                  <w:tcW w:w="847" w:type="pct"/>
                  <w:tcBorders>
                    <w:tl2br w:val="nil"/>
                    <w:tr2bl w:val="nil"/>
                  </w:tcBorders>
                  <w:noWrap w:val="0"/>
                  <w:vAlign w:val="center"/>
                </w:tcPr>
                <w:p w14:paraId="689D4595">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r>
            <w:tr w14:paraId="3E81C3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283" w:type="pct"/>
                  <w:tcBorders>
                    <w:tl2br w:val="nil"/>
                    <w:tr2bl w:val="nil"/>
                  </w:tcBorders>
                  <w:noWrap w:val="0"/>
                  <w:vAlign w:val="center"/>
                </w:tcPr>
                <w:p w14:paraId="3CE22BA8">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6</w:t>
                  </w:r>
                </w:p>
              </w:tc>
              <w:tc>
                <w:tcPr>
                  <w:tcW w:w="1396" w:type="pct"/>
                  <w:tcBorders>
                    <w:tl2br w:val="nil"/>
                    <w:tr2bl w:val="nil"/>
                  </w:tcBorders>
                  <w:noWrap w:val="0"/>
                  <w:vAlign w:val="center"/>
                </w:tcPr>
                <w:p w14:paraId="3CFA2979">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储罐搅拌系统</w:t>
                  </w:r>
                </w:p>
              </w:tc>
              <w:tc>
                <w:tcPr>
                  <w:tcW w:w="1049" w:type="pct"/>
                  <w:tcBorders>
                    <w:tl2br w:val="nil"/>
                    <w:tr2bl w:val="nil"/>
                  </w:tcBorders>
                  <w:noWrap w:val="0"/>
                  <w:vAlign w:val="center"/>
                </w:tcPr>
                <w:p w14:paraId="35A1412C">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422" w:type="pct"/>
                  <w:tcBorders>
                    <w:tl2br w:val="nil"/>
                    <w:tr2bl w:val="nil"/>
                  </w:tcBorders>
                  <w:noWrap w:val="0"/>
                  <w:vAlign w:val="center"/>
                </w:tcPr>
                <w:p w14:paraId="4E604898">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11kW</w:t>
                  </w:r>
                </w:p>
              </w:tc>
              <w:tc>
                <w:tcPr>
                  <w:tcW w:w="847" w:type="pct"/>
                  <w:tcBorders>
                    <w:tl2br w:val="nil"/>
                    <w:tr2bl w:val="nil"/>
                  </w:tcBorders>
                  <w:noWrap w:val="0"/>
                  <w:vAlign w:val="center"/>
                </w:tcPr>
                <w:p w14:paraId="368B42C0">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r>
            <w:tr w14:paraId="02482C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283" w:type="pct"/>
                  <w:tcBorders>
                    <w:tl2br w:val="nil"/>
                    <w:tr2bl w:val="nil"/>
                  </w:tcBorders>
                  <w:noWrap w:val="0"/>
                  <w:vAlign w:val="center"/>
                </w:tcPr>
                <w:p w14:paraId="0E14D057">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7</w:t>
                  </w:r>
                </w:p>
              </w:tc>
              <w:tc>
                <w:tcPr>
                  <w:tcW w:w="1396" w:type="pct"/>
                  <w:tcBorders>
                    <w:tl2br w:val="nil"/>
                    <w:tr2bl w:val="nil"/>
                  </w:tcBorders>
                  <w:noWrap w:val="0"/>
                  <w:vAlign w:val="center"/>
                </w:tcPr>
                <w:p w14:paraId="61BB85E0">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洗井废水</w:t>
                  </w:r>
                  <w:r>
                    <w:rPr>
                      <w:rFonts w:hint="default" w:ascii="Times New Roman" w:hAnsi="Times New Roman" w:eastAsia="宋体" w:cs="Times New Roman"/>
                      <w:color w:val="auto"/>
                      <w:sz w:val="21"/>
                      <w:szCs w:val="21"/>
                      <w:highlight w:val="none"/>
                    </w:rPr>
                    <w:t>罐</w:t>
                  </w:r>
                </w:p>
              </w:tc>
              <w:tc>
                <w:tcPr>
                  <w:tcW w:w="1049" w:type="pct"/>
                  <w:tcBorders>
                    <w:tl2br w:val="nil"/>
                    <w:tr2bl w:val="nil"/>
                  </w:tcBorders>
                  <w:noWrap w:val="0"/>
                  <w:vAlign w:val="center"/>
                </w:tcPr>
                <w:p w14:paraId="39A165EA">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p>
              </w:tc>
              <w:tc>
                <w:tcPr>
                  <w:tcW w:w="1422" w:type="pct"/>
                  <w:tcBorders>
                    <w:tl2br w:val="nil"/>
                    <w:tr2bl w:val="nil"/>
                  </w:tcBorders>
                  <w:noWrap w:val="0"/>
                  <w:vAlign w:val="center"/>
                </w:tcPr>
                <w:p w14:paraId="6B405E65">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847" w:type="pct"/>
                  <w:tcBorders>
                    <w:tl2br w:val="nil"/>
                    <w:tr2bl w:val="nil"/>
                  </w:tcBorders>
                  <w:noWrap w:val="0"/>
                  <w:vAlign w:val="center"/>
                </w:tcPr>
                <w:p w14:paraId="0A2B6665">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r>
            <w:tr w14:paraId="708863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283" w:type="pct"/>
                  <w:tcBorders>
                    <w:tl2br w:val="nil"/>
                    <w:tr2bl w:val="nil"/>
                  </w:tcBorders>
                  <w:noWrap w:val="0"/>
                  <w:vAlign w:val="center"/>
                </w:tcPr>
                <w:p w14:paraId="6A69E074">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8</w:t>
                  </w:r>
                </w:p>
              </w:tc>
              <w:tc>
                <w:tcPr>
                  <w:tcW w:w="1396" w:type="pct"/>
                  <w:tcBorders>
                    <w:tl2br w:val="nil"/>
                    <w:tr2bl w:val="nil"/>
                  </w:tcBorders>
                  <w:noWrap w:val="0"/>
                  <w:vAlign w:val="center"/>
                </w:tcPr>
                <w:p w14:paraId="6EA10388">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压裂</w:t>
                  </w:r>
                  <w:r>
                    <w:rPr>
                      <w:rFonts w:hint="default" w:ascii="Times New Roman" w:hAnsi="Times New Roman" w:eastAsia="宋体" w:cs="Times New Roman"/>
                      <w:bCs/>
                      <w:color w:val="auto"/>
                      <w:sz w:val="21"/>
                      <w:szCs w:val="21"/>
                      <w:highlight w:val="none"/>
                      <w:lang w:val="en-US" w:eastAsia="zh-CN"/>
                    </w:rPr>
                    <w:t>返排液罐</w:t>
                  </w:r>
                </w:p>
              </w:tc>
              <w:tc>
                <w:tcPr>
                  <w:tcW w:w="1049" w:type="pct"/>
                  <w:tcBorders>
                    <w:tl2br w:val="nil"/>
                    <w:tr2bl w:val="nil"/>
                  </w:tcBorders>
                  <w:noWrap w:val="0"/>
                  <w:vAlign w:val="center"/>
                </w:tcPr>
                <w:p w14:paraId="17D6340D">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75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p>
              </w:tc>
              <w:tc>
                <w:tcPr>
                  <w:tcW w:w="1422" w:type="pct"/>
                  <w:tcBorders>
                    <w:tl2br w:val="nil"/>
                    <w:tr2bl w:val="nil"/>
                  </w:tcBorders>
                  <w:noWrap w:val="0"/>
                  <w:vAlign w:val="center"/>
                </w:tcPr>
                <w:p w14:paraId="7B07BC76">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847" w:type="pct"/>
                  <w:tcBorders>
                    <w:tl2br w:val="nil"/>
                    <w:tr2bl w:val="nil"/>
                  </w:tcBorders>
                  <w:noWrap w:val="0"/>
                  <w:vAlign w:val="center"/>
                </w:tcPr>
                <w:p w14:paraId="14CA26FC">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（直井）/</w:t>
                  </w:r>
                </w:p>
              </w:tc>
            </w:tr>
            <w:tr w14:paraId="45905A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283" w:type="pct"/>
                  <w:tcBorders>
                    <w:tl2br w:val="nil"/>
                    <w:tr2bl w:val="nil"/>
                  </w:tcBorders>
                  <w:noWrap w:val="0"/>
                  <w:vAlign w:val="center"/>
                </w:tcPr>
                <w:p w14:paraId="200CA352">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w:t>
                  </w:r>
                </w:p>
              </w:tc>
              <w:tc>
                <w:tcPr>
                  <w:tcW w:w="1396" w:type="pct"/>
                  <w:tcBorders>
                    <w:tl2br w:val="nil"/>
                    <w:tr2bl w:val="nil"/>
                  </w:tcBorders>
                  <w:noWrap w:val="0"/>
                  <w:vAlign w:val="center"/>
                </w:tcPr>
                <w:p w14:paraId="7C33B751">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泥饼、</w:t>
                  </w:r>
                  <w:r>
                    <w:rPr>
                      <w:rFonts w:hint="default" w:ascii="Times New Roman" w:hAnsi="Times New Roman" w:eastAsia="宋体" w:cs="Times New Roman"/>
                      <w:color w:val="auto"/>
                      <w:sz w:val="21"/>
                      <w:szCs w:val="21"/>
                      <w:highlight w:val="none"/>
                    </w:rPr>
                    <w:t>岩屑收集罐</w:t>
                  </w:r>
                </w:p>
              </w:tc>
              <w:tc>
                <w:tcPr>
                  <w:tcW w:w="1049" w:type="pct"/>
                  <w:tcBorders>
                    <w:tl2br w:val="nil"/>
                    <w:tr2bl w:val="nil"/>
                  </w:tcBorders>
                  <w:noWrap w:val="0"/>
                  <w:vAlign w:val="center"/>
                </w:tcPr>
                <w:p w14:paraId="732892F8">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p>
              </w:tc>
              <w:tc>
                <w:tcPr>
                  <w:tcW w:w="1422" w:type="pct"/>
                  <w:tcBorders>
                    <w:tl2br w:val="nil"/>
                    <w:tr2bl w:val="nil"/>
                  </w:tcBorders>
                  <w:noWrap w:val="0"/>
                  <w:vAlign w:val="center"/>
                </w:tcPr>
                <w:p w14:paraId="72B82415">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847" w:type="pct"/>
                  <w:tcBorders>
                    <w:tl2br w:val="nil"/>
                    <w:tr2bl w:val="nil"/>
                  </w:tcBorders>
                  <w:noWrap w:val="0"/>
                  <w:vAlign w:val="center"/>
                </w:tcPr>
                <w:p w14:paraId="112D11B7">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w:t>
                  </w:r>
                </w:p>
              </w:tc>
            </w:tr>
            <w:tr w14:paraId="7EB7B3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283" w:type="pct"/>
                  <w:tcBorders>
                    <w:tl2br w:val="nil"/>
                    <w:tr2bl w:val="nil"/>
                  </w:tcBorders>
                  <w:noWrap w:val="0"/>
                  <w:vAlign w:val="center"/>
                </w:tcPr>
                <w:p w14:paraId="33E3F905">
                  <w:pPr>
                    <w:adjustRightInd w:val="0"/>
                    <w:snapToGrid w:val="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10</w:t>
                  </w:r>
                </w:p>
              </w:tc>
              <w:tc>
                <w:tcPr>
                  <w:tcW w:w="1396" w:type="pct"/>
                  <w:tcBorders>
                    <w:tl2br w:val="nil"/>
                    <w:tr2bl w:val="nil"/>
                  </w:tcBorders>
                  <w:noWrap w:val="0"/>
                  <w:vAlign w:val="center"/>
                </w:tcPr>
                <w:p w14:paraId="0922A621">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振动筛</w:t>
                  </w:r>
                </w:p>
              </w:tc>
              <w:tc>
                <w:tcPr>
                  <w:tcW w:w="1049" w:type="pct"/>
                  <w:tcBorders>
                    <w:tl2br w:val="nil"/>
                    <w:tr2bl w:val="nil"/>
                  </w:tcBorders>
                  <w:noWrap w:val="0"/>
                  <w:vAlign w:val="center"/>
                </w:tcPr>
                <w:p w14:paraId="771862C1">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V20-h</w:t>
                  </w:r>
                </w:p>
              </w:tc>
              <w:tc>
                <w:tcPr>
                  <w:tcW w:w="1422" w:type="pct"/>
                  <w:tcBorders>
                    <w:tl2br w:val="nil"/>
                    <w:tr2bl w:val="nil"/>
                  </w:tcBorders>
                  <w:noWrap w:val="0"/>
                  <w:vAlign w:val="center"/>
                </w:tcPr>
                <w:p w14:paraId="674698E0">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2.5kW</w:t>
                  </w:r>
                </w:p>
              </w:tc>
              <w:tc>
                <w:tcPr>
                  <w:tcW w:w="847" w:type="pct"/>
                  <w:tcBorders>
                    <w:tl2br w:val="nil"/>
                    <w:tr2bl w:val="nil"/>
                  </w:tcBorders>
                  <w:noWrap w:val="0"/>
                  <w:vAlign w:val="center"/>
                </w:tcPr>
                <w:p w14:paraId="5A2FB2BA">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3D292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283" w:type="pct"/>
                  <w:tcBorders>
                    <w:tl2br w:val="nil"/>
                    <w:tr2bl w:val="nil"/>
                  </w:tcBorders>
                  <w:noWrap w:val="0"/>
                  <w:vAlign w:val="center"/>
                </w:tcPr>
                <w:p w14:paraId="59A23583">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w:t>
                  </w:r>
                </w:p>
              </w:tc>
              <w:tc>
                <w:tcPr>
                  <w:tcW w:w="1396" w:type="pct"/>
                  <w:tcBorders>
                    <w:tl2br w:val="nil"/>
                    <w:tr2bl w:val="nil"/>
                  </w:tcBorders>
                  <w:noWrap w:val="0"/>
                  <w:vAlign w:val="center"/>
                </w:tcPr>
                <w:p w14:paraId="31257D79">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压滤机</w:t>
                  </w:r>
                </w:p>
              </w:tc>
              <w:tc>
                <w:tcPr>
                  <w:tcW w:w="1049" w:type="pct"/>
                  <w:tcBorders>
                    <w:tl2br w:val="nil"/>
                    <w:tr2bl w:val="nil"/>
                  </w:tcBorders>
                  <w:noWrap w:val="0"/>
                  <w:vAlign w:val="center"/>
                </w:tcPr>
                <w:p w14:paraId="65A7AA23">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XMZG200-1250-U</w:t>
                  </w:r>
                </w:p>
              </w:tc>
              <w:tc>
                <w:tcPr>
                  <w:tcW w:w="1422" w:type="pct"/>
                  <w:tcBorders>
                    <w:tl2br w:val="nil"/>
                    <w:tr2bl w:val="nil"/>
                  </w:tcBorders>
                  <w:noWrap w:val="0"/>
                  <w:vAlign w:val="center"/>
                </w:tcPr>
                <w:p w14:paraId="0C0A3182">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过滤面积200m</w:t>
                  </w:r>
                  <w:r>
                    <w:rPr>
                      <w:rFonts w:hint="default" w:ascii="Times New Roman" w:hAnsi="Times New Roman" w:eastAsia="宋体" w:cs="Times New Roman"/>
                      <w:color w:val="auto"/>
                      <w:sz w:val="21"/>
                      <w:szCs w:val="21"/>
                      <w:highlight w:val="none"/>
                      <w:vertAlign w:val="superscript"/>
                      <w:lang w:val="en-US" w:eastAsia="zh-CN"/>
                    </w:rPr>
                    <w:t>2</w:t>
                  </w:r>
                </w:p>
              </w:tc>
              <w:tc>
                <w:tcPr>
                  <w:tcW w:w="847" w:type="pct"/>
                  <w:tcBorders>
                    <w:tl2br w:val="nil"/>
                    <w:tr2bl w:val="nil"/>
                  </w:tcBorders>
                  <w:noWrap w:val="0"/>
                  <w:vAlign w:val="center"/>
                </w:tcPr>
                <w:p w14:paraId="69C6AEBD">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p>
              </w:tc>
            </w:tr>
          </w:tbl>
          <w:p w14:paraId="66946C32">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六、主要原辅材料</w:t>
            </w:r>
          </w:p>
          <w:p w14:paraId="10583491">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项目主要原辅材料消耗情况见表2-</w:t>
            </w:r>
            <w:r>
              <w:rPr>
                <w:rFonts w:hint="eastAsia" w:ascii="Times New Roman" w:hAnsi="Times New Roman" w:cs="Times New Roman"/>
                <w:color w:val="auto"/>
                <w:kern w:val="0"/>
                <w:sz w:val="24"/>
                <w:szCs w:val="24"/>
                <w:highlight w:val="none"/>
                <w:lang w:val="en-US" w:eastAsia="zh-CN" w:bidi="ar"/>
              </w:rPr>
              <w:t>8</w:t>
            </w:r>
            <w:r>
              <w:rPr>
                <w:rFonts w:hint="default" w:ascii="Times New Roman" w:hAnsi="Times New Roman" w:eastAsia="宋体" w:cs="Times New Roman"/>
                <w:color w:val="auto"/>
                <w:kern w:val="0"/>
                <w:sz w:val="24"/>
                <w:szCs w:val="24"/>
                <w:highlight w:val="none"/>
                <w:lang w:val="en-US" w:eastAsia="zh-CN" w:bidi="ar"/>
              </w:rPr>
              <w:t>。</w:t>
            </w:r>
          </w:p>
          <w:p w14:paraId="34F48FB5">
            <w:pPr>
              <w:keepNext w:val="0"/>
              <w:keepLines w:val="0"/>
              <w:widowControl/>
              <w:suppressLineNumbers w:val="0"/>
              <w:spacing w:before="0" w:beforeAutospacing="0" w:after="0" w:afterAutospacing="0" w:line="240" w:lineRule="auto"/>
              <w:ind w:left="431" w:right="0" w:hanging="431"/>
              <w:jc w:val="center"/>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eastAsia="zh-CN"/>
              </w:rPr>
              <w:t>表</w:t>
            </w:r>
            <w:r>
              <w:rPr>
                <w:rFonts w:hint="default" w:ascii="Times New Roman" w:hAnsi="Times New Roman" w:eastAsia="宋体" w:cs="Times New Roman"/>
                <w:b/>
                <w:bCs w:val="0"/>
                <w:color w:val="auto"/>
                <w:sz w:val="24"/>
                <w:szCs w:val="24"/>
                <w:highlight w:val="none"/>
                <w:lang w:val="en-US" w:eastAsia="zh-CN"/>
              </w:rPr>
              <w:t>2-</w:t>
            </w:r>
            <w:r>
              <w:rPr>
                <w:rFonts w:hint="eastAsia" w:ascii="Times New Roman" w:hAnsi="Times New Roman" w:cs="Times New Roman"/>
                <w:b/>
                <w:bCs w:val="0"/>
                <w:color w:val="auto"/>
                <w:sz w:val="24"/>
                <w:szCs w:val="24"/>
                <w:highlight w:val="none"/>
                <w:lang w:val="en-US" w:eastAsia="zh-CN"/>
              </w:rPr>
              <w:t xml:space="preserve">8 </w:t>
            </w:r>
            <w:r>
              <w:rPr>
                <w:rFonts w:hint="default" w:ascii="Times New Roman" w:hAnsi="Times New Roman" w:eastAsia="宋体" w:cs="Times New Roman"/>
                <w:b/>
                <w:bCs w:val="0"/>
                <w:color w:val="auto"/>
                <w:sz w:val="24"/>
                <w:szCs w:val="24"/>
                <w:highlight w:val="none"/>
                <w:lang w:eastAsia="zh-CN"/>
              </w:rPr>
              <w:t>项目主要原辅材料消耗表</w:t>
            </w:r>
          </w:p>
          <w:tbl>
            <w:tblPr>
              <w:tblStyle w:val="16"/>
              <w:tblW w:w="4983"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635"/>
              <w:gridCol w:w="1189"/>
              <w:gridCol w:w="1125"/>
              <w:gridCol w:w="4455"/>
              <w:gridCol w:w="943"/>
            </w:tblGrid>
            <w:tr w14:paraId="1520EA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4" w:hRule="atLeast"/>
                <w:jc w:val="center"/>
              </w:trPr>
              <w:tc>
                <w:tcPr>
                  <w:tcW w:w="380" w:type="pct"/>
                  <w:tcBorders>
                    <w:top w:val="single" w:color="auto" w:sz="2" w:space="0"/>
                    <w:left w:val="single" w:color="auto" w:sz="2" w:space="0"/>
                    <w:bottom w:val="single" w:color="auto" w:sz="2" w:space="0"/>
                    <w:right w:val="single" w:color="auto" w:sz="2" w:space="0"/>
                  </w:tcBorders>
                  <w:noWrap w:val="0"/>
                  <w:vAlign w:val="center"/>
                </w:tcPr>
                <w:p w14:paraId="5F273F15">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cs="Times New Roman"/>
                      <w:b/>
                      <w:bCs/>
                      <w:color w:val="auto"/>
                      <w:sz w:val="21"/>
                      <w:szCs w:val="21"/>
                      <w:highlight w:val="none"/>
                      <w:lang w:val="en-US"/>
                    </w:rPr>
                  </w:pPr>
                  <w:r>
                    <w:rPr>
                      <w:rFonts w:hint="default" w:ascii="Times New Roman" w:hAnsi="Times New Roman" w:eastAsia="宋体" w:cs="Times New Roman"/>
                      <w:b/>
                      <w:bCs/>
                      <w:color w:val="auto"/>
                      <w:kern w:val="0"/>
                      <w:sz w:val="21"/>
                      <w:szCs w:val="21"/>
                      <w:highlight w:val="none"/>
                      <w:lang w:val="en-US" w:eastAsia="zh-CN" w:bidi="ar"/>
                    </w:rPr>
                    <w:t>序号</w:t>
                  </w:r>
                </w:p>
              </w:tc>
              <w:tc>
                <w:tcPr>
                  <w:tcW w:w="711" w:type="pct"/>
                  <w:tcBorders>
                    <w:top w:val="single" w:color="auto" w:sz="2" w:space="0"/>
                    <w:left w:val="single" w:color="auto" w:sz="2" w:space="0"/>
                    <w:bottom w:val="single" w:color="auto" w:sz="2" w:space="0"/>
                    <w:right w:val="single" w:color="auto" w:sz="2" w:space="0"/>
                  </w:tcBorders>
                  <w:noWrap w:val="0"/>
                  <w:vAlign w:val="center"/>
                </w:tcPr>
                <w:p w14:paraId="0DCF1B40">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lang w:val="en-US"/>
                    </w:rPr>
                  </w:pPr>
                  <w:r>
                    <w:rPr>
                      <w:rFonts w:hint="default" w:ascii="Times New Roman" w:hAnsi="Times New Roman" w:eastAsia="宋体" w:cs="Times New Roman"/>
                      <w:b/>
                      <w:bCs/>
                      <w:color w:val="auto"/>
                      <w:kern w:val="0"/>
                      <w:sz w:val="21"/>
                      <w:szCs w:val="21"/>
                      <w:highlight w:val="none"/>
                      <w:lang w:val="en-US" w:eastAsia="zh-CN" w:bidi="ar"/>
                    </w:rPr>
                    <w:t>原料名称</w:t>
                  </w:r>
                </w:p>
              </w:tc>
              <w:tc>
                <w:tcPr>
                  <w:tcW w:w="673" w:type="pct"/>
                  <w:tcBorders>
                    <w:top w:val="single" w:color="auto" w:sz="2" w:space="0"/>
                    <w:left w:val="single" w:color="auto" w:sz="2" w:space="0"/>
                    <w:bottom w:val="single" w:color="auto" w:sz="2" w:space="0"/>
                    <w:right w:val="single" w:color="auto" w:sz="2" w:space="0"/>
                  </w:tcBorders>
                  <w:noWrap w:val="0"/>
                  <w:vAlign w:val="center"/>
                </w:tcPr>
                <w:p w14:paraId="19DFFF8B">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lang w:val="en-US"/>
                    </w:rPr>
                  </w:pPr>
                  <w:r>
                    <w:rPr>
                      <w:rFonts w:hint="default" w:ascii="Times New Roman" w:hAnsi="Times New Roman" w:eastAsia="宋体" w:cs="Times New Roman"/>
                      <w:b/>
                      <w:bCs/>
                      <w:color w:val="auto"/>
                      <w:kern w:val="0"/>
                      <w:sz w:val="21"/>
                      <w:szCs w:val="21"/>
                      <w:highlight w:val="none"/>
                      <w:lang w:val="en-US" w:eastAsia="zh-CN" w:bidi="ar"/>
                    </w:rPr>
                    <w:t>项目用量</w:t>
                  </w:r>
                </w:p>
              </w:tc>
              <w:tc>
                <w:tcPr>
                  <w:tcW w:w="2669" w:type="pct"/>
                  <w:tcBorders>
                    <w:top w:val="single" w:color="auto" w:sz="2" w:space="0"/>
                    <w:left w:val="single" w:color="auto" w:sz="2" w:space="0"/>
                    <w:bottom w:val="single" w:color="auto" w:sz="2" w:space="0"/>
                    <w:right w:val="single" w:color="auto" w:sz="2" w:space="0"/>
                  </w:tcBorders>
                  <w:noWrap w:val="0"/>
                  <w:vAlign w:val="center"/>
                </w:tcPr>
                <w:p w14:paraId="397E338C">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cs="Times New Roman"/>
                      <w:b/>
                      <w:bCs/>
                      <w:color w:val="auto"/>
                      <w:sz w:val="21"/>
                      <w:szCs w:val="21"/>
                      <w:highlight w:val="none"/>
                      <w:lang w:val="en-US"/>
                    </w:rPr>
                  </w:pPr>
                  <w:r>
                    <w:rPr>
                      <w:rFonts w:hint="default" w:ascii="Times New Roman" w:hAnsi="Times New Roman" w:eastAsia="宋体" w:cs="Times New Roman"/>
                      <w:b/>
                      <w:bCs/>
                      <w:color w:val="auto"/>
                      <w:kern w:val="0"/>
                      <w:sz w:val="21"/>
                      <w:szCs w:val="21"/>
                      <w:highlight w:val="none"/>
                      <w:lang w:val="en-US" w:eastAsia="zh-CN" w:bidi="ar"/>
                    </w:rPr>
                    <w:t>备注</w:t>
                  </w:r>
                </w:p>
              </w:tc>
              <w:tc>
                <w:tcPr>
                  <w:tcW w:w="564" w:type="pct"/>
                  <w:tcBorders>
                    <w:top w:val="single" w:color="auto" w:sz="2" w:space="0"/>
                    <w:left w:val="single" w:color="auto" w:sz="2" w:space="0"/>
                    <w:bottom w:val="single" w:color="auto" w:sz="2" w:space="0"/>
                    <w:right w:val="single" w:color="auto" w:sz="2" w:space="0"/>
                  </w:tcBorders>
                  <w:noWrap w:val="0"/>
                  <w:vAlign w:val="center"/>
                </w:tcPr>
                <w:p w14:paraId="0E36B4F1">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cs="Times New Roman"/>
                      <w:b/>
                      <w:bCs/>
                      <w:color w:val="auto"/>
                      <w:kern w:val="0"/>
                      <w:sz w:val="21"/>
                      <w:szCs w:val="21"/>
                      <w:highlight w:val="none"/>
                      <w:lang w:val="en-US" w:eastAsia="zh-CN" w:bidi="ar"/>
                    </w:rPr>
                    <w:t>存放位置</w:t>
                  </w:r>
                </w:p>
              </w:tc>
            </w:tr>
            <w:tr w14:paraId="33C2EF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4" w:hRule="atLeast"/>
                <w:jc w:val="center"/>
              </w:trPr>
              <w:tc>
                <w:tcPr>
                  <w:tcW w:w="380" w:type="pct"/>
                  <w:tcBorders>
                    <w:top w:val="single" w:color="auto" w:sz="2" w:space="0"/>
                    <w:left w:val="single" w:color="auto" w:sz="2" w:space="0"/>
                    <w:bottom w:val="single" w:color="auto" w:sz="2" w:space="0"/>
                    <w:right w:val="single" w:color="auto" w:sz="2" w:space="0"/>
                  </w:tcBorders>
                  <w:noWrap w:val="0"/>
                  <w:vAlign w:val="center"/>
                </w:tcPr>
                <w:p w14:paraId="3FAD0411">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1</w:t>
                  </w:r>
                </w:p>
              </w:tc>
              <w:tc>
                <w:tcPr>
                  <w:tcW w:w="711" w:type="pct"/>
                  <w:tcBorders>
                    <w:top w:val="single" w:color="auto" w:sz="2" w:space="0"/>
                    <w:left w:val="single" w:color="auto" w:sz="2" w:space="0"/>
                    <w:bottom w:val="single" w:color="auto" w:sz="2" w:space="0"/>
                    <w:right w:val="single" w:color="auto" w:sz="2" w:space="0"/>
                  </w:tcBorders>
                  <w:noWrap w:val="0"/>
                  <w:vAlign w:val="center"/>
                </w:tcPr>
                <w:p w14:paraId="708A3739">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新鲜水</w:t>
                  </w:r>
                </w:p>
              </w:tc>
              <w:tc>
                <w:tcPr>
                  <w:tcW w:w="673" w:type="pct"/>
                  <w:tcBorders>
                    <w:top w:val="single" w:color="auto" w:sz="2" w:space="0"/>
                    <w:left w:val="single" w:color="auto" w:sz="2" w:space="0"/>
                    <w:bottom w:val="single" w:color="auto" w:sz="2" w:space="0"/>
                    <w:right w:val="single" w:color="auto" w:sz="2" w:space="0"/>
                  </w:tcBorders>
                  <w:noWrap w:val="0"/>
                  <w:vAlign w:val="center"/>
                </w:tcPr>
                <w:p w14:paraId="65CD5FC4">
                  <w:pPr>
                    <w:keepNext w:val="0"/>
                    <w:keepLines w:val="0"/>
                    <w:widowControl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1540.45</w:t>
                  </w:r>
                  <w:r>
                    <w:rPr>
                      <w:rFonts w:hint="default" w:ascii="Times New Roman" w:hAnsi="Times New Roman" w:eastAsia="Calibri" w:cs="Times New Roman"/>
                      <w:color w:val="auto"/>
                      <w:kern w:val="0"/>
                      <w:sz w:val="21"/>
                      <w:szCs w:val="21"/>
                      <w:highlight w:val="none"/>
                      <w:lang w:val="en-US" w:eastAsia="zh-CN" w:bidi="ar"/>
                    </w:rPr>
                    <w:t>m</w:t>
                  </w:r>
                  <w:r>
                    <w:rPr>
                      <w:rFonts w:hint="default" w:ascii="Times New Roman" w:hAnsi="Times New Roman" w:eastAsia="Calibri" w:cs="Times New Roman"/>
                      <w:color w:val="auto"/>
                      <w:kern w:val="0"/>
                      <w:sz w:val="21"/>
                      <w:szCs w:val="21"/>
                      <w:highlight w:val="none"/>
                      <w:vertAlign w:val="superscript"/>
                      <w:lang w:val="en-US" w:eastAsia="zh-CN" w:bidi="ar"/>
                    </w:rPr>
                    <w:t>3</w:t>
                  </w:r>
                </w:p>
              </w:tc>
              <w:tc>
                <w:tcPr>
                  <w:tcW w:w="2669" w:type="pct"/>
                  <w:tcBorders>
                    <w:top w:val="single" w:color="auto" w:sz="2" w:space="0"/>
                    <w:left w:val="single" w:color="auto" w:sz="2" w:space="0"/>
                    <w:bottom w:val="single" w:color="auto" w:sz="2" w:space="0"/>
                    <w:right w:val="single" w:color="auto" w:sz="2" w:space="0"/>
                  </w:tcBorders>
                  <w:noWrap w:val="0"/>
                  <w:vAlign w:val="center"/>
                </w:tcPr>
                <w:p w14:paraId="2CBDB837">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用于生活、钻井和洗井，罐车拉运及储存</w:t>
                  </w:r>
                  <w:r>
                    <w:rPr>
                      <w:rFonts w:hint="default" w:ascii="Times New Roman" w:hAnsi="Times New Roman" w:eastAsia="宋体" w:cs="Times New Roman"/>
                      <w:color w:val="auto"/>
                      <w:sz w:val="21"/>
                      <w:szCs w:val="21"/>
                      <w:highlight w:val="none"/>
                      <w:lang w:eastAsia="zh-CN"/>
                    </w:rPr>
                    <w:t>。</w:t>
                  </w:r>
                </w:p>
              </w:tc>
              <w:tc>
                <w:tcPr>
                  <w:tcW w:w="564" w:type="pct"/>
                  <w:tcBorders>
                    <w:top w:val="single" w:color="auto" w:sz="2" w:space="0"/>
                    <w:left w:val="single" w:color="auto" w:sz="2" w:space="0"/>
                    <w:bottom w:val="single" w:color="auto" w:sz="2" w:space="0"/>
                    <w:right w:val="single" w:color="auto" w:sz="2" w:space="0"/>
                  </w:tcBorders>
                  <w:noWrap w:val="0"/>
                  <w:vAlign w:val="center"/>
                </w:tcPr>
                <w:p w14:paraId="6E44E89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综合房</w:t>
                  </w:r>
                </w:p>
              </w:tc>
            </w:tr>
            <w:tr w14:paraId="0A3A10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7" w:hRule="atLeast"/>
                <w:jc w:val="center"/>
              </w:trPr>
              <w:tc>
                <w:tcPr>
                  <w:tcW w:w="380" w:type="pct"/>
                  <w:tcBorders>
                    <w:top w:val="single" w:color="auto" w:sz="2" w:space="0"/>
                    <w:left w:val="single" w:color="auto" w:sz="2" w:space="0"/>
                    <w:bottom w:val="single" w:color="auto" w:sz="2" w:space="0"/>
                    <w:right w:val="single" w:color="auto" w:sz="2" w:space="0"/>
                  </w:tcBorders>
                  <w:noWrap w:val="0"/>
                  <w:vAlign w:val="center"/>
                </w:tcPr>
                <w:p w14:paraId="58CF90C7">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w:t>
                  </w:r>
                </w:p>
              </w:tc>
              <w:tc>
                <w:tcPr>
                  <w:tcW w:w="711" w:type="pct"/>
                  <w:tcBorders>
                    <w:top w:val="single" w:color="auto" w:sz="2" w:space="0"/>
                    <w:left w:val="single" w:color="auto" w:sz="2" w:space="0"/>
                    <w:bottom w:val="single" w:color="auto" w:sz="2" w:space="0"/>
                    <w:right w:val="single" w:color="auto" w:sz="2" w:space="0"/>
                  </w:tcBorders>
                  <w:noWrap w:val="0"/>
                  <w:vAlign w:val="center"/>
                </w:tcPr>
                <w:p w14:paraId="5C24E4C9">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钻井液添加剂</w:t>
                  </w:r>
                </w:p>
              </w:tc>
              <w:tc>
                <w:tcPr>
                  <w:tcW w:w="673" w:type="pct"/>
                  <w:tcBorders>
                    <w:top w:val="single" w:color="auto" w:sz="2" w:space="0"/>
                    <w:left w:val="single" w:color="auto" w:sz="2" w:space="0"/>
                    <w:bottom w:val="single" w:color="auto" w:sz="2" w:space="0"/>
                    <w:right w:val="single" w:color="auto" w:sz="2" w:space="0"/>
                  </w:tcBorders>
                  <w:noWrap w:val="0"/>
                  <w:vAlign w:val="center"/>
                </w:tcPr>
                <w:p w14:paraId="4DBC9590">
                  <w:pPr>
                    <w:keepNext w:val="0"/>
                    <w:keepLines w:val="0"/>
                    <w:widowControl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lang w:val="en-US"/>
                    </w:rPr>
                  </w:pPr>
                  <w:r>
                    <w:rPr>
                      <w:rFonts w:hint="eastAsia" w:ascii="Times New Roman" w:hAnsi="Times New Roman" w:cs="Times New Roman"/>
                      <w:color w:val="auto"/>
                      <w:kern w:val="0"/>
                      <w:sz w:val="21"/>
                      <w:szCs w:val="21"/>
                      <w:highlight w:val="none"/>
                      <w:lang w:val="en-US" w:eastAsia="zh-CN" w:bidi="ar"/>
                    </w:rPr>
                    <w:t>61</w:t>
                  </w:r>
                  <w:r>
                    <w:rPr>
                      <w:rFonts w:hint="default" w:ascii="Times New Roman" w:hAnsi="Times New Roman" w:eastAsia="Calibri" w:cs="Times New Roman"/>
                      <w:color w:val="auto"/>
                      <w:kern w:val="0"/>
                      <w:sz w:val="21"/>
                      <w:szCs w:val="21"/>
                      <w:highlight w:val="none"/>
                      <w:lang w:val="en-US" w:eastAsia="zh-CN" w:bidi="ar"/>
                    </w:rPr>
                    <w:t>t</w:t>
                  </w:r>
                </w:p>
              </w:tc>
              <w:tc>
                <w:tcPr>
                  <w:tcW w:w="2669" w:type="pct"/>
                  <w:tcBorders>
                    <w:top w:val="single" w:color="auto" w:sz="2" w:space="0"/>
                    <w:left w:val="single" w:color="auto" w:sz="2" w:space="0"/>
                    <w:bottom w:val="single" w:color="auto" w:sz="2" w:space="0"/>
                    <w:right w:val="single" w:color="auto" w:sz="2" w:space="0"/>
                  </w:tcBorders>
                  <w:noWrap w:val="0"/>
                  <w:vAlign w:val="center"/>
                </w:tcPr>
                <w:p w14:paraId="20B707B9">
                  <w:pPr>
                    <w:jc w:val="both"/>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携带岩屑，稳定井壁，减少钻机磨损，平衡（控制）地层压力等，添加剂储罐置于进行防渗处理的围堰内；由车辆拉运至材料房内暂存。</w:t>
                  </w:r>
                </w:p>
              </w:tc>
              <w:tc>
                <w:tcPr>
                  <w:tcW w:w="564" w:type="pct"/>
                  <w:tcBorders>
                    <w:top w:val="single" w:color="auto" w:sz="2" w:space="0"/>
                    <w:left w:val="single" w:color="auto" w:sz="2" w:space="0"/>
                    <w:bottom w:val="single" w:color="auto" w:sz="2" w:space="0"/>
                    <w:right w:val="single" w:color="auto" w:sz="2" w:space="0"/>
                  </w:tcBorders>
                  <w:noWrap w:val="0"/>
                  <w:vAlign w:val="center"/>
                </w:tcPr>
                <w:p w14:paraId="06F125AA">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钻井液材料房</w:t>
                  </w:r>
                </w:p>
              </w:tc>
            </w:tr>
            <w:tr w14:paraId="1C5050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7" w:hRule="atLeast"/>
                <w:jc w:val="center"/>
              </w:trPr>
              <w:tc>
                <w:tcPr>
                  <w:tcW w:w="380" w:type="pct"/>
                  <w:tcBorders>
                    <w:top w:val="single" w:color="auto" w:sz="2" w:space="0"/>
                    <w:left w:val="single" w:color="auto" w:sz="2" w:space="0"/>
                    <w:bottom w:val="single" w:color="auto" w:sz="2" w:space="0"/>
                    <w:right w:val="single" w:color="auto" w:sz="2" w:space="0"/>
                  </w:tcBorders>
                  <w:noWrap w:val="0"/>
                  <w:vAlign w:val="center"/>
                </w:tcPr>
                <w:p w14:paraId="3E12E262">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3</w:t>
                  </w:r>
                </w:p>
              </w:tc>
              <w:tc>
                <w:tcPr>
                  <w:tcW w:w="711" w:type="pct"/>
                  <w:tcBorders>
                    <w:top w:val="single" w:color="auto" w:sz="2" w:space="0"/>
                    <w:left w:val="single" w:color="auto" w:sz="2" w:space="0"/>
                    <w:bottom w:val="single" w:color="auto" w:sz="2" w:space="0"/>
                    <w:right w:val="single" w:color="auto" w:sz="2" w:space="0"/>
                  </w:tcBorders>
                  <w:noWrap w:val="0"/>
                  <w:vAlign w:val="center"/>
                </w:tcPr>
                <w:p w14:paraId="3E352BFC">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压裂液</w:t>
                  </w:r>
                </w:p>
              </w:tc>
              <w:tc>
                <w:tcPr>
                  <w:tcW w:w="673" w:type="pct"/>
                  <w:tcBorders>
                    <w:top w:val="single" w:color="auto" w:sz="2" w:space="0"/>
                    <w:left w:val="single" w:color="auto" w:sz="2" w:space="0"/>
                    <w:bottom w:val="single" w:color="auto" w:sz="2" w:space="0"/>
                    <w:right w:val="single" w:color="auto" w:sz="2" w:space="0"/>
                  </w:tcBorders>
                  <w:noWrap w:val="0"/>
                  <w:vAlign w:val="center"/>
                </w:tcPr>
                <w:p w14:paraId="0278CB9D">
                  <w:pPr>
                    <w:keepNext w:val="0"/>
                    <w:keepLines w:val="0"/>
                    <w:widowControl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lang w:val="en-US"/>
                    </w:rPr>
                  </w:pPr>
                  <w:r>
                    <w:rPr>
                      <w:rFonts w:hint="eastAsia" w:ascii="Times New Roman" w:hAnsi="Times New Roman"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lang w:val="en-US" w:eastAsia="zh-CN" w:bidi="ar"/>
                    </w:rPr>
                    <w:t>00</w:t>
                  </w:r>
                  <w:r>
                    <w:rPr>
                      <w:rFonts w:hint="default" w:ascii="Times New Roman" w:hAnsi="Times New Roman" w:eastAsia="Calibri" w:cs="Times New Roman"/>
                      <w:color w:val="auto"/>
                      <w:kern w:val="0"/>
                      <w:sz w:val="21"/>
                      <w:szCs w:val="21"/>
                      <w:highlight w:val="none"/>
                      <w:lang w:val="en-US" w:eastAsia="zh-CN" w:bidi="ar"/>
                    </w:rPr>
                    <w:t>m</w:t>
                  </w:r>
                  <w:r>
                    <w:rPr>
                      <w:rFonts w:hint="default" w:ascii="Times New Roman" w:hAnsi="Times New Roman" w:eastAsia="Calibri" w:cs="Times New Roman"/>
                      <w:color w:val="auto"/>
                      <w:kern w:val="0"/>
                      <w:sz w:val="21"/>
                      <w:szCs w:val="21"/>
                      <w:highlight w:val="none"/>
                      <w:vertAlign w:val="superscript"/>
                      <w:lang w:val="en-US" w:eastAsia="zh-CN" w:bidi="ar"/>
                    </w:rPr>
                    <w:t>3</w:t>
                  </w:r>
                </w:p>
              </w:tc>
              <w:tc>
                <w:tcPr>
                  <w:tcW w:w="2669" w:type="pct"/>
                  <w:tcBorders>
                    <w:top w:val="single" w:color="auto" w:sz="2" w:space="0"/>
                    <w:left w:val="single" w:color="auto" w:sz="2" w:space="0"/>
                    <w:bottom w:val="single" w:color="auto" w:sz="2" w:space="0"/>
                    <w:right w:val="single" w:color="auto" w:sz="2" w:space="0"/>
                  </w:tcBorders>
                  <w:noWrap w:val="0"/>
                  <w:vAlign w:val="center"/>
                </w:tcPr>
                <w:p w14:paraId="00C07B3E">
                  <w:pPr>
                    <w:jc w:val="both"/>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用于压裂作业，形成油气高渗透带，改善气层导流能力，压裂液储罐置于进行防渗处理的围堰内</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主成分为水凝胶，用于压裂作业，形成油气高渗透带，改善油气层导流能力。</w:t>
                  </w:r>
                  <w:r>
                    <w:rPr>
                      <w:rFonts w:hint="eastAsia" w:ascii="Times New Roman" w:hAnsi="Times New Roman" w:eastAsia="宋体" w:cs="Times New Roman"/>
                      <w:b w:val="0"/>
                      <w:bCs w:val="0"/>
                      <w:color w:val="auto"/>
                      <w:sz w:val="21"/>
                      <w:szCs w:val="21"/>
                      <w:highlight w:val="none"/>
                      <w:vertAlign w:val="baseline"/>
                      <w:lang w:val="en-US" w:eastAsia="zh-CN"/>
                    </w:rPr>
                    <w:t>单口直井压裂液消耗量10</w:t>
                  </w:r>
                  <w:r>
                    <w:rPr>
                      <w:rFonts w:hint="default" w:ascii="Times New Roman" w:hAnsi="Times New Roman" w:eastAsia="宋体" w:cs="Times New Roman"/>
                      <w:b w:val="0"/>
                      <w:bCs w:val="0"/>
                      <w:color w:val="auto"/>
                      <w:sz w:val="21"/>
                      <w:szCs w:val="21"/>
                      <w:highlight w:val="none"/>
                      <w:vertAlign w:val="baseline"/>
                      <w:lang w:val="en-US" w:eastAsia="zh-CN"/>
                    </w:rPr>
                    <w:t>00</w:t>
                  </w:r>
                  <w:r>
                    <w:rPr>
                      <w:rFonts w:hint="eastAsia" w:ascii="Times New Roman" w:hAnsi="Times New Roman" w:eastAsia="宋体" w:cs="Times New Roman"/>
                      <w:b w:val="0"/>
                      <w:bCs w:val="0"/>
                      <w:color w:val="auto"/>
                      <w:sz w:val="21"/>
                      <w:szCs w:val="21"/>
                      <w:highlight w:val="none"/>
                      <w:vertAlign w:val="baseline"/>
                      <w:lang w:val="en-US" w:eastAsia="zh-CN"/>
                    </w:rPr>
                    <w:t>m</w:t>
                  </w:r>
                  <w:r>
                    <w:rPr>
                      <w:rFonts w:hint="eastAsia" w:ascii="Times New Roman" w:hAnsi="Times New Roman" w:eastAsia="宋体" w:cs="Times New Roman"/>
                      <w:b w:val="0"/>
                      <w:bCs w:val="0"/>
                      <w:color w:val="auto"/>
                      <w:sz w:val="21"/>
                      <w:szCs w:val="21"/>
                      <w:highlight w:val="none"/>
                      <w:vertAlign w:val="superscript"/>
                      <w:lang w:val="en-US" w:eastAsia="zh-CN"/>
                    </w:rPr>
                    <w:t>3</w:t>
                  </w: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564" w:type="pct"/>
                  <w:vMerge w:val="restart"/>
                  <w:tcBorders>
                    <w:top w:val="single" w:color="auto" w:sz="2" w:space="0"/>
                    <w:left w:val="single" w:color="auto" w:sz="2" w:space="0"/>
                    <w:right w:val="single" w:color="auto" w:sz="2" w:space="0"/>
                  </w:tcBorders>
                  <w:noWrap w:val="0"/>
                  <w:vAlign w:val="center"/>
                </w:tcPr>
                <w:p w14:paraId="252DA42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材料房</w:t>
                  </w:r>
                </w:p>
              </w:tc>
            </w:tr>
            <w:tr w14:paraId="4F788E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7" w:hRule="atLeast"/>
                <w:jc w:val="center"/>
              </w:trPr>
              <w:tc>
                <w:tcPr>
                  <w:tcW w:w="380" w:type="pct"/>
                  <w:tcBorders>
                    <w:top w:val="single" w:color="auto" w:sz="2" w:space="0"/>
                    <w:left w:val="single" w:color="auto" w:sz="2" w:space="0"/>
                    <w:bottom w:val="single" w:color="auto" w:sz="2" w:space="0"/>
                    <w:right w:val="single" w:color="auto" w:sz="2" w:space="0"/>
                  </w:tcBorders>
                  <w:noWrap w:val="0"/>
                  <w:vAlign w:val="center"/>
                </w:tcPr>
                <w:p w14:paraId="720925A4">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4</w:t>
                  </w:r>
                </w:p>
              </w:tc>
              <w:tc>
                <w:tcPr>
                  <w:tcW w:w="711" w:type="pct"/>
                  <w:tcBorders>
                    <w:top w:val="single" w:color="auto" w:sz="2" w:space="0"/>
                    <w:left w:val="single" w:color="auto" w:sz="2" w:space="0"/>
                    <w:bottom w:val="single" w:color="auto" w:sz="2" w:space="0"/>
                    <w:right w:val="single" w:color="auto" w:sz="2" w:space="0"/>
                  </w:tcBorders>
                  <w:noWrap w:val="0"/>
                  <w:vAlign w:val="center"/>
                </w:tcPr>
                <w:p w14:paraId="5F35FF3D">
                  <w:pPr>
                    <w:pStyle w:val="15"/>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
                    </w:rPr>
                    <w:t>射孔液</w:t>
                  </w:r>
                </w:p>
              </w:tc>
              <w:tc>
                <w:tcPr>
                  <w:tcW w:w="673" w:type="pct"/>
                  <w:tcBorders>
                    <w:top w:val="single" w:color="auto" w:sz="2" w:space="0"/>
                    <w:left w:val="single" w:color="auto" w:sz="2" w:space="0"/>
                    <w:bottom w:val="single" w:color="auto" w:sz="2" w:space="0"/>
                    <w:right w:val="single" w:color="auto" w:sz="2" w:space="0"/>
                  </w:tcBorders>
                  <w:noWrap w:val="0"/>
                  <w:vAlign w:val="center"/>
                </w:tcPr>
                <w:p w14:paraId="0093E67A">
                  <w:pPr>
                    <w:pStyle w:val="15"/>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116.15</w:t>
                  </w:r>
                  <w:r>
                    <w:rPr>
                      <w:rFonts w:hint="eastAsia" w:ascii="Times New Roman" w:hAnsi="Times New Roman" w:cs="Times New Roman"/>
                      <w:color w:val="auto"/>
                      <w:kern w:val="0"/>
                      <w:sz w:val="21"/>
                      <w:szCs w:val="21"/>
                      <w:highlight w:val="none"/>
                      <w:lang w:val="en-US" w:eastAsia="zh-CN" w:bidi="ar"/>
                    </w:rPr>
                    <w:t>m</w:t>
                  </w:r>
                  <w:r>
                    <w:rPr>
                      <w:rFonts w:hint="eastAsia" w:ascii="Times New Roman" w:hAnsi="Times New Roman" w:cs="Times New Roman"/>
                      <w:color w:val="auto"/>
                      <w:kern w:val="0"/>
                      <w:sz w:val="21"/>
                      <w:szCs w:val="21"/>
                      <w:highlight w:val="none"/>
                      <w:vertAlign w:val="superscript"/>
                      <w:lang w:val="en-US" w:eastAsia="zh-CN" w:bidi="ar"/>
                    </w:rPr>
                    <w:t>3</w:t>
                  </w:r>
                </w:p>
              </w:tc>
              <w:tc>
                <w:tcPr>
                  <w:tcW w:w="2669" w:type="pct"/>
                  <w:tcBorders>
                    <w:top w:val="single" w:color="auto" w:sz="2" w:space="0"/>
                    <w:left w:val="single" w:color="auto" w:sz="2" w:space="0"/>
                    <w:bottom w:val="single" w:color="auto" w:sz="2" w:space="0"/>
                    <w:right w:val="single" w:color="auto" w:sz="2" w:space="0"/>
                  </w:tcBorders>
                  <w:noWrap w:val="0"/>
                  <w:vAlign w:val="center"/>
                </w:tcPr>
                <w:p w14:paraId="28925DFF">
                  <w:pPr>
                    <w:pStyle w:val="15"/>
                    <w:keepNext w:val="0"/>
                    <w:keepLines w:val="0"/>
                    <w:widowControl w:val="0"/>
                    <w:suppressLineNumbers w:val="0"/>
                    <w:adjustRightInd w:val="0"/>
                    <w:snapToGrid w:val="0"/>
                    <w:spacing w:before="0" w:beforeAutospacing="0" w:after="0" w:afterAutospacing="0"/>
                    <w:ind w:left="0" w:leftChars="0" w:right="0" w:right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外购成品，存放于原辅料存放区，液态物质采用桶装，固态物质采用袋装，按其性质，分区堆放，原辅料存放区下面</w:t>
                  </w:r>
                  <w:r>
                    <w:rPr>
                      <w:rFonts w:hint="eastAsia" w:ascii="Times New Roman" w:hAnsi="Times New Roman" w:eastAsia="宋体" w:cs="Times New Roman"/>
                      <w:color w:val="auto"/>
                      <w:sz w:val="21"/>
                      <w:szCs w:val="21"/>
                      <w:highlight w:val="none"/>
                      <w:lang w:val="en-US" w:eastAsia="zh-CN"/>
                    </w:rPr>
                    <w:t>做防渗处理</w:t>
                  </w:r>
                  <w:r>
                    <w:rPr>
                      <w:rFonts w:hint="default" w:ascii="Times New Roman" w:hAnsi="Times New Roman" w:cs="Times New Roman"/>
                      <w:color w:val="auto"/>
                      <w:sz w:val="21"/>
                      <w:szCs w:val="21"/>
                      <w:highlight w:val="none"/>
                    </w:rPr>
                    <w:t>，上面遮盖篷布。单口井射孔液用量为井筒容积，本项目</w:t>
                  </w:r>
                  <w:r>
                    <w:rPr>
                      <w:rFonts w:hint="eastAsia" w:ascii="Times New Roman" w:hAnsi="Times New Roman" w:eastAsia="宋体" w:cs="Times New Roman"/>
                      <w:color w:val="auto"/>
                      <w:sz w:val="21"/>
                      <w:szCs w:val="21"/>
                      <w:highlight w:val="none"/>
                      <w:lang w:val="en-US" w:eastAsia="zh-CN"/>
                    </w:rPr>
                    <w:t>探井井筒总容积</w:t>
                  </w:r>
                  <w:r>
                    <w:rPr>
                      <w:rFonts w:hint="default" w:ascii="Times New Roman" w:hAnsi="Times New Roman" w:cs="Times New Roman"/>
                      <w:color w:val="auto"/>
                      <w:sz w:val="21"/>
                      <w:szCs w:val="21"/>
                      <w:highlight w:val="none"/>
                    </w:rPr>
                    <w:t>为</w:t>
                  </w:r>
                  <w:r>
                    <w:rPr>
                      <w:rFonts w:hint="eastAsia" w:ascii="Times New Roman" w:hAnsi="Times New Roman" w:eastAsia="宋体" w:cs="Times New Roman"/>
                      <w:i w:val="0"/>
                      <w:iCs w:val="0"/>
                      <w:color w:val="auto"/>
                      <w:kern w:val="0"/>
                      <w:sz w:val="21"/>
                      <w:szCs w:val="21"/>
                      <w:highlight w:val="none"/>
                      <w:u w:val="none"/>
                      <w:lang w:val="en-US" w:eastAsia="zh-CN" w:bidi="ar"/>
                    </w:rPr>
                    <w:t>116.15</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，即射孔液总消耗量为</w:t>
                  </w:r>
                  <w:r>
                    <w:rPr>
                      <w:rFonts w:hint="eastAsia" w:ascii="Times New Roman" w:hAnsi="Times New Roman" w:eastAsia="宋体" w:cs="Times New Roman"/>
                      <w:i w:val="0"/>
                      <w:iCs w:val="0"/>
                      <w:color w:val="auto"/>
                      <w:kern w:val="0"/>
                      <w:sz w:val="21"/>
                      <w:szCs w:val="21"/>
                      <w:highlight w:val="none"/>
                      <w:u w:val="none"/>
                      <w:lang w:val="en-US" w:eastAsia="zh-CN" w:bidi="ar"/>
                    </w:rPr>
                    <w:t>116.15</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564" w:type="pct"/>
                  <w:vMerge w:val="continue"/>
                  <w:tcBorders>
                    <w:left w:val="single" w:color="auto" w:sz="2" w:space="0"/>
                    <w:right w:val="single" w:color="auto" w:sz="2" w:space="0"/>
                  </w:tcBorders>
                  <w:noWrap w:val="0"/>
                  <w:vAlign w:val="center"/>
                </w:tcPr>
                <w:p w14:paraId="51422EA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2E1D30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7" w:hRule="atLeast"/>
                <w:jc w:val="center"/>
              </w:trPr>
              <w:tc>
                <w:tcPr>
                  <w:tcW w:w="380" w:type="pct"/>
                  <w:tcBorders>
                    <w:top w:val="single" w:color="auto" w:sz="2" w:space="0"/>
                    <w:left w:val="single" w:color="auto" w:sz="2" w:space="0"/>
                    <w:bottom w:val="single" w:color="auto" w:sz="2" w:space="0"/>
                    <w:right w:val="single" w:color="auto" w:sz="2" w:space="0"/>
                  </w:tcBorders>
                  <w:noWrap w:val="0"/>
                  <w:vAlign w:val="center"/>
                </w:tcPr>
                <w:p w14:paraId="5622C0A4">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5</w:t>
                  </w:r>
                </w:p>
              </w:tc>
              <w:tc>
                <w:tcPr>
                  <w:tcW w:w="711" w:type="pct"/>
                  <w:tcBorders>
                    <w:top w:val="single" w:color="auto" w:sz="2" w:space="0"/>
                    <w:left w:val="single" w:color="auto" w:sz="2" w:space="0"/>
                    <w:bottom w:val="single" w:color="auto" w:sz="2" w:space="0"/>
                    <w:right w:val="single" w:color="auto" w:sz="2" w:space="0"/>
                  </w:tcBorders>
                  <w:noWrap w:val="0"/>
                  <w:vAlign w:val="center"/>
                </w:tcPr>
                <w:p w14:paraId="0BB28EFA">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机油</w:t>
                  </w:r>
                </w:p>
              </w:tc>
              <w:tc>
                <w:tcPr>
                  <w:tcW w:w="673" w:type="pct"/>
                  <w:tcBorders>
                    <w:top w:val="single" w:color="auto" w:sz="2" w:space="0"/>
                    <w:left w:val="single" w:color="auto" w:sz="2" w:space="0"/>
                    <w:bottom w:val="single" w:color="auto" w:sz="2" w:space="0"/>
                    <w:right w:val="single" w:color="auto" w:sz="2" w:space="0"/>
                  </w:tcBorders>
                  <w:noWrap w:val="0"/>
                  <w:vAlign w:val="center"/>
                </w:tcPr>
                <w:p w14:paraId="5FEB0129">
                  <w:pPr>
                    <w:keepNext w:val="0"/>
                    <w:keepLines w:val="0"/>
                    <w:widowControl w:val="0"/>
                    <w:suppressLineNumbers w:val="0"/>
                    <w:adjustRightInd w:val="0"/>
                    <w:snapToGrid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
                    </w:rPr>
                    <w:t>50</w:t>
                  </w:r>
                  <w:r>
                    <w:rPr>
                      <w:rFonts w:hint="default" w:ascii="Times New Roman" w:hAnsi="Times New Roman" w:eastAsia="宋体" w:cs="Times New Roman"/>
                      <w:color w:val="auto"/>
                      <w:kern w:val="0"/>
                      <w:sz w:val="21"/>
                      <w:szCs w:val="21"/>
                      <w:highlight w:val="none"/>
                      <w:lang w:val="en-US" w:eastAsia="zh-CN" w:bidi="ar"/>
                    </w:rPr>
                    <w:t>L</w:t>
                  </w:r>
                </w:p>
              </w:tc>
              <w:tc>
                <w:tcPr>
                  <w:tcW w:w="2669" w:type="pct"/>
                  <w:tcBorders>
                    <w:top w:val="single" w:color="auto" w:sz="2" w:space="0"/>
                    <w:left w:val="single" w:color="auto" w:sz="2" w:space="0"/>
                    <w:bottom w:val="single" w:color="auto" w:sz="2" w:space="0"/>
                    <w:right w:val="single" w:color="auto" w:sz="2" w:space="0"/>
                  </w:tcBorders>
                  <w:noWrap w:val="0"/>
                  <w:vAlign w:val="center"/>
                </w:tcPr>
                <w:p w14:paraId="796E0656">
                  <w:pPr>
                    <w:keepNext w:val="0"/>
                    <w:keepLines w:val="0"/>
                    <w:widowControl/>
                    <w:suppressLineNumbers w:val="0"/>
                    <w:spacing w:before="0" w:beforeAutospacing="0" w:after="0" w:afterAutospacing="0"/>
                    <w:ind w:left="0" w:leftChars="0" w:right="0" w:right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对发动机起到润滑减磨、辅助冷却降温、密封防漏、防锈防蚀、减震缓冲等作用。密度：0.91×10</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（kg/m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w:t>
                  </w:r>
                </w:p>
              </w:tc>
              <w:tc>
                <w:tcPr>
                  <w:tcW w:w="564" w:type="pct"/>
                  <w:vMerge w:val="continue"/>
                  <w:tcBorders>
                    <w:left w:val="single" w:color="auto" w:sz="2" w:space="0"/>
                    <w:right w:val="single" w:color="auto" w:sz="2" w:space="0"/>
                  </w:tcBorders>
                  <w:noWrap w:val="0"/>
                  <w:vAlign w:val="center"/>
                </w:tcPr>
                <w:p w14:paraId="356A0443">
                  <w:pPr>
                    <w:pStyle w:val="15"/>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lang w:val="en-US" w:eastAsia="zh-CN" w:bidi="ar"/>
                    </w:rPr>
                  </w:pPr>
                </w:p>
              </w:tc>
            </w:tr>
            <w:tr w14:paraId="01CC5E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7" w:hRule="atLeast"/>
                <w:jc w:val="center"/>
              </w:trPr>
              <w:tc>
                <w:tcPr>
                  <w:tcW w:w="380" w:type="pct"/>
                  <w:tcBorders>
                    <w:top w:val="single" w:color="auto" w:sz="2" w:space="0"/>
                    <w:left w:val="single" w:color="auto" w:sz="2" w:space="0"/>
                    <w:bottom w:val="single" w:color="auto" w:sz="2" w:space="0"/>
                    <w:right w:val="single" w:color="auto" w:sz="2" w:space="0"/>
                  </w:tcBorders>
                  <w:noWrap w:val="0"/>
                  <w:vAlign w:val="center"/>
                </w:tcPr>
                <w:p w14:paraId="381AF2C1">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6</w:t>
                  </w:r>
                </w:p>
              </w:tc>
              <w:tc>
                <w:tcPr>
                  <w:tcW w:w="711" w:type="pct"/>
                  <w:tcBorders>
                    <w:top w:val="single" w:color="auto" w:sz="2" w:space="0"/>
                    <w:left w:val="single" w:color="auto" w:sz="2" w:space="0"/>
                    <w:bottom w:val="single" w:color="auto" w:sz="2" w:space="0"/>
                    <w:right w:val="single" w:color="auto" w:sz="2" w:space="0"/>
                  </w:tcBorders>
                  <w:noWrap w:val="0"/>
                  <w:vAlign w:val="center"/>
                </w:tcPr>
                <w:p w14:paraId="447D324B">
                  <w:pPr>
                    <w:pStyle w:val="15"/>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水泥</w:t>
                  </w:r>
                </w:p>
              </w:tc>
              <w:tc>
                <w:tcPr>
                  <w:tcW w:w="673" w:type="pct"/>
                  <w:tcBorders>
                    <w:top w:val="single" w:color="auto" w:sz="2" w:space="0"/>
                    <w:left w:val="single" w:color="auto" w:sz="2" w:space="0"/>
                    <w:bottom w:val="single" w:color="auto" w:sz="2" w:space="0"/>
                    <w:right w:val="single" w:color="auto" w:sz="2" w:space="0"/>
                  </w:tcBorders>
                  <w:noWrap w:val="0"/>
                  <w:vAlign w:val="center"/>
                </w:tcPr>
                <w:p w14:paraId="69C1689F">
                  <w:pPr>
                    <w:pStyle w:val="15"/>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
                    </w:rPr>
                    <w:t>30</w:t>
                  </w:r>
                  <w:r>
                    <w:rPr>
                      <w:rFonts w:hint="default" w:ascii="Times New Roman" w:hAnsi="Times New Roman" w:eastAsia="宋体" w:cs="Times New Roman"/>
                      <w:color w:val="auto"/>
                      <w:kern w:val="0"/>
                      <w:sz w:val="21"/>
                      <w:szCs w:val="21"/>
                      <w:highlight w:val="none"/>
                      <w:lang w:val="en-US" w:eastAsia="zh-CN" w:bidi="ar"/>
                    </w:rPr>
                    <w:t>t</w:t>
                  </w:r>
                </w:p>
              </w:tc>
              <w:tc>
                <w:tcPr>
                  <w:tcW w:w="2669" w:type="pct"/>
                  <w:tcBorders>
                    <w:top w:val="single" w:color="auto" w:sz="2" w:space="0"/>
                    <w:left w:val="single" w:color="auto" w:sz="2" w:space="0"/>
                    <w:bottom w:val="single" w:color="auto" w:sz="2" w:space="0"/>
                    <w:right w:val="single" w:color="auto" w:sz="2" w:space="0"/>
                  </w:tcBorders>
                  <w:noWrap w:val="0"/>
                  <w:vAlign w:val="center"/>
                </w:tcPr>
                <w:p w14:paraId="7E5B8895">
                  <w:pPr>
                    <w:pStyle w:val="15"/>
                    <w:keepNext w:val="0"/>
                    <w:keepLines w:val="0"/>
                    <w:widowControl w:val="0"/>
                    <w:suppressLineNumbers w:val="0"/>
                    <w:adjustRightInd w:val="0"/>
                    <w:snapToGrid w:val="0"/>
                    <w:spacing w:before="0" w:beforeAutospacing="0" w:after="0" w:afterAutospacing="0"/>
                    <w:ind w:left="0" w:leftChars="0" w:right="0" w:right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作为固井和封井材料，G级纯水泥，外购成品，罐车运输至井场使用，水泥中添加降失水剂（主要为水溶性聚合物及有机材料），以调节水泥性能。</w:t>
                  </w:r>
                </w:p>
              </w:tc>
              <w:tc>
                <w:tcPr>
                  <w:tcW w:w="564" w:type="pct"/>
                  <w:vMerge w:val="restart"/>
                  <w:tcBorders>
                    <w:left w:val="single" w:color="auto" w:sz="2" w:space="0"/>
                    <w:right w:val="single" w:color="auto" w:sz="2" w:space="0"/>
                  </w:tcBorders>
                  <w:noWrap w:val="0"/>
                  <w:vAlign w:val="center"/>
                </w:tcPr>
                <w:p w14:paraId="09814E9C">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现场不暂存</w:t>
                  </w:r>
                </w:p>
              </w:tc>
            </w:tr>
            <w:tr w14:paraId="5C60E4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7" w:hRule="atLeast"/>
                <w:jc w:val="center"/>
              </w:trPr>
              <w:tc>
                <w:tcPr>
                  <w:tcW w:w="380" w:type="pct"/>
                  <w:tcBorders>
                    <w:top w:val="single" w:color="auto" w:sz="2" w:space="0"/>
                    <w:left w:val="single" w:color="auto" w:sz="2" w:space="0"/>
                    <w:bottom w:val="single" w:color="auto" w:sz="2" w:space="0"/>
                    <w:right w:val="single" w:color="auto" w:sz="2" w:space="0"/>
                  </w:tcBorders>
                  <w:noWrap w:val="0"/>
                  <w:vAlign w:val="center"/>
                </w:tcPr>
                <w:p w14:paraId="5E7A1C31">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7</w:t>
                  </w:r>
                </w:p>
              </w:tc>
              <w:tc>
                <w:tcPr>
                  <w:tcW w:w="711" w:type="pct"/>
                  <w:tcBorders>
                    <w:top w:val="single" w:color="auto" w:sz="2" w:space="0"/>
                    <w:left w:val="single" w:color="auto" w:sz="2" w:space="0"/>
                    <w:bottom w:val="single" w:color="auto" w:sz="2" w:space="0"/>
                    <w:right w:val="single" w:color="auto" w:sz="2" w:space="0"/>
                  </w:tcBorders>
                  <w:noWrap w:val="0"/>
                  <w:vAlign w:val="center"/>
                </w:tcPr>
                <w:p w14:paraId="6951C6B5">
                  <w:pPr>
                    <w:pStyle w:val="15"/>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支撑剂</w:t>
                  </w:r>
                </w:p>
              </w:tc>
              <w:tc>
                <w:tcPr>
                  <w:tcW w:w="673" w:type="pct"/>
                  <w:tcBorders>
                    <w:top w:val="single" w:color="auto" w:sz="2" w:space="0"/>
                    <w:left w:val="single" w:color="auto" w:sz="2" w:space="0"/>
                    <w:bottom w:val="single" w:color="auto" w:sz="2" w:space="0"/>
                    <w:right w:val="single" w:color="auto" w:sz="2" w:space="0"/>
                  </w:tcBorders>
                  <w:noWrap w:val="0"/>
                  <w:vAlign w:val="center"/>
                </w:tcPr>
                <w:p w14:paraId="70243D9D">
                  <w:pPr>
                    <w:pStyle w:val="15"/>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30</w:t>
                  </w:r>
                  <w:r>
                    <w:rPr>
                      <w:rFonts w:hint="default" w:ascii="Times New Roman" w:hAnsi="Times New Roman" w:eastAsia="宋体" w:cs="Times New Roman"/>
                      <w:color w:val="auto"/>
                      <w:kern w:val="0"/>
                      <w:sz w:val="21"/>
                      <w:szCs w:val="21"/>
                      <w:highlight w:val="none"/>
                      <w:lang w:val="en-US" w:eastAsia="zh-CN" w:bidi="ar"/>
                    </w:rPr>
                    <w:t>t</w:t>
                  </w:r>
                </w:p>
              </w:tc>
              <w:tc>
                <w:tcPr>
                  <w:tcW w:w="2669" w:type="pct"/>
                  <w:tcBorders>
                    <w:top w:val="single" w:color="auto" w:sz="2" w:space="0"/>
                    <w:left w:val="single" w:color="auto" w:sz="2" w:space="0"/>
                    <w:bottom w:val="single" w:color="auto" w:sz="2" w:space="0"/>
                    <w:right w:val="single" w:color="auto" w:sz="2" w:space="0"/>
                  </w:tcBorders>
                  <w:noWrap w:val="0"/>
                  <w:vAlign w:val="center"/>
                </w:tcPr>
                <w:p w14:paraId="159D85FA">
                  <w:pPr>
                    <w:pStyle w:val="15"/>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主要为小粒径石英砂</w:t>
                  </w:r>
                </w:p>
              </w:tc>
              <w:tc>
                <w:tcPr>
                  <w:tcW w:w="564" w:type="pct"/>
                  <w:vMerge w:val="continue"/>
                  <w:tcBorders>
                    <w:left w:val="single" w:color="auto" w:sz="2" w:space="0"/>
                    <w:bottom w:val="single" w:color="auto" w:sz="2" w:space="0"/>
                    <w:right w:val="single" w:color="auto" w:sz="2" w:space="0"/>
                  </w:tcBorders>
                  <w:noWrap w:val="0"/>
                  <w:vAlign w:val="center"/>
                </w:tcPr>
                <w:p w14:paraId="7AB2B127">
                  <w:pPr>
                    <w:pStyle w:val="15"/>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kern w:val="0"/>
                      <w:sz w:val="21"/>
                      <w:szCs w:val="21"/>
                      <w:highlight w:val="none"/>
                      <w:lang w:val="en-US" w:eastAsia="zh-CN" w:bidi="ar"/>
                    </w:rPr>
                  </w:pPr>
                </w:p>
              </w:tc>
            </w:tr>
          </w:tbl>
          <w:p w14:paraId="5D30AB92">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bidi="ar"/>
              </w:rPr>
              <w:t>钻井中钻井液的循环程序包括：钻井、液罐、经泵→地面、管汇→立管→水龙带、水龙头→钻柱内→钻头→钻柱外环形空间→井口、泥浆（钻井液）槽→钻井液净化设备→钻井液罐。一开采用膨润土钻井液，二开采用聚合物钻井液。根据企业实际施工经验</w:t>
            </w:r>
            <w:r>
              <w:rPr>
                <w:rFonts w:hint="default" w:ascii="Times New Roman" w:hAnsi="Times New Roman" w:eastAsia="宋体" w:cs="Times New Roman"/>
                <w:color w:val="auto"/>
                <w:kern w:val="0"/>
                <w:sz w:val="24"/>
                <w:szCs w:val="24"/>
                <w:highlight w:val="none"/>
                <w:lang w:val="en-US" w:eastAsia="zh-CN" w:bidi="ar"/>
              </w:rPr>
              <w:t>，单井钻井液组成及用量情况见表2-</w:t>
            </w:r>
            <w:r>
              <w:rPr>
                <w:rFonts w:hint="eastAsia" w:ascii="Times New Roman" w:hAnsi="Times New Roman" w:cs="Times New Roman"/>
                <w:color w:val="auto"/>
                <w:kern w:val="0"/>
                <w:sz w:val="24"/>
                <w:szCs w:val="24"/>
                <w:highlight w:val="none"/>
                <w:lang w:val="en-US" w:eastAsia="zh-CN" w:bidi="ar"/>
              </w:rPr>
              <w:t>9</w:t>
            </w:r>
            <w:r>
              <w:rPr>
                <w:rFonts w:hint="default" w:ascii="Times New Roman" w:hAnsi="Times New Roman" w:eastAsia="宋体" w:cs="Times New Roman"/>
                <w:color w:val="auto"/>
                <w:kern w:val="0"/>
                <w:sz w:val="24"/>
                <w:szCs w:val="24"/>
                <w:highlight w:val="none"/>
                <w:lang w:val="en-US" w:eastAsia="zh-CN" w:bidi="ar"/>
              </w:rPr>
              <w:t>。</w:t>
            </w:r>
          </w:p>
          <w:p w14:paraId="4D8A9BCA">
            <w:pPr>
              <w:keepNext w:val="0"/>
              <w:keepLines w:val="0"/>
              <w:widowControl/>
              <w:suppressLineNumbers w:val="0"/>
              <w:spacing w:before="0" w:beforeAutospacing="0" w:after="0" w:afterAutospacing="0" w:line="360" w:lineRule="auto"/>
              <w:ind w:left="431" w:right="0" w:hanging="431"/>
              <w:jc w:val="center"/>
              <w:outlineLvl w:val="9"/>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eastAsia="zh-CN"/>
              </w:rPr>
              <w:t>表</w:t>
            </w:r>
            <w:r>
              <w:rPr>
                <w:rFonts w:hint="default" w:ascii="Times New Roman" w:hAnsi="Times New Roman" w:eastAsia="宋体" w:cs="Times New Roman"/>
                <w:b/>
                <w:bCs w:val="0"/>
                <w:color w:val="auto"/>
                <w:sz w:val="24"/>
                <w:szCs w:val="24"/>
                <w:highlight w:val="none"/>
                <w:lang w:val="en-US" w:eastAsia="zh-CN"/>
              </w:rPr>
              <w:t>2-</w:t>
            </w:r>
            <w:r>
              <w:rPr>
                <w:rFonts w:hint="eastAsia" w:ascii="Times New Roman" w:hAnsi="Times New Roman" w:cs="Times New Roman"/>
                <w:b/>
                <w:bCs w:val="0"/>
                <w:color w:val="auto"/>
                <w:sz w:val="24"/>
                <w:szCs w:val="24"/>
                <w:highlight w:val="none"/>
                <w:lang w:val="en-US" w:eastAsia="zh-CN"/>
              </w:rPr>
              <w:t>9  直井</w:t>
            </w:r>
            <w:r>
              <w:rPr>
                <w:rFonts w:hint="default" w:ascii="Times New Roman" w:hAnsi="Times New Roman" w:eastAsia="宋体" w:cs="Times New Roman"/>
                <w:b/>
                <w:bCs w:val="0"/>
                <w:color w:val="auto"/>
                <w:sz w:val="24"/>
                <w:szCs w:val="24"/>
                <w:highlight w:val="none"/>
                <w:lang w:eastAsia="zh-CN"/>
              </w:rPr>
              <w:t>单井钻井液组成及用量表</w:t>
            </w:r>
          </w:p>
          <w:tbl>
            <w:tblPr>
              <w:tblStyle w:val="16"/>
              <w:tblW w:w="499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26"/>
              <w:gridCol w:w="2275"/>
              <w:gridCol w:w="847"/>
              <w:gridCol w:w="847"/>
              <w:gridCol w:w="847"/>
              <w:gridCol w:w="1560"/>
              <w:gridCol w:w="766"/>
            </w:tblGrid>
            <w:tr w14:paraId="3F5E52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45" w:hRule="atLeast"/>
                <w:tblHeader/>
                <w:jc w:val="center"/>
              </w:trPr>
              <w:tc>
                <w:tcPr>
                  <w:tcW w:w="732" w:type="pct"/>
                  <w:tcBorders>
                    <w:tl2br w:val="nil"/>
                    <w:tr2bl w:val="nil"/>
                  </w:tcBorders>
                  <w:noWrap w:val="0"/>
                  <w:vAlign w:val="center"/>
                </w:tcPr>
                <w:p w14:paraId="4692EC0B">
                  <w:pPr>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材料名称</w:t>
                  </w:r>
                </w:p>
              </w:tc>
              <w:tc>
                <w:tcPr>
                  <w:tcW w:w="1359" w:type="pct"/>
                  <w:tcBorders>
                    <w:tl2br w:val="nil"/>
                    <w:tr2bl w:val="nil"/>
                  </w:tcBorders>
                  <w:noWrap w:val="0"/>
                  <w:vAlign w:val="center"/>
                </w:tcPr>
                <w:p w14:paraId="2A56CC2E">
                  <w:pPr>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主要成分</w:t>
                  </w:r>
                </w:p>
              </w:tc>
              <w:tc>
                <w:tcPr>
                  <w:tcW w:w="506" w:type="pct"/>
                  <w:tcBorders>
                    <w:tl2br w:val="nil"/>
                    <w:tr2bl w:val="nil"/>
                  </w:tcBorders>
                  <w:noWrap w:val="0"/>
                  <w:vAlign w:val="center"/>
                </w:tcPr>
                <w:p w14:paraId="68CE1A53">
                  <w:pPr>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一开用量（吨）</w:t>
                  </w:r>
                </w:p>
              </w:tc>
              <w:tc>
                <w:tcPr>
                  <w:tcW w:w="506" w:type="pct"/>
                  <w:tcBorders>
                    <w:tl2br w:val="nil"/>
                    <w:tr2bl w:val="nil"/>
                  </w:tcBorders>
                  <w:noWrap w:val="0"/>
                  <w:vAlign w:val="center"/>
                </w:tcPr>
                <w:p w14:paraId="68458D86">
                  <w:pPr>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二开用量（吨）</w:t>
                  </w:r>
                </w:p>
              </w:tc>
              <w:tc>
                <w:tcPr>
                  <w:tcW w:w="506" w:type="pct"/>
                  <w:tcBorders>
                    <w:tl2br w:val="nil"/>
                    <w:tr2bl w:val="nil"/>
                  </w:tcBorders>
                  <w:noWrap w:val="0"/>
                  <w:vAlign w:val="center"/>
                </w:tcPr>
                <w:p w14:paraId="2C091D71">
                  <w:pPr>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总用量（吨）</w:t>
                  </w:r>
                </w:p>
              </w:tc>
              <w:tc>
                <w:tcPr>
                  <w:tcW w:w="932" w:type="pct"/>
                  <w:tcBorders>
                    <w:tl2br w:val="nil"/>
                    <w:tr2bl w:val="nil"/>
                  </w:tcBorders>
                  <w:noWrap w:val="0"/>
                  <w:vAlign w:val="center"/>
                </w:tcPr>
                <w:p w14:paraId="7F3DCC78">
                  <w:pPr>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备注</w:t>
                  </w:r>
                </w:p>
              </w:tc>
              <w:tc>
                <w:tcPr>
                  <w:tcW w:w="457" w:type="pct"/>
                  <w:tcBorders>
                    <w:tl2br w:val="nil"/>
                    <w:tr2bl w:val="nil"/>
                  </w:tcBorders>
                  <w:noWrap w:val="0"/>
                  <w:vAlign w:val="center"/>
                </w:tcPr>
                <w:p w14:paraId="74217EEC">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存放位置</w:t>
                  </w:r>
                </w:p>
              </w:tc>
            </w:tr>
            <w:tr w14:paraId="4B8F24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32" w:type="pct"/>
                  <w:tcBorders>
                    <w:tl2br w:val="nil"/>
                    <w:tr2bl w:val="nil"/>
                  </w:tcBorders>
                  <w:noWrap w:val="0"/>
                  <w:vAlign w:val="center"/>
                </w:tcPr>
                <w:p w14:paraId="759F41F7">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膨润土</w:t>
                  </w:r>
                </w:p>
              </w:tc>
              <w:tc>
                <w:tcPr>
                  <w:tcW w:w="1359" w:type="pct"/>
                  <w:tcBorders>
                    <w:tl2br w:val="nil"/>
                    <w:tr2bl w:val="nil"/>
                  </w:tcBorders>
                  <w:noWrap w:val="0"/>
                  <w:vAlign w:val="center"/>
                </w:tcPr>
                <w:p w14:paraId="2C221ED5">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亲水性矿物</w:t>
                  </w:r>
                </w:p>
              </w:tc>
              <w:tc>
                <w:tcPr>
                  <w:tcW w:w="506" w:type="pct"/>
                  <w:tcBorders>
                    <w:tl2br w:val="nil"/>
                    <w:tr2bl w:val="nil"/>
                  </w:tcBorders>
                  <w:noWrap w:val="0"/>
                  <w:vAlign w:val="center"/>
                </w:tcPr>
                <w:p w14:paraId="74587A14">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7</w:t>
                  </w:r>
                </w:p>
              </w:tc>
              <w:tc>
                <w:tcPr>
                  <w:tcW w:w="506" w:type="pct"/>
                  <w:tcBorders>
                    <w:tl2br w:val="nil"/>
                    <w:tr2bl w:val="nil"/>
                  </w:tcBorders>
                  <w:noWrap w:val="0"/>
                  <w:vAlign w:val="center"/>
                </w:tcPr>
                <w:p w14:paraId="1DEE1444">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506" w:type="pct"/>
                  <w:tcBorders>
                    <w:tl2br w:val="nil"/>
                    <w:tr2bl w:val="nil"/>
                  </w:tcBorders>
                  <w:noWrap w:val="0"/>
                  <w:vAlign w:val="center"/>
                </w:tcPr>
                <w:p w14:paraId="0115B32E">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w:t>
                  </w:r>
                </w:p>
              </w:tc>
              <w:tc>
                <w:tcPr>
                  <w:tcW w:w="932" w:type="pct"/>
                  <w:tcBorders>
                    <w:tl2br w:val="nil"/>
                    <w:tr2bl w:val="nil"/>
                  </w:tcBorders>
                  <w:noWrap w:val="0"/>
                  <w:vAlign w:val="center"/>
                </w:tcPr>
                <w:p w14:paraId="1C062E5A">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基础配浆材料</w:t>
                  </w:r>
                </w:p>
              </w:tc>
              <w:tc>
                <w:tcPr>
                  <w:tcW w:w="457" w:type="pct"/>
                  <w:vMerge w:val="restart"/>
                  <w:tcBorders>
                    <w:tl2br w:val="nil"/>
                    <w:tr2bl w:val="nil"/>
                  </w:tcBorders>
                  <w:noWrap w:val="0"/>
                  <w:vAlign w:val="center"/>
                </w:tcPr>
                <w:p w14:paraId="327523E3">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0"/>
                      <w:sz w:val="21"/>
                      <w:szCs w:val="21"/>
                      <w:highlight w:val="none"/>
                      <w:lang w:val="en-US" w:eastAsia="zh-CN" w:bidi="ar"/>
                    </w:rPr>
                    <w:t>钻井液材料房</w:t>
                  </w:r>
                  <w:r>
                    <w:rPr>
                      <w:rFonts w:hint="default" w:ascii="Times New Roman" w:hAnsi="Times New Roman" w:cs="Times New Roman"/>
                      <w:color w:val="auto"/>
                      <w:kern w:val="0"/>
                      <w:sz w:val="21"/>
                      <w:szCs w:val="21"/>
                      <w:highlight w:val="none"/>
                      <w:lang w:val="en-US" w:eastAsia="zh-CN" w:bidi="ar"/>
                    </w:rPr>
                    <w:br w:type="textWrapping"/>
                  </w:r>
                  <w:r>
                    <w:rPr>
                      <w:rFonts w:hint="default" w:ascii="Times New Roman" w:hAnsi="Times New Roman" w:cs="Times New Roman"/>
                      <w:color w:val="auto"/>
                      <w:kern w:val="0"/>
                      <w:sz w:val="21"/>
                      <w:szCs w:val="21"/>
                      <w:highlight w:val="none"/>
                      <w:lang w:val="en-US" w:eastAsia="zh-CN" w:bidi="ar"/>
                    </w:rPr>
                    <w:t>（分区存放）</w:t>
                  </w:r>
                </w:p>
              </w:tc>
            </w:tr>
            <w:tr w14:paraId="2A740A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32" w:type="pct"/>
                  <w:tcBorders>
                    <w:tl2br w:val="nil"/>
                    <w:tr2bl w:val="nil"/>
                  </w:tcBorders>
                  <w:noWrap w:val="0"/>
                  <w:vAlign w:val="center"/>
                </w:tcPr>
                <w:p w14:paraId="78E7608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纯碱</w:t>
                  </w:r>
                </w:p>
              </w:tc>
              <w:tc>
                <w:tcPr>
                  <w:tcW w:w="1359" w:type="pct"/>
                  <w:tcBorders>
                    <w:tl2br w:val="nil"/>
                    <w:tr2bl w:val="nil"/>
                  </w:tcBorders>
                  <w:noWrap w:val="0"/>
                  <w:vAlign w:val="center"/>
                </w:tcPr>
                <w:p w14:paraId="707A4FA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Na</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CO</w:t>
                  </w:r>
                  <w:r>
                    <w:rPr>
                      <w:rFonts w:hint="default" w:ascii="Times New Roman" w:hAnsi="Times New Roman" w:cs="Times New Roman"/>
                      <w:color w:val="auto"/>
                      <w:sz w:val="21"/>
                      <w:szCs w:val="21"/>
                      <w:highlight w:val="none"/>
                      <w:vertAlign w:val="subscript"/>
                    </w:rPr>
                    <w:t>3</w:t>
                  </w:r>
                </w:p>
              </w:tc>
              <w:tc>
                <w:tcPr>
                  <w:tcW w:w="506" w:type="pct"/>
                  <w:tcBorders>
                    <w:tl2br w:val="nil"/>
                    <w:tr2bl w:val="nil"/>
                  </w:tcBorders>
                  <w:noWrap w:val="0"/>
                  <w:vAlign w:val="center"/>
                </w:tcPr>
                <w:p w14:paraId="35794EF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506" w:type="pct"/>
                  <w:tcBorders>
                    <w:tl2br w:val="nil"/>
                    <w:tr2bl w:val="nil"/>
                  </w:tcBorders>
                  <w:noWrap w:val="0"/>
                  <w:vAlign w:val="center"/>
                </w:tcPr>
                <w:p w14:paraId="4F3420C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506" w:type="pct"/>
                  <w:tcBorders>
                    <w:tl2br w:val="nil"/>
                    <w:tr2bl w:val="nil"/>
                  </w:tcBorders>
                  <w:noWrap w:val="0"/>
                  <w:vAlign w:val="center"/>
                </w:tcPr>
                <w:p w14:paraId="63ABC0B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.5</w:t>
                  </w:r>
                </w:p>
              </w:tc>
              <w:tc>
                <w:tcPr>
                  <w:tcW w:w="932" w:type="pct"/>
                  <w:tcBorders>
                    <w:tl2br w:val="nil"/>
                    <w:tr2bl w:val="nil"/>
                  </w:tcBorders>
                  <w:noWrap w:val="0"/>
                  <w:vAlign w:val="center"/>
                </w:tcPr>
                <w:p w14:paraId="7DF7329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与膨润土发生水化作业，增加粘性，降滤失</w:t>
                  </w:r>
                </w:p>
              </w:tc>
              <w:tc>
                <w:tcPr>
                  <w:tcW w:w="457" w:type="pct"/>
                  <w:vMerge w:val="continue"/>
                  <w:tcBorders>
                    <w:tl2br w:val="nil"/>
                    <w:tr2bl w:val="nil"/>
                  </w:tcBorders>
                  <w:noWrap w:val="0"/>
                  <w:vAlign w:val="center"/>
                </w:tcPr>
                <w:p w14:paraId="4121A33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bidi="ar"/>
                    </w:rPr>
                  </w:pPr>
                </w:p>
              </w:tc>
            </w:tr>
            <w:tr w14:paraId="48D304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32" w:type="pct"/>
                  <w:tcBorders>
                    <w:tl2br w:val="nil"/>
                    <w:tr2bl w:val="nil"/>
                  </w:tcBorders>
                  <w:noWrap w:val="0"/>
                  <w:vAlign w:val="center"/>
                </w:tcPr>
                <w:p w14:paraId="34BE041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烧碱（固态）</w:t>
                  </w:r>
                </w:p>
              </w:tc>
              <w:tc>
                <w:tcPr>
                  <w:tcW w:w="1359" w:type="pct"/>
                  <w:tcBorders>
                    <w:tl2br w:val="nil"/>
                    <w:tr2bl w:val="nil"/>
                  </w:tcBorders>
                  <w:noWrap w:val="0"/>
                  <w:vAlign w:val="center"/>
                </w:tcPr>
                <w:p w14:paraId="6792832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NaOH</w:t>
                  </w:r>
                </w:p>
              </w:tc>
              <w:tc>
                <w:tcPr>
                  <w:tcW w:w="506" w:type="pct"/>
                  <w:tcBorders>
                    <w:tl2br w:val="nil"/>
                    <w:tr2bl w:val="nil"/>
                  </w:tcBorders>
                  <w:noWrap w:val="0"/>
                  <w:vAlign w:val="center"/>
                </w:tcPr>
                <w:p w14:paraId="3612405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06" w:type="pct"/>
                  <w:tcBorders>
                    <w:tl2br w:val="nil"/>
                    <w:tr2bl w:val="nil"/>
                  </w:tcBorders>
                  <w:noWrap w:val="0"/>
                  <w:vAlign w:val="center"/>
                </w:tcPr>
                <w:p w14:paraId="1378E60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06" w:type="pct"/>
                  <w:tcBorders>
                    <w:tl2br w:val="nil"/>
                    <w:tr2bl w:val="nil"/>
                  </w:tcBorders>
                  <w:noWrap w:val="0"/>
                  <w:vAlign w:val="center"/>
                </w:tcPr>
                <w:p w14:paraId="67B4541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w:t>
                  </w:r>
                </w:p>
              </w:tc>
              <w:tc>
                <w:tcPr>
                  <w:tcW w:w="932" w:type="pct"/>
                  <w:tcBorders>
                    <w:tl2br w:val="nil"/>
                    <w:tr2bl w:val="nil"/>
                  </w:tcBorders>
                  <w:noWrap w:val="0"/>
                  <w:vAlign w:val="center"/>
                </w:tcPr>
                <w:p w14:paraId="5A1EA46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调节pH，与酸性处理剂配合使用</w:t>
                  </w:r>
                </w:p>
              </w:tc>
              <w:tc>
                <w:tcPr>
                  <w:tcW w:w="457" w:type="pct"/>
                  <w:vMerge w:val="continue"/>
                  <w:tcBorders>
                    <w:tl2br w:val="nil"/>
                    <w:tr2bl w:val="nil"/>
                  </w:tcBorders>
                  <w:noWrap w:val="0"/>
                  <w:vAlign w:val="center"/>
                </w:tcPr>
                <w:p w14:paraId="511422A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r>
            <w:tr w14:paraId="6CFF6D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32" w:type="pct"/>
                  <w:tcBorders>
                    <w:tl2br w:val="nil"/>
                    <w:tr2bl w:val="nil"/>
                  </w:tcBorders>
                  <w:noWrap w:val="0"/>
                  <w:vAlign w:val="center"/>
                </w:tcPr>
                <w:p w14:paraId="7485828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K-PAM</w:t>
                  </w:r>
                  <w:r>
                    <w:rPr>
                      <w:rFonts w:hint="default" w:ascii="Times New Roman" w:hAnsi="Times New Roman" w:eastAsia="宋体" w:cs="Times New Roman"/>
                      <w:color w:val="auto"/>
                      <w:sz w:val="21"/>
                      <w:szCs w:val="21"/>
                      <w:highlight w:val="none"/>
                    </w:rPr>
                    <w:t>（聚丙烯酸钾）</w:t>
                  </w:r>
                </w:p>
              </w:tc>
              <w:tc>
                <w:tcPr>
                  <w:tcW w:w="1359" w:type="pct"/>
                  <w:tcBorders>
                    <w:tl2br w:val="nil"/>
                    <w:tr2bl w:val="nil"/>
                  </w:tcBorders>
                  <w:noWrap w:val="0"/>
                  <w:vAlign w:val="center"/>
                </w:tcPr>
                <w:p w14:paraId="7B10193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6</w:t>
                  </w:r>
                  <w:r>
                    <w:rPr>
                      <w:rFonts w:hint="default" w:ascii="Times New Roman" w:hAnsi="Times New Roman" w:cs="Times New Roman"/>
                      <w:color w:val="auto"/>
                      <w:sz w:val="21"/>
                      <w:szCs w:val="21"/>
                      <w:highlight w:val="none"/>
                    </w:rPr>
                    <w:t>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)N(C</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KO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)M</w:t>
                  </w:r>
                </w:p>
              </w:tc>
              <w:tc>
                <w:tcPr>
                  <w:tcW w:w="506" w:type="pct"/>
                  <w:tcBorders>
                    <w:tl2br w:val="nil"/>
                    <w:tr2bl w:val="nil"/>
                  </w:tcBorders>
                  <w:noWrap w:val="0"/>
                  <w:vAlign w:val="center"/>
                </w:tcPr>
                <w:p w14:paraId="7C90C37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w:t>
                  </w:r>
                </w:p>
              </w:tc>
              <w:tc>
                <w:tcPr>
                  <w:tcW w:w="506" w:type="pct"/>
                  <w:tcBorders>
                    <w:tl2br w:val="nil"/>
                    <w:tr2bl w:val="nil"/>
                  </w:tcBorders>
                  <w:noWrap w:val="0"/>
                  <w:vAlign w:val="center"/>
                </w:tcPr>
                <w:p w14:paraId="5A89B16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w:t>
                  </w:r>
                </w:p>
              </w:tc>
              <w:tc>
                <w:tcPr>
                  <w:tcW w:w="506" w:type="pct"/>
                  <w:tcBorders>
                    <w:tl2br w:val="nil"/>
                    <w:tr2bl w:val="nil"/>
                  </w:tcBorders>
                  <w:noWrap w:val="0"/>
                  <w:vAlign w:val="center"/>
                </w:tcPr>
                <w:p w14:paraId="523063B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4</w:t>
                  </w:r>
                  <w:r>
                    <w:rPr>
                      <w:rFonts w:hint="default" w:ascii="Times New Roman" w:hAnsi="Times New Roman" w:eastAsia="宋体" w:cs="Times New Roman"/>
                      <w:color w:val="auto"/>
                      <w:sz w:val="21"/>
                      <w:szCs w:val="21"/>
                      <w:highlight w:val="none"/>
                      <w:lang w:val="en-US" w:eastAsia="zh-CN"/>
                    </w:rPr>
                    <w:t>.5</w:t>
                  </w:r>
                </w:p>
              </w:tc>
              <w:tc>
                <w:tcPr>
                  <w:tcW w:w="932" w:type="pct"/>
                  <w:tcBorders>
                    <w:tl2br w:val="nil"/>
                    <w:tr2bl w:val="nil"/>
                  </w:tcBorders>
                  <w:noWrap w:val="0"/>
                  <w:vAlign w:val="center"/>
                </w:tcPr>
                <w:p w14:paraId="39A9632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能有效包被钻屑、抑制地层造浆，起稳定井壁、防塌、降滤失的</w:t>
                  </w:r>
                  <w:r>
                    <w:rPr>
                      <w:rFonts w:hint="default" w:ascii="Times New Roman" w:hAnsi="Times New Roman" w:eastAsia="宋体" w:cs="Times New Roman"/>
                      <w:color w:val="auto"/>
                      <w:sz w:val="21"/>
                      <w:szCs w:val="21"/>
                      <w:highlight w:val="none"/>
                      <w:lang w:val="en-US" w:eastAsia="zh-CN"/>
                    </w:rPr>
                    <w:t>作用</w:t>
                  </w:r>
                </w:p>
              </w:tc>
              <w:tc>
                <w:tcPr>
                  <w:tcW w:w="457" w:type="pct"/>
                  <w:vMerge w:val="continue"/>
                  <w:tcBorders>
                    <w:tl2br w:val="nil"/>
                    <w:tr2bl w:val="nil"/>
                  </w:tcBorders>
                  <w:noWrap w:val="0"/>
                  <w:vAlign w:val="center"/>
                </w:tcPr>
                <w:p w14:paraId="47377E3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r>
            <w:tr w14:paraId="5B75C4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32" w:type="pct"/>
                  <w:tcBorders>
                    <w:tl2br w:val="nil"/>
                    <w:tr2bl w:val="nil"/>
                  </w:tcBorders>
                  <w:noWrap w:val="0"/>
                  <w:vAlign w:val="center"/>
                </w:tcPr>
                <w:p w14:paraId="39E77FD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K-HPAN</w:t>
                  </w:r>
                </w:p>
              </w:tc>
              <w:tc>
                <w:tcPr>
                  <w:tcW w:w="1359" w:type="pct"/>
                  <w:tcBorders>
                    <w:tl2br w:val="nil"/>
                    <w:tr2bl w:val="nil"/>
                  </w:tcBorders>
                  <w:noWrap w:val="0"/>
                  <w:vAlign w:val="center"/>
                </w:tcPr>
                <w:p w14:paraId="530B34D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含有酰胺基、腈基和羧基钾离子含量高</w:t>
                  </w:r>
                </w:p>
              </w:tc>
              <w:tc>
                <w:tcPr>
                  <w:tcW w:w="506" w:type="pct"/>
                  <w:tcBorders>
                    <w:tl2br w:val="nil"/>
                    <w:tr2bl w:val="nil"/>
                  </w:tcBorders>
                  <w:noWrap w:val="0"/>
                  <w:vAlign w:val="center"/>
                </w:tcPr>
                <w:p w14:paraId="546F166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06" w:type="pct"/>
                  <w:tcBorders>
                    <w:tl2br w:val="nil"/>
                    <w:tr2bl w:val="nil"/>
                  </w:tcBorders>
                  <w:noWrap w:val="0"/>
                  <w:vAlign w:val="center"/>
                </w:tcPr>
                <w:p w14:paraId="3DBA469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506" w:type="pct"/>
                  <w:tcBorders>
                    <w:tl2br w:val="nil"/>
                    <w:tr2bl w:val="nil"/>
                  </w:tcBorders>
                  <w:noWrap w:val="0"/>
                  <w:vAlign w:val="center"/>
                </w:tcPr>
                <w:p w14:paraId="62A88AB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932" w:type="pct"/>
                  <w:tcBorders>
                    <w:tl2br w:val="nil"/>
                    <w:tr2bl w:val="nil"/>
                  </w:tcBorders>
                  <w:noWrap w:val="0"/>
                  <w:vAlign w:val="center"/>
                </w:tcPr>
                <w:p w14:paraId="13D3F14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降滤失，调整泥浆流态</w:t>
                  </w:r>
                </w:p>
              </w:tc>
              <w:tc>
                <w:tcPr>
                  <w:tcW w:w="457" w:type="pct"/>
                  <w:vMerge w:val="continue"/>
                  <w:tcBorders>
                    <w:tl2br w:val="nil"/>
                    <w:tr2bl w:val="nil"/>
                  </w:tcBorders>
                  <w:noWrap w:val="0"/>
                  <w:vAlign w:val="center"/>
                </w:tcPr>
                <w:p w14:paraId="115F51A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r>
            <w:tr w14:paraId="7804A6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32" w:type="pct"/>
                  <w:tcBorders>
                    <w:tl2br w:val="nil"/>
                    <w:tr2bl w:val="nil"/>
                  </w:tcBorders>
                  <w:noWrap w:val="0"/>
                  <w:vAlign w:val="center"/>
                </w:tcPr>
                <w:p w14:paraId="202D754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4</w:t>
                  </w:r>
                  <w:r>
                    <w:rPr>
                      <w:rFonts w:hint="default" w:ascii="Times New Roman" w:hAnsi="Times New Roman" w:cs="Times New Roman"/>
                      <w:color w:val="auto"/>
                      <w:sz w:val="21"/>
                      <w:szCs w:val="21"/>
                      <w:highlight w:val="none"/>
                    </w:rPr>
                    <w:t>-HPAN</w:t>
                  </w:r>
                  <w:r>
                    <w:rPr>
                      <w:rFonts w:hint="default" w:ascii="Times New Roman" w:hAnsi="Times New Roman" w:eastAsia="宋体" w:cs="Times New Roman"/>
                      <w:color w:val="auto"/>
                      <w:kern w:val="0"/>
                      <w:sz w:val="21"/>
                      <w:szCs w:val="21"/>
                      <w:highlight w:val="none"/>
                      <w:lang w:bidi="ar"/>
                    </w:rPr>
                    <w:t>（水解聚丙烯腈铵盐）</w:t>
                  </w:r>
                </w:p>
              </w:tc>
              <w:tc>
                <w:tcPr>
                  <w:tcW w:w="1359" w:type="pct"/>
                  <w:tcBorders>
                    <w:tl2br w:val="nil"/>
                    <w:tr2bl w:val="nil"/>
                  </w:tcBorders>
                  <w:noWrap w:val="0"/>
                  <w:vAlign w:val="center"/>
                </w:tcPr>
                <w:p w14:paraId="61AC37C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含有COOH、COONH</w:t>
                  </w:r>
                  <w:r>
                    <w:rPr>
                      <w:rFonts w:hint="default" w:ascii="Times New Roman" w:hAnsi="Times New Roman" w:cs="Times New Roman"/>
                      <w:color w:val="auto"/>
                      <w:sz w:val="21"/>
                      <w:szCs w:val="21"/>
                      <w:highlight w:val="none"/>
                      <w:vertAlign w:val="subscript"/>
                    </w:rPr>
                    <w:t>4</w:t>
                  </w:r>
                  <w:r>
                    <w:rPr>
                      <w:rFonts w:hint="default" w:ascii="Times New Roman" w:hAnsi="Times New Roman" w:eastAsia="宋体" w:cs="Times New Roman"/>
                      <w:color w:val="auto"/>
                      <w:sz w:val="21"/>
                      <w:szCs w:val="21"/>
                      <w:highlight w:val="none"/>
                    </w:rPr>
                    <w:t>、CONH</w:t>
                  </w:r>
                  <w:r>
                    <w:rPr>
                      <w:rFonts w:hint="default" w:ascii="Times New Roman" w:hAnsi="Times New Roman"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、CN等基团构成</w:t>
                  </w:r>
                </w:p>
              </w:tc>
              <w:tc>
                <w:tcPr>
                  <w:tcW w:w="506" w:type="pct"/>
                  <w:tcBorders>
                    <w:tl2br w:val="nil"/>
                    <w:tr2bl w:val="nil"/>
                  </w:tcBorders>
                  <w:noWrap w:val="0"/>
                  <w:vAlign w:val="center"/>
                </w:tcPr>
                <w:p w14:paraId="582E2DB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06" w:type="pct"/>
                  <w:tcBorders>
                    <w:tl2br w:val="nil"/>
                    <w:tr2bl w:val="nil"/>
                  </w:tcBorders>
                  <w:noWrap w:val="0"/>
                  <w:vAlign w:val="center"/>
                </w:tcPr>
                <w:p w14:paraId="0A8522F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506" w:type="pct"/>
                  <w:tcBorders>
                    <w:tl2br w:val="nil"/>
                    <w:tr2bl w:val="nil"/>
                  </w:tcBorders>
                  <w:noWrap w:val="0"/>
                  <w:vAlign w:val="center"/>
                </w:tcPr>
                <w:p w14:paraId="3E9D6D0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932" w:type="pct"/>
                  <w:tcBorders>
                    <w:tl2br w:val="nil"/>
                    <w:tr2bl w:val="nil"/>
                  </w:tcBorders>
                  <w:noWrap w:val="0"/>
                  <w:vAlign w:val="center"/>
                </w:tcPr>
                <w:p w14:paraId="7167632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抑制粘土水化分散，是一种良好的页岩抑制，同时兼有降低钻井液</w:t>
                  </w:r>
                </w:p>
                <w:p w14:paraId="7CC926E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度和降滤失作用</w:t>
                  </w:r>
                </w:p>
              </w:tc>
              <w:tc>
                <w:tcPr>
                  <w:tcW w:w="457" w:type="pct"/>
                  <w:vMerge w:val="continue"/>
                  <w:tcBorders>
                    <w:tl2br w:val="nil"/>
                    <w:tr2bl w:val="nil"/>
                  </w:tcBorders>
                  <w:noWrap w:val="0"/>
                  <w:vAlign w:val="center"/>
                </w:tcPr>
                <w:p w14:paraId="17D7AC7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r>
            <w:tr w14:paraId="1C8732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32" w:type="pct"/>
                  <w:tcBorders>
                    <w:tl2br w:val="nil"/>
                    <w:tr2bl w:val="nil"/>
                  </w:tcBorders>
                  <w:noWrap w:val="0"/>
                  <w:vAlign w:val="center"/>
                </w:tcPr>
                <w:p w14:paraId="7BB1910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LV-CMC</w:t>
                  </w:r>
                  <w:r>
                    <w:rPr>
                      <w:rFonts w:hint="default" w:ascii="Times New Roman" w:hAnsi="Times New Roman" w:eastAsia="宋体" w:cs="Times New Roman"/>
                      <w:color w:val="auto"/>
                      <w:sz w:val="21"/>
                      <w:szCs w:val="21"/>
                      <w:highlight w:val="none"/>
                    </w:rPr>
                    <w:t>（羧甲基纤维素钠）</w:t>
                  </w:r>
                </w:p>
              </w:tc>
              <w:tc>
                <w:tcPr>
                  <w:tcW w:w="1359" w:type="pct"/>
                  <w:tcBorders>
                    <w:tl2br w:val="nil"/>
                    <w:tr2bl w:val="nil"/>
                  </w:tcBorders>
                  <w:noWrap w:val="0"/>
                  <w:vAlign w:val="center"/>
                </w:tcPr>
                <w:p w14:paraId="214F5B0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C</w:t>
                  </w:r>
                  <w:r>
                    <w:rPr>
                      <w:rFonts w:hint="default" w:ascii="Times New Roman" w:hAnsi="Times New Roman" w:cs="Times New Roman"/>
                      <w:color w:val="auto"/>
                      <w:kern w:val="0"/>
                      <w:sz w:val="21"/>
                      <w:szCs w:val="21"/>
                      <w:highlight w:val="none"/>
                      <w:vertAlign w:val="subscript"/>
                      <w:lang w:bidi="ar"/>
                    </w:rPr>
                    <w:t>8</w:t>
                  </w:r>
                  <w:r>
                    <w:rPr>
                      <w:rFonts w:hint="default" w:ascii="Times New Roman" w:hAnsi="Times New Roman" w:cs="Times New Roman"/>
                      <w:color w:val="auto"/>
                      <w:kern w:val="0"/>
                      <w:sz w:val="21"/>
                      <w:szCs w:val="21"/>
                      <w:highlight w:val="none"/>
                      <w:lang w:bidi="ar"/>
                    </w:rPr>
                    <w:t>H</w:t>
                  </w:r>
                  <w:r>
                    <w:rPr>
                      <w:rFonts w:hint="default" w:ascii="Times New Roman" w:hAnsi="Times New Roman" w:cs="Times New Roman"/>
                      <w:color w:val="auto"/>
                      <w:kern w:val="0"/>
                      <w:sz w:val="21"/>
                      <w:szCs w:val="21"/>
                      <w:highlight w:val="none"/>
                      <w:vertAlign w:val="subscript"/>
                      <w:lang w:bidi="ar"/>
                    </w:rPr>
                    <w:t>16</w:t>
                  </w:r>
                  <w:r>
                    <w:rPr>
                      <w:rFonts w:hint="default" w:ascii="Times New Roman" w:hAnsi="Times New Roman" w:cs="Times New Roman"/>
                      <w:color w:val="auto"/>
                      <w:kern w:val="0"/>
                      <w:sz w:val="21"/>
                      <w:szCs w:val="21"/>
                      <w:highlight w:val="none"/>
                      <w:lang w:bidi="ar"/>
                    </w:rPr>
                    <w:t>NaO</w:t>
                  </w:r>
                  <w:r>
                    <w:rPr>
                      <w:rFonts w:hint="default" w:ascii="Times New Roman" w:hAnsi="Times New Roman" w:cs="Times New Roman"/>
                      <w:color w:val="auto"/>
                      <w:kern w:val="0"/>
                      <w:sz w:val="21"/>
                      <w:szCs w:val="21"/>
                      <w:highlight w:val="none"/>
                      <w:vertAlign w:val="subscript"/>
                      <w:lang w:bidi="ar"/>
                    </w:rPr>
                    <w:t>8</w:t>
                  </w:r>
                </w:p>
              </w:tc>
              <w:tc>
                <w:tcPr>
                  <w:tcW w:w="506" w:type="pct"/>
                  <w:tcBorders>
                    <w:tl2br w:val="nil"/>
                    <w:tr2bl w:val="nil"/>
                  </w:tcBorders>
                  <w:noWrap w:val="0"/>
                  <w:vAlign w:val="center"/>
                </w:tcPr>
                <w:p w14:paraId="0C375D3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06" w:type="pct"/>
                  <w:tcBorders>
                    <w:tl2br w:val="nil"/>
                    <w:tr2bl w:val="nil"/>
                  </w:tcBorders>
                  <w:noWrap w:val="0"/>
                  <w:vAlign w:val="center"/>
                </w:tcPr>
                <w:p w14:paraId="0E8F27B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506" w:type="pct"/>
                  <w:tcBorders>
                    <w:tl2br w:val="nil"/>
                    <w:tr2bl w:val="nil"/>
                  </w:tcBorders>
                  <w:noWrap w:val="0"/>
                  <w:vAlign w:val="center"/>
                </w:tcPr>
                <w:p w14:paraId="07753C9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932" w:type="pct"/>
                  <w:tcBorders>
                    <w:tl2br w:val="nil"/>
                    <w:tr2bl w:val="nil"/>
                  </w:tcBorders>
                  <w:noWrap w:val="0"/>
                  <w:vAlign w:val="center"/>
                </w:tcPr>
                <w:p w14:paraId="1495F7F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主要用作降滤失剂</w:t>
                  </w:r>
                </w:p>
              </w:tc>
              <w:tc>
                <w:tcPr>
                  <w:tcW w:w="457" w:type="pct"/>
                  <w:vMerge w:val="continue"/>
                  <w:tcBorders>
                    <w:tl2br w:val="nil"/>
                    <w:tr2bl w:val="nil"/>
                  </w:tcBorders>
                  <w:noWrap w:val="0"/>
                  <w:vAlign w:val="center"/>
                </w:tcPr>
                <w:p w14:paraId="21A9A5D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r>
            <w:tr w14:paraId="77745B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32" w:type="pct"/>
                  <w:tcBorders>
                    <w:tl2br w:val="nil"/>
                    <w:tr2bl w:val="nil"/>
                  </w:tcBorders>
                  <w:noWrap w:val="0"/>
                  <w:vAlign w:val="center"/>
                </w:tcPr>
                <w:p w14:paraId="1839B5E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沥青类防塌剂</w:t>
                  </w:r>
                </w:p>
              </w:tc>
              <w:tc>
                <w:tcPr>
                  <w:tcW w:w="1359" w:type="pct"/>
                  <w:tcBorders>
                    <w:tl2br w:val="nil"/>
                    <w:tr2bl w:val="nil"/>
                  </w:tcBorders>
                  <w:noWrap w:val="0"/>
                  <w:vAlign w:val="center"/>
                </w:tcPr>
                <w:p w14:paraId="5FA612D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高级脂肪醇树脂</w:t>
                  </w:r>
                </w:p>
              </w:tc>
              <w:tc>
                <w:tcPr>
                  <w:tcW w:w="506" w:type="pct"/>
                  <w:tcBorders>
                    <w:tl2br w:val="nil"/>
                    <w:tr2bl w:val="nil"/>
                  </w:tcBorders>
                  <w:noWrap w:val="0"/>
                  <w:vAlign w:val="center"/>
                </w:tcPr>
                <w:p w14:paraId="54B8B36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06" w:type="pct"/>
                  <w:tcBorders>
                    <w:tl2br w:val="nil"/>
                    <w:tr2bl w:val="nil"/>
                  </w:tcBorders>
                  <w:noWrap w:val="0"/>
                  <w:vAlign w:val="center"/>
                </w:tcPr>
                <w:p w14:paraId="30D8759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506" w:type="pct"/>
                  <w:tcBorders>
                    <w:tl2br w:val="nil"/>
                    <w:tr2bl w:val="nil"/>
                  </w:tcBorders>
                  <w:noWrap w:val="0"/>
                  <w:vAlign w:val="center"/>
                </w:tcPr>
                <w:p w14:paraId="2AD209B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932" w:type="pct"/>
                  <w:tcBorders>
                    <w:tl2br w:val="nil"/>
                    <w:tr2bl w:val="nil"/>
                  </w:tcBorders>
                  <w:noWrap w:val="0"/>
                  <w:vAlign w:val="center"/>
                </w:tcPr>
                <w:p w14:paraId="679D1B3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稳定井壁，防止井壁垮塌</w:t>
                  </w:r>
                </w:p>
              </w:tc>
              <w:tc>
                <w:tcPr>
                  <w:tcW w:w="457" w:type="pct"/>
                  <w:vMerge w:val="continue"/>
                  <w:tcBorders>
                    <w:tl2br w:val="nil"/>
                    <w:tr2bl w:val="nil"/>
                  </w:tcBorders>
                  <w:noWrap w:val="0"/>
                  <w:vAlign w:val="center"/>
                </w:tcPr>
                <w:p w14:paraId="17361C5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r>
            <w:tr w14:paraId="77F46E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32" w:type="pct"/>
                  <w:tcBorders>
                    <w:tl2br w:val="nil"/>
                    <w:tr2bl w:val="nil"/>
                  </w:tcBorders>
                  <w:noWrap w:val="0"/>
                  <w:vAlign w:val="center"/>
                </w:tcPr>
                <w:p w14:paraId="54ACDFB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常规液体润滑剂</w:t>
                  </w:r>
                </w:p>
              </w:tc>
              <w:tc>
                <w:tcPr>
                  <w:tcW w:w="1359" w:type="pct"/>
                  <w:tcBorders>
                    <w:tl2br w:val="nil"/>
                    <w:tr2bl w:val="nil"/>
                  </w:tcBorders>
                  <w:noWrap w:val="0"/>
                  <w:vAlign w:val="center"/>
                </w:tcPr>
                <w:p w14:paraId="1C7E895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聚合醇</w:t>
                  </w:r>
                </w:p>
              </w:tc>
              <w:tc>
                <w:tcPr>
                  <w:tcW w:w="506" w:type="pct"/>
                  <w:tcBorders>
                    <w:tl2br w:val="nil"/>
                    <w:tr2bl w:val="nil"/>
                  </w:tcBorders>
                  <w:noWrap w:val="0"/>
                  <w:vAlign w:val="center"/>
                </w:tcPr>
                <w:p w14:paraId="210E97A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06" w:type="pct"/>
                  <w:tcBorders>
                    <w:tl2br w:val="nil"/>
                    <w:tr2bl w:val="nil"/>
                  </w:tcBorders>
                  <w:noWrap w:val="0"/>
                  <w:vAlign w:val="center"/>
                </w:tcPr>
                <w:p w14:paraId="267959A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506" w:type="pct"/>
                  <w:tcBorders>
                    <w:tl2br w:val="nil"/>
                    <w:tr2bl w:val="nil"/>
                  </w:tcBorders>
                  <w:noWrap w:val="0"/>
                  <w:vAlign w:val="center"/>
                </w:tcPr>
                <w:p w14:paraId="7BA3E82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932" w:type="pct"/>
                  <w:tcBorders>
                    <w:tl2br w:val="nil"/>
                    <w:tr2bl w:val="nil"/>
                  </w:tcBorders>
                  <w:noWrap w:val="0"/>
                  <w:vAlign w:val="center"/>
                </w:tcPr>
                <w:p w14:paraId="5866922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减少钻具的扭矩、磨损和疲劳，延长钻具及钻头的使用寿命</w:t>
                  </w:r>
                </w:p>
              </w:tc>
              <w:tc>
                <w:tcPr>
                  <w:tcW w:w="457" w:type="pct"/>
                  <w:vMerge w:val="continue"/>
                  <w:tcBorders>
                    <w:tl2br w:val="nil"/>
                    <w:tr2bl w:val="nil"/>
                  </w:tcBorders>
                  <w:noWrap w:val="0"/>
                  <w:vAlign w:val="center"/>
                </w:tcPr>
                <w:p w14:paraId="0D61301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r>
            <w:tr w14:paraId="6EAE90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32" w:type="pct"/>
                  <w:tcBorders>
                    <w:tl2br w:val="nil"/>
                    <w:tr2bl w:val="nil"/>
                  </w:tcBorders>
                  <w:noWrap w:val="0"/>
                  <w:vAlign w:val="center"/>
                </w:tcPr>
                <w:p w14:paraId="12ACB5A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复合堵漏剂(备用)</w:t>
                  </w:r>
                </w:p>
              </w:tc>
              <w:tc>
                <w:tcPr>
                  <w:tcW w:w="1359" w:type="pct"/>
                  <w:tcBorders>
                    <w:tl2br w:val="nil"/>
                    <w:tr2bl w:val="nil"/>
                  </w:tcBorders>
                  <w:noWrap w:val="0"/>
                  <w:vAlign w:val="center"/>
                </w:tcPr>
                <w:p w14:paraId="4EB72C0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锯末、云母、棉籽、核桃壳等</w:t>
                  </w:r>
                </w:p>
              </w:tc>
              <w:tc>
                <w:tcPr>
                  <w:tcW w:w="506" w:type="pct"/>
                  <w:tcBorders>
                    <w:tl2br w:val="nil"/>
                    <w:tr2bl w:val="nil"/>
                  </w:tcBorders>
                  <w:noWrap w:val="0"/>
                  <w:vAlign w:val="center"/>
                </w:tcPr>
                <w:p w14:paraId="15BBF95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06" w:type="pct"/>
                  <w:tcBorders>
                    <w:tl2br w:val="nil"/>
                    <w:tr2bl w:val="nil"/>
                  </w:tcBorders>
                  <w:noWrap w:val="0"/>
                  <w:vAlign w:val="center"/>
                </w:tcPr>
                <w:p w14:paraId="2EAD8A6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06" w:type="pct"/>
                  <w:tcBorders>
                    <w:tl2br w:val="nil"/>
                    <w:tr2bl w:val="nil"/>
                  </w:tcBorders>
                  <w:noWrap w:val="0"/>
                  <w:vAlign w:val="center"/>
                </w:tcPr>
                <w:p w14:paraId="59EDC57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932" w:type="pct"/>
                  <w:tcBorders>
                    <w:tl2br w:val="nil"/>
                    <w:tr2bl w:val="nil"/>
                  </w:tcBorders>
                  <w:noWrap w:val="0"/>
                  <w:vAlign w:val="center"/>
                </w:tcPr>
                <w:p w14:paraId="7A165AD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起堵漏作用</w:t>
                  </w:r>
                </w:p>
              </w:tc>
              <w:tc>
                <w:tcPr>
                  <w:tcW w:w="457" w:type="pct"/>
                  <w:vMerge w:val="continue"/>
                  <w:tcBorders>
                    <w:tl2br w:val="nil"/>
                    <w:tr2bl w:val="nil"/>
                  </w:tcBorders>
                  <w:noWrap w:val="0"/>
                  <w:vAlign w:val="center"/>
                </w:tcPr>
                <w:p w14:paraId="0639FB8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r>
            <w:tr w14:paraId="08B253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3" w:hRule="atLeast"/>
                <w:jc w:val="center"/>
              </w:trPr>
              <w:tc>
                <w:tcPr>
                  <w:tcW w:w="732" w:type="pct"/>
                  <w:tcBorders>
                    <w:tl2br w:val="nil"/>
                    <w:tr2bl w:val="nil"/>
                  </w:tcBorders>
                  <w:noWrap w:val="0"/>
                  <w:vAlign w:val="center"/>
                </w:tcPr>
                <w:p w14:paraId="7212EA1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加重材料</w:t>
                  </w:r>
                </w:p>
              </w:tc>
              <w:tc>
                <w:tcPr>
                  <w:tcW w:w="1359" w:type="pct"/>
                  <w:tcBorders>
                    <w:tl2br w:val="nil"/>
                    <w:tr2bl w:val="nil"/>
                  </w:tcBorders>
                  <w:noWrap w:val="0"/>
                  <w:vAlign w:val="center"/>
                </w:tcPr>
                <w:p w14:paraId="03B5AA4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CaCO</w:t>
                  </w:r>
                  <w:r>
                    <w:rPr>
                      <w:rFonts w:hint="default" w:ascii="Times New Roman" w:hAnsi="Times New Roman" w:cs="Times New Roman"/>
                      <w:color w:val="auto"/>
                      <w:sz w:val="21"/>
                      <w:szCs w:val="21"/>
                      <w:highlight w:val="none"/>
                      <w:vertAlign w:val="subscript"/>
                    </w:rPr>
                    <w:t>3</w:t>
                  </w:r>
                </w:p>
              </w:tc>
              <w:tc>
                <w:tcPr>
                  <w:tcW w:w="506" w:type="pct"/>
                  <w:tcBorders>
                    <w:tl2br w:val="nil"/>
                    <w:tr2bl w:val="nil"/>
                  </w:tcBorders>
                  <w:noWrap w:val="0"/>
                  <w:vAlign w:val="center"/>
                </w:tcPr>
                <w:p w14:paraId="7DCB43C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06" w:type="pct"/>
                  <w:tcBorders>
                    <w:tl2br w:val="nil"/>
                    <w:tr2bl w:val="nil"/>
                  </w:tcBorders>
                  <w:noWrap w:val="0"/>
                  <w:vAlign w:val="center"/>
                </w:tcPr>
                <w:p w14:paraId="0ABD4A9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506" w:type="pct"/>
                  <w:tcBorders>
                    <w:tl2br w:val="nil"/>
                    <w:tr2bl w:val="nil"/>
                  </w:tcBorders>
                  <w:noWrap w:val="0"/>
                  <w:vAlign w:val="center"/>
                </w:tcPr>
                <w:p w14:paraId="044E312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932" w:type="pct"/>
                  <w:tcBorders>
                    <w:tl2br w:val="nil"/>
                    <w:tr2bl w:val="nil"/>
                  </w:tcBorders>
                  <w:noWrap w:val="0"/>
                  <w:vAlign w:val="center"/>
                </w:tcPr>
                <w:p w14:paraId="22E3E77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提高钻井液密度，稳定井壁</w:t>
                  </w:r>
                </w:p>
              </w:tc>
              <w:tc>
                <w:tcPr>
                  <w:tcW w:w="457" w:type="pct"/>
                  <w:vMerge w:val="continue"/>
                  <w:tcBorders>
                    <w:tl2br w:val="nil"/>
                    <w:tr2bl w:val="nil"/>
                  </w:tcBorders>
                  <w:noWrap w:val="0"/>
                  <w:vAlign w:val="center"/>
                </w:tcPr>
                <w:p w14:paraId="3F7DCC2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r>
            <w:tr w14:paraId="44A8C9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2" w:hRule="atLeast"/>
                <w:jc w:val="center"/>
              </w:trPr>
              <w:tc>
                <w:tcPr>
                  <w:tcW w:w="732" w:type="pct"/>
                  <w:tcBorders>
                    <w:tl2br w:val="nil"/>
                    <w:tr2bl w:val="nil"/>
                  </w:tcBorders>
                  <w:noWrap w:val="0"/>
                  <w:vAlign w:val="center"/>
                </w:tcPr>
                <w:p w14:paraId="42E13B3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1359" w:type="pct"/>
                  <w:tcBorders>
                    <w:tl2br w:val="nil"/>
                    <w:tr2bl w:val="nil"/>
                  </w:tcBorders>
                  <w:noWrap w:val="0"/>
                  <w:vAlign w:val="center"/>
                </w:tcPr>
                <w:p w14:paraId="6EF4A6C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06" w:type="pct"/>
                  <w:tcBorders>
                    <w:tl2br w:val="nil"/>
                    <w:tr2bl w:val="nil"/>
                  </w:tcBorders>
                  <w:noWrap w:val="0"/>
                  <w:vAlign w:val="center"/>
                </w:tcPr>
                <w:p w14:paraId="5B15F9C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fldChar w:fldCharType="begin"/>
                  </w:r>
                  <w:r>
                    <w:rPr>
                      <w:rFonts w:hint="default" w:ascii="Times New Roman" w:hAnsi="Times New Roman" w:cs="Times New Roman"/>
                      <w:color w:val="auto"/>
                      <w:sz w:val="21"/>
                      <w:szCs w:val="21"/>
                      <w:highlight w:val="none"/>
                      <w:lang w:val="en-US" w:eastAsia="zh-CN"/>
                    </w:rPr>
                    <w:instrText xml:space="preserve"> = sum(C2:C12) \* MERGEFORMAT </w:instrText>
                  </w:r>
                  <w:r>
                    <w:rPr>
                      <w:rFonts w:hint="default" w:ascii="Times New Roman" w:hAnsi="Times New Roman" w:cs="Times New Roman"/>
                      <w:color w:val="auto"/>
                      <w:sz w:val="21"/>
                      <w:szCs w:val="21"/>
                      <w:highlight w:val="none"/>
                      <w:lang w:val="en-US" w:eastAsia="zh-CN"/>
                    </w:rPr>
                    <w:fldChar w:fldCharType="separate"/>
                  </w:r>
                  <w:r>
                    <w:rPr>
                      <w:rFonts w:hint="default" w:ascii="Times New Roman" w:hAnsi="Times New Roman" w:cs="Times New Roman"/>
                      <w:color w:val="auto"/>
                      <w:sz w:val="21"/>
                      <w:szCs w:val="21"/>
                      <w:highlight w:val="none"/>
                      <w:lang w:val="en-US" w:eastAsia="zh-CN"/>
                    </w:rPr>
                    <w:t>8.5</w:t>
                  </w:r>
                  <w:r>
                    <w:rPr>
                      <w:rFonts w:hint="default" w:ascii="Times New Roman" w:hAnsi="Times New Roman" w:cs="Times New Roman"/>
                      <w:color w:val="auto"/>
                      <w:sz w:val="21"/>
                      <w:szCs w:val="21"/>
                      <w:highlight w:val="none"/>
                      <w:lang w:val="en-US" w:eastAsia="zh-CN"/>
                    </w:rPr>
                    <w:fldChar w:fldCharType="end"/>
                  </w:r>
                </w:p>
              </w:tc>
              <w:tc>
                <w:tcPr>
                  <w:tcW w:w="506" w:type="pct"/>
                  <w:tcBorders>
                    <w:tl2br w:val="nil"/>
                    <w:tr2bl w:val="nil"/>
                  </w:tcBorders>
                  <w:noWrap w:val="0"/>
                  <w:vAlign w:val="center"/>
                </w:tcPr>
                <w:p w14:paraId="3E667FE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sum(D2:D12) \* MERGEFORMAT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49.5</w:t>
                  </w:r>
                  <w:r>
                    <w:rPr>
                      <w:rFonts w:hint="default" w:ascii="Times New Roman" w:hAnsi="Times New Roman" w:cs="Times New Roman"/>
                      <w:color w:val="auto"/>
                      <w:sz w:val="21"/>
                      <w:szCs w:val="21"/>
                      <w:highlight w:val="none"/>
                    </w:rPr>
                    <w:fldChar w:fldCharType="end"/>
                  </w:r>
                </w:p>
              </w:tc>
              <w:tc>
                <w:tcPr>
                  <w:tcW w:w="506" w:type="pct"/>
                  <w:tcBorders>
                    <w:tl2br w:val="nil"/>
                    <w:tr2bl w:val="nil"/>
                  </w:tcBorders>
                  <w:noWrap w:val="0"/>
                  <w:vAlign w:val="center"/>
                </w:tcPr>
                <w:p w14:paraId="0DFCD7E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fldChar w:fldCharType="begin"/>
                  </w:r>
                  <w:r>
                    <w:rPr>
                      <w:rFonts w:hint="default" w:ascii="Times New Roman" w:hAnsi="Times New Roman" w:cs="Times New Roman"/>
                      <w:color w:val="auto"/>
                      <w:sz w:val="21"/>
                      <w:szCs w:val="21"/>
                      <w:highlight w:val="none"/>
                      <w:lang w:val="en-US" w:eastAsia="zh-CN"/>
                    </w:rPr>
                    <w:instrText xml:space="preserve"> = sum(E2:E12) \* MERGEFORMAT </w:instrText>
                  </w:r>
                  <w:r>
                    <w:rPr>
                      <w:rFonts w:hint="default" w:ascii="Times New Roman" w:hAnsi="Times New Roman" w:cs="Times New Roman"/>
                      <w:color w:val="auto"/>
                      <w:sz w:val="21"/>
                      <w:szCs w:val="21"/>
                      <w:highlight w:val="none"/>
                      <w:lang w:val="en-US" w:eastAsia="zh-CN"/>
                    </w:rPr>
                    <w:fldChar w:fldCharType="separate"/>
                  </w:r>
                  <w:r>
                    <w:rPr>
                      <w:rFonts w:hint="default" w:ascii="Times New Roman" w:hAnsi="Times New Roman" w:cs="Times New Roman"/>
                      <w:color w:val="auto"/>
                      <w:sz w:val="21"/>
                      <w:szCs w:val="21"/>
                      <w:highlight w:val="none"/>
                      <w:lang w:val="en-US" w:eastAsia="zh-CN"/>
                    </w:rPr>
                    <w:t>61</w:t>
                  </w:r>
                  <w:r>
                    <w:rPr>
                      <w:rFonts w:hint="default" w:ascii="Times New Roman" w:hAnsi="Times New Roman" w:cs="Times New Roman"/>
                      <w:color w:val="auto"/>
                      <w:sz w:val="21"/>
                      <w:szCs w:val="21"/>
                      <w:highlight w:val="none"/>
                      <w:lang w:val="en-US" w:eastAsia="zh-CN"/>
                    </w:rPr>
                    <w:fldChar w:fldCharType="end"/>
                  </w:r>
                </w:p>
              </w:tc>
              <w:tc>
                <w:tcPr>
                  <w:tcW w:w="932" w:type="pct"/>
                  <w:tcBorders>
                    <w:tl2br w:val="nil"/>
                    <w:tr2bl w:val="nil"/>
                  </w:tcBorders>
                  <w:noWrap w:val="0"/>
                  <w:vAlign w:val="center"/>
                </w:tcPr>
                <w:p w14:paraId="1AA825B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457" w:type="pct"/>
                  <w:vMerge w:val="continue"/>
                  <w:tcBorders>
                    <w:tl2br w:val="nil"/>
                    <w:tr2bl w:val="nil"/>
                  </w:tcBorders>
                  <w:noWrap w:val="0"/>
                  <w:vAlign w:val="center"/>
                </w:tcPr>
                <w:p w14:paraId="67EB7DE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r>
          </w:tbl>
          <w:p w14:paraId="09CE51DE">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聚丙烯酸钾：聚丙烯酸钾</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K－PAM</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是一种含羧钾聚丙烯酰胺衍生物，具有高吸水性、生产成本低、加工工艺简单、产品质量稳定、长时间储存不变质，最终分解物对生态环境无害等特点，同时还是很强的抑制页岩分散剂，具有控制地层造浆的作用并兼有降失水、改善流型及增加润滑性等功能；因此可以用于井下不分散低固性泥浆、聚合物体系的剪切稀释、防塌絮凝。</w:t>
            </w:r>
          </w:p>
          <w:p w14:paraId="499E02DA">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K-HPAN（水解聚丙烯睛铵盐）：以腈纶废丝为主要原料，分子中有腈基，酰胺基及羧基。为棕红色或淡黄色粉末，易溶于水，水溶液呈碱性。本品为一种聚丙烯酸类岩抑制剂，对粘土有抑制水化膨胀的作用，并可降低钻井液的滤失量。</w:t>
            </w:r>
          </w:p>
          <w:p w14:paraId="1A56375A">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LV-CMC（羧甲基纤维素钠）：是纤维素的羧甲基化衍生物，又名纤维素胶，属阴离子型纤维素醚，是最主要离子型纤维素胶。通常是由天然纤维素与苛性碱及一氯醋酸反应后制得的一种阴离子型高分子化合物，化合物分子量从几千到百万不等。CMC为白色或乳白色纤维状粉末或颗粒，密度0.5-0.7克/立方厘米，几乎无臭、无味，具吸湿性。易于分散在水中成透明胶状溶液，在乙醇等有机溶媒中不溶。1%水溶液pH为6.5～8.5，当pH&gt;10或&lt;5时，胶浆粘度显著降低，在pH=7时性能最佳。对热稳定，在20℃以下粘度迅速上升，45℃时变化较慢，80℃以上长时间加热可使其胶体变性而粘度和性能明显下降。易溶于水，溶液透明；在碱性溶液中很稳定，遇酸则易水解，pH值为2-3时会出现沉淀，遇多价金属盐也会反应出现沉淀。固体CMC对光及室温较稳定，在干燥的环境中，可以长期保存。羧甲基纤维素钠可用作增稠剂，稳定剂，乳化剂。</w:t>
            </w:r>
          </w:p>
          <w:p w14:paraId="03212359">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复合堵漏剂：堵漏剂是一种凝结硬化快，小时强度高，具有膨胀的水硬性材料，此原料无毒无味，经严格筛选，性能卓越，操作简便，用水调和即可使用，可在潮湿面上施工，亦可带水堵漏，效果奇特。</w:t>
            </w:r>
          </w:p>
          <w:p w14:paraId="3936AFED">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表2-</w:t>
            </w:r>
            <w:r>
              <w:rPr>
                <w:rFonts w:hint="eastAsia" w:ascii="Times New Roman" w:hAnsi="Times New Roman" w:cs="Times New Roman"/>
                <w:b/>
                <w:bCs/>
                <w:color w:val="auto"/>
                <w:kern w:val="0"/>
                <w:sz w:val="24"/>
                <w:szCs w:val="24"/>
                <w:highlight w:val="none"/>
                <w:lang w:val="en-US" w:eastAsia="zh-CN" w:bidi="ar"/>
              </w:rPr>
              <w:t xml:space="preserve">10  </w:t>
            </w:r>
            <w:r>
              <w:rPr>
                <w:rFonts w:hint="default" w:ascii="Times New Roman" w:hAnsi="Times New Roman" w:eastAsia="宋体" w:cs="Times New Roman"/>
                <w:b/>
                <w:bCs/>
                <w:color w:val="auto"/>
                <w:kern w:val="0"/>
                <w:sz w:val="24"/>
                <w:szCs w:val="24"/>
                <w:highlight w:val="none"/>
                <w:lang w:val="en-US" w:eastAsia="zh-CN" w:bidi="ar"/>
              </w:rPr>
              <w:t>压裂液各成分理化性质一览表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6825"/>
              <w:gridCol w:w="768"/>
            </w:tblGrid>
            <w:tr w14:paraId="1CF7B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3" w:type="pct"/>
                  <w:tcBorders>
                    <w:top w:val="single" w:color="auto" w:sz="4" w:space="0"/>
                    <w:left w:val="single" w:color="auto" w:sz="4" w:space="0"/>
                    <w:bottom w:val="single" w:color="auto" w:sz="4" w:space="0"/>
                    <w:right w:val="single" w:color="auto" w:sz="4" w:space="0"/>
                  </w:tcBorders>
                  <w:noWrap w:val="0"/>
                  <w:vAlign w:val="center"/>
                </w:tcPr>
                <w:p w14:paraId="27D3DA8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原料名称</w:t>
                  </w:r>
                </w:p>
              </w:tc>
              <w:tc>
                <w:tcPr>
                  <w:tcW w:w="4077" w:type="pct"/>
                  <w:tcBorders>
                    <w:top w:val="single" w:color="auto" w:sz="4" w:space="0"/>
                    <w:left w:val="single" w:color="auto" w:sz="4" w:space="0"/>
                    <w:bottom w:val="single" w:color="auto" w:sz="4" w:space="0"/>
                    <w:right w:val="single" w:color="auto" w:sz="4" w:space="0"/>
                  </w:tcBorders>
                  <w:noWrap w:val="0"/>
                  <w:vAlign w:val="center"/>
                </w:tcPr>
                <w:p w14:paraId="1A0BEFA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理化性质</w:t>
                  </w:r>
                </w:p>
              </w:tc>
              <w:tc>
                <w:tcPr>
                  <w:tcW w:w="459" w:type="pct"/>
                  <w:tcBorders>
                    <w:top w:val="single" w:color="auto" w:sz="4" w:space="0"/>
                    <w:left w:val="single" w:color="auto" w:sz="4" w:space="0"/>
                    <w:bottom w:val="single" w:color="auto" w:sz="4" w:space="0"/>
                    <w:right w:val="single" w:color="auto" w:sz="4" w:space="0"/>
                  </w:tcBorders>
                  <w:noWrap w:val="0"/>
                  <w:vAlign w:val="center"/>
                </w:tcPr>
                <w:p w14:paraId="47FA4C2E">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cs="Times New Roman"/>
                      <w:b/>
                      <w:bCs/>
                      <w:color w:val="auto"/>
                      <w:kern w:val="0"/>
                      <w:sz w:val="21"/>
                      <w:szCs w:val="21"/>
                      <w:highlight w:val="none"/>
                      <w:lang w:val="en-US" w:eastAsia="zh-CN" w:bidi="ar"/>
                    </w:rPr>
                    <w:t>存放位置</w:t>
                  </w:r>
                </w:p>
              </w:tc>
            </w:tr>
            <w:tr w14:paraId="5638A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3" w:type="pct"/>
                  <w:tcBorders>
                    <w:top w:val="single" w:color="auto" w:sz="4" w:space="0"/>
                    <w:left w:val="single" w:color="auto" w:sz="4" w:space="0"/>
                    <w:bottom w:val="single" w:color="auto" w:sz="4" w:space="0"/>
                    <w:right w:val="single" w:color="auto" w:sz="4" w:space="0"/>
                  </w:tcBorders>
                  <w:noWrap w:val="0"/>
                  <w:vAlign w:val="center"/>
                </w:tcPr>
                <w:p w14:paraId="07933F6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改性胍胶</w:t>
                  </w:r>
                </w:p>
              </w:tc>
              <w:tc>
                <w:tcPr>
                  <w:tcW w:w="4077" w:type="pct"/>
                  <w:tcBorders>
                    <w:top w:val="single" w:color="auto" w:sz="4" w:space="0"/>
                    <w:left w:val="single" w:color="auto" w:sz="4" w:space="0"/>
                    <w:bottom w:val="single" w:color="auto" w:sz="4" w:space="0"/>
                    <w:right w:val="single" w:color="auto" w:sz="4" w:space="0"/>
                  </w:tcBorders>
                  <w:noWrap w:val="0"/>
                  <w:vAlign w:val="center"/>
                </w:tcPr>
                <w:p w14:paraId="148B7B66">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4"/>
                      <w:highlight w:val="none"/>
                      <w:lang w:val="en-US" w:eastAsia="zh-CN" w:bidi="ar"/>
                    </w:rPr>
                    <w:t>羟丙基胍胶具有增稠能力强，热稳定性好的特点，对水有很强的亲和力。当胍胶粉末加入水中，胍胶的微粒便</w:t>
                  </w:r>
                  <w:r>
                    <w:rPr>
                      <w:rFonts w:hint="default" w:ascii="Times New Roman" w:hAnsi="Times New Roman" w:eastAsia="TimesNewRomanPSMT" w:cs="Times New Roman"/>
                      <w:color w:val="auto"/>
                      <w:kern w:val="0"/>
                      <w:sz w:val="21"/>
                      <w:szCs w:val="24"/>
                      <w:highlight w:val="none"/>
                      <w:lang w:val="en-US" w:eastAsia="zh-CN" w:bidi="ar"/>
                    </w:rPr>
                    <w:t>“</w:t>
                  </w:r>
                  <w:r>
                    <w:rPr>
                      <w:rFonts w:hint="default" w:ascii="Times New Roman" w:hAnsi="Times New Roman" w:eastAsia="宋体" w:cs="Times New Roman"/>
                      <w:color w:val="auto"/>
                      <w:kern w:val="0"/>
                      <w:sz w:val="21"/>
                      <w:szCs w:val="24"/>
                      <w:highlight w:val="none"/>
                      <w:lang w:val="en-US" w:eastAsia="zh-CN" w:bidi="ar"/>
                    </w:rPr>
                    <w:t>溶胀、水合</w:t>
                  </w:r>
                  <w:r>
                    <w:rPr>
                      <w:rFonts w:hint="default" w:ascii="Times New Roman" w:hAnsi="Times New Roman" w:eastAsia="TimesNewRomanPSMT" w:cs="Times New Roman"/>
                      <w:color w:val="auto"/>
                      <w:kern w:val="0"/>
                      <w:sz w:val="21"/>
                      <w:szCs w:val="24"/>
                      <w:highlight w:val="none"/>
                      <w:lang w:val="en-US" w:eastAsia="zh-CN" w:bidi="ar"/>
                    </w:rPr>
                    <w:t>”</w:t>
                  </w:r>
                  <w:r>
                    <w:rPr>
                      <w:rFonts w:hint="default" w:ascii="Times New Roman" w:hAnsi="Times New Roman" w:eastAsia="宋体" w:cs="Times New Roman"/>
                      <w:color w:val="auto"/>
                      <w:kern w:val="0"/>
                      <w:sz w:val="21"/>
                      <w:szCs w:val="24"/>
                      <w:highlight w:val="none"/>
                      <w:lang w:val="en-US" w:eastAsia="zh-CN" w:bidi="ar"/>
                    </w:rPr>
                    <w:t>，也就是聚合物分子与许多水分子形成缔合体，然后在溶液中展开、伸长。在水基体系中，聚合物线团的相互作用，产生了粘稠溶液。适合储层温度</w:t>
                  </w:r>
                  <w:r>
                    <w:rPr>
                      <w:rFonts w:hint="default" w:ascii="Times New Roman" w:hAnsi="Times New Roman" w:eastAsia="TimesNewRomanPSMT" w:cs="Times New Roman"/>
                      <w:color w:val="auto"/>
                      <w:kern w:val="0"/>
                      <w:sz w:val="21"/>
                      <w:szCs w:val="24"/>
                      <w:highlight w:val="none"/>
                      <w:lang w:val="en-US" w:eastAsia="zh-CN" w:bidi="ar"/>
                    </w:rPr>
                    <w:t>80℃-200℃</w:t>
                  </w:r>
                  <w:r>
                    <w:rPr>
                      <w:rFonts w:hint="default" w:ascii="Times New Roman" w:hAnsi="Times New Roman" w:eastAsia="宋体" w:cs="Times New Roman"/>
                      <w:color w:val="auto"/>
                      <w:kern w:val="0"/>
                      <w:sz w:val="21"/>
                      <w:szCs w:val="24"/>
                      <w:highlight w:val="none"/>
                      <w:lang w:val="en-US" w:eastAsia="zh-CN" w:bidi="ar"/>
                    </w:rPr>
                    <w:t>，降低了压裂液的残渣与施工摩阻，能满足高温、低渗储层压裂改造的需要。</w:t>
                  </w:r>
                </w:p>
              </w:tc>
              <w:tc>
                <w:tcPr>
                  <w:tcW w:w="459" w:type="pct"/>
                  <w:vMerge w:val="restart"/>
                  <w:tcBorders>
                    <w:top w:val="single" w:color="auto" w:sz="4" w:space="0"/>
                    <w:left w:val="single" w:color="auto" w:sz="4" w:space="0"/>
                    <w:right w:val="single" w:color="auto" w:sz="4" w:space="0"/>
                  </w:tcBorders>
                  <w:noWrap w:val="0"/>
                  <w:vAlign w:val="center"/>
                </w:tcPr>
                <w:p w14:paraId="7D9E2EC3">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4"/>
                      <w:highlight w:val="none"/>
                      <w:lang w:val="en-US" w:eastAsia="zh-CN" w:bidi="ar"/>
                    </w:rPr>
                  </w:pPr>
                  <w:r>
                    <w:rPr>
                      <w:rFonts w:hint="eastAsia" w:ascii="Times New Roman" w:hAnsi="Times New Roman" w:cs="Times New Roman"/>
                      <w:color w:val="auto"/>
                      <w:kern w:val="0"/>
                      <w:sz w:val="21"/>
                      <w:szCs w:val="24"/>
                      <w:highlight w:val="none"/>
                      <w:lang w:val="en-US" w:eastAsia="zh-CN" w:bidi="ar"/>
                    </w:rPr>
                    <w:t>材料房</w:t>
                  </w:r>
                </w:p>
              </w:tc>
            </w:tr>
            <w:tr w14:paraId="394E3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3" w:type="pct"/>
                  <w:tcBorders>
                    <w:top w:val="single" w:color="auto" w:sz="4" w:space="0"/>
                    <w:left w:val="single" w:color="auto" w:sz="4" w:space="0"/>
                    <w:bottom w:val="single" w:color="auto" w:sz="4" w:space="0"/>
                    <w:right w:val="single" w:color="auto" w:sz="4" w:space="0"/>
                  </w:tcBorders>
                  <w:noWrap w:val="0"/>
                  <w:vAlign w:val="center"/>
                </w:tcPr>
                <w:p w14:paraId="2DDC8F0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润湿改进剂</w:t>
                  </w:r>
                </w:p>
              </w:tc>
              <w:tc>
                <w:tcPr>
                  <w:tcW w:w="4077" w:type="pct"/>
                  <w:tcBorders>
                    <w:top w:val="single" w:color="auto" w:sz="4" w:space="0"/>
                    <w:left w:val="single" w:color="auto" w:sz="4" w:space="0"/>
                    <w:bottom w:val="single" w:color="auto" w:sz="4" w:space="0"/>
                    <w:right w:val="single" w:color="auto" w:sz="4" w:space="0"/>
                  </w:tcBorders>
                  <w:noWrap w:val="0"/>
                  <w:vAlign w:val="center"/>
                </w:tcPr>
                <w:p w14:paraId="169345E1">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4"/>
                      <w:highlight w:val="none"/>
                      <w:lang w:val="en-US" w:eastAsia="zh-CN" w:bidi="ar"/>
                    </w:rPr>
                    <w:t>常用的润湿剂主要是非离子型表面活性剂，如</w:t>
                  </w:r>
                  <w:r>
                    <w:rPr>
                      <w:rFonts w:hint="default" w:ascii="Times New Roman" w:hAnsi="Times New Roman" w:eastAsia="TimesNewRomanPSMT" w:cs="Times New Roman"/>
                      <w:color w:val="auto"/>
                      <w:kern w:val="0"/>
                      <w:sz w:val="21"/>
                      <w:szCs w:val="24"/>
                      <w:highlight w:val="none"/>
                      <w:lang w:val="en-US" w:eastAsia="zh-CN" w:bidi="ar"/>
                    </w:rPr>
                    <w:t>AE1910</w:t>
                  </w:r>
                  <w:r>
                    <w:rPr>
                      <w:rFonts w:hint="default" w:ascii="Times New Roman" w:hAnsi="Times New Roman" w:eastAsia="宋体" w:cs="Times New Roman"/>
                      <w:color w:val="auto"/>
                      <w:kern w:val="0"/>
                      <w:sz w:val="21"/>
                      <w:szCs w:val="24"/>
                      <w:highlight w:val="none"/>
                      <w:lang w:val="en-US" w:eastAsia="zh-CN" w:bidi="ar"/>
                    </w:rPr>
                    <w:t>、</w:t>
                  </w:r>
                  <w:r>
                    <w:rPr>
                      <w:rFonts w:hint="default" w:ascii="Times New Roman" w:hAnsi="Times New Roman" w:eastAsia="TimesNewRomanPSMT" w:cs="Times New Roman"/>
                      <w:color w:val="auto"/>
                      <w:kern w:val="0"/>
                      <w:sz w:val="21"/>
                      <w:szCs w:val="24"/>
                      <w:highlight w:val="none"/>
                      <w:lang w:val="en-US" w:eastAsia="zh-CN" w:bidi="ar"/>
                    </w:rPr>
                    <w:t>OP-10</w:t>
                  </w:r>
                  <w:r>
                    <w:rPr>
                      <w:rFonts w:hint="default" w:ascii="Times New Roman" w:hAnsi="Times New Roman" w:eastAsia="宋体" w:cs="Times New Roman"/>
                      <w:color w:val="auto"/>
                      <w:kern w:val="0"/>
                      <w:sz w:val="21"/>
                      <w:szCs w:val="24"/>
                      <w:highlight w:val="none"/>
                      <w:lang w:val="en-US" w:eastAsia="zh-CN" w:bidi="ar"/>
                    </w:rPr>
                    <w:t>、</w:t>
                  </w:r>
                  <w:r>
                    <w:rPr>
                      <w:rFonts w:hint="default" w:ascii="Times New Roman" w:hAnsi="Times New Roman" w:eastAsia="TimesNewRomanPSMT" w:cs="Times New Roman"/>
                      <w:color w:val="auto"/>
                      <w:kern w:val="0"/>
                      <w:sz w:val="21"/>
                      <w:szCs w:val="24"/>
                      <w:highlight w:val="none"/>
                      <w:lang w:val="en-US" w:eastAsia="zh-CN" w:bidi="ar"/>
                    </w:rPr>
                    <w:t>SP169</w:t>
                  </w:r>
                  <w:r>
                    <w:rPr>
                      <w:rFonts w:hint="default" w:ascii="Times New Roman" w:hAnsi="Times New Roman" w:eastAsia="宋体" w:cs="Times New Roman"/>
                      <w:color w:val="auto"/>
                      <w:kern w:val="0"/>
                      <w:sz w:val="21"/>
                      <w:szCs w:val="24"/>
                      <w:highlight w:val="none"/>
                      <w:lang w:val="en-US" w:eastAsia="zh-CN" w:bidi="ar"/>
                    </w:rPr>
                    <w:t>、</w:t>
                  </w:r>
                  <w:r>
                    <w:rPr>
                      <w:rFonts w:hint="default" w:ascii="Times New Roman" w:hAnsi="Times New Roman" w:eastAsia="TimesNewRomanPSMT" w:cs="Times New Roman"/>
                      <w:color w:val="auto"/>
                      <w:kern w:val="0"/>
                      <w:sz w:val="21"/>
                      <w:szCs w:val="24"/>
                      <w:highlight w:val="none"/>
                      <w:lang w:val="en-US" w:eastAsia="zh-CN" w:bidi="ar"/>
                    </w:rPr>
                    <w:t>796A</w:t>
                  </w:r>
                  <w:r>
                    <w:rPr>
                      <w:rFonts w:hint="default" w:ascii="Times New Roman" w:hAnsi="Times New Roman" w:eastAsia="宋体" w:cs="Times New Roman"/>
                      <w:color w:val="auto"/>
                      <w:kern w:val="0"/>
                      <w:sz w:val="21"/>
                      <w:szCs w:val="24"/>
                      <w:highlight w:val="none"/>
                      <w:lang w:val="en-US" w:eastAsia="zh-CN" w:bidi="ar"/>
                    </w:rPr>
                    <w:t>、</w:t>
                  </w:r>
                  <w:r>
                    <w:rPr>
                      <w:rFonts w:hint="default" w:ascii="Times New Roman" w:hAnsi="Times New Roman" w:eastAsia="TimesNewRomanPSMT" w:cs="Times New Roman"/>
                      <w:color w:val="auto"/>
                      <w:kern w:val="0"/>
                      <w:sz w:val="21"/>
                      <w:szCs w:val="24"/>
                      <w:highlight w:val="none"/>
                      <w:lang w:val="en-US" w:eastAsia="zh-CN" w:bidi="ar"/>
                    </w:rPr>
                    <w:t>TA-1031</w:t>
                  </w:r>
                  <w:r>
                    <w:rPr>
                      <w:rFonts w:hint="default" w:ascii="Times New Roman" w:hAnsi="Times New Roman" w:eastAsia="宋体" w:cs="Times New Roman"/>
                      <w:color w:val="auto"/>
                      <w:kern w:val="0"/>
                      <w:sz w:val="21"/>
                      <w:szCs w:val="24"/>
                      <w:highlight w:val="none"/>
                      <w:lang w:val="en-US" w:eastAsia="zh-CN" w:bidi="ar"/>
                    </w:rPr>
                    <w:t>等，能将亲油砂岩润湿为亲水砂岩，有利于提高相对渗透率。</w:t>
                  </w:r>
                </w:p>
              </w:tc>
              <w:tc>
                <w:tcPr>
                  <w:tcW w:w="459" w:type="pct"/>
                  <w:vMerge w:val="continue"/>
                  <w:tcBorders>
                    <w:left w:val="single" w:color="auto" w:sz="4" w:space="0"/>
                    <w:right w:val="single" w:color="auto" w:sz="4" w:space="0"/>
                  </w:tcBorders>
                  <w:noWrap w:val="0"/>
                  <w:vAlign w:val="center"/>
                </w:tcPr>
                <w:p w14:paraId="71A8C5C5">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4"/>
                      <w:highlight w:val="none"/>
                      <w:lang w:val="en-US" w:eastAsia="zh-CN" w:bidi="ar"/>
                    </w:rPr>
                  </w:pPr>
                </w:p>
              </w:tc>
            </w:tr>
            <w:tr w14:paraId="15ECA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3" w:type="pct"/>
                  <w:tcBorders>
                    <w:top w:val="single" w:color="auto" w:sz="4" w:space="0"/>
                    <w:left w:val="single" w:color="auto" w:sz="4" w:space="0"/>
                    <w:bottom w:val="single" w:color="auto" w:sz="4" w:space="0"/>
                    <w:right w:val="single" w:color="auto" w:sz="4" w:space="0"/>
                  </w:tcBorders>
                  <w:noWrap w:val="0"/>
                  <w:vAlign w:val="center"/>
                </w:tcPr>
                <w:p w14:paraId="7617F2D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高温交联剂</w:t>
                  </w:r>
                </w:p>
              </w:tc>
              <w:tc>
                <w:tcPr>
                  <w:tcW w:w="4077" w:type="pct"/>
                  <w:tcBorders>
                    <w:top w:val="single" w:color="auto" w:sz="4" w:space="0"/>
                    <w:left w:val="single" w:color="auto" w:sz="4" w:space="0"/>
                    <w:bottom w:val="single" w:color="auto" w:sz="4" w:space="0"/>
                    <w:right w:val="single" w:color="auto" w:sz="4" w:space="0"/>
                  </w:tcBorders>
                  <w:noWrap w:val="0"/>
                  <w:vAlign w:val="center"/>
                </w:tcPr>
                <w:p w14:paraId="1785DBF8">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4"/>
                      <w:highlight w:val="none"/>
                      <w:lang w:val="en-US" w:eastAsia="zh-CN" w:bidi="ar"/>
                    </w:rPr>
                    <w:t>通过化学键或配位键与稠化剂发生交联反应的试剂称为交联剂。交联剂将聚合物的各种分子联结成一种机构，使原来的聚合物分子量明显地增加，调整压裂液的粘度。</w:t>
                  </w:r>
                </w:p>
              </w:tc>
              <w:tc>
                <w:tcPr>
                  <w:tcW w:w="459" w:type="pct"/>
                  <w:vMerge w:val="continue"/>
                  <w:tcBorders>
                    <w:left w:val="single" w:color="auto" w:sz="4" w:space="0"/>
                    <w:right w:val="single" w:color="auto" w:sz="4" w:space="0"/>
                  </w:tcBorders>
                  <w:noWrap w:val="0"/>
                  <w:vAlign w:val="center"/>
                </w:tcPr>
                <w:p w14:paraId="48E1E964">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4"/>
                      <w:highlight w:val="none"/>
                      <w:lang w:val="en-US" w:eastAsia="zh-CN" w:bidi="ar"/>
                    </w:rPr>
                  </w:pPr>
                </w:p>
              </w:tc>
            </w:tr>
            <w:tr w14:paraId="6E0A9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3" w:type="pct"/>
                  <w:tcBorders>
                    <w:top w:val="single" w:color="auto" w:sz="4" w:space="0"/>
                    <w:left w:val="single" w:color="auto" w:sz="4" w:space="0"/>
                    <w:bottom w:val="single" w:color="auto" w:sz="4" w:space="0"/>
                    <w:right w:val="single" w:color="auto" w:sz="4" w:space="0"/>
                  </w:tcBorders>
                  <w:noWrap w:val="0"/>
                  <w:vAlign w:val="center"/>
                </w:tcPr>
                <w:p w14:paraId="3096557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有机硼</w:t>
                  </w:r>
                </w:p>
              </w:tc>
              <w:tc>
                <w:tcPr>
                  <w:tcW w:w="4077" w:type="pct"/>
                  <w:tcBorders>
                    <w:top w:val="single" w:color="auto" w:sz="4" w:space="0"/>
                    <w:left w:val="single" w:color="auto" w:sz="4" w:space="0"/>
                    <w:bottom w:val="single" w:color="auto" w:sz="4" w:space="0"/>
                    <w:right w:val="single" w:color="auto" w:sz="4" w:space="0"/>
                  </w:tcBorders>
                  <w:noWrap w:val="0"/>
                  <w:vAlign w:val="center"/>
                </w:tcPr>
                <w:p w14:paraId="197A87C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4"/>
                      <w:highlight w:val="none"/>
                      <w:lang w:val="en-US" w:eastAsia="zh-CN" w:bidi="ar"/>
                    </w:rPr>
                    <w:t>含有硼原子的有机化合物，作为交联剂辅助用剂。</w:t>
                  </w:r>
                </w:p>
              </w:tc>
              <w:tc>
                <w:tcPr>
                  <w:tcW w:w="459" w:type="pct"/>
                  <w:vMerge w:val="continue"/>
                  <w:tcBorders>
                    <w:left w:val="single" w:color="auto" w:sz="4" w:space="0"/>
                    <w:right w:val="single" w:color="auto" w:sz="4" w:space="0"/>
                  </w:tcBorders>
                  <w:noWrap w:val="0"/>
                  <w:vAlign w:val="center"/>
                </w:tcPr>
                <w:p w14:paraId="44C8CFA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4"/>
                      <w:highlight w:val="none"/>
                      <w:lang w:val="en-US" w:eastAsia="zh-CN" w:bidi="ar"/>
                    </w:rPr>
                  </w:pPr>
                </w:p>
              </w:tc>
            </w:tr>
            <w:tr w14:paraId="50E04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3" w:type="pct"/>
                  <w:tcBorders>
                    <w:top w:val="single" w:color="auto" w:sz="4" w:space="0"/>
                    <w:left w:val="single" w:color="auto" w:sz="4" w:space="0"/>
                    <w:bottom w:val="single" w:color="auto" w:sz="4" w:space="0"/>
                    <w:right w:val="single" w:color="auto" w:sz="4" w:space="0"/>
                  </w:tcBorders>
                  <w:noWrap w:val="0"/>
                  <w:vAlign w:val="center"/>
                </w:tcPr>
                <w:p w14:paraId="7F9F774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高温破胶剂</w:t>
                  </w:r>
                </w:p>
              </w:tc>
              <w:tc>
                <w:tcPr>
                  <w:tcW w:w="4077" w:type="pct"/>
                  <w:tcBorders>
                    <w:top w:val="single" w:color="auto" w:sz="4" w:space="0"/>
                    <w:left w:val="single" w:color="auto" w:sz="4" w:space="0"/>
                    <w:bottom w:val="single" w:color="auto" w:sz="4" w:space="0"/>
                    <w:right w:val="single" w:color="auto" w:sz="4" w:space="0"/>
                  </w:tcBorders>
                  <w:noWrap w:val="0"/>
                  <w:vAlign w:val="center"/>
                </w:tcPr>
                <w:p w14:paraId="4246C0C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4"/>
                      <w:highlight w:val="none"/>
                      <w:lang w:val="en-US" w:eastAsia="zh-CN" w:bidi="ar"/>
                    </w:rPr>
                    <w:t>目前适用于水基交联冻胶体系的破胶剂，以</w:t>
                  </w:r>
                  <w:r>
                    <w:rPr>
                      <w:rFonts w:hint="eastAsia" w:ascii="Times New Roman" w:hAnsi="Times New Roman" w:cs="Times New Roman"/>
                      <w:color w:val="auto"/>
                      <w:kern w:val="0"/>
                      <w:sz w:val="21"/>
                      <w:szCs w:val="24"/>
                      <w:highlight w:val="none"/>
                      <w:lang w:val="en-US" w:eastAsia="zh-CN" w:bidi="ar"/>
                    </w:rPr>
                    <w:t>过硫酸铵</w:t>
                  </w:r>
                  <w:r>
                    <w:rPr>
                      <w:rFonts w:hint="default" w:ascii="Times New Roman" w:hAnsi="Times New Roman" w:eastAsia="宋体" w:cs="Times New Roman"/>
                      <w:color w:val="auto"/>
                      <w:kern w:val="0"/>
                      <w:sz w:val="21"/>
                      <w:szCs w:val="24"/>
                      <w:highlight w:val="none"/>
                      <w:lang w:val="en-US" w:eastAsia="zh-CN" w:bidi="ar"/>
                    </w:rPr>
                    <w:t>作为主要助剂。</w:t>
                  </w:r>
                </w:p>
              </w:tc>
              <w:tc>
                <w:tcPr>
                  <w:tcW w:w="459" w:type="pct"/>
                  <w:vMerge w:val="continue"/>
                  <w:tcBorders>
                    <w:left w:val="single" w:color="auto" w:sz="4" w:space="0"/>
                    <w:right w:val="single" w:color="auto" w:sz="4" w:space="0"/>
                  </w:tcBorders>
                  <w:noWrap w:val="0"/>
                  <w:vAlign w:val="center"/>
                </w:tcPr>
                <w:p w14:paraId="4B8811F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4"/>
                      <w:highlight w:val="none"/>
                      <w:lang w:val="en-US" w:eastAsia="zh-CN" w:bidi="ar"/>
                    </w:rPr>
                  </w:pPr>
                </w:p>
              </w:tc>
            </w:tr>
            <w:tr w14:paraId="0EEB2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3" w:type="pct"/>
                  <w:tcBorders>
                    <w:top w:val="single" w:color="auto" w:sz="4" w:space="0"/>
                    <w:left w:val="single" w:color="auto" w:sz="4" w:space="0"/>
                    <w:bottom w:val="single" w:color="auto" w:sz="4" w:space="0"/>
                    <w:right w:val="single" w:color="auto" w:sz="4" w:space="0"/>
                  </w:tcBorders>
                  <w:noWrap w:val="0"/>
                  <w:vAlign w:val="center"/>
                </w:tcPr>
                <w:p w14:paraId="04B8E91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碳酸钠</w:t>
                  </w:r>
                </w:p>
              </w:tc>
              <w:tc>
                <w:tcPr>
                  <w:tcW w:w="4077" w:type="pct"/>
                  <w:tcBorders>
                    <w:top w:val="single" w:color="auto" w:sz="4" w:space="0"/>
                    <w:left w:val="single" w:color="auto" w:sz="4" w:space="0"/>
                    <w:bottom w:val="single" w:color="auto" w:sz="4" w:space="0"/>
                    <w:right w:val="single" w:color="auto" w:sz="4" w:space="0"/>
                  </w:tcBorders>
                  <w:noWrap w:val="0"/>
                  <w:vAlign w:val="center"/>
                </w:tcPr>
                <w:p w14:paraId="3BAB1EF8">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4"/>
                      <w:highlight w:val="none"/>
                      <w:lang w:val="en-US" w:eastAsia="zh-CN" w:bidi="ar"/>
                    </w:rPr>
                    <w:t>无水碳酸钠为白色粉末，易溶于水，水溶液呈碱性，p</w:t>
                  </w:r>
                  <w:r>
                    <w:rPr>
                      <w:rFonts w:hint="default" w:ascii="Times New Roman" w:hAnsi="Times New Roman" w:eastAsia="TimesNewRomanPSMT" w:cs="Times New Roman"/>
                      <w:color w:val="auto"/>
                      <w:kern w:val="0"/>
                      <w:sz w:val="21"/>
                      <w:szCs w:val="24"/>
                      <w:highlight w:val="none"/>
                      <w:lang w:val="en-US" w:eastAsia="zh-CN" w:bidi="ar"/>
                    </w:rPr>
                    <w:t>H</w:t>
                  </w:r>
                  <w:r>
                    <w:rPr>
                      <w:rFonts w:hint="default" w:ascii="Times New Roman" w:hAnsi="Times New Roman" w:eastAsia="宋体" w:cs="Times New Roman"/>
                      <w:color w:val="auto"/>
                      <w:kern w:val="0"/>
                      <w:sz w:val="21"/>
                      <w:szCs w:val="24"/>
                      <w:highlight w:val="none"/>
                      <w:lang w:val="en-US" w:eastAsia="zh-CN" w:bidi="ar"/>
                    </w:rPr>
                    <w:t>值为</w:t>
                  </w:r>
                  <w:r>
                    <w:rPr>
                      <w:rFonts w:hint="default" w:ascii="Times New Roman" w:hAnsi="Times New Roman" w:eastAsia="TimesNewRomanPSMT" w:cs="Times New Roman"/>
                      <w:color w:val="auto"/>
                      <w:kern w:val="0"/>
                      <w:sz w:val="21"/>
                      <w:szCs w:val="24"/>
                      <w:highlight w:val="none"/>
                      <w:lang w:val="en-US" w:eastAsia="zh-CN" w:bidi="ar"/>
                    </w:rPr>
                    <w:t>11.5</w:t>
                  </w:r>
                  <w:r>
                    <w:rPr>
                      <w:rFonts w:hint="default" w:ascii="Times New Roman" w:hAnsi="Times New Roman" w:eastAsia="宋体" w:cs="Times New Roman"/>
                      <w:color w:val="auto"/>
                      <w:kern w:val="0"/>
                      <w:sz w:val="21"/>
                      <w:szCs w:val="24"/>
                      <w:highlight w:val="none"/>
                      <w:lang w:val="en-US" w:eastAsia="zh-CN" w:bidi="ar"/>
                    </w:rPr>
                    <w:t>。在泥浆中发生电离和水解，提供</w:t>
                  </w:r>
                  <w:r>
                    <w:rPr>
                      <w:rFonts w:hint="default" w:ascii="Times New Roman" w:hAnsi="Times New Roman" w:eastAsia="TimesNewRomanPSMT" w:cs="Times New Roman"/>
                      <w:color w:val="auto"/>
                      <w:kern w:val="0"/>
                      <w:sz w:val="21"/>
                      <w:szCs w:val="24"/>
                      <w:highlight w:val="none"/>
                      <w:lang w:val="en-US" w:eastAsia="zh-CN" w:bidi="ar"/>
                    </w:rPr>
                    <w:t>Na</w:t>
                  </w:r>
                  <w:r>
                    <w:rPr>
                      <w:rFonts w:hint="default" w:ascii="Times New Roman" w:hAnsi="Times New Roman" w:eastAsia="宋体" w:cs="Times New Roman"/>
                      <w:color w:val="auto"/>
                      <w:kern w:val="0"/>
                      <w:sz w:val="21"/>
                      <w:szCs w:val="24"/>
                      <w:highlight w:val="none"/>
                      <w:vertAlign w:val="superscript"/>
                      <w:lang w:val="en-US" w:eastAsia="zh-CN" w:bidi="ar"/>
                    </w:rPr>
                    <w:t>+</w:t>
                  </w:r>
                  <w:r>
                    <w:rPr>
                      <w:rFonts w:hint="default" w:ascii="Times New Roman" w:hAnsi="Times New Roman" w:eastAsia="宋体" w:cs="Times New Roman"/>
                      <w:color w:val="auto"/>
                      <w:kern w:val="0"/>
                      <w:sz w:val="21"/>
                      <w:szCs w:val="24"/>
                      <w:highlight w:val="none"/>
                      <w:lang w:val="en-US" w:eastAsia="zh-CN" w:bidi="ar"/>
                    </w:rPr>
                    <w:t>和</w:t>
                  </w:r>
                  <w:r>
                    <w:rPr>
                      <w:rFonts w:hint="default" w:ascii="Times New Roman" w:hAnsi="Times New Roman" w:eastAsia="TimesNewRomanPSMT" w:cs="Times New Roman"/>
                      <w:color w:val="auto"/>
                      <w:kern w:val="0"/>
                      <w:sz w:val="21"/>
                      <w:szCs w:val="24"/>
                      <w:highlight w:val="none"/>
                      <w:lang w:val="en-US" w:eastAsia="zh-CN" w:bidi="ar"/>
                    </w:rPr>
                    <w:t>CO</w:t>
                  </w:r>
                  <w:r>
                    <w:rPr>
                      <w:rFonts w:hint="default" w:ascii="Times New Roman" w:hAnsi="Times New Roman" w:eastAsia="宋体" w:cs="Times New Roman"/>
                      <w:color w:val="auto"/>
                      <w:kern w:val="0"/>
                      <w:sz w:val="21"/>
                      <w:szCs w:val="24"/>
                      <w:highlight w:val="none"/>
                      <w:vertAlign w:val="subscript"/>
                      <w:lang w:val="en-US" w:eastAsia="zh-CN" w:bidi="ar"/>
                    </w:rPr>
                    <w:t>3</w:t>
                  </w:r>
                  <w:r>
                    <w:rPr>
                      <w:rFonts w:hint="default" w:ascii="Times New Roman" w:hAnsi="Times New Roman" w:eastAsia="宋体" w:cs="Times New Roman"/>
                      <w:color w:val="auto"/>
                      <w:kern w:val="0"/>
                      <w:sz w:val="21"/>
                      <w:szCs w:val="24"/>
                      <w:highlight w:val="none"/>
                      <w:vertAlign w:val="superscript"/>
                      <w:lang w:val="en-US" w:eastAsia="zh-CN" w:bidi="ar"/>
                    </w:rPr>
                    <w:t>2-</w:t>
                  </w:r>
                  <w:r>
                    <w:rPr>
                      <w:rFonts w:hint="default" w:ascii="Times New Roman" w:hAnsi="Times New Roman" w:eastAsia="宋体" w:cs="Times New Roman"/>
                      <w:color w:val="auto"/>
                      <w:kern w:val="0"/>
                      <w:sz w:val="21"/>
                      <w:szCs w:val="24"/>
                      <w:highlight w:val="none"/>
                      <w:lang w:val="en-US" w:eastAsia="zh-CN" w:bidi="ar"/>
                    </w:rPr>
                    <w:t>在泥浆中通过离子交换和沉淀作业，使钙质粘土变为钠质粘土。另外可除掉石膏或水泥浸入泥浆中的</w:t>
                  </w:r>
                  <w:r>
                    <w:rPr>
                      <w:rFonts w:hint="default" w:ascii="Times New Roman" w:hAnsi="Times New Roman" w:eastAsia="TimesNewRomanPSMT" w:cs="Times New Roman"/>
                      <w:color w:val="auto"/>
                      <w:kern w:val="0"/>
                      <w:sz w:val="21"/>
                      <w:szCs w:val="24"/>
                      <w:highlight w:val="none"/>
                      <w:lang w:val="en-US" w:eastAsia="zh-CN" w:bidi="ar"/>
                    </w:rPr>
                    <w:t>Ca</w:t>
                  </w:r>
                  <w:r>
                    <w:rPr>
                      <w:rFonts w:hint="default" w:ascii="Times New Roman" w:hAnsi="Times New Roman" w:eastAsia="宋体" w:cs="Times New Roman"/>
                      <w:color w:val="auto"/>
                      <w:kern w:val="0"/>
                      <w:sz w:val="21"/>
                      <w:szCs w:val="24"/>
                      <w:highlight w:val="none"/>
                      <w:vertAlign w:val="superscript"/>
                      <w:lang w:val="en-US" w:eastAsia="zh-CN" w:bidi="ar"/>
                    </w:rPr>
                    <w:t>2+</w:t>
                  </w:r>
                  <w:r>
                    <w:rPr>
                      <w:rFonts w:hint="default" w:ascii="Times New Roman" w:hAnsi="Times New Roman" w:eastAsia="宋体" w:cs="Times New Roman"/>
                      <w:color w:val="auto"/>
                      <w:kern w:val="0"/>
                      <w:sz w:val="21"/>
                      <w:szCs w:val="24"/>
                      <w:highlight w:val="none"/>
                      <w:lang w:val="en-US" w:eastAsia="zh-CN" w:bidi="ar"/>
                    </w:rPr>
                    <w:t>离子，使泥浆性能变好。</w:t>
                  </w:r>
                </w:p>
              </w:tc>
              <w:tc>
                <w:tcPr>
                  <w:tcW w:w="459" w:type="pct"/>
                  <w:vMerge w:val="continue"/>
                  <w:tcBorders>
                    <w:left w:val="single" w:color="auto" w:sz="4" w:space="0"/>
                    <w:right w:val="single" w:color="auto" w:sz="4" w:space="0"/>
                  </w:tcBorders>
                  <w:noWrap w:val="0"/>
                  <w:vAlign w:val="center"/>
                </w:tcPr>
                <w:p w14:paraId="23E94351">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4"/>
                      <w:highlight w:val="none"/>
                      <w:lang w:val="en-US" w:eastAsia="zh-CN" w:bidi="ar"/>
                    </w:rPr>
                  </w:pPr>
                </w:p>
              </w:tc>
            </w:tr>
            <w:tr w14:paraId="7DFD6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3" w:type="pct"/>
                  <w:tcBorders>
                    <w:top w:val="single" w:color="auto" w:sz="4" w:space="0"/>
                    <w:left w:val="single" w:color="auto" w:sz="4" w:space="0"/>
                    <w:bottom w:val="single" w:color="auto" w:sz="4" w:space="0"/>
                    <w:right w:val="single" w:color="auto" w:sz="4" w:space="0"/>
                  </w:tcBorders>
                  <w:noWrap w:val="0"/>
                  <w:vAlign w:val="center"/>
                </w:tcPr>
                <w:p w14:paraId="7CBC78B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碳酸氢钠</w:t>
                  </w:r>
                </w:p>
              </w:tc>
              <w:tc>
                <w:tcPr>
                  <w:tcW w:w="4077" w:type="pct"/>
                  <w:tcBorders>
                    <w:top w:val="single" w:color="auto" w:sz="4" w:space="0"/>
                    <w:left w:val="single" w:color="auto" w:sz="4" w:space="0"/>
                    <w:bottom w:val="single" w:color="auto" w:sz="4" w:space="0"/>
                    <w:right w:val="single" w:color="auto" w:sz="4" w:space="0"/>
                  </w:tcBorders>
                  <w:noWrap w:val="0"/>
                  <w:vAlign w:val="center"/>
                </w:tcPr>
                <w:p w14:paraId="7871D02D">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4"/>
                      <w:highlight w:val="none"/>
                      <w:lang w:val="en-US" w:eastAsia="zh-CN" w:bidi="ar"/>
                    </w:rPr>
                    <w:t>白色细小晶体，溶于水时呈现弱碱性，固体</w:t>
                  </w:r>
                  <w:r>
                    <w:rPr>
                      <w:rFonts w:hint="default" w:ascii="Times New Roman" w:hAnsi="Times New Roman" w:eastAsia="TimesNewRomanPSMT" w:cs="Times New Roman"/>
                      <w:color w:val="auto"/>
                      <w:kern w:val="0"/>
                      <w:sz w:val="21"/>
                      <w:szCs w:val="24"/>
                      <w:highlight w:val="none"/>
                      <w:lang w:val="en-US" w:eastAsia="zh-CN" w:bidi="ar"/>
                    </w:rPr>
                    <w:t>50℃</w:t>
                  </w:r>
                  <w:r>
                    <w:rPr>
                      <w:rFonts w:hint="default" w:ascii="Times New Roman" w:hAnsi="Times New Roman" w:eastAsia="宋体" w:cs="Times New Roman"/>
                      <w:color w:val="auto"/>
                      <w:kern w:val="0"/>
                      <w:sz w:val="21"/>
                      <w:szCs w:val="24"/>
                      <w:highlight w:val="none"/>
                      <w:lang w:val="en-US" w:eastAsia="zh-CN" w:bidi="ar"/>
                    </w:rPr>
                    <w:t>以上开始逐渐分解生成碳酸钠、二氧化碳和水，</w:t>
                  </w:r>
                  <w:r>
                    <w:rPr>
                      <w:rFonts w:hint="default" w:ascii="Times New Roman" w:hAnsi="Times New Roman" w:eastAsia="TimesNewRomanPSMT" w:cs="Times New Roman"/>
                      <w:color w:val="auto"/>
                      <w:kern w:val="0"/>
                      <w:sz w:val="21"/>
                      <w:szCs w:val="24"/>
                      <w:highlight w:val="none"/>
                      <w:lang w:val="en-US" w:eastAsia="zh-CN" w:bidi="ar"/>
                    </w:rPr>
                    <w:t>270℃</w:t>
                  </w:r>
                  <w:r>
                    <w:rPr>
                      <w:rFonts w:hint="default" w:ascii="Times New Roman" w:hAnsi="Times New Roman" w:eastAsia="宋体" w:cs="Times New Roman"/>
                      <w:color w:val="auto"/>
                      <w:kern w:val="0"/>
                      <w:sz w:val="21"/>
                      <w:szCs w:val="24"/>
                      <w:highlight w:val="none"/>
                      <w:lang w:val="en-US" w:eastAsia="zh-CN" w:bidi="ar"/>
                    </w:rPr>
                    <w:t>时完全分解。</w:t>
                  </w:r>
                </w:p>
              </w:tc>
              <w:tc>
                <w:tcPr>
                  <w:tcW w:w="459" w:type="pct"/>
                  <w:vMerge w:val="continue"/>
                  <w:tcBorders>
                    <w:left w:val="single" w:color="auto" w:sz="4" w:space="0"/>
                    <w:bottom w:val="single" w:color="auto" w:sz="4" w:space="0"/>
                    <w:right w:val="single" w:color="auto" w:sz="4" w:space="0"/>
                  </w:tcBorders>
                  <w:noWrap w:val="0"/>
                  <w:vAlign w:val="center"/>
                </w:tcPr>
                <w:p w14:paraId="56041B88">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4"/>
                      <w:highlight w:val="none"/>
                      <w:lang w:val="en-US" w:eastAsia="zh-CN" w:bidi="ar"/>
                    </w:rPr>
                  </w:pPr>
                </w:p>
              </w:tc>
            </w:tr>
          </w:tbl>
          <w:p w14:paraId="53BEFC2C">
            <w:pPr>
              <w:keepNext w:val="0"/>
              <w:keepLines w:val="0"/>
              <w:suppressLineNumbers w:val="0"/>
              <w:adjustRightInd w:val="0"/>
              <w:snapToGrid w:val="0"/>
              <w:spacing w:before="0" w:beforeAutospacing="0" w:after="0" w:afterAutospacing="0" w:line="240" w:lineRule="auto"/>
              <w:ind w:left="0" w:right="0" w:firstLine="482" w:firstLineChars="200"/>
              <w:jc w:val="center"/>
              <w:rPr>
                <w:rFonts w:hint="default" w:ascii="Times New Roman" w:hAnsi="Times New Roman" w:eastAsia="宋体" w:cs="Times New Roman"/>
                <w:b/>
                <w:color w:val="auto"/>
                <w:sz w:val="24"/>
                <w:szCs w:val="24"/>
                <w:highlight w:val="none"/>
                <w:lang w:val="en-US" w:eastAsia="zh-CN"/>
              </w:rPr>
            </w:pPr>
          </w:p>
          <w:p w14:paraId="2F64DE27">
            <w:pPr>
              <w:keepNext w:val="0"/>
              <w:keepLines w:val="0"/>
              <w:suppressLineNumbers w:val="0"/>
              <w:adjustRightInd w:val="0"/>
              <w:snapToGrid w:val="0"/>
              <w:spacing w:before="0" w:beforeAutospacing="0" w:after="0" w:afterAutospacing="0" w:line="240" w:lineRule="auto"/>
              <w:ind w:left="0" w:right="0" w:firstLine="482" w:firstLineChars="200"/>
              <w:jc w:val="center"/>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表2-1</w:t>
            </w:r>
            <w:r>
              <w:rPr>
                <w:rFonts w:hint="eastAsia" w:ascii="Times New Roman" w:hAnsi="Times New Roman" w:cs="Times New Roman"/>
                <w:b/>
                <w:color w:val="auto"/>
                <w:sz w:val="24"/>
                <w:szCs w:val="24"/>
                <w:highlight w:val="none"/>
                <w:lang w:val="en-US" w:eastAsia="zh-CN"/>
              </w:rPr>
              <w:t>1</w:t>
            </w:r>
            <w:r>
              <w:rPr>
                <w:rFonts w:hint="default" w:ascii="Times New Roman" w:hAnsi="Times New Roman" w:eastAsia="宋体" w:cs="Times New Roman"/>
                <w:b/>
                <w:color w:val="auto"/>
                <w:sz w:val="24"/>
                <w:szCs w:val="24"/>
                <w:highlight w:val="none"/>
                <w:lang w:val="en-US" w:eastAsia="zh-CN"/>
              </w:rPr>
              <w:t xml:space="preserve">  </w:t>
            </w:r>
            <w:r>
              <w:rPr>
                <w:rFonts w:hint="default" w:ascii="Times New Roman" w:hAnsi="Times New Roman" w:cs="Times New Roman"/>
                <w:b/>
                <w:color w:val="auto"/>
                <w:sz w:val="24"/>
                <w:szCs w:val="24"/>
                <w:highlight w:val="none"/>
                <w:lang w:val="en-US" w:eastAsia="zh-CN"/>
              </w:rPr>
              <w:t>射孔液主要成分及</w:t>
            </w:r>
            <w:r>
              <w:rPr>
                <w:rFonts w:hint="default" w:ascii="Times New Roman" w:hAnsi="Times New Roman" w:eastAsia="宋体" w:cs="Times New Roman"/>
                <w:b/>
                <w:color w:val="auto"/>
                <w:sz w:val="24"/>
                <w:szCs w:val="24"/>
                <w:highlight w:val="none"/>
                <w:lang w:val="en-US" w:eastAsia="zh-CN"/>
              </w:rPr>
              <w:t>配比一览表</w:t>
            </w:r>
          </w:p>
          <w:tbl>
            <w:tblPr>
              <w:tblStyle w:val="1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6"/>
              <w:gridCol w:w="4698"/>
            </w:tblGrid>
            <w:tr w14:paraId="3CB08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jc w:val="center"/>
              </w:trPr>
              <w:tc>
                <w:tcPr>
                  <w:tcW w:w="2191" w:type="pct"/>
                  <w:tcBorders>
                    <w:tl2br w:val="nil"/>
                    <w:tr2bl w:val="nil"/>
                  </w:tcBorders>
                  <w:noWrap w:val="0"/>
                  <w:vAlign w:val="center"/>
                </w:tcPr>
                <w:p w14:paraId="3BCC8050">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射孔液组成</w:t>
                  </w:r>
                </w:p>
              </w:tc>
              <w:tc>
                <w:tcPr>
                  <w:tcW w:w="2808" w:type="pct"/>
                  <w:tcBorders>
                    <w:tl2br w:val="nil"/>
                    <w:tr2bl w:val="nil"/>
                  </w:tcBorders>
                  <w:noWrap w:val="0"/>
                  <w:vAlign w:val="center"/>
                </w:tcPr>
                <w:p w14:paraId="3E522564">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宋体" w:hAnsi="宋体" w:eastAsia="宋体" w:cs="宋体"/>
                      <w:b/>
                      <w:bCs/>
                      <w:color w:val="auto"/>
                      <w:sz w:val="21"/>
                      <w:szCs w:val="21"/>
                      <w:highlight w:val="none"/>
                      <w:vertAlign w:val="baseline"/>
                      <w:lang w:val="en-US" w:eastAsia="zh-CN"/>
                    </w:rPr>
                  </w:pPr>
                  <w:r>
                    <w:rPr>
                      <w:rFonts w:hint="eastAsia" w:ascii="宋体" w:hAnsi="宋体" w:cs="宋体"/>
                      <w:b/>
                      <w:bCs/>
                      <w:color w:val="auto"/>
                      <w:sz w:val="21"/>
                      <w:szCs w:val="21"/>
                      <w:highlight w:val="none"/>
                      <w:vertAlign w:val="baseline"/>
                      <w:lang w:val="en-US" w:eastAsia="zh-CN"/>
                    </w:rPr>
                    <w:t>添加比例/添加量</w:t>
                  </w:r>
                </w:p>
              </w:tc>
            </w:tr>
            <w:tr w14:paraId="11831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191" w:type="pct"/>
                  <w:tcBorders>
                    <w:tl2br w:val="nil"/>
                    <w:tr2bl w:val="nil"/>
                  </w:tcBorders>
                  <w:noWrap w:val="0"/>
                  <w:vAlign w:val="center"/>
                </w:tcPr>
                <w:p w14:paraId="07704CD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清水</w:t>
                  </w:r>
                </w:p>
              </w:tc>
              <w:tc>
                <w:tcPr>
                  <w:tcW w:w="2808" w:type="pct"/>
                  <w:tcBorders>
                    <w:tl2br w:val="nil"/>
                    <w:tr2bl w:val="nil"/>
                  </w:tcBorders>
                  <w:noWrap w:val="0"/>
                  <w:vAlign w:val="center"/>
                </w:tcPr>
                <w:p w14:paraId="4F776022">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98.75%</w:t>
                  </w:r>
                </w:p>
              </w:tc>
            </w:tr>
            <w:tr w14:paraId="08857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191" w:type="pct"/>
                  <w:tcBorders>
                    <w:tl2br w:val="nil"/>
                    <w:tr2bl w:val="nil"/>
                  </w:tcBorders>
                  <w:noWrap w:val="0"/>
                  <w:vAlign w:val="center"/>
                </w:tcPr>
                <w:p w14:paraId="78541B8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减阻剂</w:t>
                  </w:r>
                </w:p>
              </w:tc>
              <w:tc>
                <w:tcPr>
                  <w:tcW w:w="2808" w:type="pct"/>
                  <w:vMerge w:val="restart"/>
                  <w:tcBorders>
                    <w:tl2br w:val="nil"/>
                    <w:tr2bl w:val="nil"/>
                  </w:tcBorders>
                  <w:noWrap w:val="0"/>
                  <w:vAlign w:val="center"/>
                </w:tcPr>
                <w:p w14:paraId="285AB26C">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1.25%</w:t>
                  </w:r>
                </w:p>
              </w:tc>
            </w:tr>
            <w:tr w14:paraId="58676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191" w:type="pct"/>
                  <w:tcBorders>
                    <w:tl2br w:val="nil"/>
                    <w:tr2bl w:val="nil"/>
                  </w:tcBorders>
                  <w:noWrap w:val="0"/>
                  <w:vAlign w:val="center"/>
                </w:tcPr>
                <w:p w14:paraId="3175F80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Cs w:val="21"/>
                      <w:highlight w:val="none"/>
                    </w:rPr>
                    <w:t>粘土稳定剂</w:t>
                  </w:r>
                </w:p>
              </w:tc>
              <w:tc>
                <w:tcPr>
                  <w:tcW w:w="2808" w:type="pct"/>
                  <w:vMerge w:val="continue"/>
                  <w:tcBorders>
                    <w:tl2br w:val="nil"/>
                    <w:tr2bl w:val="nil"/>
                  </w:tcBorders>
                  <w:noWrap w:val="0"/>
                  <w:vAlign w:val="center"/>
                </w:tcPr>
                <w:p w14:paraId="3AD05C4F">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65FF6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191" w:type="pct"/>
                  <w:tcBorders>
                    <w:tl2br w:val="nil"/>
                    <w:tr2bl w:val="nil"/>
                  </w:tcBorders>
                  <w:noWrap w:val="0"/>
                  <w:vAlign w:val="center"/>
                </w:tcPr>
                <w:p w14:paraId="37DB721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Cs w:val="21"/>
                      <w:highlight w:val="none"/>
                    </w:rPr>
                    <w:t>助排剂</w:t>
                  </w:r>
                </w:p>
              </w:tc>
              <w:tc>
                <w:tcPr>
                  <w:tcW w:w="2808" w:type="pct"/>
                  <w:vMerge w:val="continue"/>
                  <w:tcBorders>
                    <w:tl2br w:val="nil"/>
                    <w:tr2bl w:val="nil"/>
                  </w:tcBorders>
                  <w:noWrap w:val="0"/>
                  <w:vAlign w:val="center"/>
                </w:tcPr>
                <w:p w14:paraId="7A6DE344">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bl>
          <w:p w14:paraId="38A5BB96">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kern w:val="0"/>
                <w:sz w:val="24"/>
                <w:szCs w:val="24"/>
                <w:highlight w:val="none"/>
                <w:lang w:val="en-US" w:eastAsia="zh-CN" w:bidi="ar"/>
              </w:rPr>
            </w:pPr>
          </w:p>
          <w:p w14:paraId="7EBF82CD">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kern w:val="0"/>
                <w:sz w:val="24"/>
                <w:szCs w:val="24"/>
                <w:highlight w:val="none"/>
                <w:lang w:val="en-US" w:eastAsia="zh-CN" w:bidi="ar"/>
              </w:rPr>
            </w:pPr>
          </w:p>
          <w:p w14:paraId="008D8477">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kern w:val="0"/>
                <w:sz w:val="24"/>
                <w:szCs w:val="24"/>
                <w:highlight w:val="none"/>
                <w:lang w:val="en-US" w:eastAsia="zh-CN" w:bidi="ar"/>
              </w:rPr>
            </w:pPr>
          </w:p>
          <w:p w14:paraId="67413153">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表2-</w:t>
            </w:r>
            <w:r>
              <w:rPr>
                <w:rFonts w:hint="default" w:ascii="Times New Roman" w:hAnsi="Times New Roman" w:cs="Times New Roman"/>
                <w:b/>
                <w:bCs/>
                <w:color w:val="auto"/>
                <w:kern w:val="0"/>
                <w:sz w:val="24"/>
                <w:szCs w:val="24"/>
                <w:highlight w:val="none"/>
                <w:lang w:val="en-US" w:eastAsia="zh-CN" w:bidi="ar"/>
              </w:rPr>
              <w:t>1</w:t>
            </w:r>
            <w:r>
              <w:rPr>
                <w:rFonts w:hint="eastAsia" w:ascii="Times New Roman" w:hAnsi="Times New Roman" w:cs="Times New Roman"/>
                <w:b/>
                <w:bCs/>
                <w:color w:val="auto"/>
                <w:kern w:val="0"/>
                <w:sz w:val="24"/>
                <w:szCs w:val="24"/>
                <w:highlight w:val="none"/>
                <w:lang w:val="en-US" w:eastAsia="zh-CN" w:bidi="ar"/>
              </w:rPr>
              <w:t xml:space="preserve">2 </w:t>
            </w:r>
            <w:r>
              <w:rPr>
                <w:rFonts w:hint="default" w:ascii="Times New Roman" w:hAnsi="Times New Roman" w:eastAsia="宋体" w:cs="Times New Roman"/>
                <w:b/>
                <w:bCs/>
                <w:color w:val="auto"/>
                <w:kern w:val="0"/>
                <w:sz w:val="24"/>
                <w:szCs w:val="24"/>
                <w:highlight w:val="none"/>
                <w:lang w:val="en-US" w:eastAsia="zh-CN" w:bidi="ar"/>
              </w:rPr>
              <w:t>原辅材料成分、性质一览表</w:t>
            </w:r>
          </w:p>
          <w:tbl>
            <w:tblPr>
              <w:tblStyle w:val="1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3870"/>
              <w:gridCol w:w="3315"/>
            </w:tblGrid>
            <w:tr w14:paraId="7D4B8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pct"/>
                  <w:tcBorders>
                    <w:top w:val="single" w:color="auto" w:sz="4" w:space="0"/>
                    <w:left w:val="single" w:color="auto" w:sz="4" w:space="0"/>
                    <w:bottom w:val="single" w:color="auto" w:sz="4" w:space="0"/>
                    <w:right w:val="single" w:color="auto" w:sz="4" w:space="0"/>
                  </w:tcBorders>
                  <w:noWrap w:val="0"/>
                  <w:vAlign w:val="center"/>
                </w:tcPr>
                <w:p w14:paraId="12D8E01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名称</w:t>
                  </w:r>
                </w:p>
              </w:tc>
              <w:tc>
                <w:tcPr>
                  <w:tcW w:w="2311" w:type="pct"/>
                  <w:tcBorders>
                    <w:top w:val="single" w:color="auto" w:sz="4" w:space="0"/>
                    <w:left w:val="single" w:color="auto" w:sz="4" w:space="0"/>
                    <w:bottom w:val="single" w:color="auto" w:sz="4" w:space="0"/>
                    <w:right w:val="single" w:color="auto" w:sz="4" w:space="0"/>
                  </w:tcBorders>
                  <w:noWrap w:val="0"/>
                  <w:vAlign w:val="center"/>
                </w:tcPr>
                <w:p w14:paraId="4EEE147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钻井液</w:t>
                  </w:r>
                </w:p>
              </w:tc>
              <w:tc>
                <w:tcPr>
                  <w:tcW w:w="1980" w:type="pct"/>
                  <w:tcBorders>
                    <w:top w:val="single" w:color="auto" w:sz="4" w:space="0"/>
                    <w:left w:val="single" w:color="auto" w:sz="4" w:space="0"/>
                    <w:bottom w:val="single" w:color="auto" w:sz="4" w:space="0"/>
                    <w:right w:val="single" w:color="auto" w:sz="4" w:space="0"/>
                  </w:tcBorders>
                  <w:noWrap w:val="0"/>
                  <w:vAlign w:val="center"/>
                </w:tcPr>
                <w:p w14:paraId="106007F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压裂液</w:t>
                  </w:r>
                </w:p>
              </w:tc>
            </w:tr>
            <w:tr w14:paraId="3589F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pct"/>
                  <w:tcBorders>
                    <w:top w:val="single" w:color="auto" w:sz="4" w:space="0"/>
                    <w:left w:val="single" w:color="auto" w:sz="4" w:space="0"/>
                    <w:bottom w:val="single" w:color="auto" w:sz="4" w:space="0"/>
                    <w:right w:val="single" w:color="auto" w:sz="4" w:space="0"/>
                  </w:tcBorders>
                  <w:noWrap w:val="0"/>
                  <w:vAlign w:val="center"/>
                </w:tcPr>
                <w:p w14:paraId="6BE2D55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成分配方比</w:t>
                  </w:r>
                </w:p>
              </w:tc>
              <w:tc>
                <w:tcPr>
                  <w:tcW w:w="2311" w:type="pct"/>
                  <w:tcBorders>
                    <w:top w:val="single" w:color="auto" w:sz="4" w:space="0"/>
                    <w:left w:val="single" w:color="auto" w:sz="4" w:space="0"/>
                    <w:bottom w:val="single" w:color="auto" w:sz="4" w:space="0"/>
                    <w:right w:val="single" w:color="auto" w:sz="4" w:space="0"/>
                  </w:tcBorders>
                  <w:noWrap w:val="0"/>
                  <w:vAlign w:val="center"/>
                </w:tcPr>
                <w:p w14:paraId="3A49C98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膨润土：6~8%</w:t>
                  </w:r>
                </w:p>
                <w:p w14:paraId="60844C8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纯碱：0.3~0.5%</w:t>
                  </w:r>
                </w:p>
                <w:p w14:paraId="70DB962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CMC：0.05~0.1%</w:t>
                  </w:r>
                </w:p>
                <w:p w14:paraId="4DCD0B5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聚丙烯酰胺：0~0.5%</w:t>
                  </w:r>
                </w:p>
                <w:p w14:paraId="612A537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水：90.9~93.65%</w:t>
                  </w:r>
                </w:p>
              </w:tc>
              <w:tc>
                <w:tcPr>
                  <w:tcW w:w="1980" w:type="pct"/>
                  <w:tcBorders>
                    <w:top w:val="single" w:color="auto" w:sz="4" w:space="0"/>
                    <w:left w:val="single" w:color="auto" w:sz="4" w:space="0"/>
                    <w:bottom w:val="single" w:color="auto" w:sz="4" w:space="0"/>
                    <w:right w:val="single" w:color="auto" w:sz="4" w:space="0"/>
                  </w:tcBorders>
                  <w:noWrap w:val="0"/>
                  <w:vAlign w:val="center"/>
                </w:tcPr>
                <w:p w14:paraId="6EDD49E7">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主要由改性胍胶</w:t>
                  </w:r>
                  <w:r>
                    <w:rPr>
                      <w:rFonts w:hint="eastAsia" w:ascii="Times New Roman" w:hAnsi="Times New Roman" w:cs="Times New Roman"/>
                      <w:color w:val="auto"/>
                      <w:kern w:val="0"/>
                      <w:sz w:val="21"/>
                      <w:szCs w:val="21"/>
                      <w:highlight w:val="none"/>
                      <w:lang w:val="en-US" w:eastAsia="zh-CN" w:bidi="ar"/>
                    </w:rPr>
                    <w:t>、润湿改进剂</w:t>
                  </w:r>
                  <w:r>
                    <w:rPr>
                      <w:rFonts w:hint="default" w:ascii="Times New Roman" w:hAnsi="Times New Roman" w:eastAsia="宋体" w:cs="Times New Roman"/>
                      <w:color w:val="auto"/>
                      <w:kern w:val="0"/>
                      <w:sz w:val="21"/>
                      <w:szCs w:val="21"/>
                      <w:highlight w:val="none"/>
                      <w:lang w:val="en-US" w:eastAsia="zh-CN" w:bidi="ar"/>
                    </w:rPr>
                    <w:t>、交联剂、有机硼、破胶剂</w:t>
                  </w:r>
                  <w:r>
                    <w:rPr>
                      <w:rFonts w:hint="eastAsia" w:ascii="Times New Roman" w:hAnsi="Times New Roman" w:cs="Times New Roman"/>
                      <w:color w:val="auto"/>
                      <w:kern w:val="0"/>
                      <w:sz w:val="21"/>
                      <w:szCs w:val="21"/>
                      <w:highlight w:val="none"/>
                      <w:lang w:val="en-US" w:eastAsia="zh-CN" w:bidi="ar"/>
                    </w:rPr>
                    <w:t>、碳酸钠和碳酸氢钠</w:t>
                  </w:r>
                  <w:r>
                    <w:rPr>
                      <w:rFonts w:hint="default" w:ascii="Times New Roman" w:hAnsi="Times New Roman" w:eastAsia="宋体" w:cs="Times New Roman"/>
                      <w:color w:val="auto"/>
                      <w:kern w:val="0"/>
                      <w:sz w:val="21"/>
                      <w:szCs w:val="21"/>
                      <w:highlight w:val="none"/>
                      <w:lang w:val="en-US" w:eastAsia="zh-CN" w:bidi="ar"/>
                    </w:rPr>
                    <w:t>等一些助剂组成。</w:t>
                  </w:r>
                </w:p>
              </w:tc>
            </w:tr>
            <w:tr w14:paraId="4A822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pct"/>
                  <w:tcBorders>
                    <w:top w:val="single" w:color="auto" w:sz="4" w:space="0"/>
                    <w:left w:val="single" w:color="auto" w:sz="4" w:space="0"/>
                    <w:bottom w:val="single" w:color="auto" w:sz="4" w:space="0"/>
                    <w:right w:val="single" w:color="auto" w:sz="4" w:space="0"/>
                  </w:tcBorders>
                  <w:noWrap w:val="0"/>
                  <w:vAlign w:val="center"/>
                </w:tcPr>
                <w:p w14:paraId="5E479A2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性质作用</w:t>
                  </w:r>
                </w:p>
              </w:tc>
              <w:tc>
                <w:tcPr>
                  <w:tcW w:w="2311" w:type="pct"/>
                  <w:tcBorders>
                    <w:top w:val="single" w:color="auto" w:sz="4" w:space="0"/>
                    <w:left w:val="single" w:color="auto" w:sz="4" w:space="0"/>
                    <w:bottom w:val="single" w:color="auto" w:sz="4" w:space="0"/>
                    <w:right w:val="single" w:color="auto" w:sz="4" w:space="0"/>
                  </w:tcBorders>
                  <w:noWrap w:val="0"/>
                  <w:vAlign w:val="center"/>
                </w:tcPr>
                <w:p w14:paraId="65D8A1C8">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4"/>
                      <w:highlight w:val="none"/>
                      <w:lang w:val="en-US" w:eastAsia="zh-CN" w:bidi="ar"/>
                    </w:rPr>
                    <w:t>膨润土是一种以蒙脱石矿物为主要成分的粘性土，水化能力强，膨胀性大，分散性高。泥浆中注入4-8％的膨润土钻井液，具有良好的流变性能固定颗粒含量少，称为低固相优质固壁泥浆，其特点有：1、泥浆比重小，可泵及净化性能好，适用于反循环钻进工艺。2、失水量小，形成的泥皮薄而有韧，固壁效果好。3、具有良好的流变性能，悬浮携带钻碴能力强，利于提高钻进效率。4、省电、省工和省时，机械磨损小，可降低工程成本。</w:t>
                  </w:r>
                </w:p>
              </w:tc>
              <w:tc>
                <w:tcPr>
                  <w:tcW w:w="1980" w:type="pct"/>
                  <w:tcBorders>
                    <w:top w:val="single" w:color="auto" w:sz="4" w:space="0"/>
                    <w:left w:val="single" w:color="auto" w:sz="4" w:space="0"/>
                    <w:bottom w:val="single" w:color="auto" w:sz="4" w:space="0"/>
                    <w:right w:val="single" w:color="auto" w:sz="4" w:space="0"/>
                  </w:tcBorders>
                  <w:noWrap w:val="0"/>
                  <w:vAlign w:val="center"/>
                </w:tcPr>
                <w:p w14:paraId="4BF3FACF">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压裂液是在钻井中将地面所形成的高压传递到下层中去，使得地层造成新的裂缝，撑开或扩大地层原有裂缝，同时把支撑剂带到裂缝中去。压裂液选用的性能要求：黏度高，润滑性好，滤失量小，低摩阻，对被压裂的流体层无堵塞及损害，对流体矿无污染，热稳定性及剪切稳定性能好、低残渣、配伍性好、破胶迅速、货源广，便于配置，经济合理</w:t>
                  </w:r>
                </w:p>
              </w:tc>
            </w:tr>
            <w:tr w14:paraId="27C95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pct"/>
                  <w:tcBorders>
                    <w:top w:val="single" w:color="auto" w:sz="4" w:space="0"/>
                    <w:left w:val="single" w:color="auto" w:sz="4" w:space="0"/>
                    <w:bottom w:val="single" w:color="auto" w:sz="4" w:space="0"/>
                    <w:right w:val="single" w:color="auto" w:sz="4" w:space="0"/>
                  </w:tcBorders>
                  <w:noWrap w:val="0"/>
                  <w:vAlign w:val="center"/>
                </w:tcPr>
                <w:p w14:paraId="2110A13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临时储存环保要求</w:t>
                  </w:r>
                </w:p>
              </w:tc>
              <w:tc>
                <w:tcPr>
                  <w:tcW w:w="2311" w:type="pct"/>
                  <w:tcBorders>
                    <w:top w:val="single" w:color="auto" w:sz="4" w:space="0"/>
                    <w:left w:val="single" w:color="auto" w:sz="4" w:space="0"/>
                    <w:bottom w:val="single" w:color="auto" w:sz="4" w:space="0"/>
                    <w:right w:val="single" w:color="auto" w:sz="4" w:space="0"/>
                  </w:tcBorders>
                  <w:noWrap w:val="0"/>
                  <w:vAlign w:val="center"/>
                </w:tcPr>
                <w:p w14:paraId="21369793">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4"/>
                      <w:highlight w:val="none"/>
                      <w:lang w:val="en-US" w:eastAsia="zh-CN" w:bidi="ar"/>
                    </w:rPr>
                    <w:t>钻井液原料和处理剂的存放，应采取“防雨、防潮、防晒、防冻”等措施；钻井液材料应有详细记录，存放位置有明显标志。钻井液材料堆放台或架应高于地面100mm以上，并加设顶篷，防治雨水淋沥、浸泡造成污染。</w:t>
                  </w:r>
                </w:p>
              </w:tc>
              <w:tc>
                <w:tcPr>
                  <w:tcW w:w="1980" w:type="pct"/>
                  <w:tcBorders>
                    <w:top w:val="single" w:color="auto" w:sz="4" w:space="0"/>
                    <w:left w:val="single" w:color="auto" w:sz="4" w:space="0"/>
                    <w:bottom w:val="single" w:color="auto" w:sz="4" w:space="0"/>
                    <w:right w:val="single" w:color="auto" w:sz="4" w:space="0"/>
                  </w:tcBorders>
                  <w:noWrap w:val="0"/>
                  <w:vAlign w:val="center"/>
                </w:tcPr>
                <w:p w14:paraId="5CDF64A1">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4"/>
                      <w:highlight w:val="none"/>
                      <w:lang w:val="en-US" w:eastAsia="zh-CN" w:bidi="ar"/>
                    </w:rPr>
                    <w:t>储存于压裂液储罐内，储区应做好防渗措施，四周设置围堰。</w:t>
                  </w:r>
                </w:p>
              </w:tc>
            </w:tr>
          </w:tbl>
          <w:p w14:paraId="580B4705">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在钻井一开、二开过程中需要注入钻井液（俗称泥浆），钻井液是钻探过程中，孔内使用的循环冲洗介质，主要功用是：①冷却钻头、清净孔底、带出岩屑；②润滑钻具；③停钻时悬浮岩屑，保护孔壁防止坍塌，平衡地层压力、压住高压油气水层；④输送岩心，为孔底动力机传递破碎孔底岩石需要的动力等。</w:t>
            </w:r>
          </w:p>
          <w:p w14:paraId="5AD54A83">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szCs w:val="24"/>
                <w:highlight w:val="none"/>
                <w:lang w:val="en-US" w:eastAsia="zh-CN" w:bidi="ar"/>
              </w:rPr>
            </w:pPr>
            <w:r>
              <w:rPr>
                <w:rFonts w:hint="eastAsia" w:ascii="Times New Roman" w:hAnsi="Times New Roman" w:eastAsia="宋体" w:cs="Times New Roman"/>
                <w:color w:val="auto"/>
                <w:sz w:val="24"/>
                <w:szCs w:val="24"/>
                <w:highlight w:val="none"/>
                <w:lang w:val="en-US" w:eastAsia="zh-CN" w:bidi="ar"/>
              </w:rPr>
              <w:t>钻井液配置过程为：确定钻井液配比→加入按比例称取的水和膨润土→加入其他成分→利用烧碱调</w:t>
            </w:r>
            <w:r>
              <w:rPr>
                <w:rFonts w:hint="default" w:ascii="Times New Roman" w:hAnsi="Times New Roman" w:eastAsia="宋体" w:cs="Times New Roman"/>
                <w:color w:val="auto"/>
                <w:sz w:val="24"/>
                <w:szCs w:val="24"/>
                <w:highlight w:val="none"/>
                <w:lang w:val="en-US" w:eastAsia="zh-CN" w:bidi="ar"/>
              </w:rPr>
              <w:t>pH</w:t>
            </w:r>
            <w:r>
              <w:rPr>
                <w:rFonts w:hint="eastAsia" w:ascii="Times New Roman" w:hAnsi="Times New Roman" w:eastAsia="宋体" w:cs="Times New Roman"/>
                <w:color w:val="auto"/>
                <w:sz w:val="24"/>
                <w:szCs w:val="24"/>
                <w:highlight w:val="none"/>
                <w:lang w:val="en-US" w:eastAsia="zh-CN" w:bidi="ar"/>
              </w:rPr>
              <w:t>→倒入高速搅拌机搅拌→钻井液陈化→使用。</w:t>
            </w:r>
          </w:p>
          <w:p w14:paraId="152238B4">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szCs w:val="24"/>
                <w:highlight w:val="none"/>
                <w:lang w:val="en-US" w:eastAsia="zh-CN" w:bidi="ar"/>
              </w:rPr>
            </w:pPr>
            <w:r>
              <w:rPr>
                <w:rFonts w:hint="eastAsia" w:ascii="Times New Roman" w:hAnsi="Times New Roman" w:eastAsia="宋体" w:cs="Times New Roman"/>
                <w:color w:val="auto"/>
                <w:sz w:val="24"/>
                <w:szCs w:val="24"/>
                <w:highlight w:val="none"/>
                <w:lang w:val="en-US" w:eastAsia="zh-CN" w:bidi="ar"/>
              </w:rPr>
              <w:t>压裂液的配置过程：确定压裂液配比→加入按比例称取的水和改性胍胶及各类添加剂→加入其他成分→利用烧碱调</w:t>
            </w:r>
            <w:r>
              <w:rPr>
                <w:rFonts w:hint="default" w:ascii="Times New Roman" w:hAnsi="Times New Roman" w:eastAsia="宋体" w:cs="Times New Roman"/>
                <w:color w:val="auto"/>
                <w:sz w:val="24"/>
                <w:szCs w:val="24"/>
                <w:highlight w:val="none"/>
                <w:lang w:val="en-US" w:eastAsia="zh-CN" w:bidi="ar"/>
              </w:rPr>
              <w:t>pH</w:t>
            </w:r>
            <w:r>
              <w:rPr>
                <w:rFonts w:hint="eastAsia" w:ascii="Times New Roman" w:hAnsi="Times New Roman" w:eastAsia="宋体" w:cs="Times New Roman"/>
                <w:color w:val="auto"/>
                <w:sz w:val="24"/>
                <w:szCs w:val="24"/>
                <w:highlight w:val="none"/>
                <w:lang w:val="en-US" w:eastAsia="zh-CN" w:bidi="ar"/>
              </w:rPr>
              <w:t>→倒入高速搅拌机搅拌→添加支撑剂→搅拌→使用。</w:t>
            </w:r>
          </w:p>
          <w:p w14:paraId="49673A76">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szCs w:val="24"/>
                <w:highlight w:val="none"/>
                <w:lang w:val="en-US" w:eastAsia="zh-CN" w:bidi="ar"/>
              </w:rPr>
            </w:pPr>
            <w:r>
              <w:rPr>
                <w:rFonts w:hint="eastAsia" w:ascii="Times New Roman" w:hAnsi="Times New Roman" w:eastAsia="宋体" w:cs="Times New Roman"/>
                <w:color w:val="auto"/>
                <w:sz w:val="24"/>
                <w:szCs w:val="24"/>
                <w:highlight w:val="none"/>
                <w:lang w:val="en-US" w:eastAsia="zh-CN" w:bidi="ar"/>
              </w:rPr>
              <w:t>钻井液和压裂液配置过程中，为防止泄漏对地下水及土壤影响，采取相应的环保措施，配置</w:t>
            </w:r>
            <w:r>
              <w:rPr>
                <w:rFonts w:hint="eastAsia" w:ascii="Times New Roman" w:hAnsi="Times New Roman" w:cs="Times New Roman"/>
                <w:color w:val="auto"/>
                <w:sz w:val="24"/>
                <w:szCs w:val="24"/>
                <w:highlight w:val="none"/>
                <w:lang w:val="en-US" w:eastAsia="zh-CN" w:bidi="ar"/>
              </w:rPr>
              <w:t>在材料房内进行，其余药品存放在材料库。材料房内</w:t>
            </w:r>
            <w:r>
              <w:rPr>
                <w:rFonts w:hint="eastAsia" w:ascii="Times New Roman" w:hAnsi="Times New Roman" w:eastAsia="宋体" w:cs="Times New Roman"/>
                <w:color w:val="auto"/>
                <w:sz w:val="24"/>
                <w:szCs w:val="24"/>
                <w:highlight w:val="none"/>
                <w:lang w:val="en-US" w:eastAsia="zh-CN" w:bidi="ar"/>
              </w:rPr>
              <w:t>采取重点防渗，地面连同四周的</w:t>
            </w:r>
            <w:r>
              <w:rPr>
                <w:rFonts w:hint="eastAsia" w:ascii="Times New Roman" w:hAnsi="Times New Roman" w:cs="Times New Roman"/>
                <w:color w:val="auto"/>
                <w:sz w:val="24"/>
                <w:szCs w:val="24"/>
                <w:highlight w:val="none"/>
                <w:lang w:val="en-US" w:eastAsia="zh-CN" w:bidi="ar"/>
              </w:rPr>
              <w:t>裙角</w:t>
            </w:r>
            <w:r>
              <w:rPr>
                <w:rFonts w:hint="eastAsia" w:ascii="Times New Roman" w:hAnsi="Times New Roman" w:eastAsia="宋体" w:cs="Times New Roman"/>
                <w:color w:val="auto"/>
                <w:sz w:val="24"/>
                <w:szCs w:val="24"/>
                <w:highlight w:val="none"/>
                <w:lang w:val="en-US" w:eastAsia="zh-CN" w:bidi="ar"/>
              </w:rPr>
              <w:t>铺设防渗材料（双层或复合HDPE膜，膜厚不少于2mm），材料房采取一般防渗。</w:t>
            </w:r>
          </w:p>
          <w:p w14:paraId="64860BE0">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七、公用工程</w:t>
            </w:r>
          </w:p>
          <w:p w14:paraId="15D92CDF">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1、给水</w:t>
            </w:r>
          </w:p>
          <w:p w14:paraId="7ED9C692">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项目用水包括生活用水和生产用水两部分，生产用水罐车拉运，生活用水外购桶装水。</w:t>
            </w:r>
          </w:p>
          <w:p w14:paraId="4F150652">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（1）生活用水</w:t>
            </w:r>
          </w:p>
          <w:p w14:paraId="2CF6E98C">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项目施工期</w:t>
            </w:r>
            <w:r>
              <w:rPr>
                <w:rFonts w:hint="eastAsia" w:ascii="Times New Roman" w:hAnsi="Times New Roman" w:eastAsia="宋体" w:cs="Times New Roman"/>
                <w:color w:val="auto"/>
                <w:kern w:val="0"/>
                <w:sz w:val="24"/>
                <w:szCs w:val="24"/>
                <w:highlight w:val="none"/>
                <w:lang w:val="en-US" w:eastAsia="zh-CN" w:bidi="ar"/>
              </w:rPr>
              <w:t>单井</w:t>
            </w:r>
            <w:r>
              <w:rPr>
                <w:rFonts w:hint="default" w:ascii="Times New Roman" w:hAnsi="Times New Roman" w:eastAsia="宋体" w:cs="Times New Roman"/>
                <w:color w:val="auto"/>
                <w:kern w:val="0"/>
                <w:sz w:val="24"/>
                <w:szCs w:val="24"/>
                <w:highlight w:val="none"/>
                <w:lang w:val="en-US" w:eastAsia="zh-CN" w:bidi="ar"/>
              </w:rPr>
              <w:t>劳动定员35人，根据《陕西省行业用水定额》（DB61/T943-2020）中相关要求，生活用水量按65L/人·天考虑，</w:t>
            </w:r>
            <w:r>
              <w:rPr>
                <w:rFonts w:hint="eastAsia" w:ascii="Times New Roman" w:hAnsi="Times New Roman" w:eastAsia="宋体" w:cs="Times New Roman"/>
                <w:b w:val="0"/>
                <w:bCs w:val="0"/>
                <w:color w:val="auto"/>
                <w:sz w:val="24"/>
                <w:szCs w:val="24"/>
                <w:highlight w:val="none"/>
                <w:vertAlign w:val="baseline"/>
                <w:lang w:val="en-US" w:eastAsia="zh-CN"/>
              </w:rPr>
              <w:t>单直井施工期</w:t>
            </w:r>
            <w:r>
              <w:rPr>
                <w:rFonts w:hint="default" w:ascii="Times New Roman" w:hAnsi="Times New Roman" w:eastAsia="宋体" w:cs="Times New Roman"/>
                <w:b w:val="0"/>
                <w:bCs w:val="0"/>
                <w:color w:val="auto"/>
                <w:sz w:val="24"/>
                <w:szCs w:val="24"/>
                <w:highlight w:val="none"/>
                <w:vertAlign w:val="baseline"/>
                <w:lang w:val="en-US" w:eastAsia="zh-CN"/>
              </w:rPr>
              <w:t>预计50天</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则项目施工期用水量为</w:t>
            </w:r>
            <w:r>
              <w:rPr>
                <w:rFonts w:hint="eastAsia" w:ascii="Times New Roman" w:hAnsi="Times New Roman" w:cs="Times New Roman"/>
                <w:color w:val="auto"/>
                <w:kern w:val="0"/>
                <w:sz w:val="24"/>
                <w:szCs w:val="24"/>
                <w:highlight w:val="none"/>
                <w:lang w:val="en-US" w:eastAsia="zh-CN" w:bidi="ar"/>
              </w:rPr>
              <w:t>113.75</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p>
          <w:p w14:paraId="3089F1DF">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（2）钻井用水</w:t>
            </w:r>
          </w:p>
          <w:p w14:paraId="28434398">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根据《陕西省行业用水定额》（DB61/T943-2020），常规钻井阶段平均每米进尺用水量约0.25m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，本项目各井钻井用水量见下表：</w:t>
            </w:r>
          </w:p>
          <w:p w14:paraId="76BEDBB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4"/>
                <w:szCs w:val="24"/>
                <w:highlight w:val="none"/>
                <w:lang w:val="en-US" w:eastAsia="zh-CN" w:bidi="ar"/>
              </w:rPr>
            </w:pPr>
          </w:p>
          <w:p w14:paraId="73D30CA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表2-1</w:t>
            </w:r>
            <w:r>
              <w:rPr>
                <w:rFonts w:hint="eastAsia" w:ascii="Times New Roman" w:hAnsi="Times New Roman" w:cs="Times New Roman"/>
                <w:b/>
                <w:bCs/>
                <w:color w:val="auto"/>
                <w:kern w:val="0"/>
                <w:sz w:val="24"/>
                <w:szCs w:val="24"/>
                <w:highlight w:val="none"/>
                <w:lang w:val="en-US" w:eastAsia="zh-CN" w:bidi="ar"/>
              </w:rPr>
              <w:t xml:space="preserve">3 </w:t>
            </w:r>
            <w:r>
              <w:rPr>
                <w:rFonts w:hint="default" w:ascii="Times New Roman" w:hAnsi="Times New Roman" w:eastAsia="宋体" w:cs="Times New Roman"/>
                <w:b/>
                <w:bCs/>
                <w:color w:val="auto"/>
                <w:kern w:val="0"/>
                <w:sz w:val="24"/>
                <w:szCs w:val="24"/>
                <w:highlight w:val="none"/>
                <w:lang w:val="en-US" w:eastAsia="zh-CN" w:bidi="ar"/>
              </w:rPr>
              <w:t>钻井用水量</w:t>
            </w:r>
          </w:p>
          <w:tbl>
            <w:tblPr>
              <w:tblStyle w:val="17"/>
              <w:tblW w:w="83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053"/>
              <w:gridCol w:w="968"/>
              <w:gridCol w:w="2375"/>
              <w:gridCol w:w="1739"/>
              <w:gridCol w:w="1568"/>
            </w:tblGrid>
            <w:tr w14:paraId="5C577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Borders>
                    <w:top w:val="single" w:color="auto" w:sz="4" w:space="0"/>
                    <w:left w:val="single" w:color="auto" w:sz="4" w:space="0"/>
                    <w:bottom w:val="single" w:color="auto" w:sz="4" w:space="0"/>
                    <w:right w:val="single" w:color="auto" w:sz="4" w:space="0"/>
                  </w:tcBorders>
                  <w:noWrap w:val="0"/>
                  <w:vAlign w:val="center"/>
                </w:tcPr>
                <w:p w14:paraId="445B496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序号</w:t>
                  </w:r>
                </w:p>
              </w:tc>
              <w:tc>
                <w:tcPr>
                  <w:tcW w:w="1053" w:type="dxa"/>
                  <w:tcBorders>
                    <w:top w:val="single" w:color="auto" w:sz="4" w:space="0"/>
                    <w:left w:val="single" w:color="auto" w:sz="4" w:space="0"/>
                    <w:bottom w:val="single" w:color="auto" w:sz="4" w:space="0"/>
                    <w:right w:val="single" w:color="auto" w:sz="4" w:space="0"/>
                  </w:tcBorders>
                  <w:noWrap w:val="0"/>
                  <w:vAlign w:val="center"/>
                </w:tcPr>
                <w:p w14:paraId="73B0ADC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井号</w:t>
                  </w:r>
                </w:p>
              </w:tc>
              <w:tc>
                <w:tcPr>
                  <w:tcW w:w="968" w:type="dxa"/>
                  <w:tcBorders>
                    <w:top w:val="single" w:color="auto" w:sz="4" w:space="0"/>
                    <w:left w:val="single" w:color="auto" w:sz="4" w:space="0"/>
                    <w:bottom w:val="single" w:color="auto" w:sz="4" w:space="0"/>
                    <w:right w:val="single" w:color="auto" w:sz="4" w:space="0"/>
                  </w:tcBorders>
                  <w:noWrap w:val="0"/>
                  <w:vAlign w:val="center"/>
                </w:tcPr>
                <w:p w14:paraId="2ED89FC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进尺/m</w:t>
                  </w:r>
                </w:p>
              </w:tc>
              <w:tc>
                <w:tcPr>
                  <w:tcW w:w="2375" w:type="dxa"/>
                  <w:tcBorders>
                    <w:top w:val="single" w:color="auto" w:sz="4" w:space="0"/>
                    <w:left w:val="single" w:color="auto" w:sz="4" w:space="0"/>
                    <w:bottom w:val="single" w:color="auto" w:sz="4" w:space="0"/>
                    <w:right w:val="single" w:color="auto" w:sz="4" w:space="0"/>
                  </w:tcBorders>
                  <w:noWrap w:val="0"/>
                  <w:vAlign w:val="center"/>
                </w:tcPr>
                <w:p w14:paraId="6F12258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钻井用水量（m</w:t>
                  </w:r>
                  <w:r>
                    <w:rPr>
                      <w:rFonts w:hint="default" w:ascii="Times New Roman" w:hAnsi="Times New Roman" w:eastAsia="宋体" w:cs="Times New Roman"/>
                      <w:b/>
                      <w:bCs/>
                      <w:color w:val="auto"/>
                      <w:kern w:val="0"/>
                      <w:sz w:val="21"/>
                      <w:szCs w:val="21"/>
                      <w:highlight w:val="none"/>
                      <w:vertAlign w:val="superscript"/>
                      <w:lang w:val="en-US" w:eastAsia="zh-CN" w:bidi="ar"/>
                    </w:rPr>
                    <w:t>3</w:t>
                  </w:r>
                  <w:r>
                    <w:rPr>
                      <w:rFonts w:hint="default" w:ascii="Times New Roman" w:hAnsi="Times New Roman" w:eastAsia="宋体" w:cs="Times New Roman"/>
                      <w:b/>
                      <w:bCs/>
                      <w:color w:val="auto"/>
                      <w:kern w:val="0"/>
                      <w:sz w:val="21"/>
                      <w:szCs w:val="21"/>
                      <w:highlight w:val="none"/>
                      <w:lang w:val="en-US" w:eastAsia="zh-CN" w:bidi="ar"/>
                    </w:rPr>
                    <w:t>）</w:t>
                  </w:r>
                </w:p>
              </w:tc>
              <w:tc>
                <w:tcPr>
                  <w:tcW w:w="1739" w:type="dxa"/>
                  <w:tcBorders>
                    <w:top w:val="single" w:color="auto" w:sz="4" w:space="0"/>
                    <w:left w:val="single" w:color="auto" w:sz="4" w:space="0"/>
                    <w:bottom w:val="single" w:color="auto" w:sz="4" w:space="0"/>
                    <w:right w:val="single" w:color="auto" w:sz="4" w:space="0"/>
                  </w:tcBorders>
                  <w:noWrap w:val="0"/>
                  <w:vAlign w:val="center"/>
                </w:tcPr>
                <w:p w14:paraId="4B348BD9">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cs="Times New Roman"/>
                      <w:b/>
                      <w:bCs/>
                      <w:color w:val="auto"/>
                      <w:kern w:val="0"/>
                      <w:sz w:val="21"/>
                      <w:szCs w:val="21"/>
                      <w:highlight w:val="none"/>
                      <w:lang w:val="en-US" w:eastAsia="zh-CN" w:bidi="ar"/>
                    </w:rPr>
                    <w:t>新鲜水量</w:t>
                  </w:r>
                  <w:r>
                    <w:rPr>
                      <w:rFonts w:hint="default" w:ascii="Times New Roman" w:hAnsi="Times New Roman" w:eastAsia="宋体" w:cs="Times New Roman"/>
                      <w:b/>
                      <w:bCs/>
                      <w:color w:val="auto"/>
                      <w:kern w:val="0"/>
                      <w:sz w:val="21"/>
                      <w:szCs w:val="21"/>
                      <w:highlight w:val="none"/>
                      <w:lang w:val="en-US" w:eastAsia="zh-CN" w:bidi="ar"/>
                    </w:rPr>
                    <w:t>（m</w:t>
                  </w:r>
                  <w:r>
                    <w:rPr>
                      <w:rFonts w:hint="default" w:ascii="Times New Roman" w:hAnsi="Times New Roman" w:eastAsia="宋体" w:cs="Times New Roman"/>
                      <w:b/>
                      <w:bCs/>
                      <w:color w:val="auto"/>
                      <w:kern w:val="0"/>
                      <w:sz w:val="21"/>
                      <w:szCs w:val="21"/>
                      <w:highlight w:val="none"/>
                      <w:vertAlign w:val="superscript"/>
                      <w:lang w:val="en-US" w:eastAsia="zh-CN" w:bidi="ar"/>
                    </w:rPr>
                    <w:t>3</w:t>
                  </w:r>
                  <w:r>
                    <w:rPr>
                      <w:rFonts w:hint="default" w:ascii="Times New Roman" w:hAnsi="Times New Roman" w:eastAsia="宋体" w:cs="Times New Roman"/>
                      <w:b/>
                      <w:bCs/>
                      <w:color w:val="auto"/>
                      <w:kern w:val="0"/>
                      <w:sz w:val="21"/>
                      <w:szCs w:val="21"/>
                      <w:highlight w:val="none"/>
                      <w:lang w:val="en-US" w:eastAsia="zh-CN" w:bidi="ar"/>
                    </w:rPr>
                    <w:t>）</w:t>
                  </w:r>
                </w:p>
              </w:tc>
              <w:tc>
                <w:tcPr>
                  <w:tcW w:w="1568" w:type="dxa"/>
                  <w:tcBorders>
                    <w:top w:val="single" w:color="auto" w:sz="4" w:space="0"/>
                    <w:left w:val="single" w:color="auto" w:sz="4" w:space="0"/>
                    <w:bottom w:val="single" w:color="auto" w:sz="4" w:space="0"/>
                    <w:right w:val="single" w:color="auto" w:sz="4" w:space="0"/>
                  </w:tcBorders>
                  <w:noWrap w:val="0"/>
                  <w:vAlign w:val="center"/>
                </w:tcPr>
                <w:p w14:paraId="432CD2B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cs="Times New Roman"/>
                      <w:b/>
                      <w:bCs/>
                      <w:color w:val="auto"/>
                      <w:kern w:val="0"/>
                      <w:sz w:val="21"/>
                      <w:szCs w:val="21"/>
                      <w:highlight w:val="none"/>
                      <w:lang w:val="en-US" w:eastAsia="zh-CN" w:bidi="ar"/>
                    </w:rPr>
                    <w:t>回用水量</w:t>
                  </w:r>
                  <w:r>
                    <w:rPr>
                      <w:rFonts w:hint="default" w:ascii="Times New Roman" w:hAnsi="Times New Roman" w:eastAsia="宋体" w:cs="Times New Roman"/>
                      <w:b/>
                      <w:bCs/>
                      <w:color w:val="auto"/>
                      <w:kern w:val="0"/>
                      <w:sz w:val="21"/>
                      <w:szCs w:val="21"/>
                      <w:highlight w:val="none"/>
                      <w:lang w:val="en-US" w:eastAsia="zh-CN" w:bidi="ar"/>
                    </w:rPr>
                    <w:t>（m</w:t>
                  </w:r>
                  <w:r>
                    <w:rPr>
                      <w:rFonts w:hint="default" w:ascii="Times New Roman" w:hAnsi="Times New Roman" w:eastAsia="宋体" w:cs="Times New Roman"/>
                      <w:b/>
                      <w:bCs/>
                      <w:color w:val="auto"/>
                      <w:kern w:val="0"/>
                      <w:sz w:val="21"/>
                      <w:szCs w:val="21"/>
                      <w:highlight w:val="none"/>
                      <w:vertAlign w:val="superscript"/>
                      <w:lang w:val="en-US" w:eastAsia="zh-CN" w:bidi="ar"/>
                    </w:rPr>
                    <w:t>3</w:t>
                  </w:r>
                  <w:r>
                    <w:rPr>
                      <w:rFonts w:hint="default" w:ascii="Times New Roman" w:hAnsi="Times New Roman" w:eastAsia="宋体" w:cs="Times New Roman"/>
                      <w:b/>
                      <w:bCs/>
                      <w:color w:val="auto"/>
                      <w:kern w:val="0"/>
                      <w:sz w:val="21"/>
                      <w:szCs w:val="21"/>
                      <w:highlight w:val="none"/>
                      <w:lang w:val="en-US" w:eastAsia="zh-CN" w:bidi="ar"/>
                    </w:rPr>
                    <w:t>）</w:t>
                  </w:r>
                </w:p>
              </w:tc>
            </w:tr>
            <w:tr w14:paraId="18C7C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Borders>
                    <w:top w:val="single" w:color="auto" w:sz="4" w:space="0"/>
                    <w:left w:val="single" w:color="auto" w:sz="4" w:space="0"/>
                    <w:bottom w:val="single" w:color="auto" w:sz="4" w:space="0"/>
                    <w:right w:val="single" w:color="auto" w:sz="4" w:space="0"/>
                  </w:tcBorders>
                  <w:noWrap w:val="0"/>
                  <w:vAlign w:val="center"/>
                </w:tcPr>
                <w:p w14:paraId="771AD39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w:t>
                  </w:r>
                </w:p>
              </w:tc>
              <w:tc>
                <w:tcPr>
                  <w:tcW w:w="1053" w:type="dxa"/>
                  <w:tcBorders>
                    <w:top w:val="single" w:color="auto" w:sz="4" w:space="0"/>
                    <w:left w:val="single" w:color="auto" w:sz="4" w:space="0"/>
                    <w:bottom w:val="single" w:color="auto" w:sz="4" w:space="0"/>
                    <w:right w:val="single" w:color="auto" w:sz="4" w:space="0"/>
                  </w:tcBorders>
                  <w:noWrap w:val="0"/>
                  <w:vAlign w:val="center"/>
                </w:tcPr>
                <w:p w14:paraId="2F292FB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米75-3M</w:t>
                  </w:r>
                </w:p>
              </w:tc>
              <w:tc>
                <w:tcPr>
                  <w:tcW w:w="968" w:type="dxa"/>
                  <w:tcBorders>
                    <w:top w:val="single" w:color="auto" w:sz="4" w:space="0"/>
                    <w:left w:val="single" w:color="auto" w:sz="4" w:space="0"/>
                    <w:bottom w:val="single" w:color="auto" w:sz="4" w:space="0"/>
                    <w:right w:val="single" w:color="auto" w:sz="4" w:space="0"/>
                  </w:tcBorders>
                  <w:noWrap w:val="0"/>
                  <w:vAlign w:val="center"/>
                </w:tcPr>
                <w:p w14:paraId="3628BAF9">
                  <w:pPr>
                    <w:keepNext w:val="0"/>
                    <w:keepLines w:val="0"/>
                    <w:suppressLineNumbers w:val="0"/>
                    <w:adjustRightInd w:val="0"/>
                    <w:snapToGrid w:val="0"/>
                    <w:spacing w:before="0" w:beforeAutospacing="0" w:after="0" w:afterAutospacing="0"/>
                    <w:ind w:left="-63" w:leftChars="-30" w:right="-63" w:rightChars="-3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2750</w:t>
                  </w:r>
                </w:p>
              </w:tc>
              <w:tc>
                <w:tcPr>
                  <w:tcW w:w="2375" w:type="dxa"/>
                  <w:tcBorders>
                    <w:top w:val="single" w:color="auto" w:sz="4" w:space="0"/>
                    <w:left w:val="single" w:color="auto" w:sz="4" w:space="0"/>
                    <w:bottom w:val="single" w:color="auto" w:sz="4" w:space="0"/>
                    <w:right w:val="single" w:color="auto" w:sz="4" w:space="0"/>
                  </w:tcBorders>
                  <w:noWrap w:val="0"/>
                  <w:vAlign w:val="center"/>
                </w:tcPr>
                <w:p w14:paraId="7F69B7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687.5</w:t>
                  </w:r>
                </w:p>
              </w:tc>
              <w:tc>
                <w:tcPr>
                  <w:tcW w:w="1739" w:type="dxa"/>
                  <w:tcBorders>
                    <w:top w:val="single" w:color="auto" w:sz="4" w:space="0"/>
                    <w:left w:val="single" w:color="auto" w:sz="4" w:space="0"/>
                    <w:bottom w:val="single" w:color="auto" w:sz="4" w:space="0"/>
                    <w:right w:val="single" w:color="auto" w:sz="4" w:space="0"/>
                  </w:tcBorders>
                  <w:noWrap w:val="0"/>
                  <w:vAlign w:val="center"/>
                </w:tcPr>
                <w:p w14:paraId="428FD9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lang w:val="en-US" w:eastAsia="zh-CN" w:bidi="ar-SA"/>
                    </w:rPr>
                    <w:t>347.5</w:t>
                  </w:r>
                </w:p>
              </w:tc>
              <w:tc>
                <w:tcPr>
                  <w:tcW w:w="1568" w:type="dxa"/>
                  <w:tcBorders>
                    <w:top w:val="single" w:color="auto" w:sz="4" w:space="0"/>
                    <w:left w:val="single" w:color="auto" w:sz="4" w:space="0"/>
                    <w:bottom w:val="single" w:color="auto" w:sz="4" w:space="0"/>
                    <w:right w:val="single" w:color="auto" w:sz="4" w:space="0"/>
                  </w:tcBorders>
                  <w:noWrap w:val="0"/>
                  <w:vAlign w:val="center"/>
                </w:tcPr>
                <w:p w14:paraId="1FA0A4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lang w:val="en-US" w:eastAsia="zh-CN"/>
                    </w:rPr>
                    <w:t>340</w:t>
                  </w:r>
                </w:p>
              </w:tc>
            </w:tr>
            <w:tr w14:paraId="4B75D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gridSpan w:val="3"/>
                  <w:tcBorders>
                    <w:top w:val="single" w:color="auto" w:sz="4" w:space="0"/>
                    <w:left w:val="single" w:color="auto" w:sz="4" w:space="0"/>
                    <w:bottom w:val="single" w:color="auto" w:sz="4" w:space="0"/>
                    <w:right w:val="single" w:color="auto" w:sz="4" w:space="0"/>
                  </w:tcBorders>
                  <w:noWrap w:val="0"/>
                  <w:vAlign w:val="center"/>
                </w:tcPr>
                <w:p w14:paraId="759056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合计</w:t>
                  </w:r>
                </w:p>
              </w:tc>
              <w:tc>
                <w:tcPr>
                  <w:tcW w:w="2375" w:type="dxa"/>
                  <w:tcBorders>
                    <w:top w:val="single" w:color="auto" w:sz="4" w:space="0"/>
                    <w:left w:val="single" w:color="auto" w:sz="4" w:space="0"/>
                    <w:bottom w:val="single" w:color="auto" w:sz="4" w:space="0"/>
                    <w:right w:val="single" w:color="auto" w:sz="4" w:space="0"/>
                  </w:tcBorders>
                  <w:noWrap w:val="0"/>
                  <w:vAlign w:val="center"/>
                </w:tcPr>
                <w:p w14:paraId="2FF5C6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687.5</w:t>
                  </w:r>
                </w:p>
              </w:tc>
              <w:tc>
                <w:tcPr>
                  <w:tcW w:w="1739" w:type="dxa"/>
                  <w:tcBorders>
                    <w:top w:val="single" w:color="auto" w:sz="4" w:space="0"/>
                    <w:left w:val="single" w:color="auto" w:sz="4" w:space="0"/>
                    <w:bottom w:val="single" w:color="auto" w:sz="4" w:space="0"/>
                    <w:right w:val="single" w:color="auto" w:sz="4" w:space="0"/>
                  </w:tcBorders>
                  <w:noWrap w:val="0"/>
                  <w:vAlign w:val="center"/>
                </w:tcPr>
                <w:p w14:paraId="0548DF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lang w:val="en-US" w:eastAsia="zh-CN" w:bidi="ar-SA"/>
                    </w:rPr>
                    <w:t>347.5</w:t>
                  </w:r>
                </w:p>
              </w:tc>
              <w:tc>
                <w:tcPr>
                  <w:tcW w:w="1568" w:type="dxa"/>
                  <w:tcBorders>
                    <w:top w:val="single" w:color="auto" w:sz="4" w:space="0"/>
                    <w:left w:val="single" w:color="auto" w:sz="4" w:space="0"/>
                    <w:bottom w:val="single" w:color="auto" w:sz="4" w:space="0"/>
                    <w:right w:val="single" w:color="auto" w:sz="4" w:space="0"/>
                  </w:tcBorders>
                  <w:noWrap w:val="0"/>
                  <w:vAlign w:val="center"/>
                </w:tcPr>
                <w:p w14:paraId="304F16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lang w:val="en-US" w:eastAsia="zh-CN"/>
                    </w:rPr>
                    <w:t>340</w:t>
                  </w:r>
                </w:p>
              </w:tc>
            </w:tr>
          </w:tbl>
          <w:p w14:paraId="0070E4BC">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项目钻井废水可在钻井过程中循环使用</w:t>
            </w:r>
            <w:r>
              <w:rPr>
                <w:rFonts w:hint="eastAsia" w:ascii="Times New Roman" w:hAnsi="Times New Roman" w:eastAsia="宋体" w:cs="Times New Roman"/>
                <w:b w:val="0"/>
                <w:bCs w:val="0"/>
                <w:color w:val="auto"/>
                <w:sz w:val="24"/>
                <w:szCs w:val="24"/>
                <w:highlight w:val="none"/>
                <w:vertAlign w:val="baseline"/>
                <w:lang w:val="en-US" w:eastAsia="zh-CN"/>
              </w:rPr>
              <w:t>，设置泥浆循环罐（7个50m</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b w:val="0"/>
                <w:bCs w:val="0"/>
                <w:color w:val="auto"/>
                <w:sz w:val="24"/>
                <w:szCs w:val="24"/>
                <w:highlight w:val="none"/>
                <w:vertAlign w:val="baseline"/>
                <w:lang w:val="en-US" w:eastAsia="zh-CN"/>
              </w:rPr>
              <w:t>），循环使用的钻井废水最大量为340m</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b w:val="0"/>
                <w:bCs w:val="0"/>
                <w:color w:val="auto"/>
                <w:sz w:val="24"/>
                <w:szCs w:val="24"/>
                <w:highlight w:val="none"/>
                <w:vertAlign w:val="baseline"/>
                <w:lang w:val="en-US" w:eastAsia="zh-CN"/>
              </w:rPr>
              <w:t>＜350m</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b w:val="0"/>
                <w:bCs w:val="0"/>
                <w:color w:val="auto"/>
                <w:sz w:val="24"/>
                <w:szCs w:val="24"/>
                <w:highlight w:val="none"/>
                <w:vertAlign w:val="baseline"/>
                <w:lang w:val="en-US" w:eastAsia="zh-CN"/>
              </w:rPr>
              <w:t>，可以满足循环要求</w:t>
            </w:r>
            <w:r>
              <w:rPr>
                <w:rFonts w:hint="default" w:ascii="Times New Roman" w:hAnsi="Times New Roman" w:eastAsia="宋体" w:cs="Times New Roman"/>
                <w:b w:val="0"/>
                <w:bCs w:val="0"/>
                <w:color w:val="auto"/>
                <w:sz w:val="24"/>
                <w:szCs w:val="24"/>
                <w:highlight w:val="none"/>
                <w:vertAlign w:val="baseline"/>
                <w:lang w:val="en-US" w:eastAsia="zh-CN"/>
              </w:rPr>
              <w:t>。</w:t>
            </w:r>
          </w:p>
          <w:p w14:paraId="38106058">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（3）洗井用水</w:t>
            </w:r>
          </w:p>
          <w:p w14:paraId="587B6750">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项目完井测试前要进行清洗作业，</w:t>
            </w:r>
            <w:r>
              <w:rPr>
                <w:rFonts w:hint="default" w:ascii="Times New Roman" w:hAnsi="Times New Roman" w:eastAsia="宋体" w:cs="Times New Roman"/>
                <w:color w:val="auto"/>
                <w:sz w:val="24"/>
                <w:szCs w:val="24"/>
                <w:highlight w:val="none"/>
                <w:lang w:val="en-US" w:eastAsia="zh-CN"/>
              </w:rPr>
              <w:t>统称洗井用水，</w:t>
            </w:r>
            <w:r>
              <w:rPr>
                <w:rFonts w:hint="default" w:ascii="Times New Roman" w:hAnsi="Times New Roman" w:eastAsia="宋体" w:cs="Times New Roman"/>
                <w:color w:val="auto"/>
                <w:sz w:val="24"/>
                <w:szCs w:val="24"/>
                <w:highlight w:val="none"/>
              </w:rPr>
              <w:t>主要包括钻井过程中冲洗钻台、钻具和钻井井筒的清洗</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洗井采用清水洗井，用水量≥井筒容积的1.5倍，本次评价取1.5倍</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根据项目探井井深和井筒容积（一开、二开深度不同，</w:t>
            </w:r>
            <w:r>
              <w:rPr>
                <w:rFonts w:hint="default" w:ascii="Times New Roman" w:hAnsi="Times New Roman" w:cs="Times New Roman"/>
                <w:color w:val="auto"/>
                <w:sz w:val="24"/>
                <w:highlight w:val="none"/>
                <w:lang w:val="en-US" w:eastAsia="zh-CN"/>
              </w:rPr>
              <w:t>对应井筒直径不同，井筒容积不同）计算得本项目洗井用水总量为</w:t>
            </w:r>
            <w:r>
              <w:rPr>
                <w:rFonts w:hint="eastAsia" w:ascii="Times New Roman" w:hAnsi="Times New Roman" w:eastAsia="宋体" w:cs="Times New Roman"/>
                <w:color w:val="auto"/>
                <w:sz w:val="24"/>
                <w:szCs w:val="24"/>
                <w:highlight w:val="none"/>
                <w:lang w:val="en-US" w:eastAsia="zh-CN"/>
              </w:rPr>
              <w:t>174.2</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w:t>
            </w:r>
          </w:p>
          <w:p w14:paraId="2E49065E">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kern w:val="0"/>
                <w:sz w:val="24"/>
                <w:szCs w:val="24"/>
                <w:highlight w:val="none"/>
                <w:lang w:val="en-US" w:eastAsia="zh-CN" w:bidi="ar"/>
              </w:rPr>
              <w:t>（4）</w:t>
            </w:r>
            <w:r>
              <w:rPr>
                <w:rFonts w:hint="default" w:ascii="Times New Roman" w:hAnsi="Times New Roman" w:eastAsia="宋体" w:cs="Times New Roman"/>
                <w:color w:val="auto"/>
                <w:kern w:val="0"/>
                <w:sz w:val="24"/>
                <w:szCs w:val="24"/>
                <w:highlight w:val="none"/>
                <w:lang w:val="en-US" w:eastAsia="zh-CN" w:bidi="ar"/>
              </w:rPr>
              <w:t>压裂用水</w:t>
            </w:r>
          </w:p>
          <w:p w14:paraId="0A1D1B72">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根据建设单位实际建设经验和统计数据，项目压裂液为现场自行配置</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压裂液中约9</w:t>
            </w:r>
            <w:r>
              <w:rPr>
                <w:rFonts w:hint="eastAsia" w:ascii="Times New Roman" w:hAnsi="Times New Roman" w:eastAsia="宋体" w:cs="Times New Roman"/>
                <w:b w:val="0"/>
                <w:bCs w:val="0"/>
                <w:color w:val="auto"/>
                <w:sz w:val="24"/>
                <w:szCs w:val="24"/>
                <w:highlight w:val="none"/>
                <w:vertAlign w:val="baseline"/>
                <w:lang w:val="en-US" w:eastAsia="zh-CN"/>
              </w:rPr>
              <w:t>0</w:t>
            </w:r>
            <w:r>
              <w:rPr>
                <w:rFonts w:hint="default" w:ascii="Times New Roman" w:hAnsi="Times New Roman" w:eastAsia="宋体" w:cs="Times New Roman"/>
                <w:b w:val="0"/>
                <w:bCs w:val="0"/>
                <w:color w:val="auto"/>
                <w:sz w:val="24"/>
                <w:szCs w:val="24"/>
                <w:highlight w:val="none"/>
                <w:vertAlign w:val="baseline"/>
                <w:lang w:val="en-US" w:eastAsia="zh-CN"/>
              </w:rPr>
              <w:t>%的配比为水，</w:t>
            </w:r>
            <w:r>
              <w:rPr>
                <w:rFonts w:hint="eastAsia" w:ascii="Times New Roman" w:hAnsi="Times New Roman" w:eastAsia="宋体" w:cs="Times New Roman"/>
                <w:b w:val="0"/>
                <w:bCs w:val="0"/>
                <w:color w:val="auto"/>
                <w:sz w:val="24"/>
                <w:szCs w:val="24"/>
                <w:highlight w:val="none"/>
                <w:vertAlign w:val="baseline"/>
                <w:lang w:val="en-US" w:eastAsia="zh-CN"/>
              </w:rPr>
              <w:t>单口直井压裂液消耗量10</w:t>
            </w:r>
            <w:r>
              <w:rPr>
                <w:rFonts w:hint="default" w:ascii="Times New Roman" w:hAnsi="Times New Roman" w:eastAsia="宋体" w:cs="Times New Roman"/>
                <w:b w:val="0"/>
                <w:bCs w:val="0"/>
                <w:color w:val="auto"/>
                <w:sz w:val="24"/>
                <w:szCs w:val="24"/>
                <w:highlight w:val="none"/>
                <w:vertAlign w:val="baseline"/>
                <w:lang w:val="en-US" w:eastAsia="zh-CN"/>
              </w:rPr>
              <w:t>00</w:t>
            </w:r>
            <w:r>
              <w:rPr>
                <w:rFonts w:hint="eastAsia" w:ascii="Times New Roman" w:hAnsi="Times New Roman" w:eastAsia="宋体" w:cs="Times New Roman"/>
                <w:b w:val="0"/>
                <w:bCs w:val="0"/>
                <w:color w:val="auto"/>
                <w:sz w:val="24"/>
                <w:szCs w:val="24"/>
                <w:highlight w:val="none"/>
                <w:vertAlign w:val="baseline"/>
                <w:lang w:val="en-US" w:eastAsia="zh-CN"/>
              </w:rPr>
              <w:t>m</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color w:val="auto"/>
                <w:kern w:val="0"/>
                <w:sz w:val="24"/>
                <w:szCs w:val="24"/>
                <w:highlight w:val="none"/>
                <w:vertAlign w:val="baseline"/>
                <w:lang w:val="en-US" w:eastAsia="zh-CN" w:bidi="ar"/>
              </w:rPr>
              <w:t>，</w:t>
            </w:r>
            <w:r>
              <w:rPr>
                <w:rFonts w:hint="eastAsia" w:ascii="Times New Roman" w:hAnsi="Times New Roman" w:cs="Times New Roman"/>
                <w:color w:val="auto"/>
                <w:kern w:val="0"/>
                <w:sz w:val="24"/>
                <w:szCs w:val="24"/>
                <w:highlight w:val="none"/>
                <w:vertAlign w:val="baseline"/>
                <w:lang w:val="en-US" w:eastAsia="zh-CN" w:bidi="ar"/>
              </w:rPr>
              <w:t>本项目设置1口直井</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cs="Times New Roman"/>
                <w:color w:val="auto"/>
                <w:kern w:val="0"/>
                <w:sz w:val="24"/>
                <w:szCs w:val="24"/>
                <w:highlight w:val="none"/>
                <w:lang w:val="en-US" w:eastAsia="zh-CN" w:bidi="ar"/>
              </w:rPr>
              <w:t>故</w:t>
            </w:r>
            <w:r>
              <w:rPr>
                <w:rFonts w:hint="default" w:ascii="Times New Roman" w:hAnsi="Times New Roman" w:eastAsia="宋体" w:cs="Times New Roman"/>
                <w:color w:val="auto"/>
                <w:kern w:val="0"/>
                <w:sz w:val="24"/>
                <w:szCs w:val="24"/>
                <w:highlight w:val="none"/>
                <w:lang w:val="en-US" w:eastAsia="zh-CN" w:bidi="ar"/>
              </w:rPr>
              <w:t>项目压裂总用水量为</w:t>
            </w:r>
            <w:r>
              <w:rPr>
                <w:rFonts w:hint="eastAsia" w:ascii="Times New Roman" w:hAnsi="Times New Roman" w:cs="Times New Roman"/>
                <w:color w:val="auto"/>
                <w:kern w:val="0"/>
                <w:sz w:val="24"/>
                <w:szCs w:val="24"/>
                <w:highlight w:val="none"/>
                <w:lang w:val="en-US" w:eastAsia="zh-CN" w:bidi="ar"/>
              </w:rPr>
              <w:t>9</w:t>
            </w:r>
            <w:r>
              <w:rPr>
                <w:rFonts w:hint="default" w:ascii="Times New Roman" w:hAnsi="Times New Roman" w:eastAsia="宋体" w:cs="Times New Roman"/>
                <w:color w:val="auto"/>
                <w:kern w:val="0"/>
                <w:sz w:val="24"/>
                <w:szCs w:val="24"/>
                <w:highlight w:val="none"/>
                <w:lang w:val="en-US" w:eastAsia="zh-CN" w:bidi="ar"/>
              </w:rPr>
              <w:t>00m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p>
          <w:p w14:paraId="6234D324">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2、排水</w:t>
            </w:r>
          </w:p>
          <w:p w14:paraId="26B9C9A8">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（1）生活污水</w:t>
            </w:r>
          </w:p>
          <w:p w14:paraId="27447059">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生活污水产生量按照用量的80%计，项目生活污水产生量为</w:t>
            </w:r>
            <w:r>
              <w:rPr>
                <w:rFonts w:hint="eastAsia" w:ascii="Times New Roman" w:hAnsi="Times New Roman" w:cs="Times New Roman"/>
                <w:color w:val="auto"/>
                <w:kern w:val="0"/>
                <w:sz w:val="24"/>
                <w:szCs w:val="24"/>
                <w:highlight w:val="none"/>
                <w:lang w:val="en-US" w:eastAsia="zh-CN" w:bidi="ar"/>
              </w:rPr>
              <w:t>91</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cs="Times New Roman"/>
                <w:color w:val="auto"/>
                <w:kern w:val="0"/>
                <w:sz w:val="24"/>
                <w:szCs w:val="24"/>
                <w:highlight w:val="none"/>
                <w:lang w:val="en-US" w:eastAsia="zh-CN" w:bidi="ar"/>
              </w:rPr>
              <w:t>盥洗废水</w:t>
            </w:r>
            <w:r>
              <w:rPr>
                <w:rFonts w:hint="default" w:ascii="Times New Roman" w:hAnsi="Times New Roman" w:eastAsia="宋体" w:cs="Times New Roman"/>
                <w:color w:val="auto"/>
                <w:sz w:val="24"/>
                <w:szCs w:val="24"/>
                <w:highlight w:val="none"/>
                <w:lang w:val="en-US" w:eastAsia="zh-CN" w:bidi="ar"/>
              </w:rPr>
              <w:t>经沉淀</w:t>
            </w:r>
            <w:r>
              <w:rPr>
                <w:rFonts w:hint="eastAsia" w:ascii="Times New Roman" w:hAnsi="Times New Roman" w:eastAsia="宋体" w:cs="Times New Roman"/>
                <w:color w:val="auto"/>
                <w:sz w:val="24"/>
                <w:szCs w:val="24"/>
                <w:highlight w:val="none"/>
                <w:lang w:val="en-US" w:eastAsia="zh-CN" w:bidi="ar"/>
              </w:rPr>
              <w:t>罐</w:t>
            </w:r>
            <w:r>
              <w:rPr>
                <w:rFonts w:hint="eastAsia" w:ascii="Times New Roman" w:hAnsi="Times New Roman" w:cs="Times New Roman"/>
                <w:color w:val="auto"/>
                <w:sz w:val="24"/>
                <w:szCs w:val="24"/>
                <w:highlight w:val="none"/>
                <w:lang w:val="en-US" w:eastAsia="zh-CN" w:bidi="ar"/>
              </w:rPr>
              <w:t>（15m</w:t>
            </w:r>
            <w:r>
              <w:rPr>
                <w:rFonts w:hint="eastAsia" w:ascii="Times New Roman" w:hAnsi="Times New Roman" w:cs="Times New Roman"/>
                <w:color w:val="auto"/>
                <w:sz w:val="24"/>
                <w:szCs w:val="24"/>
                <w:highlight w:val="none"/>
                <w:vertAlign w:val="superscript"/>
                <w:lang w:val="en-US" w:eastAsia="zh-CN" w:bidi="ar"/>
              </w:rPr>
              <w:t>3</w:t>
            </w:r>
            <w:r>
              <w:rPr>
                <w:rFonts w:hint="eastAsia" w:ascii="Times New Roman" w:hAnsi="Times New Roman" w:cs="Times New Roman"/>
                <w:color w:val="auto"/>
                <w:sz w:val="24"/>
                <w:szCs w:val="24"/>
                <w:highlight w:val="none"/>
                <w:lang w:val="en-US" w:eastAsia="zh-CN" w:bidi="ar"/>
              </w:rPr>
              <w:t>）</w:t>
            </w:r>
            <w:r>
              <w:rPr>
                <w:rFonts w:hint="default" w:ascii="Times New Roman" w:hAnsi="Times New Roman" w:eastAsia="宋体" w:cs="Times New Roman"/>
                <w:color w:val="auto"/>
                <w:sz w:val="24"/>
                <w:szCs w:val="24"/>
                <w:highlight w:val="none"/>
                <w:lang w:val="en-US" w:eastAsia="zh-CN" w:bidi="ar"/>
              </w:rPr>
              <w:t>沉淀后用于</w:t>
            </w:r>
            <w:r>
              <w:rPr>
                <w:rFonts w:hint="eastAsia" w:ascii="Times New Roman" w:hAnsi="Times New Roman" w:eastAsia="宋体" w:cs="Times New Roman"/>
                <w:color w:val="auto"/>
                <w:sz w:val="24"/>
                <w:szCs w:val="24"/>
                <w:highlight w:val="none"/>
                <w:lang w:val="en-US" w:eastAsia="zh-CN" w:bidi="ar"/>
              </w:rPr>
              <w:t>洒水</w:t>
            </w:r>
            <w:r>
              <w:rPr>
                <w:rFonts w:hint="default" w:ascii="Times New Roman" w:hAnsi="Times New Roman" w:eastAsia="宋体" w:cs="Times New Roman"/>
                <w:color w:val="auto"/>
                <w:sz w:val="24"/>
                <w:szCs w:val="24"/>
                <w:highlight w:val="none"/>
                <w:lang w:val="en-US" w:eastAsia="zh-CN" w:bidi="ar"/>
              </w:rPr>
              <w:t>降尘</w:t>
            </w:r>
            <w:r>
              <w:rPr>
                <w:rFonts w:hint="eastAsia" w:ascii="Times New Roman" w:hAnsi="Times New Roman" w:eastAsia="宋体" w:cs="Times New Roman"/>
                <w:color w:val="auto"/>
                <w:sz w:val="24"/>
                <w:szCs w:val="24"/>
                <w:highlight w:val="none"/>
                <w:lang w:val="en-US" w:eastAsia="zh-CN" w:bidi="ar"/>
              </w:rPr>
              <w:t>。同时</w:t>
            </w:r>
            <w:r>
              <w:rPr>
                <w:rFonts w:hint="eastAsia" w:eastAsia="宋体" w:cs="Times New Roman"/>
                <w:b w:val="0"/>
                <w:bCs/>
                <w:color w:val="auto"/>
                <w:sz w:val="24"/>
                <w:szCs w:val="24"/>
                <w:highlight w:val="none"/>
                <w:vertAlign w:val="baseline"/>
                <w:lang w:val="en-US" w:eastAsia="zh-CN"/>
              </w:rPr>
              <w:t>设防渗卫生旱厕，定期清掏用作周边农田堆肥，不外排</w:t>
            </w:r>
            <w:r>
              <w:rPr>
                <w:rFonts w:hint="default" w:ascii="Times New Roman" w:hAnsi="Times New Roman" w:eastAsia="宋体" w:cs="Times New Roman"/>
                <w:color w:val="auto"/>
                <w:kern w:val="0"/>
                <w:sz w:val="24"/>
                <w:szCs w:val="24"/>
                <w:highlight w:val="none"/>
                <w:lang w:val="en-US" w:eastAsia="zh-CN" w:bidi="ar"/>
              </w:rPr>
              <w:t>。</w:t>
            </w:r>
          </w:p>
          <w:p w14:paraId="6CE34C8F">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（2）生产废水</w:t>
            </w:r>
          </w:p>
          <w:p w14:paraId="52565F86">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
              </w:rPr>
            </w:pPr>
            <w:r>
              <w:rPr>
                <w:rFonts w:hint="default" w:ascii="Times New Roman" w:hAnsi="Times New Roman" w:eastAsia="宋体" w:cs="Times New Roman"/>
                <w:color w:val="auto"/>
                <w:kern w:val="0"/>
                <w:sz w:val="24"/>
                <w:szCs w:val="21"/>
                <w:highlight w:val="none"/>
                <w:lang w:val="en-US" w:eastAsia="zh-CN" w:bidi="ar"/>
              </w:rPr>
              <w:t>①钻井废水</w:t>
            </w:r>
          </w:p>
          <w:p w14:paraId="592FCDAD">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
              </w:rPr>
            </w:pPr>
            <w:r>
              <w:rPr>
                <w:rFonts w:hint="default" w:ascii="Times New Roman" w:hAnsi="Times New Roman" w:eastAsia="宋体" w:cs="Times New Roman"/>
                <w:color w:val="auto"/>
                <w:kern w:val="0"/>
                <w:sz w:val="24"/>
                <w:szCs w:val="21"/>
                <w:highlight w:val="none"/>
                <w:lang w:val="en-US" w:eastAsia="zh-CN" w:bidi="ar"/>
              </w:rPr>
              <w:t>钻井作业的泥浆配浆过程中会根据泥浆的不同要求加入不等量的水，这些水随钻井泥浆进入井底协助钻井作业。在钻井泥浆返回地面后，进入地面的泥浆不落地系统，经系统内的振动筛筛分后，岩屑收集于岩屑收集罐内；钻井泥浆暂存于泥浆罐，经静置沉淀后，析出的上清液作为钻井泥浆配液回用，泥浆经压滤机压滤成泥饼交</w:t>
            </w:r>
            <w:r>
              <w:rPr>
                <w:rFonts w:hint="eastAsia" w:ascii="Times New Roman" w:hAnsi="Times New Roman" w:cs="Times New Roman"/>
                <w:color w:val="auto"/>
                <w:kern w:val="0"/>
                <w:sz w:val="24"/>
                <w:szCs w:val="21"/>
                <w:highlight w:val="none"/>
                <w:lang w:val="en-US" w:eastAsia="zh-CN" w:bidi="ar"/>
              </w:rPr>
              <w:t>协议的有能力单位</w:t>
            </w:r>
            <w:r>
              <w:rPr>
                <w:rFonts w:hint="default" w:ascii="Times New Roman" w:hAnsi="Times New Roman" w:eastAsia="宋体" w:cs="Times New Roman"/>
                <w:color w:val="auto"/>
                <w:kern w:val="0"/>
                <w:sz w:val="24"/>
                <w:szCs w:val="21"/>
                <w:highlight w:val="none"/>
                <w:lang w:val="en-US" w:eastAsia="zh-CN" w:bidi="ar"/>
              </w:rPr>
              <w:t>处置。</w:t>
            </w:r>
          </w:p>
          <w:p w14:paraId="11F4B4D6">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
              </w:rPr>
            </w:pPr>
            <w:r>
              <w:rPr>
                <w:rFonts w:hint="default" w:ascii="Times New Roman" w:hAnsi="Times New Roman" w:eastAsia="宋体" w:cs="Times New Roman"/>
                <w:color w:val="auto"/>
                <w:kern w:val="0"/>
                <w:sz w:val="24"/>
                <w:szCs w:val="21"/>
                <w:highlight w:val="none"/>
                <w:lang w:val="en-US" w:eastAsia="zh-CN" w:bidi="ar"/>
              </w:rPr>
              <w:t>根据最新钻井工艺要求，泥浆返排率约100%（若返排泥浆量小于钻入泥浆量，可能发生井漏事故），项目泥浆上清液排入井场设置的泥浆循环罐内，用于配制泥</w:t>
            </w:r>
            <w:r>
              <w:rPr>
                <w:rFonts w:hint="default" w:ascii="Times New Roman" w:hAnsi="Times New Roman" w:eastAsia="宋体" w:cs="Times New Roman"/>
                <w:color w:val="auto"/>
                <w:kern w:val="0"/>
                <w:sz w:val="24"/>
                <w:szCs w:val="24"/>
                <w:highlight w:val="none"/>
                <w:lang w:val="en-US" w:eastAsia="zh-CN" w:bidi="ar"/>
              </w:rPr>
              <w:t>浆，循</w:t>
            </w:r>
            <w:r>
              <w:rPr>
                <w:rFonts w:hint="default" w:ascii="Times New Roman" w:hAnsi="Times New Roman" w:eastAsia="宋体" w:cs="Times New Roman"/>
                <w:color w:val="auto"/>
                <w:kern w:val="0"/>
                <w:sz w:val="24"/>
                <w:szCs w:val="21"/>
                <w:highlight w:val="none"/>
                <w:lang w:val="en-US" w:eastAsia="zh-CN" w:bidi="ar"/>
              </w:rPr>
              <w:t>环使用，</w:t>
            </w:r>
            <w:r>
              <w:rPr>
                <w:rFonts w:hint="default" w:ascii="Times New Roman" w:hAnsi="Times New Roman"/>
                <w:color w:val="auto"/>
                <w:kern w:val="0"/>
                <w:szCs w:val="21"/>
                <w:highlight w:val="none"/>
                <w:lang w:bidi="ar"/>
              </w:rPr>
              <w:t>剩余不能再利用的泥浆压滤后交</w:t>
            </w:r>
            <w:r>
              <w:rPr>
                <w:rFonts w:hint="eastAsia" w:ascii="Times New Roman" w:hAnsi="Times New Roman"/>
                <w:color w:val="auto"/>
                <w:kern w:val="0"/>
                <w:szCs w:val="21"/>
                <w:highlight w:val="none"/>
                <w:lang w:eastAsia="zh-CN" w:bidi="ar"/>
              </w:rPr>
              <w:t>协议的</w:t>
            </w:r>
            <w:r>
              <w:rPr>
                <w:rFonts w:hint="eastAsia" w:ascii="Times New Roman" w:hAnsi="Times New Roman"/>
                <w:color w:val="auto"/>
                <w:kern w:val="0"/>
                <w:szCs w:val="21"/>
                <w:highlight w:val="none"/>
                <w:lang w:val="en-US" w:eastAsia="zh-CN" w:bidi="ar"/>
              </w:rPr>
              <w:t>有能力单位</w:t>
            </w:r>
            <w:r>
              <w:rPr>
                <w:rFonts w:hint="default" w:ascii="Times New Roman" w:hAnsi="Times New Roman"/>
                <w:color w:val="auto"/>
                <w:kern w:val="0"/>
                <w:szCs w:val="21"/>
                <w:highlight w:val="none"/>
                <w:lang w:bidi="ar"/>
              </w:rPr>
              <w:t>集中处置</w:t>
            </w:r>
            <w:r>
              <w:rPr>
                <w:rFonts w:hint="default" w:ascii="Times New Roman" w:hAnsi="Times New Roman" w:eastAsia="宋体" w:cs="Times New Roman"/>
                <w:color w:val="auto"/>
                <w:kern w:val="0"/>
                <w:sz w:val="24"/>
                <w:szCs w:val="21"/>
                <w:highlight w:val="none"/>
                <w:lang w:val="en-US" w:eastAsia="zh-CN" w:bidi="ar"/>
              </w:rPr>
              <w:t>。</w:t>
            </w:r>
          </w:p>
          <w:p w14:paraId="68767C28">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
              </w:rPr>
            </w:pPr>
            <w:r>
              <w:rPr>
                <w:rFonts w:hint="default" w:ascii="Times New Roman" w:hAnsi="Times New Roman" w:eastAsia="宋体" w:cs="Times New Roman"/>
                <w:b w:val="0"/>
                <w:bCs w:val="0"/>
                <w:color w:val="auto"/>
                <w:sz w:val="24"/>
                <w:szCs w:val="24"/>
                <w:highlight w:val="none"/>
                <w:vertAlign w:val="baseline"/>
                <w:lang w:val="en-US" w:eastAsia="zh-CN" w:bidi="ar-SA"/>
              </w:rPr>
              <w:t>根据计算，项目钻井用水平衡图详见图2-</w:t>
            </w:r>
            <w:r>
              <w:rPr>
                <w:rFonts w:hint="eastAsia" w:ascii="Times New Roman" w:hAnsi="Times New Roman" w:cs="Times New Roman"/>
                <w:b w:val="0"/>
                <w:bCs w:val="0"/>
                <w:color w:val="auto"/>
                <w:sz w:val="24"/>
                <w:szCs w:val="24"/>
                <w:highlight w:val="none"/>
                <w:vertAlign w:val="baseline"/>
                <w:lang w:val="en-US" w:eastAsia="zh-CN" w:bidi="ar-SA"/>
              </w:rPr>
              <w:t>3</w:t>
            </w:r>
            <w:r>
              <w:rPr>
                <w:rFonts w:hint="default" w:ascii="Times New Roman" w:hAnsi="Times New Roman" w:eastAsia="宋体" w:cs="Times New Roman"/>
                <w:b w:val="0"/>
                <w:bCs w:val="0"/>
                <w:color w:val="auto"/>
                <w:sz w:val="24"/>
                <w:szCs w:val="24"/>
                <w:highlight w:val="none"/>
                <w:vertAlign w:val="baseline"/>
                <w:lang w:val="en-US" w:eastAsia="zh-CN" w:bidi="ar-SA"/>
              </w:rPr>
              <w:t>。</w:t>
            </w:r>
          </w:p>
          <w:p w14:paraId="7837057E">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center"/>
              <w:textAlignment w:val="auto"/>
              <w:rPr>
                <w:rFonts w:hint="default" w:ascii="Times New Roman" w:hAnsi="Times New Roman" w:eastAsia="宋体" w:cs="Times New Roman"/>
                <w:b w:val="0"/>
                <w:bCs w:val="0"/>
                <w:color w:val="auto"/>
                <w:sz w:val="24"/>
                <w:szCs w:val="24"/>
                <w:highlight w:val="none"/>
                <w:vertAlign w:val="baseline"/>
                <w:lang w:val="en-US" w:eastAsia="zh-CN" w:bidi="ar-SA"/>
              </w:rPr>
            </w:pPr>
            <w:r>
              <w:rPr>
                <w:rFonts w:hint="default" w:ascii="Times New Roman" w:hAnsi="Times New Roman" w:eastAsia="宋体" w:cs="Times New Roman"/>
                <w:b w:val="0"/>
                <w:bCs w:val="0"/>
                <w:color w:val="auto"/>
                <w:sz w:val="24"/>
                <w:szCs w:val="24"/>
                <w:highlight w:val="none"/>
                <w:vertAlign w:val="baseline"/>
                <w:lang w:val="en-US" w:eastAsia="zh-CN" w:bidi="ar-SA"/>
              </w:rPr>
              <w:object>
                <v:shape id="_x0000_i1025" o:spt="75" type="#_x0000_t75" style="height:96pt;width:335.25pt;" o:ole="t" filled="f" o:preferrelative="t" stroked="f" coordsize="21600,21600">
                  <v:path/>
                  <v:fill on="f" focussize="0,0"/>
                  <v:stroke on="f"/>
                  <v:imagedata r:id="rId8" o:title=""/>
                  <o:lock v:ext="edit" aspectratio="f"/>
                  <w10:wrap type="none"/>
                  <w10:anchorlock/>
                </v:shape>
                <o:OLEObject Type="Embed" ProgID="Visio.Drawing.15" ShapeID="_x0000_i1025" DrawAspect="Content" ObjectID="_1468075725" r:id="rId7">
                  <o:LockedField>false</o:LockedField>
                </o:OLEObject>
              </w:object>
            </w:r>
          </w:p>
          <w:p w14:paraId="645C625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图2-</w:t>
            </w:r>
            <w:r>
              <w:rPr>
                <w:rFonts w:hint="eastAsia" w:ascii="Times New Roman" w:hAnsi="Times New Roman" w:eastAsia="宋体" w:cs="Times New Roman"/>
                <w:b/>
                <w:bCs/>
                <w:color w:val="auto"/>
                <w:kern w:val="0"/>
                <w:sz w:val="24"/>
                <w:szCs w:val="24"/>
                <w:highlight w:val="none"/>
                <w:lang w:val="en-US" w:eastAsia="zh-CN" w:bidi="ar"/>
              </w:rPr>
              <w:t>3</w:t>
            </w:r>
            <w:r>
              <w:rPr>
                <w:rFonts w:hint="default" w:ascii="Times New Roman" w:hAnsi="Times New Roman" w:eastAsia="宋体" w:cs="Times New Roman"/>
                <w:b/>
                <w:bCs/>
                <w:color w:val="auto"/>
                <w:kern w:val="0"/>
                <w:sz w:val="24"/>
                <w:szCs w:val="24"/>
                <w:highlight w:val="none"/>
                <w:lang w:val="en-US" w:eastAsia="zh-CN" w:bidi="ar"/>
              </w:rPr>
              <w:t xml:space="preserve">  项目</w:t>
            </w:r>
            <w:r>
              <w:rPr>
                <w:rFonts w:hint="eastAsia" w:ascii="Times New Roman" w:hAnsi="Times New Roman" w:eastAsia="宋体" w:cs="Times New Roman"/>
                <w:b/>
                <w:bCs/>
                <w:color w:val="auto"/>
                <w:kern w:val="0"/>
                <w:sz w:val="24"/>
                <w:szCs w:val="24"/>
                <w:highlight w:val="none"/>
                <w:lang w:val="en-US" w:eastAsia="zh-CN" w:bidi="ar"/>
              </w:rPr>
              <w:t>钻井用</w:t>
            </w:r>
            <w:r>
              <w:rPr>
                <w:rFonts w:hint="default" w:ascii="Times New Roman" w:hAnsi="Times New Roman" w:eastAsia="宋体" w:cs="Times New Roman"/>
                <w:b/>
                <w:bCs/>
                <w:color w:val="auto"/>
                <w:kern w:val="0"/>
                <w:sz w:val="24"/>
                <w:szCs w:val="24"/>
                <w:highlight w:val="none"/>
                <w:lang w:val="en-US" w:eastAsia="zh-CN" w:bidi="ar"/>
              </w:rPr>
              <w:t>水平衡图（单位：m</w:t>
            </w:r>
            <w:r>
              <w:rPr>
                <w:rFonts w:hint="default" w:ascii="Times New Roman" w:hAnsi="Times New Roman" w:eastAsia="宋体" w:cs="Times New Roman"/>
                <w:b/>
                <w:bCs/>
                <w:color w:val="auto"/>
                <w:kern w:val="0"/>
                <w:sz w:val="24"/>
                <w:szCs w:val="24"/>
                <w:highlight w:val="none"/>
                <w:vertAlign w:val="superscript"/>
                <w:lang w:val="en-US" w:eastAsia="zh-CN" w:bidi="ar"/>
              </w:rPr>
              <w:t>3</w:t>
            </w:r>
            <w:r>
              <w:rPr>
                <w:rFonts w:hint="default" w:ascii="Times New Roman" w:hAnsi="Times New Roman" w:eastAsia="宋体" w:cs="Times New Roman"/>
                <w:b/>
                <w:bCs/>
                <w:color w:val="auto"/>
                <w:kern w:val="0"/>
                <w:sz w:val="24"/>
                <w:szCs w:val="24"/>
                <w:highlight w:val="none"/>
                <w:lang w:val="en-US" w:eastAsia="zh-CN" w:bidi="ar"/>
              </w:rPr>
              <w:t>）</w:t>
            </w:r>
          </w:p>
          <w:p w14:paraId="25850150">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
              </w:rPr>
            </w:pPr>
            <w:r>
              <w:rPr>
                <w:rFonts w:hint="default" w:ascii="Times New Roman" w:hAnsi="Times New Roman" w:eastAsia="宋体" w:cs="Times New Roman"/>
                <w:color w:val="auto"/>
                <w:kern w:val="0"/>
                <w:sz w:val="24"/>
                <w:szCs w:val="21"/>
                <w:highlight w:val="none"/>
                <w:lang w:val="en-US" w:eastAsia="zh-CN" w:bidi="ar"/>
              </w:rPr>
              <w:t>②洗井废水</w:t>
            </w:r>
          </w:p>
          <w:p w14:paraId="7332B570">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
              </w:rPr>
            </w:pPr>
            <w:r>
              <w:rPr>
                <w:rFonts w:hint="default" w:ascii="Times New Roman" w:hAnsi="Times New Roman" w:eastAsia="宋体" w:cs="Times New Roman"/>
                <w:color w:val="auto"/>
                <w:kern w:val="0"/>
                <w:sz w:val="24"/>
                <w:szCs w:val="21"/>
                <w:highlight w:val="none"/>
                <w:lang w:val="en-US" w:eastAsia="zh-CN" w:bidi="ar"/>
              </w:rPr>
              <w:t>洗井用水损耗量约10%，则洗井废水产生量为</w:t>
            </w:r>
            <w:r>
              <w:rPr>
                <w:rFonts w:hint="eastAsia" w:ascii="Times New Roman" w:hAnsi="Times New Roman" w:cs="Times New Roman"/>
                <w:color w:val="auto"/>
                <w:kern w:val="0"/>
                <w:sz w:val="24"/>
                <w:szCs w:val="21"/>
                <w:highlight w:val="none"/>
                <w:lang w:val="en-US" w:eastAsia="zh-CN" w:bidi="ar"/>
              </w:rPr>
              <w:t>156.78</w:t>
            </w:r>
            <w:r>
              <w:rPr>
                <w:rFonts w:hint="default" w:ascii="Times New Roman" w:hAnsi="Times New Roman" w:eastAsia="宋体" w:cs="Times New Roman"/>
                <w:color w:val="auto"/>
                <w:kern w:val="0"/>
                <w:sz w:val="24"/>
                <w:szCs w:val="21"/>
                <w:highlight w:val="none"/>
                <w:lang w:val="en-US" w:eastAsia="zh-CN" w:bidi="ar"/>
              </w:rPr>
              <w:t>m</w:t>
            </w:r>
            <w:r>
              <w:rPr>
                <w:rFonts w:hint="default" w:ascii="Times New Roman" w:hAnsi="Times New Roman" w:eastAsia="宋体" w:cs="Times New Roman"/>
                <w:color w:val="auto"/>
                <w:kern w:val="0"/>
                <w:sz w:val="24"/>
                <w:szCs w:val="21"/>
                <w:highlight w:val="none"/>
                <w:vertAlign w:val="superscript"/>
                <w:lang w:val="en-US" w:eastAsia="zh-CN" w:bidi="ar"/>
              </w:rPr>
              <w:t>3</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kern w:val="0"/>
                <w:sz w:val="24"/>
                <w:szCs w:val="21"/>
                <w:highlight w:val="none"/>
                <w:lang w:val="en-US" w:eastAsia="zh-CN" w:bidi="ar"/>
              </w:rPr>
              <w:t>废水临时收集贮存于各井场设置的3具75m</w:t>
            </w:r>
            <w:r>
              <w:rPr>
                <w:rFonts w:hint="default" w:ascii="Times New Roman" w:hAnsi="Times New Roman" w:eastAsia="宋体" w:cs="Times New Roman"/>
                <w:color w:val="auto"/>
                <w:kern w:val="0"/>
                <w:sz w:val="24"/>
                <w:szCs w:val="21"/>
                <w:highlight w:val="none"/>
                <w:vertAlign w:val="superscript"/>
                <w:lang w:val="en-US" w:eastAsia="zh-CN" w:bidi="ar"/>
              </w:rPr>
              <w:t>3</w:t>
            </w:r>
            <w:r>
              <w:rPr>
                <w:rFonts w:hint="default" w:ascii="Times New Roman" w:hAnsi="Times New Roman" w:eastAsia="宋体" w:cs="Times New Roman"/>
                <w:color w:val="auto"/>
                <w:kern w:val="0"/>
                <w:sz w:val="24"/>
                <w:szCs w:val="21"/>
                <w:highlight w:val="none"/>
                <w:lang w:val="en-US" w:eastAsia="zh-CN" w:bidi="ar"/>
              </w:rPr>
              <w:t>洗井废水储罐，委托</w:t>
            </w:r>
            <w:r>
              <w:rPr>
                <w:rFonts w:hint="eastAsia" w:ascii="Times New Roman" w:hAnsi="Times New Roman" w:cs="Times New Roman"/>
                <w:color w:val="auto"/>
                <w:kern w:val="0"/>
                <w:sz w:val="24"/>
                <w:szCs w:val="21"/>
                <w:highlight w:val="none"/>
                <w:lang w:val="en-US" w:eastAsia="zh-CN" w:bidi="ar"/>
              </w:rPr>
              <w:t>协议的有能力单位</w:t>
            </w:r>
            <w:r>
              <w:rPr>
                <w:rFonts w:hint="default" w:ascii="Times New Roman" w:hAnsi="Times New Roman" w:eastAsia="宋体" w:cs="Times New Roman"/>
                <w:color w:val="auto"/>
                <w:kern w:val="0"/>
                <w:sz w:val="24"/>
                <w:szCs w:val="21"/>
                <w:highlight w:val="none"/>
                <w:lang w:val="en-US" w:eastAsia="zh-CN" w:bidi="ar"/>
              </w:rPr>
              <w:t>外运处理。</w:t>
            </w:r>
          </w:p>
          <w:p w14:paraId="35FDF85C">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
              </w:rPr>
            </w:pPr>
            <w:r>
              <w:rPr>
                <w:rFonts w:hint="default" w:ascii="Times New Roman" w:hAnsi="Times New Roman" w:eastAsia="宋体" w:cs="Times New Roman"/>
                <w:color w:val="auto"/>
                <w:kern w:val="0"/>
                <w:sz w:val="24"/>
                <w:szCs w:val="21"/>
                <w:highlight w:val="none"/>
                <w:lang w:val="en-US" w:eastAsia="zh-CN" w:bidi="ar"/>
              </w:rPr>
              <w:t>③射孔废水</w:t>
            </w:r>
          </w:p>
          <w:p w14:paraId="5DBA86E5">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sz w:val="24"/>
                <w:highlight w:val="none"/>
                <w:vertAlign w:val="baseline"/>
                <w:lang w:val="en-US" w:eastAsia="zh-CN"/>
              </w:rPr>
              <w:t>项目射孔液消耗量约</w:t>
            </w:r>
            <w:r>
              <w:rPr>
                <w:rFonts w:hint="eastAsia" w:ascii="Times New Roman" w:hAnsi="Times New Roman" w:cs="Times New Roman"/>
                <w:color w:val="auto"/>
                <w:sz w:val="24"/>
                <w:highlight w:val="none"/>
                <w:vertAlign w:val="baseline"/>
                <w:lang w:val="en-US" w:eastAsia="zh-CN"/>
              </w:rPr>
              <w:t>116.15</w:t>
            </w:r>
            <w:r>
              <w:rPr>
                <w:rFonts w:hint="default" w:ascii="Times New Roman" w:hAnsi="Times New Roman" w:eastAsia="宋体" w:cs="Times New Roman"/>
                <w:color w:val="auto"/>
                <w:sz w:val="24"/>
                <w:highlight w:val="none"/>
                <w:vertAlign w:val="baseli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vertAlign w:val="baseline"/>
                <w:lang w:val="en-US" w:eastAsia="zh-CN"/>
              </w:rPr>
              <w:t>，</w:t>
            </w:r>
            <w:r>
              <w:rPr>
                <w:rFonts w:hint="default" w:ascii="Times New Roman" w:hAnsi="Times New Roman" w:eastAsia="宋体" w:cs="Times New Roman"/>
                <w:color w:val="auto"/>
                <w:sz w:val="24"/>
                <w:szCs w:val="32"/>
                <w:highlight w:val="none"/>
                <w:lang w:val="en-US" w:eastAsia="zh-CN"/>
              </w:rPr>
              <w:t>射孔液损耗（进入射孔等）按10%计</w:t>
            </w:r>
            <w:r>
              <w:rPr>
                <w:rFonts w:hint="eastAsia" w:ascii="Times New Roman" w:hAnsi="Times New Roman" w:cs="Times New Roman"/>
                <w:color w:val="auto"/>
                <w:sz w:val="24"/>
                <w:szCs w:val="32"/>
                <w:highlight w:val="none"/>
                <w:lang w:val="en-US" w:eastAsia="zh-CN"/>
              </w:rPr>
              <w:t>，</w:t>
            </w:r>
            <w:r>
              <w:rPr>
                <w:rFonts w:hint="default" w:ascii="Times New Roman" w:hAnsi="Times New Roman" w:eastAsia="宋体" w:cs="Times New Roman"/>
                <w:color w:val="auto"/>
                <w:sz w:val="24"/>
                <w:szCs w:val="32"/>
                <w:highlight w:val="none"/>
                <w:lang w:val="en-US" w:eastAsia="zh-CN"/>
              </w:rPr>
              <w:t>本项目射孔废水产生量共计约</w:t>
            </w:r>
            <w:r>
              <w:rPr>
                <w:rFonts w:hint="eastAsia" w:ascii="Times New Roman" w:hAnsi="Times New Roman" w:cs="Times New Roman"/>
                <w:color w:val="auto"/>
                <w:sz w:val="24"/>
                <w:szCs w:val="32"/>
                <w:highlight w:val="none"/>
                <w:lang w:val="en-US" w:eastAsia="zh-CN"/>
              </w:rPr>
              <w:t>104.5</w:t>
            </w:r>
            <w:r>
              <w:rPr>
                <w:rFonts w:hint="default" w:ascii="Times New Roman" w:hAnsi="Times New Roman" w:eastAsia="宋体" w:cs="Times New Roman"/>
                <w:color w:val="auto"/>
                <w:sz w:val="24"/>
                <w:szCs w:val="32"/>
                <w:highlight w:val="none"/>
              </w:rPr>
              <w:t>m</w:t>
            </w:r>
            <w:r>
              <w:rPr>
                <w:rFonts w:hint="default" w:ascii="Times New Roman" w:hAnsi="Times New Roman" w:eastAsia="宋体" w:cs="Times New Roman"/>
                <w:color w:val="auto"/>
                <w:sz w:val="24"/>
                <w:szCs w:val="32"/>
                <w:highlight w:val="none"/>
                <w:vertAlign w:val="superscript"/>
              </w:rPr>
              <w:t>3</w:t>
            </w:r>
            <w:r>
              <w:rPr>
                <w:rFonts w:hint="default" w:ascii="Times New Roman" w:hAnsi="Times New Roman" w:eastAsia="宋体" w:cs="Times New Roman"/>
                <w:color w:val="auto"/>
                <w:sz w:val="24"/>
                <w:szCs w:val="32"/>
                <w:highlight w:val="none"/>
                <w:lang w:val="en-US" w:eastAsia="zh-CN"/>
              </w:rPr>
              <w:t>。射孔结束后直接进行压裂作业，射孔废水后期随压裂返排液一起返回地面废液罐外运处理。</w:t>
            </w:r>
          </w:p>
          <w:p w14:paraId="74A3232D">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④</w:t>
            </w:r>
            <w:r>
              <w:rPr>
                <w:rFonts w:hint="default" w:ascii="Times New Roman" w:hAnsi="Times New Roman" w:eastAsia="宋体" w:cs="Times New Roman"/>
                <w:color w:val="auto"/>
                <w:kern w:val="0"/>
                <w:sz w:val="24"/>
                <w:szCs w:val="21"/>
                <w:highlight w:val="none"/>
                <w:lang w:val="en-US" w:eastAsia="zh-CN" w:bidi="ar"/>
              </w:rPr>
              <w:t>压裂返排液</w:t>
            </w:r>
          </w:p>
          <w:p w14:paraId="1B021386">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
              </w:rPr>
            </w:pPr>
            <w:r>
              <w:rPr>
                <w:rFonts w:hint="default" w:ascii="Times New Roman" w:hAnsi="Times New Roman" w:cs="Times New Roman"/>
                <w:color w:val="auto"/>
                <w:sz w:val="24"/>
                <w:szCs w:val="24"/>
                <w:highlight w:val="none"/>
              </w:rPr>
              <w:t>根据最新钻井工艺要求，压裂液返排率约80%，故正常情况下</w:t>
            </w:r>
            <w:r>
              <w:rPr>
                <w:rFonts w:hint="eastAsia" w:ascii="Times New Roman" w:hAnsi="Times New Roman" w:eastAsia="宋体" w:cs="Times New Roman"/>
                <w:b w:val="0"/>
                <w:bCs w:val="0"/>
                <w:color w:val="auto"/>
                <w:sz w:val="24"/>
                <w:szCs w:val="24"/>
                <w:highlight w:val="none"/>
                <w:vertAlign w:val="baseline"/>
                <w:lang w:val="en-US" w:eastAsia="zh-CN"/>
              </w:rPr>
              <w:t>单口直井</w:t>
            </w:r>
            <w:r>
              <w:rPr>
                <w:rFonts w:hint="default" w:ascii="Times New Roman" w:hAnsi="Times New Roman" w:cs="Times New Roman"/>
                <w:color w:val="auto"/>
                <w:sz w:val="24"/>
                <w:szCs w:val="24"/>
                <w:highlight w:val="none"/>
              </w:rPr>
              <w:t>压裂返排液量约</w:t>
            </w:r>
            <w:r>
              <w:rPr>
                <w:rFonts w:hint="eastAsia" w:ascii="Times New Roman" w:hAnsi="Times New Roman" w:eastAsia="宋体" w:cs="Times New Roman"/>
                <w:color w:val="auto"/>
                <w:sz w:val="24"/>
                <w:szCs w:val="24"/>
                <w:highlight w:val="none"/>
                <w:lang w:val="en-US" w:eastAsia="zh-CN"/>
              </w:rPr>
              <w:t>800</w:t>
            </w:r>
            <w:r>
              <w:rPr>
                <w:rFonts w:hint="default" w:ascii="Times New Roman" w:hAnsi="Times New Roman" w:cs="Times New Roman"/>
                <w:color w:val="auto"/>
                <w:sz w:val="24"/>
                <w:szCs w:val="24"/>
                <w:highlight w:val="none"/>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bidi="ar"/>
              </w:rPr>
              <w:t>项目压裂返排液</w:t>
            </w:r>
            <w:r>
              <w:rPr>
                <w:rFonts w:hint="eastAsia" w:ascii="Times New Roman" w:hAnsi="Times New Roman" w:eastAsia="宋体" w:cs="Times New Roman"/>
                <w:b w:val="0"/>
                <w:bCs w:val="0"/>
                <w:color w:val="auto"/>
                <w:sz w:val="24"/>
                <w:szCs w:val="24"/>
                <w:highlight w:val="none"/>
                <w:vertAlign w:val="baseline"/>
                <w:lang w:val="en-US" w:eastAsia="zh-CN"/>
              </w:rPr>
              <w:t>总</w:t>
            </w:r>
            <w:r>
              <w:rPr>
                <w:rFonts w:hint="default" w:ascii="Times New Roman" w:hAnsi="Times New Roman" w:eastAsia="宋体" w:cs="Times New Roman"/>
                <w:color w:val="auto"/>
                <w:kern w:val="0"/>
                <w:sz w:val="24"/>
                <w:szCs w:val="24"/>
                <w:highlight w:val="none"/>
                <w:lang w:val="en-US" w:eastAsia="zh-CN" w:bidi="ar"/>
              </w:rPr>
              <w:t>量为</w:t>
            </w:r>
            <w:r>
              <w:rPr>
                <w:rFonts w:hint="eastAsia" w:ascii="Times New Roman" w:hAnsi="Times New Roman" w:cs="Times New Roman"/>
                <w:color w:val="auto"/>
                <w:kern w:val="0"/>
                <w:sz w:val="24"/>
                <w:szCs w:val="24"/>
                <w:highlight w:val="none"/>
                <w:lang w:val="en-US" w:eastAsia="zh-CN" w:bidi="ar"/>
              </w:rPr>
              <w:t>80</w:t>
            </w:r>
            <w:r>
              <w:rPr>
                <w:rFonts w:hint="default" w:ascii="Times New Roman" w:hAnsi="Times New Roman" w:cs="Times New Roman"/>
                <w:color w:val="auto"/>
                <w:kern w:val="0"/>
                <w:sz w:val="24"/>
                <w:szCs w:val="24"/>
                <w:highlight w:val="none"/>
                <w:lang w:val="en-US" w:eastAsia="zh-CN" w:bidi="ar"/>
              </w:rPr>
              <w:t>0</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sz w:val="24"/>
                <w:szCs w:val="24"/>
                <w:highlight w:val="none"/>
                <w:lang w:val="en-US" w:eastAsia="zh-CN"/>
              </w:rPr>
              <w:t>压裂返排液临时收集贮存于压裂返排液储罐，委托</w:t>
            </w:r>
            <w:r>
              <w:rPr>
                <w:rFonts w:hint="eastAsia" w:ascii="Times New Roman" w:hAnsi="Times New Roman" w:eastAsia="宋体" w:cs="Times New Roman"/>
                <w:b w:val="0"/>
                <w:bCs w:val="0"/>
                <w:color w:val="auto"/>
                <w:sz w:val="24"/>
                <w:szCs w:val="24"/>
                <w:highlight w:val="none"/>
                <w:vertAlign w:val="baseline"/>
                <w:lang w:val="en-US" w:eastAsia="zh-CN"/>
              </w:rPr>
              <w:t>协议的有能力单位</w:t>
            </w:r>
            <w:r>
              <w:rPr>
                <w:rFonts w:hint="default" w:ascii="Times New Roman" w:hAnsi="Times New Roman" w:cs="Times New Roman"/>
                <w:color w:val="auto"/>
                <w:sz w:val="24"/>
                <w:szCs w:val="24"/>
                <w:highlight w:val="none"/>
                <w:lang w:val="en-US" w:eastAsia="zh-CN"/>
              </w:rPr>
              <w:t>外运处理。</w:t>
            </w:r>
          </w:p>
          <w:p w14:paraId="55571D31">
            <w:pPr>
              <w:pStyle w:val="20"/>
              <w:bidi w:val="0"/>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color w:val="auto"/>
                <w:highlight w:val="none"/>
                <w:lang w:val="en-US" w:eastAsia="zh-CN"/>
              </w:rPr>
              <w:t>⑤</w:t>
            </w:r>
            <w:r>
              <w:rPr>
                <w:rFonts w:hint="eastAsia" w:ascii="宋体" w:hAnsi="宋体" w:eastAsia="宋体" w:cs="宋体"/>
                <w:b w:val="0"/>
                <w:bCs w:val="0"/>
                <w:color w:val="auto"/>
                <w:sz w:val="24"/>
                <w:szCs w:val="24"/>
                <w:highlight w:val="none"/>
                <w:vertAlign w:val="baseline"/>
                <w:lang w:val="en-US" w:eastAsia="zh-CN"/>
              </w:rPr>
              <w:t>气液分离器废水</w:t>
            </w:r>
          </w:p>
          <w:p w14:paraId="7BE10798">
            <w:pPr>
              <w:pStyle w:val="20"/>
              <w:bidi w:val="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试气过程中，天然气通过井场</w:t>
            </w:r>
            <w:r>
              <w:rPr>
                <w:rFonts w:hint="eastAsia" w:ascii="Times New Roman" w:hAnsi="Times New Roman" w:cs="Times New Roman"/>
                <w:color w:val="auto"/>
                <w:highlight w:val="none"/>
                <w:lang w:val="en-US" w:eastAsia="zh-CN"/>
              </w:rPr>
              <w:t>放喷罐</w:t>
            </w:r>
            <w:r>
              <w:rPr>
                <w:rFonts w:hint="default" w:ascii="Times New Roman" w:hAnsi="Times New Roman" w:cs="Times New Roman"/>
                <w:color w:val="auto"/>
                <w:highlight w:val="none"/>
                <w:lang w:val="en-US" w:eastAsia="zh-CN"/>
              </w:rPr>
              <w:t>燃烧排放，</w:t>
            </w:r>
            <w:r>
              <w:rPr>
                <w:rFonts w:hint="eastAsia" w:ascii="Times New Roman" w:hAnsi="Times New Roman" w:cs="Times New Roman"/>
                <w:color w:val="auto"/>
                <w:highlight w:val="none"/>
                <w:lang w:val="en-US" w:eastAsia="zh-CN"/>
              </w:rPr>
              <w:t>天然气进入放喷罐前经过气液分离器分离出气井中带出的采出水，单井采出水量约为5m</w:t>
            </w:r>
            <w:r>
              <w:rPr>
                <w:rFonts w:hint="eastAsia" w:ascii="Times New Roman" w:hAnsi="Times New Roman" w:cs="Times New Roman"/>
                <w:color w:val="auto"/>
                <w:highlight w:val="none"/>
                <w:vertAlign w:val="superscript"/>
                <w:lang w:val="en-US" w:eastAsia="zh-CN"/>
              </w:rPr>
              <w:t>3</w:t>
            </w:r>
            <w:r>
              <w:rPr>
                <w:rFonts w:hint="eastAsia" w:ascii="Times New Roman" w:hAnsi="Times New Roman" w:cs="Times New Roman"/>
                <w:color w:val="auto"/>
                <w:highlight w:val="none"/>
                <w:lang w:val="en-US" w:eastAsia="zh-CN"/>
              </w:rPr>
              <w:t>，项目气液分离器废水量共计5</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eastAsia" w:ascii="Times New Roman" w:hAnsi="Times New Roman" w:cs="Times New Roman"/>
                <w:color w:val="auto"/>
                <w:highlight w:val="none"/>
                <w:lang w:val="en-US" w:eastAsia="zh-CN"/>
              </w:rPr>
              <w:t>。该部分废水收集后交长庆油田分公司第二采气厂米7天然气采出水处理及储存站处理。</w:t>
            </w:r>
          </w:p>
          <w:p w14:paraId="7F3C7955">
            <w:pPr>
              <w:pStyle w:val="20"/>
              <w:bidi w:val="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⑥</w:t>
            </w:r>
            <w:r>
              <w:rPr>
                <w:rFonts w:hint="default" w:ascii="Times New Roman" w:hAnsi="Times New Roman" w:eastAsia="宋体" w:cs="Times New Roman"/>
                <w:b w:val="0"/>
                <w:bCs w:val="0"/>
                <w:color w:val="auto"/>
                <w:highlight w:val="none"/>
                <w:lang w:val="en-US" w:eastAsia="zh-CN"/>
              </w:rPr>
              <w:t>放喷废水</w:t>
            </w:r>
          </w:p>
          <w:p w14:paraId="3AB74ACA">
            <w:pPr>
              <w:pStyle w:val="2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试气过程中，天然气通过井场放喷罐燃烧排放，燃烧产生水蒸气，冷却后形成冷凝水，收集至井场放喷罐内暂存。单井产生放喷废水的量约为2m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，项目放喷废水产生量共计</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。待钻井结束后，委托</w:t>
            </w:r>
            <w:r>
              <w:rPr>
                <w:rFonts w:hint="eastAsia" w:ascii="Times New Roman" w:hAnsi="Times New Roman" w:eastAsia="宋体" w:cs="Times New Roman"/>
                <w:color w:val="auto"/>
                <w:highlight w:val="none"/>
                <w:lang w:val="en-US" w:eastAsia="zh-CN"/>
              </w:rPr>
              <w:t>协议的有能力单位</w:t>
            </w:r>
            <w:r>
              <w:rPr>
                <w:rFonts w:hint="default" w:ascii="Times New Roman" w:hAnsi="Times New Roman" w:eastAsia="宋体" w:cs="Times New Roman"/>
                <w:color w:val="auto"/>
                <w:highlight w:val="none"/>
                <w:lang w:val="en-US" w:eastAsia="zh-CN"/>
              </w:rPr>
              <w:t>外运处理。放喷废水在井场内不落地、不外排。</w:t>
            </w:r>
          </w:p>
          <w:p w14:paraId="4488B826">
            <w:pPr>
              <w:pStyle w:val="2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val="0"/>
                <w:bCs w:val="0"/>
                <w:color w:val="auto"/>
                <w:kern w:val="0"/>
                <w:sz w:val="24"/>
                <w:szCs w:val="21"/>
                <w:highlight w:val="none"/>
                <w:lang w:val="en-US" w:eastAsia="zh-CN" w:bidi="ar-SA"/>
              </w:rPr>
              <w:t>⑦</w:t>
            </w:r>
            <w:r>
              <w:rPr>
                <w:rFonts w:hint="default" w:ascii="Times New Roman" w:hAnsi="Times New Roman" w:eastAsia="宋体" w:cs="Times New Roman"/>
                <w:color w:val="auto"/>
                <w:highlight w:val="none"/>
                <w:lang w:val="en-US" w:eastAsia="zh-CN"/>
              </w:rPr>
              <w:t>放喷冷却水废水</w:t>
            </w:r>
          </w:p>
          <w:p w14:paraId="09BF9F13">
            <w:pPr>
              <w:pStyle w:val="2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天然气燃烧放喷过程中采用清水对放喷罐进行降温，该部分清水经自然冷却降温后用于场地洒水降尘，不外排。</w:t>
            </w:r>
          </w:p>
          <w:p w14:paraId="438464D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4"/>
                <w:szCs w:val="24"/>
                <w:highlight w:val="none"/>
              </w:rPr>
            </w:pPr>
            <w:r>
              <w:rPr>
                <w:rFonts w:hint="default" w:ascii="Times New Roman" w:hAnsi="Times New Roman" w:eastAsia="宋体" w:cs="Times New Roman"/>
                <w:b/>
                <w:bCs/>
                <w:color w:val="auto"/>
                <w:sz w:val="24"/>
                <w:szCs w:val="24"/>
                <w:highlight w:val="none"/>
                <w:vertAlign w:val="baseline"/>
                <w:lang w:val="en-US" w:eastAsia="zh-CN"/>
              </w:rPr>
              <w:t>表2-1</w:t>
            </w:r>
            <w:r>
              <w:rPr>
                <w:rFonts w:hint="eastAsia" w:ascii="Times New Roman" w:hAnsi="Times New Roman" w:eastAsia="宋体" w:cs="Times New Roman"/>
                <w:b/>
                <w:bCs/>
                <w:color w:val="auto"/>
                <w:sz w:val="24"/>
                <w:szCs w:val="24"/>
                <w:highlight w:val="none"/>
                <w:vertAlign w:val="baseline"/>
                <w:lang w:val="en-US" w:eastAsia="zh-CN"/>
              </w:rPr>
              <w:t>4</w:t>
            </w:r>
            <w:r>
              <w:rPr>
                <w:rFonts w:hint="default" w:ascii="Times New Roman" w:hAnsi="Times New Roman" w:eastAsia="宋体" w:cs="Times New Roman"/>
                <w:b/>
                <w:bCs/>
                <w:color w:val="auto"/>
                <w:sz w:val="24"/>
                <w:szCs w:val="24"/>
                <w:highlight w:val="none"/>
                <w:vertAlign w:val="baseline"/>
                <w:lang w:val="en-US" w:eastAsia="zh-CN"/>
              </w:rPr>
              <w:t xml:space="preserve">  本项目用水、排水量一览表（单位：m</w:t>
            </w:r>
            <w:r>
              <w:rPr>
                <w:rFonts w:hint="default" w:ascii="Times New Roman" w:hAnsi="Times New Roman" w:eastAsia="宋体" w:cs="Times New Roman"/>
                <w:b/>
                <w:bCs/>
                <w:color w:val="auto"/>
                <w:sz w:val="24"/>
                <w:szCs w:val="24"/>
                <w:highlight w:val="none"/>
                <w:vertAlign w:val="superscript"/>
                <w:lang w:val="en-US" w:eastAsia="zh-CN"/>
              </w:rPr>
              <w:t>3</w:t>
            </w:r>
            <w:r>
              <w:rPr>
                <w:rFonts w:hint="default" w:ascii="Times New Roman" w:hAnsi="Times New Roman" w:eastAsia="宋体" w:cs="Times New Roman"/>
                <w:b/>
                <w:bCs/>
                <w:color w:val="auto"/>
                <w:sz w:val="24"/>
                <w:szCs w:val="24"/>
                <w:highlight w:val="none"/>
                <w:vertAlign w:val="baseline"/>
                <w:lang w:val="en-US" w:eastAsia="zh-CN"/>
              </w:rPr>
              <w:t>/井）</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1020"/>
              <w:gridCol w:w="1367"/>
              <w:gridCol w:w="943"/>
              <w:gridCol w:w="1007"/>
              <w:gridCol w:w="859"/>
              <w:gridCol w:w="925"/>
              <w:gridCol w:w="1812"/>
            </w:tblGrid>
            <w:tr w14:paraId="1EC36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61" w:type="pct"/>
                  <w:vMerge w:val="restart"/>
                  <w:noWrap w:val="0"/>
                  <w:vAlign w:val="center"/>
                </w:tcPr>
                <w:p w14:paraId="1A27C81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序号</w:t>
                  </w:r>
                </w:p>
              </w:tc>
              <w:tc>
                <w:tcPr>
                  <w:tcW w:w="609" w:type="pct"/>
                  <w:vMerge w:val="restart"/>
                  <w:noWrap w:val="0"/>
                  <w:vAlign w:val="center"/>
                </w:tcPr>
                <w:p w14:paraId="6935582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用水点</w:t>
                  </w:r>
                </w:p>
                <w:p w14:paraId="5DB69CE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名称</w:t>
                  </w:r>
                </w:p>
              </w:tc>
              <w:tc>
                <w:tcPr>
                  <w:tcW w:w="1981" w:type="pct"/>
                  <w:gridSpan w:val="3"/>
                  <w:noWrap w:val="0"/>
                  <w:vAlign w:val="center"/>
                </w:tcPr>
                <w:p w14:paraId="7CB3306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来源</w:t>
                  </w:r>
                </w:p>
              </w:tc>
              <w:tc>
                <w:tcPr>
                  <w:tcW w:w="513" w:type="pct"/>
                  <w:vMerge w:val="restart"/>
                  <w:noWrap w:val="0"/>
                  <w:vAlign w:val="center"/>
                </w:tcPr>
                <w:p w14:paraId="4BB4161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损耗量</w:t>
                  </w:r>
                </w:p>
              </w:tc>
              <w:tc>
                <w:tcPr>
                  <w:tcW w:w="1634" w:type="pct"/>
                  <w:gridSpan w:val="2"/>
                  <w:noWrap w:val="0"/>
                  <w:vAlign w:val="center"/>
                </w:tcPr>
                <w:p w14:paraId="49FEB46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bidi="ar-SA"/>
                    </w:rPr>
                    <w:t>去向</w:t>
                  </w:r>
                </w:p>
              </w:tc>
            </w:tr>
            <w:tr w14:paraId="56274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61" w:type="pct"/>
                  <w:vMerge w:val="continue"/>
                  <w:noWrap w:val="0"/>
                  <w:vAlign w:val="center"/>
                </w:tcPr>
                <w:p w14:paraId="3E72DA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olor w:val="auto"/>
                      <w:highlight w:val="none"/>
                    </w:rPr>
                  </w:pPr>
                </w:p>
              </w:tc>
              <w:tc>
                <w:tcPr>
                  <w:tcW w:w="609" w:type="pct"/>
                  <w:vMerge w:val="continue"/>
                  <w:noWrap w:val="0"/>
                  <w:vAlign w:val="center"/>
                </w:tcPr>
                <w:p w14:paraId="69A5A6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olor w:val="auto"/>
                      <w:highlight w:val="none"/>
                    </w:rPr>
                  </w:pPr>
                </w:p>
              </w:tc>
              <w:tc>
                <w:tcPr>
                  <w:tcW w:w="816" w:type="pct"/>
                  <w:noWrap w:val="0"/>
                  <w:vAlign w:val="center"/>
                </w:tcPr>
                <w:p w14:paraId="561A4BF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新鲜用水量</w:t>
                  </w:r>
                </w:p>
              </w:tc>
              <w:tc>
                <w:tcPr>
                  <w:tcW w:w="563" w:type="pct"/>
                  <w:noWrap w:val="0"/>
                  <w:vAlign w:val="center"/>
                </w:tcPr>
                <w:p w14:paraId="0AFEDBB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bidi="ar-SA"/>
                    </w:rPr>
                  </w:pPr>
                  <w:r>
                    <w:rPr>
                      <w:rFonts w:hint="eastAsia" w:ascii="Times New Roman" w:hAnsi="Times New Roman" w:eastAsia="宋体" w:cs="Times New Roman"/>
                      <w:b/>
                      <w:bCs/>
                      <w:color w:val="auto"/>
                      <w:sz w:val="21"/>
                      <w:szCs w:val="21"/>
                      <w:highlight w:val="none"/>
                      <w:vertAlign w:val="baseline"/>
                      <w:lang w:val="en-US" w:eastAsia="zh-CN"/>
                    </w:rPr>
                    <w:t>回用量</w:t>
                  </w:r>
                </w:p>
              </w:tc>
              <w:tc>
                <w:tcPr>
                  <w:tcW w:w="601" w:type="pct"/>
                  <w:noWrap w:val="0"/>
                  <w:vAlign w:val="center"/>
                </w:tcPr>
                <w:p w14:paraId="6D1B111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bidi="ar-SA"/>
                    </w:rPr>
                  </w:pPr>
                  <w:r>
                    <w:rPr>
                      <w:rFonts w:hint="eastAsia" w:ascii="Times New Roman" w:hAnsi="Times New Roman" w:eastAsia="宋体" w:cs="Times New Roman"/>
                      <w:b/>
                      <w:bCs/>
                      <w:color w:val="auto"/>
                      <w:sz w:val="21"/>
                      <w:szCs w:val="21"/>
                      <w:highlight w:val="none"/>
                      <w:vertAlign w:val="baseline"/>
                      <w:lang w:val="en-US" w:eastAsia="zh-CN" w:bidi="ar-SA"/>
                    </w:rPr>
                    <w:t>其他</w:t>
                  </w:r>
                </w:p>
              </w:tc>
              <w:tc>
                <w:tcPr>
                  <w:tcW w:w="513" w:type="pct"/>
                  <w:vMerge w:val="continue"/>
                  <w:noWrap w:val="0"/>
                  <w:vAlign w:val="center"/>
                </w:tcPr>
                <w:p w14:paraId="777B652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bidi="ar-SA"/>
                    </w:rPr>
                  </w:pPr>
                </w:p>
              </w:tc>
              <w:tc>
                <w:tcPr>
                  <w:tcW w:w="552" w:type="pct"/>
                  <w:noWrap w:val="0"/>
                  <w:vAlign w:val="center"/>
                </w:tcPr>
                <w:p w14:paraId="4E185D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回用量</w:t>
                  </w:r>
                </w:p>
              </w:tc>
              <w:tc>
                <w:tcPr>
                  <w:tcW w:w="1082" w:type="pct"/>
                  <w:noWrap w:val="0"/>
                  <w:vAlign w:val="center"/>
                </w:tcPr>
                <w:p w14:paraId="36A8C6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bidi="ar-SA"/>
                    </w:rPr>
                  </w:pPr>
                  <w:r>
                    <w:rPr>
                      <w:rFonts w:hint="eastAsia" w:ascii="Times New Roman" w:hAnsi="Times New Roman" w:eastAsia="宋体" w:cs="Times New Roman"/>
                      <w:b/>
                      <w:bCs/>
                      <w:color w:val="auto"/>
                      <w:sz w:val="21"/>
                      <w:szCs w:val="21"/>
                      <w:highlight w:val="none"/>
                      <w:vertAlign w:val="baseline"/>
                      <w:lang w:val="en-US" w:eastAsia="zh-CN"/>
                    </w:rPr>
                    <w:t>其他去向</w:t>
                  </w:r>
                </w:p>
              </w:tc>
            </w:tr>
            <w:tr w14:paraId="053B4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noWrap w:val="0"/>
                  <w:vAlign w:val="center"/>
                </w:tcPr>
                <w:p w14:paraId="3F00243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w:t>
                  </w:r>
                </w:p>
              </w:tc>
              <w:tc>
                <w:tcPr>
                  <w:tcW w:w="609" w:type="pct"/>
                  <w:noWrap w:val="0"/>
                  <w:vAlign w:val="center"/>
                </w:tcPr>
                <w:p w14:paraId="6F92A7D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钻井</w:t>
                  </w:r>
                </w:p>
              </w:tc>
              <w:tc>
                <w:tcPr>
                  <w:tcW w:w="816" w:type="pct"/>
                  <w:noWrap w:val="0"/>
                  <w:vAlign w:val="center"/>
                </w:tcPr>
                <w:p w14:paraId="2809E40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347.5</w:t>
                  </w:r>
                </w:p>
              </w:tc>
              <w:tc>
                <w:tcPr>
                  <w:tcW w:w="563" w:type="pct"/>
                  <w:noWrap w:val="0"/>
                  <w:vAlign w:val="center"/>
                </w:tcPr>
                <w:p w14:paraId="35EBE20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340</w:t>
                  </w:r>
                </w:p>
              </w:tc>
              <w:tc>
                <w:tcPr>
                  <w:tcW w:w="601" w:type="pct"/>
                  <w:noWrap w:val="0"/>
                  <w:vAlign w:val="center"/>
                </w:tcPr>
                <w:p w14:paraId="203B825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bidi="ar-SA"/>
                    </w:rPr>
                    <w:t>/</w:t>
                  </w:r>
                </w:p>
              </w:tc>
              <w:tc>
                <w:tcPr>
                  <w:tcW w:w="513" w:type="pct"/>
                  <w:noWrap w:val="0"/>
                  <w:vAlign w:val="center"/>
                </w:tcPr>
                <w:p w14:paraId="4066F66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bidi="ar-SA"/>
                    </w:rPr>
                    <w:t>68.75</w:t>
                  </w:r>
                </w:p>
              </w:tc>
              <w:tc>
                <w:tcPr>
                  <w:tcW w:w="552" w:type="pct"/>
                  <w:noWrap w:val="0"/>
                  <w:vAlign w:val="center"/>
                </w:tcPr>
                <w:p w14:paraId="1ACD582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340</w:t>
                  </w:r>
                </w:p>
              </w:tc>
              <w:tc>
                <w:tcPr>
                  <w:tcW w:w="1082" w:type="pct"/>
                  <w:noWrap w:val="0"/>
                  <w:vAlign w:val="center"/>
                </w:tcPr>
                <w:p w14:paraId="2B15B70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278.75（委托处理）</w:t>
                  </w:r>
                </w:p>
              </w:tc>
            </w:tr>
            <w:tr w14:paraId="376A0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noWrap w:val="0"/>
                  <w:vAlign w:val="center"/>
                </w:tcPr>
                <w:p w14:paraId="45FCBA4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w:t>
                  </w:r>
                </w:p>
              </w:tc>
              <w:tc>
                <w:tcPr>
                  <w:tcW w:w="609" w:type="pct"/>
                  <w:noWrap w:val="0"/>
                  <w:vAlign w:val="center"/>
                </w:tcPr>
                <w:p w14:paraId="3369F72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洗井</w:t>
                  </w:r>
                </w:p>
              </w:tc>
              <w:tc>
                <w:tcPr>
                  <w:tcW w:w="816" w:type="pct"/>
                  <w:noWrap w:val="0"/>
                  <w:vAlign w:val="center"/>
                </w:tcPr>
                <w:p w14:paraId="623117A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174.2</w:t>
                  </w:r>
                </w:p>
              </w:tc>
              <w:tc>
                <w:tcPr>
                  <w:tcW w:w="563" w:type="pct"/>
                  <w:noWrap w:val="0"/>
                  <w:vAlign w:val="center"/>
                </w:tcPr>
                <w:p w14:paraId="47DD48B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601" w:type="pct"/>
                  <w:noWrap w:val="0"/>
                  <w:vAlign w:val="center"/>
                </w:tcPr>
                <w:p w14:paraId="2C2443B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513" w:type="pct"/>
                  <w:noWrap w:val="0"/>
                  <w:vAlign w:val="center"/>
                </w:tcPr>
                <w:p w14:paraId="2793422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bidi="ar-SA"/>
                    </w:rPr>
                    <w:t>17.42</w:t>
                  </w:r>
                </w:p>
              </w:tc>
              <w:tc>
                <w:tcPr>
                  <w:tcW w:w="552" w:type="pct"/>
                  <w:noWrap w:val="0"/>
                  <w:vAlign w:val="center"/>
                </w:tcPr>
                <w:p w14:paraId="66E3C06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1082" w:type="pct"/>
                  <w:noWrap w:val="0"/>
                  <w:vAlign w:val="center"/>
                </w:tcPr>
                <w:p w14:paraId="62F2699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i w:val="0"/>
                      <w:iCs w:val="0"/>
                      <w:color w:val="auto"/>
                      <w:sz w:val="21"/>
                      <w:szCs w:val="21"/>
                      <w:highlight w:val="none"/>
                      <w:u w:val="none"/>
                      <w:lang w:val="en-US" w:eastAsia="zh-CN"/>
                    </w:rPr>
                    <w:t>156.78</w:t>
                  </w:r>
                  <w:r>
                    <w:rPr>
                      <w:rFonts w:hint="eastAsia" w:ascii="Times New Roman" w:hAnsi="Times New Roman" w:eastAsia="宋体" w:cs="Times New Roman"/>
                      <w:b w:val="0"/>
                      <w:bCs w:val="0"/>
                      <w:color w:val="auto"/>
                      <w:sz w:val="21"/>
                      <w:szCs w:val="21"/>
                      <w:highlight w:val="none"/>
                      <w:vertAlign w:val="baseline"/>
                      <w:lang w:val="en-US" w:eastAsia="zh-CN"/>
                    </w:rPr>
                    <w:t>（委托处理）</w:t>
                  </w:r>
                </w:p>
              </w:tc>
            </w:tr>
            <w:tr w14:paraId="3E757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noWrap w:val="0"/>
                  <w:vAlign w:val="center"/>
                </w:tcPr>
                <w:p w14:paraId="00036B2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3</w:t>
                  </w:r>
                </w:p>
              </w:tc>
              <w:tc>
                <w:tcPr>
                  <w:tcW w:w="609" w:type="pct"/>
                  <w:noWrap w:val="0"/>
                  <w:vAlign w:val="center"/>
                </w:tcPr>
                <w:p w14:paraId="2302184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射孔</w:t>
                  </w:r>
                </w:p>
              </w:tc>
              <w:tc>
                <w:tcPr>
                  <w:tcW w:w="816" w:type="pct"/>
                  <w:noWrap w:val="0"/>
                  <w:vAlign w:val="center"/>
                </w:tcPr>
                <w:p w14:paraId="1DF5954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563" w:type="pct"/>
                  <w:noWrap w:val="0"/>
                  <w:vAlign w:val="center"/>
                </w:tcPr>
                <w:p w14:paraId="28DBF59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bidi="ar-SA"/>
                    </w:rPr>
                    <w:t>/</w:t>
                  </w:r>
                </w:p>
              </w:tc>
              <w:tc>
                <w:tcPr>
                  <w:tcW w:w="601" w:type="pct"/>
                  <w:noWrap w:val="0"/>
                  <w:vAlign w:val="center"/>
                </w:tcPr>
                <w:p w14:paraId="30F9232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（116.15外购成品带入）</w:t>
                  </w:r>
                </w:p>
              </w:tc>
              <w:tc>
                <w:tcPr>
                  <w:tcW w:w="513" w:type="pct"/>
                  <w:noWrap w:val="0"/>
                  <w:vAlign w:val="center"/>
                </w:tcPr>
                <w:p w14:paraId="4859E6D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bidi="ar-SA"/>
                    </w:rPr>
                    <w:t>11.65</w:t>
                  </w:r>
                </w:p>
              </w:tc>
              <w:tc>
                <w:tcPr>
                  <w:tcW w:w="552" w:type="pct"/>
                  <w:noWrap w:val="0"/>
                  <w:vAlign w:val="center"/>
                </w:tcPr>
                <w:p w14:paraId="742199E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bidi="ar-SA"/>
                    </w:rPr>
                    <w:t>/</w:t>
                  </w:r>
                </w:p>
              </w:tc>
              <w:tc>
                <w:tcPr>
                  <w:tcW w:w="1082" w:type="pct"/>
                  <w:noWrap w:val="0"/>
                  <w:vAlign w:val="center"/>
                </w:tcPr>
                <w:p w14:paraId="1D9E37C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bidi="ar-SA"/>
                    </w:rPr>
                    <w:t>104.5（委托处理）</w:t>
                  </w:r>
                </w:p>
              </w:tc>
            </w:tr>
            <w:tr w14:paraId="2DEA6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noWrap w:val="0"/>
                  <w:vAlign w:val="center"/>
                </w:tcPr>
                <w:p w14:paraId="546FC00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4</w:t>
                  </w:r>
                </w:p>
              </w:tc>
              <w:tc>
                <w:tcPr>
                  <w:tcW w:w="609" w:type="pct"/>
                  <w:noWrap w:val="0"/>
                  <w:vAlign w:val="center"/>
                </w:tcPr>
                <w:p w14:paraId="7006AD5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压裂</w:t>
                  </w:r>
                </w:p>
              </w:tc>
              <w:tc>
                <w:tcPr>
                  <w:tcW w:w="816" w:type="pct"/>
                  <w:noWrap w:val="0"/>
                  <w:vAlign w:val="center"/>
                </w:tcPr>
                <w:p w14:paraId="60137FA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9</w:t>
                  </w:r>
                  <w:r>
                    <w:rPr>
                      <w:rFonts w:hint="default" w:ascii="Times New Roman" w:hAnsi="Times New Roman" w:eastAsia="宋体" w:cs="Times New Roman"/>
                      <w:i w:val="0"/>
                      <w:iCs w:val="0"/>
                      <w:color w:val="auto"/>
                      <w:kern w:val="0"/>
                      <w:sz w:val="21"/>
                      <w:szCs w:val="21"/>
                      <w:highlight w:val="none"/>
                      <w:u w:val="none"/>
                      <w:lang w:val="en-US" w:eastAsia="zh-CN" w:bidi="ar"/>
                    </w:rPr>
                    <w:t>00</w:t>
                  </w:r>
                </w:p>
              </w:tc>
              <w:tc>
                <w:tcPr>
                  <w:tcW w:w="563" w:type="pct"/>
                  <w:noWrap w:val="0"/>
                  <w:vAlign w:val="center"/>
                </w:tcPr>
                <w:p w14:paraId="7CD5A1F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601" w:type="pct"/>
                  <w:noWrap w:val="0"/>
                  <w:vAlign w:val="center"/>
                </w:tcPr>
                <w:p w14:paraId="539F918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压裂液100</w:t>
                  </w:r>
                </w:p>
              </w:tc>
              <w:tc>
                <w:tcPr>
                  <w:tcW w:w="513" w:type="pct"/>
                  <w:noWrap w:val="0"/>
                  <w:vAlign w:val="center"/>
                </w:tcPr>
                <w:p w14:paraId="1B8C435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200</w:t>
                  </w:r>
                </w:p>
              </w:tc>
              <w:tc>
                <w:tcPr>
                  <w:tcW w:w="552" w:type="pct"/>
                  <w:noWrap w:val="0"/>
                  <w:vAlign w:val="center"/>
                </w:tcPr>
                <w:p w14:paraId="4821DBA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1082" w:type="pct"/>
                  <w:noWrap w:val="0"/>
                  <w:vAlign w:val="center"/>
                </w:tcPr>
                <w:p w14:paraId="2B8F095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800（委托处理）</w:t>
                  </w:r>
                </w:p>
              </w:tc>
            </w:tr>
            <w:tr w14:paraId="21DC6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noWrap w:val="0"/>
                  <w:vAlign w:val="center"/>
                </w:tcPr>
                <w:p w14:paraId="0AA3B4B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5</w:t>
                  </w:r>
                </w:p>
              </w:tc>
              <w:tc>
                <w:tcPr>
                  <w:tcW w:w="609" w:type="pct"/>
                  <w:noWrap w:val="0"/>
                  <w:vAlign w:val="center"/>
                </w:tcPr>
                <w:p w14:paraId="2A594F8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气液分离</w:t>
                  </w:r>
                </w:p>
              </w:tc>
              <w:tc>
                <w:tcPr>
                  <w:tcW w:w="816" w:type="pct"/>
                  <w:noWrap w:val="0"/>
                  <w:vAlign w:val="center"/>
                </w:tcPr>
                <w:p w14:paraId="1D47AAE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563" w:type="pct"/>
                  <w:noWrap w:val="0"/>
                  <w:vAlign w:val="center"/>
                </w:tcPr>
                <w:p w14:paraId="5CB3A46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601" w:type="pct"/>
                  <w:noWrap w:val="0"/>
                  <w:vAlign w:val="center"/>
                </w:tcPr>
                <w:p w14:paraId="6EFC30D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5（采出带出）</w:t>
                  </w:r>
                </w:p>
              </w:tc>
              <w:tc>
                <w:tcPr>
                  <w:tcW w:w="513" w:type="pct"/>
                  <w:noWrap w:val="0"/>
                  <w:vAlign w:val="center"/>
                </w:tcPr>
                <w:p w14:paraId="086E266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552" w:type="pct"/>
                  <w:noWrap w:val="0"/>
                  <w:vAlign w:val="center"/>
                </w:tcPr>
                <w:p w14:paraId="610E438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1082" w:type="pct"/>
                  <w:noWrap w:val="0"/>
                  <w:vAlign w:val="center"/>
                </w:tcPr>
                <w:p w14:paraId="0C2EB95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5（委托处理）</w:t>
                  </w:r>
                </w:p>
              </w:tc>
            </w:tr>
            <w:tr w14:paraId="55326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261" w:type="pct"/>
                  <w:noWrap w:val="0"/>
                  <w:vAlign w:val="center"/>
                </w:tcPr>
                <w:p w14:paraId="1399442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6</w:t>
                  </w:r>
                </w:p>
              </w:tc>
              <w:tc>
                <w:tcPr>
                  <w:tcW w:w="609" w:type="pct"/>
                  <w:noWrap w:val="0"/>
                  <w:vAlign w:val="center"/>
                </w:tcPr>
                <w:p w14:paraId="535A361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放喷</w:t>
                  </w:r>
                </w:p>
              </w:tc>
              <w:tc>
                <w:tcPr>
                  <w:tcW w:w="816" w:type="pct"/>
                  <w:noWrap w:val="0"/>
                  <w:vAlign w:val="center"/>
                </w:tcPr>
                <w:p w14:paraId="3BE1BE6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563" w:type="pct"/>
                  <w:noWrap w:val="0"/>
                  <w:vAlign w:val="center"/>
                </w:tcPr>
                <w:p w14:paraId="01368FC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601" w:type="pct"/>
                  <w:noWrap w:val="0"/>
                  <w:vAlign w:val="center"/>
                </w:tcPr>
                <w:p w14:paraId="1E1F8D1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2（天然气燃烧产生）</w:t>
                  </w:r>
                </w:p>
              </w:tc>
              <w:tc>
                <w:tcPr>
                  <w:tcW w:w="513" w:type="pct"/>
                  <w:noWrap w:val="0"/>
                  <w:vAlign w:val="center"/>
                </w:tcPr>
                <w:p w14:paraId="05BABA9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552" w:type="pct"/>
                  <w:noWrap w:val="0"/>
                  <w:vAlign w:val="center"/>
                </w:tcPr>
                <w:p w14:paraId="0CC095B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1082" w:type="pct"/>
                  <w:noWrap w:val="0"/>
                  <w:vAlign w:val="center"/>
                </w:tcPr>
                <w:p w14:paraId="4095409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2（委托处理）</w:t>
                  </w:r>
                </w:p>
              </w:tc>
            </w:tr>
            <w:tr w14:paraId="23FFA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noWrap w:val="0"/>
                  <w:vAlign w:val="center"/>
                </w:tcPr>
                <w:p w14:paraId="355D332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7</w:t>
                  </w:r>
                </w:p>
              </w:tc>
              <w:tc>
                <w:tcPr>
                  <w:tcW w:w="609" w:type="pct"/>
                  <w:noWrap w:val="0"/>
                  <w:vAlign w:val="center"/>
                </w:tcPr>
                <w:p w14:paraId="09868A4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放喷冷却</w:t>
                  </w:r>
                </w:p>
              </w:tc>
              <w:tc>
                <w:tcPr>
                  <w:tcW w:w="816" w:type="pct"/>
                  <w:noWrap w:val="0"/>
                  <w:vAlign w:val="center"/>
                </w:tcPr>
                <w:p w14:paraId="3F23FFA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w:t>
                  </w:r>
                </w:p>
              </w:tc>
              <w:tc>
                <w:tcPr>
                  <w:tcW w:w="563" w:type="pct"/>
                  <w:noWrap w:val="0"/>
                  <w:vAlign w:val="center"/>
                </w:tcPr>
                <w:p w14:paraId="090214F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601" w:type="pct"/>
                  <w:noWrap w:val="0"/>
                  <w:vAlign w:val="center"/>
                </w:tcPr>
                <w:p w14:paraId="7A2C443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513" w:type="pct"/>
                  <w:noWrap w:val="0"/>
                  <w:vAlign w:val="center"/>
                </w:tcPr>
                <w:p w14:paraId="45959E1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552" w:type="pct"/>
                  <w:noWrap w:val="0"/>
                  <w:vAlign w:val="center"/>
                </w:tcPr>
                <w:p w14:paraId="7708274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1082" w:type="pct"/>
                  <w:noWrap w:val="0"/>
                  <w:vAlign w:val="center"/>
                </w:tcPr>
                <w:p w14:paraId="3C420C5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5（洒水降尘）</w:t>
                  </w:r>
                </w:p>
              </w:tc>
            </w:tr>
            <w:tr w14:paraId="3FFCF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noWrap w:val="0"/>
                  <w:vAlign w:val="center"/>
                </w:tcPr>
                <w:p w14:paraId="6CCB3C3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8</w:t>
                  </w:r>
                </w:p>
              </w:tc>
              <w:tc>
                <w:tcPr>
                  <w:tcW w:w="609" w:type="pct"/>
                  <w:noWrap w:val="0"/>
                  <w:vAlign w:val="center"/>
                </w:tcPr>
                <w:p w14:paraId="1D0DEEA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生活</w:t>
                  </w:r>
                </w:p>
              </w:tc>
              <w:tc>
                <w:tcPr>
                  <w:tcW w:w="816" w:type="pct"/>
                  <w:noWrap w:val="0"/>
                  <w:vAlign w:val="center"/>
                </w:tcPr>
                <w:p w14:paraId="419DB61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113.75</w:t>
                  </w:r>
                </w:p>
              </w:tc>
              <w:tc>
                <w:tcPr>
                  <w:tcW w:w="563" w:type="pct"/>
                  <w:noWrap w:val="0"/>
                  <w:vAlign w:val="center"/>
                </w:tcPr>
                <w:p w14:paraId="168C896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601" w:type="pct"/>
                  <w:noWrap w:val="0"/>
                  <w:vAlign w:val="center"/>
                </w:tcPr>
                <w:p w14:paraId="73FF46F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513" w:type="pct"/>
                  <w:noWrap w:val="0"/>
                  <w:vAlign w:val="center"/>
                </w:tcPr>
                <w:p w14:paraId="648CCFD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bidi="ar-SA"/>
                    </w:rPr>
                    <w:t>22.75</w:t>
                  </w:r>
                </w:p>
              </w:tc>
              <w:tc>
                <w:tcPr>
                  <w:tcW w:w="552" w:type="pct"/>
                  <w:noWrap w:val="0"/>
                  <w:vAlign w:val="center"/>
                </w:tcPr>
                <w:p w14:paraId="3E28523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1082" w:type="pct"/>
                  <w:noWrap w:val="0"/>
                  <w:vAlign w:val="center"/>
                </w:tcPr>
                <w:p w14:paraId="7F46CD4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bidi="ar-SA"/>
                    </w:rPr>
                    <w:t>91（定期清掏用作农肥，洒水降尘）</w:t>
                  </w:r>
                </w:p>
              </w:tc>
            </w:tr>
            <w:tr w14:paraId="1EDE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noWrap w:val="0"/>
                  <w:vAlign w:val="center"/>
                </w:tcPr>
                <w:p w14:paraId="453E63F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9</w:t>
                  </w:r>
                </w:p>
              </w:tc>
              <w:tc>
                <w:tcPr>
                  <w:tcW w:w="609" w:type="pct"/>
                  <w:noWrap w:val="0"/>
                  <w:vAlign w:val="center"/>
                </w:tcPr>
                <w:p w14:paraId="4B1CC3E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合计</w:t>
                  </w:r>
                </w:p>
              </w:tc>
              <w:tc>
                <w:tcPr>
                  <w:tcW w:w="816" w:type="pct"/>
                  <w:noWrap w:val="0"/>
                  <w:vAlign w:val="center"/>
                </w:tcPr>
                <w:p w14:paraId="433D0C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1540.45</w:t>
                  </w:r>
                </w:p>
              </w:tc>
              <w:tc>
                <w:tcPr>
                  <w:tcW w:w="563" w:type="pct"/>
                  <w:noWrap w:val="0"/>
                  <w:vAlign w:val="center"/>
                </w:tcPr>
                <w:p w14:paraId="755D66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340</w:t>
                  </w:r>
                </w:p>
              </w:tc>
              <w:tc>
                <w:tcPr>
                  <w:tcW w:w="601" w:type="pct"/>
                  <w:noWrap w:val="0"/>
                  <w:vAlign w:val="center"/>
                </w:tcPr>
                <w:p w14:paraId="116AA1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123.15</w:t>
                  </w:r>
                </w:p>
              </w:tc>
              <w:tc>
                <w:tcPr>
                  <w:tcW w:w="513" w:type="pct"/>
                  <w:noWrap w:val="0"/>
                  <w:vAlign w:val="center"/>
                </w:tcPr>
                <w:p w14:paraId="7132E4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220.57</w:t>
                  </w:r>
                </w:p>
              </w:tc>
              <w:tc>
                <w:tcPr>
                  <w:tcW w:w="552" w:type="pct"/>
                  <w:noWrap w:val="0"/>
                  <w:vAlign w:val="center"/>
                </w:tcPr>
                <w:p w14:paraId="10534E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082" w:type="pct"/>
                  <w:noWrap w:val="0"/>
                  <w:vAlign w:val="center"/>
                </w:tcPr>
                <w:p w14:paraId="2BE7DB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1443.03</w:t>
                  </w:r>
                </w:p>
              </w:tc>
            </w:tr>
          </w:tbl>
          <w:p w14:paraId="65D2BC7F">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p w14:paraId="4CE0EAAC">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p w14:paraId="6588F353">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object>
                <v:shape id="_x0000_i1026" o:spt="75" type="#_x0000_t75" style="height:394.8pt;width:418.7pt;" o:ole="t" filled="f" o:preferrelative="t" stroked="f" coordsize="21600,21600">
                  <v:path/>
                  <v:fill on="f" focussize="0,0"/>
                  <v:stroke on="f"/>
                  <v:imagedata r:id="rId10" o:title=""/>
                  <o:lock v:ext="edit" aspectratio="f"/>
                  <w10:wrap type="none"/>
                  <w10:anchorlock/>
                </v:shape>
                <o:OLEObject Type="Embed" ProgID="Visio.Drawing.15" ShapeID="_x0000_i1026" DrawAspect="Content" ObjectID="_1468075726" r:id="rId9">
                  <o:LockedField>false</o:LockedField>
                </o:OLEObject>
              </w:object>
            </w:r>
          </w:p>
          <w:p w14:paraId="6AB38560">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图2-</w:t>
            </w:r>
            <w:r>
              <w:rPr>
                <w:rFonts w:hint="eastAsia" w:ascii="Times New Roman" w:hAnsi="Times New Roman" w:cs="Times New Roman"/>
                <w:b/>
                <w:bCs/>
                <w:color w:val="auto"/>
                <w:kern w:val="0"/>
                <w:sz w:val="24"/>
                <w:szCs w:val="24"/>
                <w:highlight w:val="none"/>
                <w:lang w:val="en-US" w:eastAsia="zh-CN" w:bidi="ar"/>
              </w:rPr>
              <w:t>4</w:t>
            </w:r>
            <w:r>
              <w:rPr>
                <w:rFonts w:hint="default" w:ascii="Times New Roman" w:hAnsi="Times New Roman" w:eastAsia="宋体" w:cs="Times New Roman"/>
                <w:b/>
                <w:bCs/>
                <w:color w:val="auto"/>
                <w:kern w:val="0"/>
                <w:sz w:val="24"/>
                <w:szCs w:val="24"/>
                <w:highlight w:val="none"/>
                <w:lang w:val="en-US" w:eastAsia="zh-CN" w:bidi="ar"/>
              </w:rPr>
              <w:t xml:space="preserve"> 项目</w:t>
            </w:r>
            <w:r>
              <w:rPr>
                <w:rFonts w:hint="eastAsia" w:ascii="Times New Roman" w:hAnsi="Times New Roman" w:cs="Times New Roman"/>
                <w:b/>
                <w:bCs/>
                <w:color w:val="auto"/>
                <w:kern w:val="0"/>
                <w:sz w:val="24"/>
                <w:szCs w:val="24"/>
                <w:highlight w:val="none"/>
                <w:lang w:val="en-US" w:eastAsia="zh-CN" w:bidi="ar"/>
              </w:rPr>
              <w:t>其他用</w:t>
            </w:r>
            <w:r>
              <w:rPr>
                <w:rFonts w:hint="default" w:ascii="Times New Roman" w:hAnsi="Times New Roman" w:eastAsia="宋体" w:cs="Times New Roman"/>
                <w:b/>
                <w:bCs/>
                <w:color w:val="auto"/>
                <w:kern w:val="0"/>
                <w:sz w:val="24"/>
                <w:szCs w:val="24"/>
                <w:highlight w:val="none"/>
                <w:lang w:val="en-US" w:eastAsia="zh-CN" w:bidi="ar"/>
              </w:rPr>
              <w:t>水平衡图（单位：m</w:t>
            </w:r>
            <w:r>
              <w:rPr>
                <w:rFonts w:hint="default" w:ascii="Times New Roman" w:hAnsi="Times New Roman" w:eastAsia="宋体" w:cs="Times New Roman"/>
                <w:b/>
                <w:bCs/>
                <w:color w:val="auto"/>
                <w:kern w:val="0"/>
                <w:sz w:val="24"/>
                <w:szCs w:val="24"/>
                <w:highlight w:val="none"/>
                <w:vertAlign w:val="superscript"/>
                <w:lang w:val="en-US" w:eastAsia="zh-CN" w:bidi="ar"/>
              </w:rPr>
              <w:t>3</w:t>
            </w:r>
            <w:r>
              <w:rPr>
                <w:rFonts w:hint="default" w:ascii="Times New Roman" w:hAnsi="Times New Roman" w:eastAsia="宋体" w:cs="Times New Roman"/>
                <w:b/>
                <w:bCs/>
                <w:color w:val="auto"/>
                <w:kern w:val="0"/>
                <w:sz w:val="24"/>
                <w:szCs w:val="24"/>
                <w:highlight w:val="none"/>
                <w:lang w:val="en-US" w:eastAsia="zh-CN" w:bidi="ar"/>
              </w:rPr>
              <w:t>）</w:t>
            </w:r>
          </w:p>
          <w:p w14:paraId="1B8A7401">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3、供电</w:t>
            </w:r>
          </w:p>
          <w:p w14:paraId="320AF85D">
            <w:pPr>
              <w:keepNext w:val="0"/>
              <w:keepLines w:val="0"/>
              <w:widowControl w:val="0"/>
              <w:suppressLineNumbers w:val="0"/>
              <w:tabs>
                <w:tab w:val="center" w:pos="4200"/>
              </w:tabs>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项目施工期由</w:t>
            </w:r>
            <w:r>
              <w:rPr>
                <w:rFonts w:hint="eastAsia" w:ascii="Times New Roman" w:hAnsi="Times New Roman" w:cs="Times New Roman"/>
                <w:color w:val="auto"/>
                <w:kern w:val="0"/>
                <w:sz w:val="24"/>
                <w:szCs w:val="24"/>
                <w:highlight w:val="none"/>
                <w:lang w:val="en-US" w:eastAsia="zh-CN" w:bidi="ar"/>
              </w:rPr>
              <w:t>评价井井场接入的</w:t>
            </w:r>
            <w:r>
              <w:rPr>
                <w:rFonts w:hint="default" w:ascii="Times New Roman" w:hAnsi="Times New Roman" w:eastAsia="宋体" w:cs="Times New Roman"/>
                <w:color w:val="auto"/>
                <w:kern w:val="0"/>
                <w:sz w:val="24"/>
                <w:szCs w:val="24"/>
                <w:highlight w:val="none"/>
                <w:lang w:val="en-US" w:eastAsia="zh-CN" w:bidi="ar"/>
              </w:rPr>
              <w:t>电网</w:t>
            </w:r>
            <w:r>
              <w:rPr>
                <w:rFonts w:hint="eastAsia" w:ascii="Times New Roman" w:hAnsi="Times New Roman" w:cs="Times New Roman"/>
                <w:color w:val="auto"/>
                <w:kern w:val="0"/>
                <w:sz w:val="24"/>
                <w:szCs w:val="24"/>
                <w:highlight w:val="none"/>
                <w:lang w:val="en-US" w:eastAsia="zh-CN" w:bidi="ar"/>
              </w:rPr>
              <w:t>提供</w:t>
            </w:r>
            <w:r>
              <w:rPr>
                <w:rFonts w:hint="default" w:ascii="Times New Roman" w:hAnsi="Times New Roman" w:eastAsia="宋体" w:cs="Times New Roman"/>
                <w:color w:val="auto"/>
                <w:kern w:val="0"/>
                <w:sz w:val="24"/>
                <w:szCs w:val="24"/>
                <w:highlight w:val="none"/>
                <w:lang w:val="en-US" w:eastAsia="zh-CN" w:bidi="ar"/>
              </w:rPr>
              <w:t>供电。</w:t>
            </w:r>
          </w:p>
          <w:p w14:paraId="67BF6CBE">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4、供暖</w:t>
            </w:r>
          </w:p>
          <w:p w14:paraId="281B8762">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项目冬季</w:t>
            </w:r>
            <w:r>
              <w:rPr>
                <w:rFonts w:hint="eastAsia" w:ascii="Times New Roman" w:hAnsi="Times New Roman" w:cs="Times New Roman"/>
                <w:color w:val="auto"/>
                <w:kern w:val="0"/>
                <w:sz w:val="24"/>
                <w:szCs w:val="24"/>
                <w:highlight w:val="none"/>
                <w:lang w:val="en-US" w:eastAsia="zh-CN" w:bidi="ar"/>
              </w:rPr>
              <w:t>不施工，无需采暖</w:t>
            </w:r>
            <w:r>
              <w:rPr>
                <w:rFonts w:hint="default" w:ascii="Times New Roman" w:hAnsi="Times New Roman" w:eastAsia="宋体" w:cs="Times New Roman"/>
                <w:color w:val="auto"/>
                <w:kern w:val="0"/>
                <w:sz w:val="24"/>
                <w:szCs w:val="24"/>
                <w:highlight w:val="none"/>
                <w:lang w:val="en-US" w:eastAsia="zh-CN" w:bidi="ar"/>
              </w:rPr>
              <w:t>。</w:t>
            </w:r>
          </w:p>
          <w:p w14:paraId="409E0993">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八、劳动定员及工作制度</w:t>
            </w:r>
          </w:p>
          <w:p w14:paraId="0858B423">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钻井期间单井施工人数35人，每天连续工作24小时，三班两倒，单井工期为</w:t>
            </w:r>
            <w:r>
              <w:rPr>
                <w:rFonts w:hint="eastAsia" w:ascii="Times New Roman" w:hAnsi="Times New Roman" w:cs="Times New Roman"/>
                <w:color w:val="auto"/>
                <w:kern w:val="0"/>
                <w:sz w:val="24"/>
                <w:szCs w:val="24"/>
                <w:highlight w:val="none"/>
                <w:lang w:val="en-US" w:eastAsia="zh-CN" w:bidi="ar"/>
              </w:rPr>
              <w:t>50</w:t>
            </w:r>
            <w:r>
              <w:rPr>
                <w:rFonts w:hint="default" w:ascii="Times New Roman" w:hAnsi="Times New Roman" w:eastAsia="宋体" w:cs="Times New Roman"/>
                <w:color w:val="auto"/>
                <w:kern w:val="0"/>
                <w:sz w:val="24"/>
                <w:szCs w:val="24"/>
                <w:highlight w:val="none"/>
                <w:lang w:val="en-US" w:eastAsia="zh-CN" w:bidi="ar"/>
              </w:rPr>
              <w:t>天。</w:t>
            </w:r>
            <w:r>
              <w:rPr>
                <w:rFonts w:hint="eastAsia" w:ascii="Times New Roman" w:hAnsi="Times New Roman" w:cs="Times New Roman"/>
                <w:color w:val="auto"/>
                <w:kern w:val="0"/>
                <w:sz w:val="24"/>
                <w:szCs w:val="24"/>
                <w:highlight w:val="none"/>
                <w:lang w:val="en-US" w:eastAsia="zh-CN" w:bidi="ar"/>
              </w:rPr>
              <w:t>本项目共1口井，不分批进行。</w:t>
            </w:r>
          </w:p>
        </w:tc>
      </w:tr>
      <w:tr w14:paraId="3F7C8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22F3EC3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总平面及现场布置</w:t>
            </w:r>
          </w:p>
        </w:tc>
        <w:tc>
          <w:tcPr>
            <w:tcW w:w="8597" w:type="dxa"/>
            <w:tcBorders>
              <w:top w:val="single" w:color="auto" w:sz="4" w:space="0"/>
              <w:left w:val="single" w:color="auto" w:sz="4" w:space="0"/>
              <w:bottom w:val="single" w:color="auto" w:sz="4" w:space="0"/>
              <w:right w:val="single" w:color="auto" w:sz="4" w:space="0"/>
            </w:tcBorders>
            <w:noWrap w:val="0"/>
            <w:vAlign w:val="center"/>
          </w:tcPr>
          <w:p w14:paraId="4FA3B86B">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1、工程布局</w:t>
            </w:r>
          </w:p>
          <w:p w14:paraId="4A422469">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工程主要由钻前工程和钻井工程两大部分组成。井场主要设备设施包括井口、钻井工作区、储罐区、材料区等。整体布置符合《钻前工程及井场布置技术要求》（SY/T5466-2013）。井场平面布置见附图。</w:t>
            </w:r>
          </w:p>
          <w:p w14:paraId="41B97B3E">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2、施工布置</w:t>
            </w:r>
          </w:p>
          <w:p w14:paraId="10CB5612">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（1）项目占地</w:t>
            </w:r>
          </w:p>
          <w:p w14:paraId="4902F842">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val="0"/>
                <w:bCs w:val="0"/>
                <w:color w:val="auto"/>
                <w:sz w:val="24"/>
                <w:szCs w:val="24"/>
                <w:highlight w:val="none"/>
                <w:vertAlign w:val="baseline"/>
                <w:lang w:val="en-US" w:eastAsia="zh-CN"/>
              </w:rPr>
              <w:t>探井项目现阶段为临时占地。若探井有开采价值应办理临时借地转征手续；若无开采价值，应及时办理土地复垦手续。</w:t>
            </w:r>
          </w:p>
          <w:p w14:paraId="44954ED2">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（2）项目土石方平衡</w:t>
            </w:r>
          </w:p>
          <w:p w14:paraId="65AAE81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本项目涉及的土方项目主要为井场施工、井场平整及施工生活区。项目土石方量见下表：</w:t>
            </w:r>
          </w:p>
          <w:p w14:paraId="7595DDE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superscript"/>
                <w:lang w:val="en-US" w:eastAsia="zh-CN"/>
              </w:rPr>
            </w:pPr>
            <w:r>
              <w:rPr>
                <w:rFonts w:hint="default" w:ascii="Times New Roman" w:hAnsi="Times New Roman" w:eastAsia="宋体" w:cs="Times New Roman"/>
                <w:b/>
                <w:bCs/>
                <w:color w:val="auto"/>
                <w:sz w:val="21"/>
                <w:szCs w:val="21"/>
                <w:highlight w:val="none"/>
                <w:vertAlign w:val="baseline"/>
                <w:lang w:val="en-US" w:eastAsia="zh-CN"/>
              </w:rPr>
              <w:t>表2-1</w:t>
            </w:r>
            <w:r>
              <w:rPr>
                <w:rFonts w:hint="eastAsia" w:ascii="Times New Roman" w:hAnsi="Times New Roman" w:eastAsia="宋体" w:cs="Times New Roman"/>
                <w:b/>
                <w:bCs/>
                <w:color w:val="auto"/>
                <w:sz w:val="21"/>
                <w:szCs w:val="21"/>
                <w:highlight w:val="none"/>
                <w:vertAlign w:val="baseline"/>
                <w:lang w:val="en-US" w:eastAsia="zh-CN"/>
              </w:rPr>
              <w:t>8</w:t>
            </w:r>
            <w:r>
              <w:rPr>
                <w:rFonts w:hint="default" w:ascii="Times New Roman" w:hAnsi="Times New Roman" w:eastAsia="宋体" w:cs="Times New Roman"/>
                <w:b/>
                <w:bCs/>
                <w:color w:val="auto"/>
                <w:sz w:val="21"/>
                <w:szCs w:val="21"/>
                <w:highlight w:val="none"/>
                <w:vertAlign w:val="baseline"/>
                <w:lang w:val="en-US" w:eastAsia="zh-CN"/>
              </w:rPr>
              <w:t xml:space="preserve">  项目土石方平衡（不含表土）</w:t>
            </w:r>
            <w:r>
              <w:rPr>
                <w:rFonts w:hint="eastAsia" w:ascii="Times New Roman" w:hAnsi="Times New Roman" w:eastAsia="宋体" w:cs="Times New Roman"/>
                <w:b/>
                <w:bCs/>
                <w:color w:val="auto"/>
                <w:sz w:val="21"/>
                <w:szCs w:val="21"/>
                <w:highlight w:val="none"/>
                <w:vertAlign w:val="baseline"/>
                <w:lang w:val="en-US" w:eastAsia="zh-CN"/>
              </w:rPr>
              <w:t xml:space="preserve">    单位：m</w:t>
            </w:r>
            <w:r>
              <w:rPr>
                <w:rFonts w:hint="eastAsia" w:ascii="Times New Roman" w:hAnsi="Times New Roman" w:eastAsia="宋体" w:cs="Times New Roman"/>
                <w:b/>
                <w:bCs/>
                <w:color w:val="auto"/>
                <w:sz w:val="21"/>
                <w:szCs w:val="21"/>
                <w:highlight w:val="none"/>
                <w:vertAlign w:val="superscript"/>
                <w:lang w:val="en-US" w:eastAsia="zh-CN"/>
              </w:rPr>
              <w:t>3</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041"/>
              <w:gridCol w:w="859"/>
              <w:gridCol w:w="990"/>
              <w:gridCol w:w="1044"/>
              <w:gridCol w:w="1237"/>
              <w:gridCol w:w="813"/>
              <w:gridCol w:w="810"/>
              <w:gridCol w:w="1080"/>
            </w:tblGrid>
            <w:tr w14:paraId="5BB3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 w:type="pct"/>
                  <w:vMerge w:val="restart"/>
                  <w:tcBorders>
                    <w:top w:val="single" w:color="auto" w:sz="4" w:space="0"/>
                    <w:left w:val="single" w:color="auto" w:sz="4" w:space="0"/>
                    <w:bottom w:val="single" w:color="auto" w:sz="4" w:space="0"/>
                    <w:right w:val="single" w:color="auto" w:sz="4" w:space="0"/>
                  </w:tcBorders>
                  <w:noWrap w:val="0"/>
                  <w:vAlign w:val="center"/>
                </w:tcPr>
                <w:p w14:paraId="14D78717">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序号</w:t>
                  </w:r>
                </w:p>
              </w:tc>
              <w:tc>
                <w:tcPr>
                  <w:tcW w:w="622" w:type="pct"/>
                  <w:vMerge w:val="restart"/>
                  <w:tcBorders>
                    <w:top w:val="single" w:color="auto" w:sz="4" w:space="0"/>
                    <w:left w:val="single" w:color="auto" w:sz="4" w:space="0"/>
                    <w:bottom w:val="single" w:color="auto" w:sz="4" w:space="0"/>
                    <w:right w:val="single" w:color="auto" w:sz="4" w:space="0"/>
                  </w:tcBorders>
                  <w:noWrap w:val="0"/>
                  <w:vAlign w:val="center"/>
                </w:tcPr>
                <w:p w14:paraId="40861CB3">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井场名称</w:t>
                  </w:r>
                </w:p>
              </w:tc>
              <w:tc>
                <w:tcPr>
                  <w:tcW w:w="513" w:type="pct"/>
                  <w:vMerge w:val="restart"/>
                  <w:tcBorders>
                    <w:top w:val="single" w:color="auto" w:sz="4" w:space="0"/>
                    <w:left w:val="single" w:color="auto" w:sz="4" w:space="0"/>
                    <w:bottom w:val="single" w:color="auto" w:sz="4" w:space="0"/>
                    <w:right w:val="single" w:color="auto" w:sz="4" w:space="0"/>
                  </w:tcBorders>
                  <w:noWrap w:val="0"/>
                  <w:vAlign w:val="center"/>
                </w:tcPr>
                <w:p w14:paraId="2BEEC116">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类别</w:t>
                  </w:r>
                </w:p>
              </w:tc>
              <w:tc>
                <w:tcPr>
                  <w:tcW w:w="591" w:type="pct"/>
                  <w:vMerge w:val="restart"/>
                  <w:tcBorders>
                    <w:top w:val="single" w:color="auto" w:sz="4" w:space="0"/>
                    <w:left w:val="single" w:color="auto" w:sz="4" w:space="0"/>
                    <w:bottom w:val="single" w:color="auto" w:sz="4" w:space="0"/>
                    <w:right w:val="single" w:color="auto" w:sz="4" w:space="0"/>
                  </w:tcBorders>
                  <w:noWrap w:val="0"/>
                  <w:vAlign w:val="center"/>
                </w:tcPr>
                <w:p w14:paraId="601F78E7">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表土</w:t>
                  </w:r>
                </w:p>
              </w:tc>
              <w:tc>
                <w:tcPr>
                  <w:tcW w:w="2332" w:type="pct"/>
                  <w:gridSpan w:val="4"/>
                  <w:tcBorders>
                    <w:top w:val="single" w:color="auto" w:sz="4" w:space="0"/>
                    <w:left w:val="single" w:color="auto" w:sz="4" w:space="0"/>
                    <w:bottom w:val="single" w:color="auto" w:sz="4" w:space="0"/>
                    <w:right w:val="single" w:color="auto" w:sz="4" w:space="0"/>
                  </w:tcBorders>
                  <w:noWrap w:val="0"/>
                  <w:vAlign w:val="center"/>
                </w:tcPr>
                <w:p w14:paraId="3C54D6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一般土石方</w:t>
                  </w:r>
                </w:p>
              </w:tc>
              <w:tc>
                <w:tcPr>
                  <w:tcW w:w="645" w:type="pct"/>
                  <w:vMerge w:val="restart"/>
                  <w:tcBorders>
                    <w:top w:val="single" w:color="auto" w:sz="4" w:space="0"/>
                    <w:left w:val="single" w:color="auto" w:sz="4" w:space="0"/>
                    <w:right w:val="single" w:color="auto" w:sz="4" w:space="0"/>
                  </w:tcBorders>
                  <w:noWrap w:val="0"/>
                  <w:vAlign w:val="center"/>
                </w:tcPr>
                <w:p w14:paraId="0D2E87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备注</w:t>
                  </w:r>
                </w:p>
              </w:tc>
            </w:tr>
            <w:tr w14:paraId="205C4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 w:type="pct"/>
                  <w:vMerge w:val="continue"/>
                  <w:tcBorders>
                    <w:top w:val="single" w:color="auto" w:sz="4" w:space="0"/>
                    <w:left w:val="single" w:color="auto" w:sz="4" w:space="0"/>
                    <w:bottom w:val="single" w:color="auto" w:sz="4" w:space="0"/>
                    <w:right w:val="single" w:color="auto" w:sz="4" w:space="0"/>
                  </w:tcBorders>
                  <w:noWrap w:val="0"/>
                  <w:vAlign w:val="center"/>
                </w:tcPr>
                <w:p w14:paraId="18DD951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22" w:type="pct"/>
                  <w:vMerge w:val="continue"/>
                  <w:tcBorders>
                    <w:top w:val="single" w:color="auto" w:sz="4" w:space="0"/>
                    <w:left w:val="single" w:color="auto" w:sz="4" w:space="0"/>
                    <w:bottom w:val="single" w:color="auto" w:sz="4" w:space="0"/>
                    <w:right w:val="single" w:color="auto" w:sz="4" w:space="0"/>
                  </w:tcBorders>
                  <w:noWrap w:val="0"/>
                  <w:vAlign w:val="center"/>
                </w:tcPr>
                <w:p w14:paraId="52C35F2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13" w:type="pct"/>
                  <w:vMerge w:val="continue"/>
                  <w:tcBorders>
                    <w:top w:val="single" w:color="auto" w:sz="4" w:space="0"/>
                    <w:left w:val="single" w:color="auto" w:sz="4" w:space="0"/>
                    <w:bottom w:val="single" w:color="auto" w:sz="4" w:space="0"/>
                    <w:right w:val="single" w:color="auto" w:sz="4" w:space="0"/>
                  </w:tcBorders>
                  <w:noWrap w:val="0"/>
                  <w:vAlign w:val="center"/>
                </w:tcPr>
                <w:p w14:paraId="52ABCCB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91" w:type="pct"/>
                  <w:vMerge w:val="continue"/>
                  <w:tcBorders>
                    <w:top w:val="single" w:color="auto" w:sz="4" w:space="0"/>
                    <w:left w:val="single" w:color="auto" w:sz="4" w:space="0"/>
                    <w:bottom w:val="single" w:color="auto" w:sz="4" w:space="0"/>
                    <w:right w:val="single" w:color="auto" w:sz="4" w:space="0"/>
                  </w:tcBorders>
                  <w:noWrap w:val="0"/>
                  <w:vAlign w:val="center"/>
                </w:tcPr>
                <w:p w14:paraId="6906B0C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23" w:type="pct"/>
                  <w:tcBorders>
                    <w:top w:val="single" w:color="auto" w:sz="4" w:space="0"/>
                    <w:left w:val="single" w:color="auto" w:sz="4" w:space="0"/>
                    <w:bottom w:val="single" w:color="auto" w:sz="4" w:space="0"/>
                    <w:right w:val="single" w:color="auto" w:sz="4" w:space="0"/>
                  </w:tcBorders>
                  <w:noWrap w:val="0"/>
                  <w:vAlign w:val="center"/>
                </w:tcPr>
                <w:p w14:paraId="099526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挖方</w:t>
                  </w:r>
                </w:p>
              </w:tc>
              <w:tc>
                <w:tcPr>
                  <w:tcW w:w="739" w:type="pct"/>
                  <w:tcBorders>
                    <w:top w:val="single" w:color="auto" w:sz="4" w:space="0"/>
                    <w:left w:val="single" w:color="auto" w:sz="4" w:space="0"/>
                    <w:bottom w:val="single" w:color="auto" w:sz="4" w:space="0"/>
                    <w:right w:val="single" w:color="auto" w:sz="4" w:space="0"/>
                  </w:tcBorders>
                  <w:noWrap w:val="0"/>
                  <w:vAlign w:val="center"/>
                </w:tcPr>
                <w:p w14:paraId="3631B3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填方</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1C4B36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借方</w:t>
                  </w:r>
                </w:p>
              </w:tc>
              <w:tc>
                <w:tcPr>
                  <w:tcW w:w="483" w:type="pct"/>
                  <w:tcBorders>
                    <w:top w:val="single" w:color="auto" w:sz="4" w:space="0"/>
                    <w:left w:val="single" w:color="auto" w:sz="4" w:space="0"/>
                    <w:bottom w:val="single" w:color="auto" w:sz="4" w:space="0"/>
                    <w:right w:val="single" w:color="auto" w:sz="4" w:space="0"/>
                  </w:tcBorders>
                  <w:noWrap w:val="0"/>
                  <w:vAlign w:val="center"/>
                </w:tcPr>
                <w:p w14:paraId="75C06E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弃方</w:t>
                  </w:r>
                </w:p>
              </w:tc>
              <w:tc>
                <w:tcPr>
                  <w:tcW w:w="645" w:type="pct"/>
                  <w:vMerge w:val="continue"/>
                  <w:tcBorders>
                    <w:left w:val="single" w:color="auto" w:sz="4" w:space="0"/>
                    <w:bottom w:val="single" w:color="auto" w:sz="4" w:space="0"/>
                    <w:right w:val="single" w:color="auto" w:sz="4" w:space="0"/>
                  </w:tcBorders>
                  <w:noWrap w:val="0"/>
                  <w:vAlign w:val="center"/>
                </w:tcPr>
                <w:p w14:paraId="0A3286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color w:val="auto"/>
                      <w:kern w:val="0"/>
                      <w:sz w:val="21"/>
                      <w:szCs w:val="21"/>
                      <w:highlight w:val="none"/>
                      <w:lang w:val="en-US" w:eastAsia="zh-CN" w:bidi="ar"/>
                    </w:rPr>
                  </w:pPr>
                </w:p>
              </w:tc>
            </w:tr>
            <w:tr w14:paraId="08FD6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95" w:type="pct"/>
                  <w:vMerge w:val="restart"/>
                  <w:tcBorders>
                    <w:top w:val="single" w:color="auto" w:sz="4" w:space="0"/>
                    <w:left w:val="single" w:color="auto" w:sz="4" w:space="0"/>
                    <w:bottom w:val="single" w:color="auto" w:sz="4" w:space="0"/>
                    <w:right w:val="single" w:color="auto" w:sz="4" w:space="0"/>
                  </w:tcBorders>
                  <w:noWrap w:val="0"/>
                  <w:vAlign w:val="center"/>
                </w:tcPr>
                <w:p w14:paraId="45A2CD3D">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1</w:t>
                  </w:r>
                </w:p>
              </w:tc>
              <w:tc>
                <w:tcPr>
                  <w:tcW w:w="622" w:type="pct"/>
                  <w:vMerge w:val="restart"/>
                  <w:tcBorders>
                    <w:top w:val="single" w:color="auto" w:sz="4" w:space="0"/>
                    <w:left w:val="single" w:color="auto" w:sz="4" w:space="0"/>
                    <w:right w:val="single" w:color="auto" w:sz="4" w:space="0"/>
                  </w:tcBorders>
                  <w:noWrap w:val="0"/>
                  <w:vAlign w:val="center"/>
                </w:tcPr>
                <w:p w14:paraId="26F9BBA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米75-3M</w:t>
                  </w:r>
                </w:p>
              </w:tc>
              <w:tc>
                <w:tcPr>
                  <w:tcW w:w="513" w:type="pct"/>
                  <w:tcBorders>
                    <w:top w:val="single" w:color="auto" w:sz="4" w:space="0"/>
                    <w:left w:val="single" w:color="auto" w:sz="4" w:space="0"/>
                    <w:bottom w:val="single" w:color="auto" w:sz="4" w:space="0"/>
                    <w:right w:val="single" w:color="auto" w:sz="4" w:space="0"/>
                  </w:tcBorders>
                  <w:noWrap w:val="0"/>
                  <w:vAlign w:val="center"/>
                </w:tcPr>
                <w:p w14:paraId="1D9A50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井场</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70BB9D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4692.6</w:t>
                  </w:r>
                </w:p>
              </w:tc>
              <w:tc>
                <w:tcPr>
                  <w:tcW w:w="623" w:type="pct"/>
                  <w:tcBorders>
                    <w:top w:val="single" w:color="auto" w:sz="4" w:space="0"/>
                    <w:left w:val="single" w:color="auto" w:sz="4" w:space="0"/>
                    <w:bottom w:val="single" w:color="auto" w:sz="4" w:space="0"/>
                    <w:right w:val="single" w:color="auto" w:sz="4" w:space="0"/>
                  </w:tcBorders>
                  <w:noWrap w:val="0"/>
                  <w:vAlign w:val="center"/>
                </w:tcPr>
                <w:p w14:paraId="5858E6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46926</w:t>
                  </w:r>
                </w:p>
              </w:tc>
              <w:tc>
                <w:tcPr>
                  <w:tcW w:w="739" w:type="pct"/>
                  <w:tcBorders>
                    <w:top w:val="single" w:color="auto" w:sz="4" w:space="0"/>
                    <w:left w:val="single" w:color="auto" w:sz="4" w:space="0"/>
                    <w:bottom w:val="single" w:color="auto" w:sz="4" w:space="0"/>
                    <w:right w:val="single" w:color="auto" w:sz="4" w:space="0"/>
                  </w:tcBorders>
                  <w:noWrap w:val="0"/>
                  <w:vAlign w:val="center"/>
                </w:tcPr>
                <w:p w14:paraId="3FEB47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46926</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3D05D8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w:t>
                  </w:r>
                </w:p>
              </w:tc>
              <w:tc>
                <w:tcPr>
                  <w:tcW w:w="483" w:type="pct"/>
                  <w:tcBorders>
                    <w:top w:val="single" w:color="auto" w:sz="4" w:space="0"/>
                    <w:left w:val="single" w:color="auto" w:sz="4" w:space="0"/>
                    <w:bottom w:val="single" w:color="auto" w:sz="4" w:space="0"/>
                    <w:right w:val="single" w:color="auto" w:sz="4" w:space="0"/>
                  </w:tcBorders>
                  <w:noWrap w:val="0"/>
                  <w:vAlign w:val="center"/>
                </w:tcPr>
                <w:p w14:paraId="659A58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w:t>
                  </w:r>
                </w:p>
              </w:tc>
              <w:tc>
                <w:tcPr>
                  <w:tcW w:w="645" w:type="pct"/>
                  <w:tcBorders>
                    <w:top w:val="single" w:color="auto" w:sz="4" w:space="0"/>
                    <w:left w:val="single" w:color="auto" w:sz="4" w:space="0"/>
                    <w:bottom w:val="single" w:color="auto" w:sz="4" w:space="0"/>
                    <w:right w:val="single" w:color="auto" w:sz="4" w:space="0"/>
                  </w:tcBorders>
                  <w:noWrap w:val="0"/>
                  <w:vAlign w:val="center"/>
                </w:tcPr>
                <w:p w14:paraId="612A97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坡地</w:t>
                  </w:r>
                </w:p>
              </w:tc>
            </w:tr>
            <w:tr w14:paraId="378F2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 w:type="pct"/>
                  <w:vMerge w:val="continue"/>
                  <w:tcBorders>
                    <w:top w:val="single" w:color="auto" w:sz="4" w:space="0"/>
                    <w:left w:val="single" w:color="auto" w:sz="4" w:space="0"/>
                    <w:bottom w:val="single" w:color="auto" w:sz="4" w:space="0"/>
                    <w:right w:val="single" w:color="auto" w:sz="4" w:space="0"/>
                  </w:tcBorders>
                  <w:noWrap w:val="0"/>
                  <w:vAlign w:val="center"/>
                </w:tcPr>
                <w:p w14:paraId="2330119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22" w:type="pct"/>
                  <w:vMerge w:val="continue"/>
                  <w:tcBorders>
                    <w:left w:val="single" w:color="auto" w:sz="4" w:space="0"/>
                    <w:right w:val="single" w:color="auto" w:sz="4" w:space="0"/>
                  </w:tcBorders>
                  <w:noWrap w:val="0"/>
                  <w:vAlign w:val="center"/>
                </w:tcPr>
                <w:p w14:paraId="2E11828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2EAC5B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生活区</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008B3B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275.1</w:t>
                  </w:r>
                </w:p>
              </w:tc>
              <w:tc>
                <w:tcPr>
                  <w:tcW w:w="623" w:type="pct"/>
                  <w:tcBorders>
                    <w:top w:val="single" w:color="auto" w:sz="4" w:space="0"/>
                    <w:left w:val="single" w:color="auto" w:sz="4" w:space="0"/>
                    <w:bottom w:val="single" w:color="auto" w:sz="4" w:space="0"/>
                    <w:right w:val="single" w:color="auto" w:sz="4" w:space="0"/>
                  </w:tcBorders>
                  <w:noWrap w:val="0"/>
                  <w:vAlign w:val="center"/>
                </w:tcPr>
                <w:p w14:paraId="1F4ABA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917</w:t>
                  </w:r>
                </w:p>
              </w:tc>
              <w:tc>
                <w:tcPr>
                  <w:tcW w:w="739" w:type="pct"/>
                  <w:tcBorders>
                    <w:top w:val="single" w:color="auto" w:sz="4" w:space="0"/>
                    <w:left w:val="single" w:color="auto" w:sz="4" w:space="0"/>
                    <w:bottom w:val="single" w:color="auto" w:sz="4" w:space="0"/>
                    <w:right w:val="single" w:color="auto" w:sz="4" w:space="0"/>
                  </w:tcBorders>
                  <w:noWrap w:val="0"/>
                  <w:vAlign w:val="center"/>
                </w:tcPr>
                <w:p w14:paraId="2355FD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917</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18D734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w:t>
                  </w:r>
                </w:p>
              </w:tc>
              <w:tc>
                <w:tcPr>
                  <w:tcW w:w="483" w:type="pct"/>
                  <w:tcBorders>
                    <w:top w:val="single" w:color="auto" w:sz="4" w:space="0"/>
                    <w:left w:val="single" w:color="auto" w:sz="4" w:space="0"/>
                    <w:bottom w:val="single" w:color="auto" w:sz="4" w:space="0"/>
                    <w:right w:val="single" w:color="auto" w:sz="4" w:space="0"/>
                  </w:tcBorders>
                  <w:noWrap w:val="0"/>
                  <w:vAlign w:val="center"/>
                </w:tcPr>
                <w:p w14:paraId="4D7CB0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w:t>
                  </w:r>
                </w:p>
              </w:tc>
              <w:tc>
                <w:tcPr>
                  <w:tcW w:w="645" w:type="pct"/>
                  <w:tcBorders>
                    <w:top w:val="single" w:color="auto" w:sz="4" w:space="0"/>
                    <w:left w:val="single" w:color="auto" w:sz="4" w:space="0"/>
                    <w:bottom w:val="single" w:color="auto" w:sz="4" w:space="0"/>
                    <w:right w:val="single" w:color="auto" w:sz="4" w:space="0"/>
                  </w:tcBorders>
                  <w:noWrap w:val="0"/>
                  <w:vAlign w:val="center"/>
                </w:tcPr>
                <w:p w14:paraId="524C57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平地</w:t>
                  </w:r>
                </w:p>
              </w:tc>
            </w:tr>
            <w:tr w14:paraId="60A2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 w:type="pct"/>
                  <w:vMerge w:val="continue"/>
                  <w:tcBorders>
                    <w:top w:val="single" w:color="auto" w:sz="4" w:space="0"/>
                    <w:left w:val="single" w:color="auto" w:sz="4" w:space="0"/>
                    <w:bottom w:val="single" w:color="auto" w:sz="4" w:space="0"/>
                    <w:right w:val="single" w:color="auto" w:sz="4" w:space="0"/>
                  </w:tcBorders>
                  <w:noWrap w:val="0"/>
                  <w:vAlign w:val="center"/>
                </w:tcPr>
                <w:p w14:paraId="5DB3420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22" w:type="pct"/>
                  <w:vMerge w:val="continue"/>
                  <w:tcBorders>
                    <w:left w:val="single" w:color="auto" w:sz="4" w:space="0"/>
                    <w:right w:val="single" w:color="auto" w:sz="4" w:space="0"/>
                  </w:tcBorders>
                  <w:noWrap w:val="0"/>
                  <w:vAlign w:val="center"/>
                </w:tcPr>
                <w:p w14:paraId="27D9EC1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31B310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道路</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2FB3B8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23" w:type="pct"/>
                  <w:tcBorders>
                    <w:top w:val="single" w:color="auto" w:sz="4" w:space="0"/>
                    <w:left w:val="single" w:color="auto" w:sz="4" w:space="0"/>
                    <w:bottom w:val="single" w:color="auto" w:sz="4" w:space="0"/>
                    <w:right w:val="single" w:color="auto" w:sz="4" w:space="0"/>
                  </w:tcBorders>
                  <w:noWrap w:val="0"/>
                  <w:vAlign w:val="center"/>
                </w:tcPr>
                <w:p w14:paraId="5C5776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39" w:type="pct"/>
                  <w:tcBorders>
                    <w:top w:val="single" w:color="auto" w:sz="4" w:space="0"/>
                    <w:left w:val="single" w:color="auto" w:sz="4" w:space="0"/>
                    <w:bottom w:val="single" w:color="auto" w:sz="4" w:space="0"/>
                    <w:right w:val="single" w:color="auto" w:sz="4" w:space="0"/>
                  </w:tcBorders>
                  <w:noWrap w:val="0"/>
                  <w:vAlign w:val="center"/>
                </w:tcPr>
                <w:p w14:paraId="7CEF51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4B34B5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w:t>
                  </w:r>
                </w:p>
              </w:tc>
              <w:tc>
                <w:tcPr>
                  <w:tcW w:w="483" w:type="pct"/>
                  <w:tcBorders>
                    <w:top w:val="single" w:color="auto" w:sz="4" w:space="0"/>
                    <w:left w:val="single" w:color="auto" w:sz="4" w:space="0"/>
                    <w:bottom w:val="single" w:color="auto" w:sz="4" w:space="0"/>
                    <w:right w:val="single" w:color="auto" w:sz="4" w:space="0"/>
                  </w:tcBorders>
                  <w:noWrap w:val="0"/>
                  <w:vAlign w:val="center"/>
                </w:tcPr>
                <w:p w14:paraId="1C0F0F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w:t>
                  </w:r>
                </w:p>
              </w:tc>
              <w:tc>
                <w:tcPr>
                  <w:tcW w:w="645" w:type="pct"/>
                  <w:tcBorders>
                    <w:top w:val="single" w:color="auto" w:sz="4" w:space="0"/>
                    <w:left w:val="single" w:color="auto" w:sz="4" w:space="0"/>
                    <w:bottom w:val="single" w:color="auto" w:sz="4" w:space="0"/>
                    <w:right w:val="single" w:color="auto" w:sz="4" w:space="0"/>
                  </w:tcBorders>
                  <w:noWrap w:val="0"/>
                  <w:vAlign w:val="center"/>
                </w:tcPr>
                <w:p w14:paraId="4BF974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r>
            <w:tr w14:paraId="1422C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 w:type="pct"/>
                  <w:vMerge w:val="continue"/>
                  <w:tcBorders>
                    <w:top w:val="single" w:color="auto" w:sz="4" w:space="0"/>
                    <w:left w:val="single" w:color="auto" w:sz="4" w:space="0"/>
                    <w:bottom w:val="single" w:color="auto" w:sz="4" w:space="0"/>
                    <w:right w:val="single" w:color="auto" w:sz="4" w:space="0"/>
                  </w:tcBorders>
                  <w:noWrap w:val="0"/>
                  <w:vAlign w:val="center"/>
                </w:tcPr>
                <w:p w14:paraId="41FA6EB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22" w:type="pct"/>
                  <w:vMerge w:val="continue"/>
                  <w:tcBorders>
                    <w:left w:val="single" w:color="auto" w:sz="4" w:space="0"/>
                    <w:bottom w:val="single" w:color="auto" w:sz="4" w:space="0"/>
                    <w:right w:val="single" w:color="auto" w:sz="4" w:space="0"/>
                  </w:tcBorders>
                  <w:noWrap w:val="0"/>
                  <w:vAlign w:val="center"/>
                </w:tcPr>
                <w:p w14:paraId="19CC72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4423B3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合计</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2409C9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4967.7</w:t>
                  </w:r>
                </w:p>
              </w:tc>
              <w:tc>
                <w:tcPr>
                  <w:tcW w:w="623" w:type="pct"/>
                  <w:tcBorders>
                    <w:top w:val="single" w:color="auto" w:sz="4" w:space="0"/>
                    <w:left w:val="single" w:color="auto" w:sz="4" w:space="0"/>
                    <w:bottom w:val="single" w:color="auto" w:sz="4" w:space="0"/>
                    <w:right w:val="single" w:color="auto" w:sz="4" w:space="0"/>
                  </w:tcBorders>
                  <w:noWrap w:val="0"/>
                  <w:vAlign w:val="center"/>
                </w:tcPr>
                <w:p w14:paraId="4929E4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47843</w:t>
                  </w:r>
                </w:p>
              </w:tc>
              <w:tc>
                <w:tcPr>
                  <w:tcW w:w="739" w:type="pct"/>
                  <w:tcBorders>
                    <w:top w:val="single" w:color="auto" w:sz="4" w:space="0"/>
                    <w:left w:val="single" w:color="auto" w:sz="4" w:space="0"/>
                    <w:bottom w:val="single" w:color="auto" w:sz="4" w:space="0"/>
                    <w:right w:val="single" w:color="auto" w:sz="4" w:space="0"/>
                  </w:tcBorders>
                  <w:noWrap w:val="0"/>
                  <w:vAlign w:val="center"/>
                </w:tcPr>
                <w:p w14:paraId="78C78A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47843</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01BF3A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w:t>
                  </w:r>
                </w:p>
              </w:tc>
              <w:tc>
                <w:tcPr>
                  <w:tcW w:w="483" w:type="pct"/>
                  <w:tcBorders>
                    <w:top w:val="single" w:color="auto" w:sz="4" w:space="0"/>
                    <w:left w:val="single" w:color="auto" w:sz="4" w:space="0"/>
                    <w:bottom w:val="single" w:color="auto" w:sz="4" w:space="0"/>
                    <w:right w:val="single" w:color="auto" w:sz="4" w:space="0"/>
                  </w:tcBorders>
                  <w:noWrap w:val="0"/>
                  <w:vAlign w:val="center"/>
                </w:tcPr>
                <w:p w14:paraId="23B509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w:t>
                  </w:r>
                </w:p>
              </w:tc>
              <w:tc>
                <w:tcPr>
                  <w:tcW w:w="645" w:type="pct"/>
                  <w:tcBorders>
                    <w:top w:val="single" w:color="auto" w:sz="4" w:space="0"/>
                    <w:left w:val="single" w:color="auto" w:sz="4" w:space="0"/>
                    <w:bottom w:val="single" w:color="auto" w:sz="4" w:space="0"/>
                    <w:right w:val="single" w:color="auto" w:sz="4" w:space="0"/>
                  </w:tcBorders>
                  <w:noWrap w:val="0"/>
                  <w:vAlign w:val="center"/>
                </w:tcPr>
                <w:p w14:paraId="22EB91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r>
          </w:tbl>
          <w:p w14:paraId="24A883B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项目井场</w:t>
            </w:r>
            <w:r>
              <w:rPr>
                <w:rFonts w:hint="eastAsia" w:ascii="Times New Roman" w:hAnsi="Times New Roman" w:eastAsia="宋体" w:cs="Times New Roman"/>
                <w:b w:val="0"/>
                <w:bCs w:val="0"/>
                <w:color w:val="auto"/>
                <w:sz w:val="24"/>
                <w:szCs w:val="24"/>
                <w:highlight w:val="none"/>
                <w:vertAlign w:val="baseline"/>
                <w:lang w:val="en-US" w:eastAsia="zh-CN"/>
              </w:rPr>
              <w:t>和生活区</w:t>
            </w:r>
            <w:r>
              <w:rPr>
                <w:rFonts w:hint="default" w:ascii="Times New Roman" w:hAnsi="Times New Roman" w:eastAsia="宋体" w:cs="Times New Roman"/>
                <w:b w:val="0"/>
                <w:bCs w:val="0"/>
                <w:color w:val="auto"/>
                <w:sz w:val="24"/>
                <w:szCs w:val="24"/>
                <w:highlight w:val="none"/>
                <w:vertAlign w:val="baseline"/>
                <w:lang w:val="en-US" w:eastAsia="zh-CN"/>
              </w:rPr>
              <w:t>在开挖地表、平整土地时，在</w:t>
            </w:r>
            <w:r>
              <w:rPr>
                <w:rFonts w:hint="eastAsia" w:ascii="Times New Roman" w:hAnsi="Times New Roman" w:eastAsia="宋体" w:cs="Times New Roman"/>
                <w:b w:val="0"/>
                <w:bCs w:val="0"/>
                <w:color w:val="auto"/>
                <w:sz w:val="24"/>
                <w:szCs w:val="24"/>
                <w:highlight w:val="none"/>
                <w:vertAlign w:val="baseline"/>
                <w:lang w:val="en-US" w:eastAsia="zh-CN"/>
              </w:rPr>
              <w:t>单个</w:t>
            </w:r>
            <w:r>
              <w:rPr>
                <w:rFonts w:hint="default" w:ascii="Times New Roman" w:hAnsi="Times New Roman" w:eastAsia="宋体" w:cs="Times New Roman"/>
                <w:b w:val="0"/>
                <w:bCs w:val="0"/>
                <w:color w:val="auto"/>
                <w:sz w:val="24"/>
                <w:szCs w:val="24"/>
                <w:highlight w:val="none"/>
                <w:vertAlign w:val="baseline"/>
                <w:lang w:val="en-US" w:eastAsia="zh-CN"/>
              </w:rPr>
              <w:t>井场</w:t>
            </w:r>
            <w:r>
              <w:rPr>
                <w:rFonts w:hint="eastAsia" w:ascii="Times New Roman" w:hAnsi="Times New Roman" w:eastAsia="宋体" w:cs="Times New Roman"/>
                <w:b w:val="0"/>
                <w:bCs w:val="0"/>
                <w:color w:val="auto"/>
                <w:sz w:val="24"/>
                <w:szCs w:val="24"/>
                <w:highlight w:val="none"/>
                <w:vertAlign w:val="baseline"/>
                <w:lang w:val="en-US" w:eastAsia="zh-CN"/>
              </w:rPr>
              <w:t>和生活区</w:t>
            </w:r>
            <w:r>
              <w:rPr>
                <w:rFonts w:hint="default" w:ascii="Times New Roman" w:hAnsi="Times New Roman" w:eastAsia="宋体" w:cs="Times New Roman"/>
                <w:b w:val="0"/>
                <w:bCs w:val="0"/>
                <w:color w:val="auto"/>
                <w:sz w:val="24"/>
                <w:szCs w:val="24"/>
                <w:highlight w:val="none"/>
                <w:vertAlign w:val="baseline"/>
                <w:lang w:val="en-US" w:eastAsia="zh-CN"/>
              </w:rPr>
              <w:t>施工场地的征地范围内</w:t>
            </w:r>
            <w:r>
              <w:rPr>
                <w:rFonts w:hint="eastAsia" w:ascii="Times New Roman" w:hAnsi="Times New Roman" w:eastAsia="宋体" w:cs="Times New Roman"/>
                <w:b w:val="0"/>
                <w:bCs w:val="0"/>
                <w:color w:val="auto"/>
                <w:sz w:val="24"/>
                <w:szCs w:val="24"/>
                <w:highlight w:val="none"/>
                <w:vertAlign w:val="baseline"/>
                <w:lang w:val="en-US" w:eastAsia="zh-CN"/>
              </w:rPr>
              <w:t>分别各</w:t>
            </w:r>
            <w:r>
              <w:rPr>
                <w:rFonts w:hint="default" w:ascii="Times New Roman" w:hAnsi="Times New Roman" w:eastAsia="宋体" w:cs="Times New Roman"/>
                <w:b w:val="0"/>
                <w:bCs w:val="0"/>
                <w:color w:val="auto"/>
                <w:sz w:val="24"/>
                <w:szCs w:val="24"/>
                <w:highlight w:val="none"/>
                <w:vertAlign w:val="baseline"/>
                <w:lang w:val="en-US" w:eastAsia="zh-CN"/>
              </w:rPr>
              <w:t>设置</w:t>
            </w:r>
            <w:r>
              <w:rPr>
                <w:rFonts w:hint="eastAsia" w:ascii="Times New Roman" w:hAnsi="Times New Roman" w:eastAsia="宋体" w:cs="Times New Roman"/>
                <w:b w:val="0"/>
                <w:bCs w:val="0"/>
                <w:color w:val="auto"/>
                <w:sz w:val="24"/>
                <w:szCs w:val="24"/>
                <w:highlight w:val="none"/>
                <w:vertAlign w:val="baseline"/>
                <w:lang w:val="en-US" w:eastAsia="zh-CN"/>
              </w:rPr>
              <w:t>一处</w:t>
            </w:r>
            <w:r>
              <w:rPr>
                <w:rFonts w:hint="default" w:ascii="Times New Roman" w:hAnsi="Times New Roman" w:eastAsia="宋体" w:cs="Times New Roman"/>
                <w:b w:val="0"/>
                <w:bCs w:val="0"/>
                <w:color w:val="auto"/>
                <w:sz w:val="24"/>
                <w:szCs w:val="24"/>
                <w:highlight w:val="none"/>
                <w:vertAlign w:val="baseline"/>
                <w:lang w:val="en-US" w:eastAsia="zh-CN"/>
              </w:rPr>
              <w:t>表土堆场</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表土厚度为0.3m，对表土进行单独堆放并采用密目网苫盖</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一般土石方随挖随填，不在井场内长期堆放</w:t>
            </w:r>
            <w:r>
              <w:rPr>
                <w:rFonts w:hint="eastAsia" w:ascii="Times New Roman" w:hAnsi="Times New Roman" w:eastAsia="宋体" w:cs="Times New Roman"/>
                <w:b w:val="0"/>
                <w:bCs w:val="0"/>
                <w:color w:val="auto"/>
                <w:sz w:val="24"/>
                <w:szCs w:val="24"/>
                <w:highlight w:val="none"/>
                <w:vertAlign w:val="baseline"/>
                <w:lang w:val="en-US" w:eastAsia="zh-CN"/>
              </w:rPr>
              <w:t>，一般土石方堆场仅作为一般土石方临时暂存使用；</w:t>
            </w:r>
            <w:r>
              <w:rPr>
                <w:rFonts w:hint="default" w:ascii="Times New Roman" w:hAnsi="Times New Roman" w:eastAsia="宋体" w:cs="Times New Roman"/>
                <w:b w:val="0"/>
                <w:bCs w:val="0"/>
                <w:color w:val="auto"/>
                <w:sz w:val="24"/>
                <w:szCs w:val="24"/>
                <w:highlight w:val="none"/>
                <w:vertAlign w:val="baseline"/>
                <w:lang w:val="en-US" w:eastAsia="zh-CN"/>
              </w:rPr>
              <w:t>施工完毕，应尽快整理施工现场，将表土覆盖在原地表，对临时占地进行植被恢复，恢复原有用地性质。</w:t>
            </w:r>
          </w:p>
          <w:p w14:paraId="7E72E43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b w:val="0"/>
                <w:bCs w:val="0"/>
                <w:color w:val="auto"/>
                <w:sz w:val="24"/>
                <w:szCs w:val="24"/>
                <w:highlight w:val="none"/>
                <w:vertAlign w:val="baseline"/>
                <w:lang w:val="en-US" w:eastAsia="zh-CN"/>
              </w:rPr>
              <w:t>本项目各井场表土堆场及一般土石方堆场设置情况见下表：</w:t>
            </w:r>
          </w:p>
          <w:p w14:paraId="75E93F6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表2-19  井场表土及一般土石方堆场设置情况一览表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886"/>
              <w:gridCol w:w="2027"/>
              <w:gridCol w:w="1695"/>
              <w:gridCol w:w="1440"/>
              <w:gridCol w:w="946"/>
            </w:tblGrid>
            <w:tr w14:paraId="503CB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pct"/>
                  <w:noWrap w:val="0"/>
                  <w:vAlign w:val="center"/>
                </w:tcPr>
                <w:p w14:paraId="7243850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井场名称</w:t>
                  </w:r>
                </w:p>
              </w:tc>
              <w:tc>
                <w:tcPr>
                  <w:tcW w:w="1739" w:type="pct"/>
                  <w:gridSpan w:val="2"/>
                  <w:noWrap w:val="0"/>
                  <w:vAlign w:val="center"/>
                </w:tcPr>
                <w:p w14:paraId="1C4144B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土石方量（m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1012" w:type="pct"/>
                  <w:noWrap w:val="0"/>
                  <w:vAlign w:val="center"/>
                </w:tcPr>
                <w:p w14:paraId="375942A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堆场类型</w:t>
                  </w:r>
                </w:p>
              </w:tc>
              <w:tc>
                <w:tcPr>
                  <w:tcW w:w="860" w:type="pct"/>
                  <w:noWrap w:val="0"/>
                  <w:vAlign w:val="center"/>
                </w:tcPr>
                <w:p w14:paraId="3E4290E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堆场面积（m</w:t>
                  </w:r>
                  <w:r>
                    <w:rPr>
                      <w:rFonts w:hint="default" w:ascii="Times New Roman" w:hAnsi="Times New Roman" w:eastAsia="宋体" w:cs="Times New Roman"/>
                      <w:b/>
                      <w:bCs/>
                      <w:color w:val="auto"/>
                      <w:sz w:val="21"/>
                      <w:szCs w:val="21"/>
                      <w:highlight w:val="none"/>
                      <w:vertAlign w:val="superscript"/>
                      <w:lang w:val="en-US" w:eastAsia="zh-CN"/>
                    </w:rPr>
                    <w:t>2</w:t>
                  </w:r>
                  <w:r>
                    <w:rPr>
                      <w:rFonts w:hint="default" w:ascii="Times New Roman" w:hAnsi="Times New Roman" w:eastAsia="宋体" w:cs="Times New Roman"/>
                      <w:b/>
                      <w:bCs/>
                      <w:color w:val="auto"/>
                      <w:sz w:val="21"/>
                      <w:szCs w:val="21"/>
                      <w:highlight w:val="none"/>
                      <w:vertAlign w:val="baseline"/>
                      <w:lang w:val="en-US" w:eastAsia="zh-CN"/>
                    </w:rPr>
                    <w:t>）</w:t>
                  </w:r>
                </w:p>
              </w:tc>
              <w:tc>
                <w:tcPr>
                  <w:tcW w:w="565" w:type="pct"/>
                  <w:noWrap w:val="0"/>
                  <w:vAlign w:val="center"/>
                </w:tcPr>
                <w:p w14:paraId="0A825CB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堆高（m）</w:t>
                  </w:r>
                </w:p>
              </w:tc>
            </w:tr>
            <w:tr w14:paraId="0E66A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pct"/>
                  <w:vMerge w:val="restart"/>
                  <w:noWrap w:val="0"/>
                  <w:vAlign w:val="center"/>
                </w:tcPr>
                <w:p w14:paraId="19E7E46C">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米75-3M</w:t>
                  </w:r>
                </w:p>
              </w:tc>
              <w:tc>
                <w:tcPr>
                  <w:tcW w:w="529" w:type="pct"/>
                  <w:vMerge w:val="restart"/>
                  <w:noWrap w:val="0"/>
                  <w:vAlign w:val="center"/>
                </w:tcPr>
                <w:p w14:paraId="44DA841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井场</w:t>
                  </w:r>
                </w:p>
              </w:tc>
              <w:tc>
                <w:tcPr>
                  <w:tcW w:w="1210" w:type="pct"/>
                  <w:noWrap w:val="0"/>
                  <w:vAlign w:val="center"/>
                </w:tcPr>
                <w:p w14:paraId="6113909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表土：</w:t>
                  </w:r>
                  <w:r>
                    <w:rPr>
                      <w:rFonts w:hint="default" w:ascii="Times New Roman" w:hAnsi="Times New Roman" w:eastAsia="宋体" w:cs="Times New Roman"/>
                      <w:i w:val="0"/>
                      <w:iCs w:val="0"/>
                      <w:color w:val="auto"/>
                      <w:kern w:val="0"/>
                      <w:sz w:val="21"/>
                      <w:szCs w:val="21"/>
                      <w:highlight w:val="none"/>
                      <w:u w:val="none"/>
                      <w:lang w:val="en-US" w:eastAsia="zh-CN" w:bidi="ar"/>
                    </w:rPr>
                    <w:t>4692.6</w:t>
                  </w:r>
                </w:p>
              </w:tc>
              <w:tc>
                <w:tcPr>
                  <w:tcW w:w="1012" w:type="pct"/>
                  <w:noWrap w:val="0"/>
                  <w:vAlign w:val="center"/>
                </w:tcPr>
                <w:p w14:paraId="4DB82558">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表土堆场</w:t>
                  </w:r>
                </w:p>
              </w:tc>
              <w:tc>
                <w:tcPr>
                  <w:tcW w:w="860" w:type="pct"/>
                  <w:noWrap w:val="0"/>
                  <w:vAlign w:val="center"/>
                </w:tcPr>
                <w:p w14:paraId="63E66C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bidi="ar-SA"/>
                    </w:rPr>
                  </w:pPr>
                  <w:r>
                    <w:rPr>
                      <w:rFonts w:hint="eastAsia" w:ascii="Times New Roman" w:hAnsi="Times New Roman" w:eastAsia="宋体" w:cs="Times New Roman"/>
                      <w:i w:val="0"/>
                      <w:iCs w:val="0"/>
                      <w:color w:val="auto"/>
                      <w:sz w:val="21"/>
                      <w:szCs w:val="21"/>
                      <w:highlight w:val="none"/>
                      <w:u w:val="none"/>
                      <w:lang w:val="en-US" w:eastAsia="zh-CN" w:bidi="ar-SA"/>
                    </w:rPr>
                    <w:t>2100</w:t>
                  </w:r>
                </w:p>
              </w:tc>
              <w:tc>
                <w:tcPr>
                  <w:tcW w:w="565" w:type="pct"/>
                  <w:noWrap w:val="0"/>
                  <w:vAlign w:val="center"/>
                </w:tcPr>
                <w:p w14:paraId="05C4DEC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3</w:t>
                  </w:r>
                </w:p>
              </w:tc>
            </w:tr>
            <w:tr w14:paraId="676C4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pct"/>
                  <w:vMerge w:val="continue"/>
                  <w:noWrap w:val="0"/>
                  <w:vAlign w:val="center"/>
                </w:tcPr>
                <w:p w14:paraId="704510F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529" w:type="pct"/>
                  <w:vMerge w:val="continue"/>
                  <w:noWrap w:val="0"/>
                  <w:vAlign w:val="center"/>
                </w:tcPr>
                <w:p w14:paraId="4F650EE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1210" w:type="pct"/>
                  <w:noWrap w:val="0"/>
                  <w:vAlign w:val="center"/>
                </w:tcPr>
                <w:p w14:paraId="1C0F470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一般：</w:t>
                  </w:r>
                  <w:r>
                    <w:rPr>
                      <w:rFonts w:hint="default" w:ascii="Times New Roman" w:hAnsi="Times New Roman" w:eastAsia="宋体" w:cs="Times New Roman"/>
                      <w:i w:val="0"/>
                      <w:iCs w:val="0"/>
                      <w:color w:val="auto"/>
                      <w:kern w:val="0"/>
                      <w:sz w:val="21"/>
                      <w:szCs w:val="21"/>
                      <w:highlight w:val="none"/>
                      <w:u w:val="none"/>
                      <w:lang w:val="en-US" w:eastAsia="zh-CN" w:bidi="ar"/>
                    </w:rPr>
                    <w:t>46926</w:t>
                  </w:r>
                </w:p>
              </w:tc>
              <w:tc>
                <w:tcPr>
                  <w:tcW w:w="1012" w:type="pct"/>
                  <w:noWrap w:val="0"/>
                  <w:vAlign w:val="center"/>
                </w:tcPr>
                <w:p w14:paraId="03BDD88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一般土石方堆场</w:t>
                  </w:r>
                </w:p>
              </w:tc>
              <w:tc>
                <w:tcPr>
                  <w:tcW w:w="860" w:type="pct"/>
                  <w:noWrap w:val="0"/>
                  <w:vAlign w:val="center"/>
                </w:tcPr>
                <w:p w14:paraId="2F62CB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bidi="ar-SA"/>
                    </w:rPr>
                  </w:pPr>
                  <w:r>
                    <w:rPr>
                      <w:rFonts w:hint="eastAsia" w:ascii="Times New Roman" w:hAnsi="Times New Roman" w:eastAsia="宋体" w:cs="Times New Roman"/>
                      <w:i w:val="0"/>
                      <w:iCs w:val="0"/>
                      <w:color w:val="auto"/>
                      <w:sz w:val="21"/>
                      <w:szCs w:val="21"/>
                      <w:highlight w:val="none"/>
                      <w:u w:val="none"/>
                      <w:lang w:val="en-US" w:eastAsia="zh-CN" w:bidi="ar-SA"/>
                    </w:rPr>
                    <w:t>3000</w:t>
                  </w:r>
                </w:p>
              </w:tc>
              <w:tc>
                <w:tcPr>
                  <w:tcW w:w="565" w:type="pct"/>
                  <w:noWrap w:val="0"/>
                  <w:vAlign w:val="center"/>
                </w:tcPr>
                <w:p w14:paraId="7D146C3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3</w:t>
                  </w:r>
                </w:p>
              </w:tc>
            </w:tr>
            <w:tr w14:paraId="6F284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pct"/>
                  <w:vMerge w:val="continue"/>
                  <w:noWrap w:val="0"/>
                  <w:vAlign w:val="center"/>
                </w:tcPr>
                <w:p w14:paraId="1C8DE2D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529" w:type="pct"/>
                  <w:vMerge w:val="restart"/>
                  <w:noWrap w:val="0"/>
                  <w:vAlign w:val="center"/>
                </w:tcPr>
                <w:p w14:paraId="67A40D7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生活区</w:t>
                  </w:r>
                </w:p>
              </w:tc>
              <w:tc>
                <w:tcPr>
                  <w:tcW w:w="1210" w:type="pct"/>
                  <w:noWrap w:val="0"/>
                  <w:vAlign w:val="center"/>
                </w:tcPr>
                <w:p w14:paraId="31CFF5D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表土：</w:t>
                  </w:r>
                  <w:r>
                    <w:rPr>
                      <w:rFonts w:hint="default" w:ascii="Times New Roman" w:hAnsi="Times New Roman" w:eastAsia="宋体" w:cs="Times New Roman"/>
                      <w:i w:val="0"/>
                      <w:iCs w:val="0"/>
                      <w:color w:val="auto"/>
                      <w:kern w:val="0"/>
                      <w:sz w:val="21"/>
                      <w:szCs w:val="21"/>
                      <w:highlight w:val="none"/>
                      <w:u w:val="none"/>
                      <w:lang w:val="en-US" w:eastAsia="zh-CN" w:bidi="ar"/>
                    </w:rPr>
                    <w:t>275.1</w:t>
                  </w:r>
                </w:p>
              </w:tc>
              <w:tc>
                <w:tcPr>
                  <w:tcW w:w="1012" w:type="pct"/>
                  <w:noWrap w:val="0"/>
                  <w:vAlign w:val="center"/>
                </w:tcPr>
                <w:p w14:paraId="00AD383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表土堆场</w:t>
                  </w:r>
                </w:p>
              </w:tc>
              <w:tc>
                <w:tcPr>
                  <w:tcW w:w="860" w:type="pct"/>
                  <w:noWrap w:val="0"/>
                  <w:vAlign w:val="center"/>
                </w:tcPr>
                <w:p w14:paraId="34DB97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bidi="ar-SA"/>
                    </w:rPr>
                  </w:pPr>
                  <w:r>
                    <w:rPr>
                      <w:rFonts w:hint="eastAsia" w:ascii="Times New Roman" w:hAnsi="Times New Roman" w:eastAsia="宋体" w:cs="Times New Roman"/>
                      <w:i w:val="0"/>
                      <w:iCs w:val="0"/>
                      <w:color w:val="auto"/>
                      <w:sz w:val="21"/>
                      <w:szCs w:val="21"/>
                      <w:highlight w:val="none"/>
                      <w:u w:val="none"/>
                      <w:lang w:val="en-US" w:eastAsia="zh-CN" w:bidi="ar-SA"/>
                    </w:rPr>
                    <w:t>150</w:t>
                  </w:r>
                </w:p>
              </w:tc>
              <w:tc>
                <w:tcPr>
                  <w:tcW w:w="565" w:type="pct"/>
                  <w:noWrap w:val="0"/>
                  <w:vAlign w:val="center"/>
                </w:tcPr>
                <w:p w14:paraId="3A402FC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3</w:t>
                  </w:r>
                </w:p>
              </w:tc>
            </w:tr>
            <w:tr w14:paraId="604D3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pct"/>
                  <w:vMerge w:val="continue"/>
                  <w:noWrap w:val="0"/>
                  <w:vAlign w:val="center"/>
                </w:tcPr>
                <w:p w14:paraId="26E6C4B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529" w:type="pct"/>
                  <w:vMerge w:val="continue"/>
                  <w:noWrap w:val="0"/>
                  <w:vAlign w:val="center"/>
                </w:tcPr>
                <w:p w14:paraId="6ABCFDE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1210" w:type="pct"/>
                  <w:noWrap w:val="0"/>
                  <w:vAlign w:val="center"/>
                </w:tcPr>
                <w:p w14:paraId="13CA2CA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一般：</w:t>
                  </w:r>
                  <w:r>
                    <w:rPr>
                      <w:rFonts w:hint="default" w:ascii="Times New Roman" w:hAnsi="Times New Roman" w:eastAsia="宋体" w:cs="Times New Roman"/>
                      <w:i w:val="0"/>
                      <w:iCs w:val="0"/>
                      <w:color w:val="auto"/>
                      <w:kern w:val="0"/>
                      <w:sz w:val="21"/>
                      <w:szCs w:val="21"/>
                      <w:highlight w:val="none"/>
                      <w:u w:val="none"/>
                      <w:lang w:val="en-US" w:eastAsia="zh-CN" w:bidi="ar"/>
                    </w:rPr>
                    <w:t>917</w:t>
                  </w:r>
                </w:p>
              </w:tc>
              <w:tc>
                <w:tcPr>
                  <w:tcW w:w="1012" w:type="pct"/>
                  <w:noWrap w:val="0"/>
                  <w:vAlign w:val="center"/>
                </w:tcPr>
                <w:p w14:paraId="5B83C593">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一般土石方堆场</w:t>
                  </w:r>
                </w:p>
              </w:tc>
              <w:tc>
                <w:tcPr>
                  <w:tcW w:w="860" w:type="pct"/>
                  <w:noWrap w:val="0"/>
                  <w:vAlign w:val="center"/>
                </w:tcPr>
                <w:p w14:paraId="4AAE7D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bidi="ar-SA"/>
                    </w:rPr>
                  </w:pPr>
                  <w:r>
                    <w:rPr>
                      <w:rFonts w:hint="eastAsia" w:ascii="Times New Roman" w:hAnsi="Times New Roman" w:eastAsia="宋体" w:cs="Times New Roman"/>
                      <w:i w:val="0"/>
                      <w:iCs w:val="0"/>
                      <w:color w:val="auto"/>
                      <w:sz w:val="21"/>
                      <w:szCs w:val="21"/>
                      <w:highlight w:val="none"/>
                      <w:u w:val="none"/>
                      <w:lang w:val="en-US" w:eastAsia="zh-CN" w:bidi="ar-SA"/>
                    </w:rPr>
                    <w:t>300</w:t>
                  </w:r>
                </w:p>
              </w:tc>
              <w:tc>
                <w:tcPr>
                  <w:tcW w:w="565" w:type="pct"/>
                  <w:noWrap w:val="0"/>
                  <w:vAlign w:val="center"/>
                </w:tcPr>
                <w:p w14:paraId="2828993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3</w:t>
                  </w:r>
                </w:p>
              </w:tc>
            </w:tr>
          </w:tbl>
          <w:p w14:paraId="417D8FF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备注：本项目一般土石方随挖随填，一般土石方堆场能够满足开挖土石方堆存要求。</w:t>
            </w:r>
          </w:p>
          <w:p w14:paraId="4E5EDFE3">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井场内按照《钻前工程及井场布置技术要求》（SY/T5466-2013）进行设施设备布局，钻井平台、泥浆不落地系统区、泥浆储罐区、污水罐区、储液罐等均为地面设施或设备。井场内其他构筑物采用活动板房结构，设置均为撬装，生活区设置移动式卫生旱厕和垃圾收集桶。</w:t>
            </w:r>
          </w:p>
        </w:tc>
      </w:tr>
      <w:tr w14:paraId="2145B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7844B5E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施工方案</w:t>
            </w:r>
          </w:p>
        </w:tc>
        <w:tc>
          <w:tcPr>
            <w:tcW w:w="8597" w:type="dxa"/>
            <w:tcBorders>
              <w:top w:val="single" w:color="auto" w:sz="4" w:space="0"/>
              <w:left w:val="single" w:color="auto" w:sz="4" w:space="0"/>
              <w:bottom w:val="single" w:color="auto" w:sz="4" w:space="0"/>
              <w:right w:val="single" w:color="auto" w:sz="4" w:space="0"/>
            </w:tcBorders>
            <w:noWrap w:val="0"/>
            <w:vAlign w:val="center"/>
          </w:tcPr>
          <w:p w14:paraId="7B5C8EB5">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本次评价仅涉及天然气</w:t>
            </w:r>
            <w:r>
              <w:rPr>
                <w:rFonts w:hint="eastAsia" w:ascii="Times New Roman" w:hAnsi="Times New Roman" w:cs="Times New Roman"/>
                <w:color w:val="auto"/>
                <w:kern w:val="0"/>
                <w:sz w:val="24"/>
                <w:szCs w:val="24"/>
                <w:highlight w:val="none"/>
                <w:lang w:val="en-US" w:eastAsia="zh-CN" w:bidi="ar"/>
              </w:rPr>
              <w:t>评价</w:t>
            </w:r>
            <w:r>
              <w:rPr>
                <w:rFonts w:hint="default" w:ascii="Times New Roman" w:hAnsi="Times New Roman" w:eastAsia="宋体" w:cs="Times New Roman"/>
                <w:color w:val="auto"/>
                <w:kern w:val="0"/>
                <w:sz w:val="24"/>
                <w:szCs w:val="24"/>
                <w:highlight w:val="none"/>
                <w:lang w:val="en-US" w:eastAsia="zh-CN" w:bidi="ar"/>
              </w:rPr>
              <w:t>井的勘探过程，不涉及天然气的开采和集输。</w:t>
            </w:r>
          </w:p>
          <w:p w14:paraId="2741DB77">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1、钻井工程及产污特点</w:t>
            </w:r>
          </w:p>
          <w:p w14:paraId="2B4855A4">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项目建设内容包括钻前工程、钻井、试井、完井封井。</w:t>
            </w:r>
          </w:p>
          <w:p w14:paraId="2AA7F469">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钻前工程包括设备基础、活动房搭建等；钻井工程包括设备安装、钻井、完井三部分；试井包括试井设备安装及试井两部分；完井测试结果若表明</w:t>
            </w:r>
            <w:r>
              <w:rPr>
                <w:rFonts w:hint="eastAsia" w:ascii="Times New Roman" w:hAnsi="Times New Roman" w:cs="Times New Roman"/>
                <w:color w:val="auto"/>
                <w:kern w:val="0"/>
                <w:sz w:val="24"/>
                <w:szCs w:val="24"/>
                <w:highlight w:val="none"/>
                <w:lang w:val="en-US" w:eastAsia="zh-CN" w:bidi="ar"/>
              </w:rPr>
              <w:t>评价井</w:t>
            </w:r>
            <w:r>
              <w:rPr>
                <w:rFonts w:hint="default" w:ascii="Times New Roman" w:hAnsi="Times New Roman" w:eastAsia="宋体" w:cs="Times New Roman"/>
                <w:color w:val="auto"/>
                <w:kern w:val="0"/>
                <w:sz w:val="24"/>
                <w:szCs w:val="24"/>
                <w:highlight w:val="none"/>
                <w:lang w:val="en-US" w:eastAsia="zh-CN" w:bidi="ar"/>
              </w:rPr>
              <w:t>有工业开采的价值，拆除与采气无关的设备，剩余临时占地</w:t>
            </w:r>
            <w:r>
              <w:rPr>
                <w:rFonts w:hint="eastAsia" w:ascii="Times New Roman" w:hAnsi="Times New Roman" w:cs="Times New Roman"/>
                <w:color w:val="auto"/>
                <w:kern w:val="0"/>
                <w:sz w:val="24"/>
                <w:szCs w:val="24"/>
                <w:highlight w:val="none"/>
                <w:lang w:val="en-US" w:eastAsia="zh-CN" w:bidi="ar"/>
              </w:rPr>
              <w:t>按照井场环评要求</w:t>
            </w:r>
            <w:r>
              <w:rPr>
                <w:rFonts w:hint="default" w:ascii="Times New Roman" w:hAnsi="Times New Roman" w:eastAsia="宋体" w:cs="Times New Roman"/>
                <w:color w:val="auto"/>
                <w:kern w:val="0"/>
                <w:sz w:val="24"/>
                <w:szCs w:val="24"/>
                <w:highlight w:val="none"/>
                <w:lang w:val="en-US" w:eastAsia="zh-CN" w:bidi="ar"/>
              </w:rPr>
              <w:t>恢复为原有地貌、进行完井搬迁。若完井测试后</w:t>
            </w:r>
            <w:r>
              <w:rPr>
                <w:rFonts w:hint="eastAsia" w:ascii="Times New Roman" w:hAnsi="Times New Roman" w:cs="Times New Roman"/>
                <w:color w:val="auto"/>
                <w:kern w:val="0"/>
                <w:sz w:val="24"/>
                <w:szCs w:val="24"/>
                <w:highlight w:val="none"/>
                <w:lang w:val="en-US" w:eastAsia="zh-CN" w:bidi="ar"/>
              </w:rPr>
              <w:t>评价井</w:t>
            </w:r>
            <w:r>
              <w:rPr>
                <w:rFonts w:hint="default" w:ascii="Times New Roman" w:hAnsi="Times New Roman" w:eastAsia="宋体" w:cs="Times New Roman"/>
                <w:color w:val="auto"/>
                <w:kern w:val="0"/>
                <w:sz w:val="24"/>
                <w:szCs w:val="24"/>
                <w:highlight w:val="none"/>
                <w:lang w:val="en-US" w:eastAsia="zh-CN" w:bidi="ar"/>
              </w:rPr>
              <w:t>不产天然气或所产天然气不具有工业开采价值，则用水泥封井后搬迁，将</w:t>
            </w:r>
            <w:r>
              <w:rPr>
                <w:rFonts w:hint="eastAsia" w:ascii="Times New Roman" w:hAnsi="Times New Roman" w:cs="Times New Roman"/>
                <w:color w:val="auto"/>
                <w:kern w:val="0"/>
                <w:sz w:val="24"/>
                <w:szCs w:val="24"/>
                <w:highlight w:val="none"/>
                <w:lang w:val="en-US" w:eastAsia="zh-CN" w:bidi="ar"/>
              </w:rPr>
              <w:t>废弃</w:t>
            </w:r>
            <w:r>
              <w:rPr>
                <w:rFonts w:hint="default" w:ascii="Times New Roman" w:hAnsi="Times New Roman" w:eastAsia="宋体" w:cs="Times New Roman"/>
                <w:color w:val="auto"/>
                <w:kern w:val="0"/>
                <w:sz w:val="24"/>
                <w:szCs w:val="24"/>
                <w:highlight w:val="none"/>
                <w:lang w:val="en-US" w:eastAsia="zh-CN" w:bidi="ar"/>
              </w:rPr>
              <w:t>的井场恢复为原有地貌。</w:t>
            </w:r>
          </w:p>
          <w:p w14:paraId="5B19D727">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项目主要流程及产污环节见图2-</w:t>
            </w:r>
            <w:r>
              <w:rPr>
                <w:rFonts w:hint="eastAsia" w:ascii="Times New Roman" w:hAnsi="Times New Roman"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w:t>
            </w:r>
          </w:p>
          <w:p w14:paraId="61143AF8">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object>
                <v:shape id="_x0000_i1027" o:spt="75" type="#_x0000_t75" style="height:242.4pt;width:417.95pt;" o:ole="t" filled="f" o:preferrelative="t" stroked="f" coordsize="21600,21600">
                  <v:path/>
                  <v:fill on="f" focussize="0,0"/>
                  <v:stroke on="f"/>
                  <v:imagedata r:id="rId12" cropleft="996f" o:title=""/>
                  <o:lock v:ext="edit" aspectratio="f"/>
                  <w10:wrap type="none"/>
                  <w10:anchorlock/>
                </v:shape>
                <o:OLEObject Type="Embed" ProgID="Visio.Drawing.11" ShapeID="_x0000_i1027" DrawAspect="Content" ObjectID="_1468075727" r:id="rId11">
                  <o:LockedField>false</o:LockedField>
                </o:OLEObject>
              </w:object>
            </w:r>
          </w:p>
          <w:p w14:paraId="4F597EE7">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图2-</w:t>
            </w:r>
            <w:r>
              <w:rPr>
                <w:rFonts w:hint="eastAsia" w:ascii="Times New Roman" w:hAnsi="Times New Roman" w:cs="Times New Roman"/>
                <w:b/>
                <w:bCs/>
                <w:color w:val="auto"/>
                <w:kern w:val="0"/>
                <w:sz w:val="24"/>
                <w:szCs w:val="24"/>
                <w:highlight w:val="none"/>
                <w:lang w:val="en-US" w:eastAsia="zh-CN" w:bidi="ar"/>
              </w:rPr>
              <w:t xml:space="preserve">5 </w:t>
            </w:r>
            <w:r>
              <w:rPr>
                <w:rFonts w:hint="default" w:ascii="Times New Roman" w:hAnsi="Times New Roman" w:eastAsia="宋体" w:cs="Times New Roman"/>
                <w:b/>
                <w:bCs/>
                <w:color w:val="auto"/>
                <w:kern w:val="0"/>
                <w:sz w:val="24"/>
                <w:szCs w:val="24"/>
                <w:highlight w:val="none"/>
                <w:lang w:val="en-US" w:eastAsia="zh-CN" w:bidi="ar"/>
              </w:rPr>
              <w:t>项目主要工艺流程及产污环节图</w:t>
            </w:r>
          </w:p>
          <w:p w14:paraId="76AED36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2、施工工艺过程</w:t>
            </w:r>
          </w:p>
          <w:p w14:paraId="155A62C9">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（1）钻前工程</w:t>
            </w:r>
          </w:p>
          <w:p w14:paraId="6A528C9F">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钻前工程满足钻井作业要求时，各类作业车辆将各类设备逐步运至井场进行安装，通过检查满足钻井要求时开始进行钻井作业。</w:t>
            </w:r>
          </w:p>
          <w:p w14:paraId="7551A077">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钻井作业</w:t>
            </w:r>
          </w:p>
          <w:p w14:paraId="305A93F6">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钻井作业均包括钻进、钻进辅助作业、固井、完井测试等过程。钻井过程中均使用水基泥浆体系。钻进由起下钻、接单根、钻进等作业组成；钻进辅助作业由电测井、取</w:t>
            </w:r>
            <w:r>
              <w:rPr>
                <w:rFonts w:hint="default" w:ascii="Times New Roman" w:hAnsi="Times New Roman" w:eastAsia="宋体" w:cs="Times New Roman"/>
                <w:color w:val="auto"/>
                <w:sz w:val="24"/>
                <w:szCs w:val="24"/>
                <w:highlight w:val="none"/>
                <w:lang w:val="en-US" w:eastAsia="zh-CN"/>
              </w:rPr>
              <w:t>芯</w:t>
            </w:r>
            <w:r>
              <w:rPr>
                <w:rFonts w:hint="default" w:ascii="Times New Roman" w:hAnsi="Times New Roman" w:eastAsia="宋体" w:cs="Times New Roman"/>
                <w:color w:val="auto"/>
                <w:sz w:val="24"/>
                <w:szCs w:val="24"/>
                <w:highlight w:val="none"/>
                <w:lang w:eastAsia="zh-CN"/>
              </w:rPr>
              <w:t>钻进、综合录井、中途测试等作业组成；固井由下套管和水泥固井两个过程组成。</w:t>
            </w:r>
          </w:p>
          <w:p w14:paraId="04918BE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①钻井</w:t>
            </w:r>
          </w:p>
          <w:p w14:paraId="0E603F6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b/>
                <w:bCs/>
                <w:color w:val="auto"/>
                <w:sz w:val="24"/>
                <w:szCs w:val="24"/>
                <w:highlight w:val="none"/>
                <w:vertAlign w:val="baseline"/>
                <w:lang w:val="en-US" w:eastAsia="zh-CN"/>
              </w:rPr>
              <w:t>直井：</w:t>
            </w:r>
            <w:r>
              <w:rPr>
                <w:rFonts w:hint="default" w:ascii="Times New Roman" w:hAnsi="Times New Roman" w:eastAsia="宋体" w:cs="Times New Roman"/>
                <w:b w:val="0"/>
                <w:bCs w:val="0"/>
                <w:color w:val="auto"/>
                <w:sz w:val="24"/>
                <w:szCs w:val="24"/>
                <w:highlight w:val="none"/>
                <w:vertAlign w:val="baseline"/>
                <w:lang w:val="en-US" w:eastAsia="zh-CN"/>
              </w:rPr>
              <w:t>项目钻井</w:t>
            </w:r>
            <w:r>
              <w:rPr>
                <w:rFonts w:hint="eastAsia" w:ascii="Times New Roman" w:hAnsi="Times New Roman" w:eastAsia="宋体" w:cs="Times New Roman"/>
                <w:b w:val="0"/>
                <w:bCs w:val="0"/>
                <w:color w:val="auto"/>
                <w:sz w:val="24"/>
                <w:szCs w:val="24"/>
                <w:highlight w:val="none"/>
                <w:vertAlign w:val="baseline"/>
                <w:lang w:val="en-US" w:eastAsia="zh-CN"/>
              </w:rPr>
              <w:t>井型直井</w:t>
            </w:r>
            <w:r>
              <w:rPr>
                <w:rFonts w:hint="default" w:ascii="Times New Roman" w:hAnsi="Times New Roman" w:eastAsia="宋体" w:cs="Times New Roman"/>
                <w:b w:val="0"/>
                <w:bCs w:val="0"/>
                <w:color w:val="auto"/>
                <w:sz w:val="24"/>
                <w:szCs w:val="24"/>
                <w:highlight w:val="none"/>
                <w:vertAlign w:val="baseline"/>
                <w:lang w:val="en-US" w:eastAsia="zh-CN"/>
              </w:rPr>
              <w:t>采用直井钻探，预计勘探深度为</w:t>
            </w:r>
            <w:r>
              <w:rPr>
                <w:rFonts w:hint="eastAsia" w:ascii="Times New Roman" w:hAnsi="Times New Roman" w:eastAsia="宋体" w:cs="Times New Roman"/>
                <w:b w:val="0"/>
                <w:bCs w:val="0"/>
                <w:color w:val="auto"/>
                <w:sz w:val="24"/>
                <w:szCs w:val="24"/>
                <w:highlight w:val="none"/>
                <w:vertAlign w:val="baseline"/>
                <w:lang w:val="en-US" w:eastAsia="zh-CN"/>
              </w:rPr>
              <w:t>2750</w:t>
            </w:r>
            <w:r>
              <w:rPr>
                <w:rFonts w:hint="default" w:ascii="Times New Roman" w:hAnsi="Times New Roman" w:eastAsia="宋体" w:cs="Times New Roman"/>
                <w:b w:val="0"/>
                <w:bCs w:val="0"/>
                <w:color w:val="auto"/>
                <w:sz w:val="24"/>
                <w:szCs w:val="24"/>
                <w:highlight w:val="none"/>
                <w:vertAlign w:val="baseline"/>
                <w:lang w:val="en-US" w:eastAsia="zh-CN"/>
              </w:rPr>
              <w:t>m。钻井工程分为一开和二开钻井工程。一开包括下标称套管600m，固表层套管，套管口径273.1mm，此阶段采用</w:t>
            </w:r>
            <w:r>
              <w:rPr>
                <w:rFonts w:hint="eastAsia" w:ascii="Times New Roman" w:hAnsi="Times New Roman" w:eastAsia="宋体" w:cs="Times New Roman"/>
                <w:b w:val="0"/>
                <w:bCs w:val="0"/>
                <w:color w:val="auto"/>
                <w:sz w:val="24"/>
                <w:szCs w:val="24"/>
                <w:highlight w:val="none"/>
                <w:vertAlign w:val="baseline"/>
                <w:lang w:val="en-US" w:eastAsia="zh-CN"/>
              </w:rPr>
              <w:t>膨润土水基</w:t>
            </w:r>
            <w:r>
              <w:rPr>
                <w:rFonts w:hint="default" w:ascii="Times New Roman" w:hAnsi="Times New Roman" w:eastAsia="宋体" w:cs="Times New Roman"/>
                <w:b w:val="0"/>
                <w:bCs w:val="0"/>
                <w:color w:val="auto"/>
                <w:sz w:val="24"/>
                <w:szCs w:val="24"/>
                <w:highlight w:val="none"/>
                <w:vertAlign w:val="baseline"/>
                <w:lang w:val="en-US" w:eastAsia="zh-CN"/>
              </w:rPr>
              <w:t>泥浆（泥浆配方：清水+0.2-0.3%Na</w:t>
            </w:r>
            <w:r>
              <w:rPr>
                <w:rFonts w:hint="default" w:ascii="Times New Roman" w:hAnsi="Times New Roman" w:eastAsia="宋体" w:cs="Times New Roman"/>
                <w:b w:val="0"/>
                <w:bCs w:val="0"/>
                <w:color w:val="auto"/>
                <w:sz w:val="24"/>
                <w:szCs w:val="24"/>
                <w:highlight w:val="none"/>
                <w:vertAlign w:val="subscript"/>
                <w:lang w:val="en-US" w:eastAsia="zh-CN"/>
              </w:rPr>
              <w:t>2</w:t>
            </w:r>
            <w:r>
              <w:rPr>
                <w:rFonts w:hint="default" w:ascii="Times New Roman" w:hAnsi="Times New Roman" w:eastAsia="宋体" w:cs="Times New Roman"/>
                <w:b w:val="0"/>
                <w:bCs w:val="0"/>
                <w:color w:val="auto"/>
                <w:sz w:val="24"/>
                <w:szCs w:val="24"/>
                <w:highlight w:val="none"/>
                <w:vertAlign w:val="baseline"/>
                <w:lang w:val="en-US" w:eastAsia="zh-CN"/>
              </w:rPr>
              <w:t>CO</w:t>
            </w:r>
            <w:r>
              <w:rPr>
                <w:rFonts w:hint="default" w:ascii="Times New Roman" w:hAnsi="Times New Roman" w:eastAsia="宋体" w:cs="Times New Roman"/>
                <w:b w:val="0"/>
                <w:bCs w:val="0"/>
                <w:color w:val="auto"/>
                <w:sz w:val="24"/>
                <w:szCs w:val="24"/>
                <w:highlight w:val="none"/>
                <w:vertAlign w:val="sub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+6-7%</w:t>
            </w:r>
            <w:r>
              <w:rPr>
                <w:rFonts w:hint="eastAsia" w:ascii="Times New Roman" w:hAnsi="Times New Roman" w:eastAsia="宋体" w:cs="Times New Roman"/>
                <w:b w:val="0"/>
                <w:bCs w:val="0"/>
                <w:color w:val="auto"/>
                <w:sz w:val="24"/>
                <w:szCs w:val="24"/>
                <w:highlight w:val="none"/>
                <w:vertAlign w:val="baseline"/>
                <w:lang w:val="en-US" w:eastAsia="zh-CN"/>
              </w:rPr>
              <w:t>膨润土</w:t>
            </w:r>
            <w:r>
              <w:rPr>
                <w:rFonts w:hint="default" w:ascii="Times New Roman" w:hAnsi="Times New Roman" w:eastAsia="宋体" w:cs="Times New Roman"/>
                <w:b w:val="0"/>
                <w:bCs w:val="0"/>
                <w:color w:val="auto"/>
                <w:sz w:val="24"/>
                <w:szCs w:val="24"/>
                <w:highlight w:val="none"/>
                <w:vertAlign w:val="baseline"/>
                <w:lang w:val="en-US" w:eastAsia="zh-CN"/>
              </w:rPr>
              <w:t>）迅速钻井，在套管的保护下能有效的保护浅层地下水；二开包括下气层套管、固气层套管，为生产、后期改造做好准备。二开套管口径219.1mm。</w:t>
            </w:r>
          </w:p>
          <w:p w14:paraId="2EF8ABE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主要的工序简述如下：</w:t>
            </w:r>
          </w:p>
          <w:p w14:paraId="7E9B40C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钻井过程即钻头破碎岩石并通过钻井液带出岩屑并形成井筒的过程。钻井作业时，依靠钻机动力带动钻杆和钻头旋转，钻头逐次向下破碎岩层，同时通过空心钻杆向地下注入钻井液，将破碎岩屑通过循环钻井液带到地面形成返排液。地面设置泥浆循环系统将返排液中的岩屑清除后，将钻井液再次打入井内循环使用。</w:t>
            </w:r>
          </w:p>
          <w:p w14:paraId="3F87DC9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钻井泥浆循环系统是钻井工程的核心部分，主要包括钻井液振动筛、真空除气器、除砂器、除泥器、搅拌器、泵及泥浆罐等设备。将返排液通过泥浆管输入振动筛进行固液分离，将泥浆中粒径大于0.1mm的固相物质留于筛上，振动筛筛下的液相进入循环罐暂存，再依次通过除砂器、除泥器分离出粒径大于0.01mm的固相物质后，用于钻井作业和后续的配浆作业。</w:t>
            </w:r>
          </w:p>
          <w:p w14:paraId="18E9613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施工结束后无法回用的废弃泥浆通过压滤机处理后，上清液暂存于钻井废水储存罐，完井后由罐车送有能力单位处置；压滤后的泥饼暂存于固渣储存罐中；振动筛、除砂器、除泥器、离心机分离出的固相物质即岩屑，暂存于固渣储存罐中，施工结束后委托</w:t>
            </w:r>
            <w:r>
              <w:rPr>
                <w:rFonts w:hint="eastAsia" w:ascii="Times New Roman" w:hAnsi="Times New Roman" w:eastAsia="宋体" w:cs="Times New Roman"/>
                <w:b w:val="0"/>
                <w:bCs w:val="0"/>
                <w:color w:val="auto"/>
                <w:sz w:val="24"/>
                <w:szCs w:val="24"/>
                <w:highlight w:val="none"/>
                <w:vertAlign w:val="baseline"/>
                <w:lang w:val="en-US" w:eastAsia="zh-CN"/>
              </w:rPr>
              <w:t>协议的有能力单位</w:t>
            </w:r>
            <w:r>
              <w:rPr>
                <w:rFonts w:hint="default" w:ascii="Times New Roman" w:hAnsi="Times New Roman" w:eastAsia="宋体" w:cs="Times New Roman"/>
                <w:b w:val="0"/>
                <w:bCs w:val="0"/>
                <w:color w:val="auto"/>
                <w:sz w:val="24"/>
                <w:szCs w:val="24"/>
                <w:highlight w:val="none"/>
                <w:vertAlign w:val="baseline"/>
                <w:lang w:val="en-US" w:eastAsia="zh-CN"/>
              </w:rPr>
              <w:t>处置。</w:t>
            </w:r>
          </w:p>
          <w:p w14:paraId="67B12EF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②录井、测井</w:t>
            </w:r>
          </w:p>
          <w:p w14:paraId="0F2A9A8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录井：按设计要求进行地质录井、钻时录井、岩屑录井、岩心录井、钻井液录井等。</w:t>
            </w:r>
          </w:p>
          <w:p w14:paraId="0169279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测井：本项目测井方式为电测，不使用放射性测井设备，测井是利用专用仪器设备测量岩层的电化学特性、导电特性、声学特性等地球物理特性，以获取岩层的孔隙度、渗透率以及含油气情况等地层信息。根据地质需要，选用适合的测井项目对钻开地层进行电测，最终根据电测曲线了解地层的特征及地层含气情况。</w:t>
            </w:r>
          </w:p>
          <w:p w14:paraId="1B5EC28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③固井</w:t>
            </w:r>
          </w:p>
          <w:p w14:paraId="315A006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固井是钻井达到预定深度后，下入套管并注入水泥浆，封固套管和井壁之间环形空间的作业。固井的主要目的是封隔疏松的易塌易漏地层，封隔油、气、水层，防止互相串漏，以保证安全继续钻进下一段井眼的工艺过程。固井水泥的返高也是封隔井筒与地下水的主要措施，本项目导管和一开固井水泥均返高至地面，可以多层防护与隔绝井内流体与含水层之间的联系。</w:t>
            </w:r>
          </w:p>
          <w:p w14:paraId="2D8C930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④取芯工艺</w:t>
            </w:r>
          </w:p>
          <w:p w14:paraId="1AF6BE6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天然气埋藏在地下有孔隙裂缝的岩石中。为了了解地层中油气的真实面貌本项目采取常规</w:t>
            </w:r>
            <w:r>
              <w:rPr>
                <w:rFonts w:hint="eastAsia" w:ascii="Times New Roman" w:hAnsi="Times New Roman" w:eastAsia="宋体" w:cs="Times New Roman"/>
                <w:b w:val="0"/>
                <w:bCs w:val="0"/>
                <w:color w:val="auto"/>
                <w:sz w:val="24"/>
                <w:szCs w:val="24"/>
                <w:highlight w:val="none"/>
                <w:vertAlign w:val="baseline"/>
                <w:lang w:val="en-US" w:eastAsia="zh-CN"/>
              </w:rPr>
              <w:t>钻井</w:t>
            </w:r>
            <w:r>
              <w:rPr>
                <w:rFonts w:hint="default" w:ascii="Times New Roman" w:hAnsi="Times New Roman" w:eastAsia="宋体" w:cs="Times New Roman"/>
                <w:b w:val="0"/>
                <w:bCs w:val="0"/>
                <w:color w:val="auto"/>
                <w:sz w:val="24"/>
                <w:szCs w:val="24"/>
                <w:highlight w:val="none"/>
                <w:vertAlign w:val="baseline"/>
                <w:lang w:val="en-US" w:eastAsia="zh-CN"/>
              </w:rPr>
              <w:t>进行钻井取芯。</w:t>
            </w:r>
          </w:p>
          <w:p w14:paraId="19FB1B6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钻井取芯时，要在下入井内钻柱的最下端，接上一套特制的取工具，取</w:t>
            </w:r>
            <w:r>
              <w:rPr>
                <w:rFonts w:hint="eastAsia" w:ascii="Times New Roman" w:hAnsi="Times New Roman" w:eastAsia="宋体" w:cs="Times New Roman"/>
                <w:b w:val="0"/>
                <w:bCs w:val="0"/>
                <w:color w:val="auto"/>
                <w:sz w:val="24"/>
                <w:szCs w:val="24"/>
                <w:highlight w:val="none"/>
                <w:vertAlign w:val="baseline"/>
                <w:lang w:val="en-US" w:eastAsia="zh-CN"/>
              </w:rPr>
              <w:t>芯</w:t>
            </w:r>
            <w:r>
              <w:rPr>
                <w:rFonts w:hint="default" w:ascii="Times New Roman" w:hAnsi="Times New Roman" w:eastAsia="宋体" w:cs="Times New Roman"/>
                <w:b w:val="0"/>
                <w:bCs w:val="0"/>
                <w:color w:val="auto"/>
                <w:sz w:val="24"/>
                <w:szCs w:val="24"/>
                <w:highlight w:val="none"/>
                <w:vertAlign w:val="baseline"/>
                <w:lang w:val="en-US" w:eastAsia="zh-CN"/>
              </w:rPr>
              <w:t>钻头在垂直载荷和扭矩的联合作用下，对</w:t>
            </w:r>
            <w:r>
              <w:rPr>
                <w:rFonts w:hint="eastAsia" w:ascii="Times New Roman" w:hAnsi="Times New Roman" w:eastAsia="宋体" w:cs="Times New Roman"/>
                <w:b w:val="0"/>
                <w:bCs w:val="0"/>
                <w:color w:val="auto"/>
                <w:sz w:val="24"/>
                <w:szCs w:val="24"/>
                <w:highlight w:val="none"/>
                <w:vertAlign w:val="baseline"/>
                <w:lang w:val="en-US" w:eastAsia="zh-CN"/>
              </w:rPr>
              <w:t>井</w:t>
            </w:r>
            <w:r>
              <w:rPr>
                <w:rFonts w:hint="default" w:ascii="Times New Roman" w:hAnsi="Times New Roman" w:eastAsia="宋体" w:cs="Times New Roman"/>
                <w:b w:val="0"/>
                <w:bCs w:val="0"/>
                <w:color w:val="auto"/>
                <w:sz w:val="24"/>
                <w:szCs w:val="24"/>
                <w:highlight w:val="none"/>
                <w:vertAlign w:val="baseline"/>
                <w:lang w:val="en-US" w:eastAsia="zh-CN"/>
              </w:rPr>
              <w:t>底的岩石进行环形破碎，中间保留圆柱状岩芯进入岩芯筒。当钻进取芯到一定长度后，采用与工具相匹配的方法和措施，将钻头端部的岩芯割断后起钻，取工具与钻具一起提出地面，即可取出岩芯筒内的岩芯。钻</w:t>
            </w:r>
            <w:r>
              <w:rPr>
                <w:rFonts w:hint="eastAsia" w:ascii="Times New Roman" w:hAnsi="Times New Roman" w:eastAsia="宋体" w:cs="Times New Roman"/>
                <w:b w:val="0"/>
                <w:bCs w:val="0"/>
                <w:color w:val="auto"/>
                <w:sz w:val="24"/>
                <w:szCs w:val="24"/>
                <w:highlight w:val="none"/>
                <w:vertAlign w:val="baseline"/>
                <w:lang w:val="en-US" w:eastAsia="zh-CN"/>
              </w:rPr>
              <w:t>井</w:t>
            </w:r>
            <w:r>
              <w:rPr>
                <w:rFonts w:hint="default" w:ascii="Times New Roman" w:hAnsi="Times New Roman" w:eastAsia="宋体" w:cs="Times New Roman"/>
                <w:b w:val="0"/>
                <w:bCs w:val="0"/>
                <w:color w:val="auto"/>
                <w:sz w:val="24"/>
                <w:szCs w:val="24"/>
                <w:highlight w:val="none"/>
                <w:vertAlign w:val="baseline"/>
                <w:lang w:val="en-US" w:eastAsia="zh-CN"/>
              </w:rPr>
              <w:t>取芯可以充分满足地</w:t>
            </w:r>
            <w:r>
              <w:rPr>
                <w:rFonts w:hint="eastAsia" w:ascii="Times New Roman" w:hAnsi="Times New Roman" w:eastAsia="宋体" w:cs="Times New Roman"/>
                <w:b w:val="0"/>
                <w:bCs w:val="0"/>
                <w:color w:val="auto"/>
                <w:sz w:val="24"/>
                <w:szCs w:val="24"/>
                <w:highlight w:val="none"/>
                <w:vertAlign w:val="baseline"/>
                <w:lang w:val="en-US" w:eastAsia="zh-CN"/>
              </w:rPr>
              <w:t>质专</w:t>
            </w:r>
            <w:r>
              <w:rPr>
                <w:rFonts w:hint="default" w:ascii="Times New Roman" w:hAnsi="Times New Roman" w:eastAsia="宋体" w:cs="Times New Roman"/>
                <w:b w:val="0"/>
                <w:bCs w:val="0"/>
                <w:color w:val="auto"/>
                <w:sz w:val="24"/>
                <w:szCs w:val="24"/>
                <w:highlight w:val="none"/>
                <w:vertAlign w:val="baseline"/>
                <w:lang w:val="en-US" w:eastAsia="zh-CN"/>
              </w:rPr>
              <w:t>家对岩芯进行多种项目的化验和测试，是对获取地下储层岩性、物性和储层评价有重要意义的手段。根据建设单位提供资料，岩芯用于产气量气密性研究，研究</w:t>
            </w:r>
            <w:r>
              <w:rPr>
                <w:rFonts w:hint="eastAsia" w:ascii="Times New Roman" w:hAnsi="Times New Roman" w:eastAsia="宋体" w:cs="Times New Roman"/>
                <w:b w:val="0"/>
                <w:bCs w:val="0"/>
                <w:color w:val="auto"/>
                <w:sz w:val="24"/>
                <w:szCs w:val="24"/>
                <w:highlight w:val="none"/>
                <w:vertAlign w:val="baseline"/>
                <w:lang w:val="en-US" w:eastAsia="zh-CN"/>
              </w:rPr>
              <w:t>完成</w:t>
            </w:r>
            <w:r>
              <w:rPr>
                <w:rFonts w:hint="default" w:ascii="Times New Roman" w:hAnsi="Times New Roman" w:eastAsia="宋体" w:cs="Times New Roman"/>
                <w:b w:val="0"/>
                <w:bCs w:val="0"/>
                <w:color w:val="auto"/>
                <w:sz w:val="24"/>
                <w:szCs w:val="24"/>
                <w:highlight w:val="none"/>
                <w:vertAlign w:val="baseline"/>
                <w:lang w:val="en-US" w:eastAsia="zh-CN"/>
              </w:rPr>
              <w:t>后的废弃岩芯作为固废委托</w:t>
            </w:r>
            <w:r>
              <w:rPr>
                <w:rFonts w:hint="eastAsia" w:ascii="Times New Roman" w:hAnsi="Times New Roman" w:eastAsia="宋体" w:cs="Times New Roman"/>
                <w:b w:val="0"/>
                <w:bCs w:val="0"/>
                <w:color w:val="auto"/>
                <w:sz w:val="24"/>
                <w:szCs w:val="24"/>
                <w:highlight w:val="none"/>
                <w:vertAlign w:val="baseline"/>
                <w:lang w:val="en-US" w:eastAsia="zh-CN"/>
              </w:rPr>
              <w:t>协议的有能力单位</w:t>
            </w:r>
            <w:r>
              <w:rPr>
                <w:rFonts w:hint="default" w:ascii="Times New Roman" w:hAnsi="Times New Roman" w:eastAsia="宋体" w:cs="Times New Roman"/>
                <w:b w:val="0"/>
                <w:bCs w:val="0"/>
                <w:color w:val="auto"/>
                <w:sz w:val="24"/>
                <w:szCs w:val="24"/>
                <w:highlight w:val="none"/>
                <w:vertAlign w:val="baseline"/>
                <w:lang w:val="en-US" w:eastAsia="zh-CN"/>
              </w:rPr>
              <w:t>处理。</w:t>
            </w:r>
          </w:p>
          <w:p w14:paraId="78BB38A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）完井测试</w:t>
            </w:r>
          </w:p>
          <w:p w14:paraId="2D8C1ABA">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测井方式为电测，不使用放射性测井设备，测井是利用专用仪器设备测量岩层的电化学特性、导电特性、声学特性等地球物理特性，以获取岩层的孔隙度、渗透率以及含油气情况等地层信息。根据地质需要，选用适合的测井项目对钻开地层进行电测，最终根据电测曲线了解地层的特征及地层含气情况。</w:t>
            </w:r>
          </w:p>
          <w:p w14:paraId="7C87AEE1">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bidi="ar"/>
              </w:rPr>
              <w:t>①洗井</w:t>
            </w:r>
          </w:p>
          <w:p w14:paraId="3546E925">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bidi="ar"/>
              </w:rPr>
              <w:t>项目完钻后开展洗井作业，采用清水清洗套管。洗井废水从井口返排进入专用收集罐中，委托协议的有能力单位外运处理。</w:t>
            </w:r>
          </w:p>
          <w:p w14:paraId="755A4099">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bidi="ar"/>
              </w:rPr>
              <w:t>②射孔</w:t>
            </w:r>
          </w:p>
          <w:p w14:paraId="22980299">
            <w:pPr>
              <w:keepNext w:val="0"/>
              <w:keepLines w:val="0"/>
              <w:widowControl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本项目采用射孔完井方式。射孔完井是指下入气层套管封固产层后再用电缆射孔将套管、水泥环、部分产层射穿，形成气流通道。射穿产层后气井的生产能力受产层压力、产层性质、射孔参数及质量影响。根据建设单位以往经验，项目单口井射孔液用量一般为井筒容积。射孔液主要成分为无机盐类（</w:t>
            </w:r>
            <w:r>
              <w:rPr>
                <w:rFonts w:hint="default" w:ascii="Times New Roman" w:hAnsi="Times New Roman" w:eastAsia="宋体" w:cs="Times New Roman"/>
                <w:color w:val="auto"/>
                <w:kern w:val="0"/>
                <w:sz w:val="24"/>
                <w:szCs w:val="24"/>
                <w:highlight w:val="none"/>
                <w:lang w:val="en-US" w:eastAsia="zh-CN" w:bidi="ar"/>
              </w:rPr>
              <w:t>KCl</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NaCl</w:t>
            </w:r>
            <w:r>
              <w:rPr>
                <w:rFonts w:hint="eastAsia" w:ascii="Times New Roman" w:hAnsi="Times New Roman" w:eastAsia="宋体" w:cs="Times New Roman"/>
                <w:color w:val="auto"/>
                <w:kern w:val="0"/>
                <w:sz w:val="24"/>
                <w:szCs w:val="24"/>
                <w:highlight w:val="none"/>
                <w:lang w:val="en-US" w:eastAsia="zh-CN" w:bidi="ar"/>
              </w:rPr>
              <w:t>）水溶液加适量粘土稳定剂。</w:t>
            </w:r>
          </w:p>
          <w:p w14:paraId="0BBCC72E">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③压裂</w:t>
            </w:r>
          </w:p>
          <w:p w14:paraId="6389D4E6">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射孔后，为提高产层的渗透能力将实施压裂作业。利用地面高压泵，将高黏液体以大大超过地层吸收能力的排量注入井中，随即在井底附近产生高压，当压力超过井壁附近地应力和岩石抗张强度后，在地层中形成裂缝，继续将带有支撑剂（石英砂或陶粒）的压裂液注入裂缝中。停泵后，压裂液返排至地面，支撑剂则留在地层中，形成填砂（或陶粒）裂缝带以提高气层渗透性，从而达到增产的目的。</w:t>
            </w:r>
          </w:p>
          <w:p w14:paraId="2CF92382">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压裂后需要关井一段时间，使缝闭合施工造成的力波在地层中有逐步扩散，液体逐渐水化。压裂放喷一般分为两个阶段。第一阶段：压裂后，由于地层弹性能量较足，使用气嘴控制排量。总体要求尽可能多的排除压裂液，同时准确计量出液量。第二阶段：压裂后第一次放喷连续2~3小时不出液后，即可以关井，等压力恢复后再放喷。</w:t>
            </w:r>
          </w:p>
          <w:p w14:paraId="4B6AC97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4</w:t>
            </w:r>
            <w:r>
              <w:rPr>
                <w:rFonts w:hint="default" w:ascii="Times New Roman" w:hAnsi="Times New Roman" w:eastAsia="宋体" w:cs="Times New Roman"/>
                <w:b w:val="0"/>
                <w:bCs w:val="0"/>
                <w:color w:val="auto"/>
                <w:sz w:val="24"/>
                <w:szCs w:val="24"/>
                <w:highlight w:val="none"/>
                <w:vertAlign w:val="baseline"/>
                <w:lang w:val="en-US" w:eastAsia="zh-CN"/>
              </w:rPr>
              <w:t>）试气</w:t>
            </w:r>
          </w:p>
          <w:p w14:paraId="1E5844A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为了解气井的产气量，在完井及压裂后，需进行测试放喷。测试放喷是在固井、压裂作业后，利用测试放喷专用管线将井内天然气引至</w:t>
            </w:r>
            <w:r>
              <w:rPr>
                <w:rFonts w:hint="eastAsia" w:ascii="Times New Roman" w:hAnsi="Times New Roman" w:eastAsia="宋体" w:cs="Times New Roman"/>
                <w:b w:val="0"/>
                <w:bCs w:val="0"/>
                <w:color w:val="auto"/>
                <w:sz w:val="24"/>
                <w:szCs w:val="24"/>
                <w:highlight w:val="none"/>
                <w:vertAlign w:val="baseline"/>
                <w:lang w:val="en-US" w:eastAsia="zh-CN"/>
              </w:rPr>
              <w:t>放喷罐</w:t>
            </w:r>
            <w:r>
              <w:rPr>
                <w:rFonts w:hint="default" w:ascii="Times New Roman" w:hAnsi="Times New Roman" w:eastAsia="宋体" w:cs="Times New Roman"/>
                <w:b w:val="0"/>
                <w:bCs w:val="0"/>
                <w:color w:val="auto"/>
                <w:sz w:val="24"/>
                <w:szCs w:val="24"/>
                <w:highlight w:val="none"/>
                <w:vertAlign w:val="baseline"/>
                <w:lang w:val="en-US" w:eastAsia="zh-CN"/>
              </w:rPr>
              <w:t>内点火燃烧对天然气产量进行测试的过程，放喷前需接一条可测试流量的专用管线。依据测试气量，采用间歇性放喷，每次放喷时间约4</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6h，废气排放属不连续排放。</w:t>
            </w:r>
          </w:p>
          <w:p w14:paraId="669D085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5</w:t>
            </w:r>
            <w:r>
              <w:rPr>
                <w:rFonts w:hint="default" w:ascii="Times New Roman" w:hAnsi="Times New Roman" w:eastAsia="宋体" w:cs="Times New Roman"/>
                <w:b w:val="0"/>
                <w:bCs w:val="0"/>
                <w:color w:val="auto"/>
                <w:sz w:val="24"/>
                <w:szCs w:val="24"/>
                <w:highlight w:val="none"/>
                <w:vertAlign w:val="baseline"/>
                <w:lang w:val="en-US" w:eastAsia="zh-CN"/>
              </w:rPr>
              <w:t>）完井搬迁</w:t>
            </w:r>
          </w:p>
          <w:p w14:paraId="1A27670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本项目主要进行</w:t>
            </w:r>
            <w:r>
              <w:rPr>
                <w:rFonts w:hint="eastAsia" w:ascii="Times New Roman" w:hAnsi="Times New Roman" w:eastAsia="宋体" w:cs="Times New Roman"/>
                <w:b w:val="0"/>
                <w:bCs w:val="0"/>
                <w:color w:val="auto"/>
                <w:sz w:val="24"/>
                <w:szCs w:val="24"/>
                <w:highlight w:val="none"/>
                <w:vertAlign w:val="baseline"/>
                <w:lang w:val="en-US" w:eastAsia="zh-CN"/>
              </w:rPr>
              <w:t>评价井</w:t>
            </w:r>
            <w:r>
              <w:rPr>
                <w:rFonts w:hint="default" w:ascii="Times New Roman" w:hAnsi="Times New Roman" w:eastAsia="宋体" w:cs="Times New Roman"/>
                <w:b w:val="0"/>
                <w:bCs w:val="0"/>
                <w:color w:val="auto"/>
                <w:sz w:val="24"/>
                <w:szCs w:val="24"/>
                <w:highlight w:val="none"/>
                <w:vertAlign w:val="baseline"/>
                <w:lang w:val="en-US" w:eastAsia="zh-CN"/>
              </w:rPr>
              <w:t>的勘探开发，通过完井后试气测试评价情况，若完井或良好产量则临时封井后期转为生产井（另行办理相应的环评手续，完善永久征地手续），若未获得可利用的资源则永久封井处理（无永久占地，临时占地恢复原貌）。</w:t>
            </w:r>
          </w:p>
          <w:p w14:paraId="05E2200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①临时封井：若后续利用该</w:t>
            </w:r>
            <w:r>
              <w:rPr>
                <w:rFonts w:hint="eastAsia" w:ascii="Times New Roman" w:hAnsi="Times New Roman" w:eastAsia="宋体" w:cs="Times New Roman"/>
                <w:b w:val="0"/>
                <w:bCs w:val="0"/>
                <w:color w:val="auto"/>
                <w:sz w:val="24"/>
                <w:szCs w:val="24"/>
                <w:highlight w:val="none"/>
                <w:vertAlign w:val="baseline"/>
                <w:lang w:val="en-US" w:eastAsia="zh-CN"/>
              </w:rPr>
              <w:t>评价井</w:t>
            </w:r>
            <w:r>
              <w:rPr>
                <w:rFonts w:hint="default" w:ascii="Times New Roman" w:hAnsi="Times New Roman" w:eastAsia="宋体" w:cs="Times New Roman"/>
                <w:b w:val="0"/>
                <w:bCs w:val="0"/>
                <w:color w:val="auto"/>
                <w:sz w:val="24"/>
                <w:szCs w:val="24"/>
                <w:highlight w:val="none"/>
                <w:vertAlign w:val="baseline"/>
                <w:lang w:val="en-US" w:eastAsia="zh-CN"/>
              </w:rPr>
              <w:t>从事生产活动，则采取临时封井，保留采气树，相关法兰管口全部密封，井口区域下挖约长1m×宽1m×高1.2m的采气树池，四壁及底部进行砖混加固，树池四周地表建设围挡并张贴相关标识，具体生产相关事宜需另行履行环保手续。封井后移交公司统一管理，公司安排专职人员对</w:t>
            </w:r>
            <w:r>
              <w:rPr>
                <w:rFonts w:hint="eastAsia" w:ascii="Times New Roman" w:hAnsi="Times New Roman" w:eastAsia="宋体" w:cs="Times New Roman"/>
                <w:b w:val="0"/>
                <w:bCs w:val="0"/>
                <w:color w:val="auto"/>
                <w:sz w:val="24"/>
                <w:szCs w:val="24"/>
                <w:highlight w:val="none"/>
                <w:vertAlign w:val="baseline"/>
                <w:lang w:val="en-US" w:eastAsia="zh-CN"/>
              </w:rPr>
              <w:t>评价井</w:t>
            </w:r>
            <w:r>
              <w:rPr>
                <w:rFonts w:hint="default" w:ascii="Times New Roman" w:hAnsi="Times New Roman" w:eastAsia="宋体" w:cs="Times New Roman"/>
                <w:b w:val="0"/>
                <w:bCs w:val="0"/>
                <w:color w:val="auto"/>
                <w:sz w:val="24"/>
                <w:szCs w:val="24"/>
                <w:highlight w:val="none"/>
                <w:vertAlign w:val="baseline"/>
                <w:lang w:val="en-US" w:eastAsia="zh-CN"/>
              </w:rPr>
              <w:t>定期巡视。</w:t>
            </w:r>
          </w:p>
          <w:p w14:paraId="6A0FD97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②永久封井：首先，利用钻井过程中套管及套管壁用水泥固封防止天然气窜入地层，同时在射孔段的上部往水泥形成水泥塞面封隔气层；其次，回填并做碉堡</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边2m、高2.2m的三角形</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和标识，设置醒目的警示标志。永久封井后应保证该井眼无遗留风险。</w:t>
            </w:r>
          </w:p>
          <w:p w14:paraId="285E2D9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cs="Times New Roman"/>
                <w:color w:val="auto"/>
                <w:position w:val="-73"/>
                <w:highlight w:val="none"/>
              </w:rPr>
              <w:drawing>
                <wp:inline distT="0" distB="0" distL="114300" distR="114300">
                  <wp:extent cx="3193415" cy="2224405"/>
                  <wp:effectExtent l="0" t="0" r="6985" b="4445"/>
                  <wp:docPr id="5" name="图片 6"/>
                  <wp:cNvGraphicFramePr/>
                  <a:graphic xmlns:a="http://schemas.openxmlformats.org/drawingml/2006/main">
                    <a:graphicData uri="http://schemas.openxmlformats.org/drawingml/2006/picture">
                      <pic:pic xmlns:pic="http://schemas.openxmlformats.org/drawingml/2006/picture">
                        <pic:nvPicPr>
                          <pic:cNvPr id="5" name="图片 6"/>
                          <pic:cNvPicPr/>
                        </pic:nvPicPr>
                        <pic:blipFill>
                          <a:blip r:embed="rId13"/>
                          <a:stretch>
                            <a:fillRect/>
                          </a:stretch>
                        </pic:blipFill>
                        <pic:spPr>
                          <a:xfrm>
                            <a:off x="0" y="0"/>
                            <a:ext cx="3193415" cy="2224405"/>
                          </a:xfrm>
                          <a:prstGeom prst="rect">
                            <a:avLst/>
                          </a:prstGeom>
                          <a:noFill/>
                          <a:ln>
                            <a:noFill/>
                          </a:ln>
                        </pic:spPr>
                      </pic:pic>
                    </a:graphicData>
                  </a:graphic>
                </wp:inline>
              </w:drawing>
            </w:r>
          </w:p>
          <w:p w14:paraId="629F9F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图2-</w:t>
            </w:r>
            <w:r>
              <w:rPr>
                <w:rFonts w:hint="eastAsia" w:ascii="Times New Roman" w:hAnsi="Times New Roman" w:eastAsia="宋体" w:cs="Times New Roman"/>
                <w:b/>
                <w:bCs/>
                <w:color w:val="auto"/>
                <w:highlight w:val="none"/>
                <w:lang w:val="en-US" w:eastAsia="zh-CN"/>
              </w:rPr>
              <w:t>6</w:t>
            </w:r>
            <w:r>
              <w:rPr>
                <w:rFonts w:hint="default" w:ascii="Times New Roman" w:hAnsi="Times New Roman" w:eastAsia="宋体" w:cs="Times New Roman"/>
                <w:b/>
                <w:bCs/>
                <w:color w:val="auto"/>
                <w:highlight w:val="none"/>
                <w:lang w:val="en-US" w:eastAsia="zh-CN"/>
              </w:rPr>
              <w:t xml:space="preserve">  临时封井示意图</w:t>
            </w:r>
          </w:p>
          <w:p w14:paraId="47D253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highlight w:val="none"/>
              </w:rPr>
              <w:drawing>
                <wp:inline distT="0" distB="0" distL="114300" distR="114300">
                  <wp:extent cx="2781300" cy="2374265"/>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2781300" cy="2374265"/>
                          </a:xfrm>
                          <a:prstGeom prst="rect">
                            <a:avLst/>
                          </a:prstGeom>
                          <a:noFill/>
                          <a:ln>
                            <a:noFill/>
                          </a:ln>
                        </pic:spPr>
                      </pic:pic>
                    </a:graphicData>
                  </a:graphic>
                </wp:inline>
              </w:drawing>
            </w:r>
          </w:p>
          <w:p w14:paraId="31525F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highlight w:val="none"/>
                <w:lang w:val="en-US" w:eastAsia="zh-CN"/>
              </w:rPr>
              <w:t>图2-</w:t>
            </w:r>
            <w:r>
              <w:rPr>
                <w:rFonts w:hint="eastAsia" w:ascii="Times New Roman" w:hAnsi="Times New Roman" w:eastAsia="宋体" w:cs="Times New Roman"/>
                <w:b/>
                <w:bCs/>
                <w:color w:val="auto"/>
                <w:highlight w:val="none"/>
                <w:lang w:val="en-US" w:eastAsia="zh-CN"/>
              </w:rPr>
              <w:t>7</w:t>
            </w:r>
            <w:r>
              <w:rPr>
                <w:rFonts w:hint="default" w:ascii="Times New Roman" w:hAnsi="Times New Roman" w:eastAsia="宋体" w:cs="Times New Roman"/>
                <w:b/>
                <w:bCs/>
                <w:color w:val="auto"/>
                <w:highlight w:val="none"/>
                <w:lang w:val="en-US" w:eastAsia="zh-CN"/>
              </w:rPr>
              <w:t xml:space="preserve">  永久封井示意图</w:t>
            </w:r>
          </w:p>
          <w:p w14:paraId="11AF77D9">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完井搬迁主要包括设备和设施的拆除和搬迁，钻井机、泥浆循环系统等设备和生活设施拆除后搬迁至周边其他井场继续使用。搬迁完成后即对场内基础设施进行拆除，如清除场地碎石、拆除硬化地面等。根据钻井作业规范和钻井环保管理规定，钻井液全部回收，不得遗弃在井场，废水和固体废物须交有</w:t>
            </w:r>
            <w:r>
              <w:rPr>
                <w:rFonts w:hint="default" w:ascii="Times New Roman" w:hAnsi="Times New Roman" w:eastAsia="宋体" w:cs="Times New Roman"/>
                <w:color w:val="auto"/>
                <w:sz w:val="24"/>
                <w:szCs w:val="24"/>
                <w:highlight w:val="none"/>
                <w:lang w:val="en-US" w:eastAsia="zh-CN"/>
              </w:rPr>
              <w:t>能力</w:t>
            </w:r>
            <w:r>
              <w:rPr>
                <w:rFonts w:hint="default" w:ascii="Times New Roman" w:hAnsi="Times New Roman" w:eastAsia="宋体" w:cs="Times New Roman"/>
                <w:color w:val="auto"/>
                <w:sz w:val="24"/>
                <w:szCs w:val="24"/>
                <w:highlight w:val="none"/>
                <w:lang w:eastAsia="zh-CN"/>
              </w:rPr>
              <w:t>单位处置，做到</w:t>
            </w:r>
            <w:r>
              <w:rPr>
                <w:rFonts w:hint="eastAsia" w:ascii="宋体" w:hAnsi="宋体" w:eastAsia="宋体" w:cs="宋体"/>
                <w:color w:val="auto"/>
                <w:sz w:val="24"/>
                <w:szCs w:val="24"/>
                <w:highlight w:val="none"/>
                <w:lang w:eastAsia="zh-CN"/>
              </w:rPr>
              <w:t>“工完、料尽、场地清”</w:t>
            </w:r>
            <w:r>
              <w:rPr>
                <w:rFonts w:hint="default" w:ascii="Times New Roman" w:hAnsi="Times New Roman" w:eastAsia="宋体" w:cs="Times New Roman"/>
                <w:color w:val="auto"/>
                <w:sz w:val="24"/>
                <w:szCs w:val="24"/>
                <w:highlight w:val="none"/>
                <w:lang w:eastAsia="zh-CN"/>
              </w:rPr>
              <w:t>，并办理竣工环保验收合格后方可交井。</w:t>
            </w:r>
          </w:p>
          <w:p w14:paraId="422364B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3、泥浆不落地措施</w:t>
            </w:r>
          </w:p>
          <w:p w14:paraId="331FB02F">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泥浆处理过程中严格执</w:t>
            </w:r>
            <w:r>
              <w:rPr>
                <w:rFonts w:hint="eastAsia" w:ascii="宋体" w:hAnsi="宋体" w:eastAsia="宋体" w:cs="宋体"/>
                <w:b w:val="0"/>
                <w:bCs w:val="0"/>
                <w:color w:val="auto"/>
                <w:sz w:val="24"/>
                <w:szCs w:val="24"/>
                <w:highlight w:val="none"/>
                <w:vertAlign w:val="baseline"/>
                <w:lang w:val="en-US" w:eastAsia="zh-CN"/>
              </w:rPr>
              <w:t>行“泥浆不落地”措</w:t>
            </w:r>
            <w:r>
              <w:rPr>
                <w:rFonts w:hint="default" w:ascii="Times New Roman" w:hAnsi="Times New Roman" w:eastAsia="宋体" w:cs="Times New Roman"/>
                <w:b w:val="0"/>
                <w:bCs w:val="0"/>
                <w:color w:val="auto"/>
                <w:sz w:val="24"/>
                <w:szCs w:val="24"/>
                <w:highlight w:val="none"/>
                <w:vertAlign w:val="baseline"/>
                <w:lang w:val="en-US" w:eastAsia="zh-CN"/>
              </w:rPr>
              <w:t>施，采用振动筛、除泥除沙器离心机、螺旋输送机、缓冲罐、泥浆循环罐等设备。钻井泥浆经岩屑收集罐装置，固液混合收集入罐，在罐内进行破胶脱稳后实现固液分类，分离后的固相经板框压滤机进一步脱水，上清液同洗井废水、压裂</w:t>
            </w:r>
            <w:r>
              <w:rPr>
                <w:rFonts w:hint="eastAsia" w:ascii="Times New Roman" w:hAnsi="Times New Roman" w:eastAsia="宋体" w:cs="Times New Roman"/>
                <w:b w:val="0"/>
                <w:bCs w:val="0"/>
                <w:color w:val="auto"/>
                <w:sz w:val="24"/>
                <w:szCs w:val="24"/>
                <w:highlight w:val="none"/>
                <w:vertAlign w:val="baseline"/>
                <w:lang w:val="en-US" w:eastAsia="zh-CN"/>
              </w:rPr>
              <w:t>返排</w:t>
            </w:r>
            <w:r>
              <w:rPr>
                <w:rFonts w:hint="default" w:ascii="Times New Roman" w:hAnsi="Times New Roman" w:eastAsia="宋体" w:cs="Times New Roman"/>
                <w:b w:val="0"/>
                <w:bCs w:val="0"/>
                <w:color w:val="auto"/>
                <w:sz w:val="24"/>
                <w:szCs w:val="24"/>
                <w:highlight w:val="none"/>
                <w:vertAlign w:val="baseline"/>
                <w:lang w:val="en-US" w:eastAsia="zh-CN"/>
              </w:rPr>
              <w:t>液委托</w:t>
            </w:r>
            <w:r>
              <w:rPr>
                <w:rFonts w:hint="eastAsia" w:ascii="Times New Roman" w:hAnsi="Times New Roman" w:eastAsia="宋体" w:cs="Times New Roman"/>
                <w:b w:val="0"/>
                <w:bCs w:val="0"/>
                <w:color w:val="auto"/>
                <w:sz w:val="24"/>
                <w:szCs w:val="24"/>
                <w:highlight w:val="none"/>
                <w:vertAlign w:val="baseline"/>
                <w:lang w:val="en-US" w:eastAsia="zh-CN"/>
              </w:rPr>
              <w:t>协议的有能力单位</w:t>
            </w:r>
            <w:r>
              <w:rPr>
                <w:rFonts w:hint="default" w:ascii="Times New Roman" w:hAnsi="Times New Roman" w:eastAsia="宋体" w:cs="Times New Roman"/>
                <w:b w:val="0"/>
                <w:bCs w:val="0"/>
                <w:color w:val="auto"/>
                <w:sz w:val="24"/>
                <w:szCs w:val="24"/>
                <w:highlight w:val="none"/>
                <w:vertAlign w:val="baseline"/>
                <w:lang w:val="en-US" w:eastAsia="zh-CN"/>
              </w:rPr>
              <w:t>外单位处置。处理后的固相在施工结束后交有能力单位处置。对于临时存放的固相，暂存时间不得超过1个月，应在施工结束后及时拉运；堆放点要采</w:t>
            </w:r>
            <w:r>
              <w:rPr>
                <w:rFonts w:hint="eastAsia" w:ascii="宋体" w:hAnsi="宋体" w:eastAsia="宋体" w:cs="宋体"/>
                <w:b w:val="0"/>
                <w:bCs w:val="0"/>
                <w:color w:val="auto"/>
                <w:sz w:val="24"/>
                <w:szCs w:val="24"/>
                <w:highlight w:val="none"/>
                <w:vertAlign w:val="baseline"/>
                <w:lang w:val="en-US" w:eastAsia="zh-CN"/>
              </w:rPr>
              <w:t>取“四防”措</w:t>
            </w:r>
            <w:r>
              <w:rPr>
                <w:rFonts w:hint="default" w:ascii="Times New Roman" w:hAnsi="Times New Roman" w:eastAsia="宋体" w:cs="Times New Roman"/>
                <w:b w:val="0"/>
                <w:bCs w:val="0"/>
                <w:color w:val="auto"/>
                <w:sz w:val="24"/>
                <w:szCs w:val="24"/>
                <w:highlight w:val="none"/>
                <w:vertAlign w:val="baseline"/>
                <w:lang w:val="en-US" w:eastAsia="zh-CN"/>
              </w:rPr>
              <w:t>施，采用四周围堰和</w:t>
            </w:r>
            <w:r>
              <w:rPr>
                <w:rFonts w:hint="eastAsia" w:ascii="宋体" w:hAnsi="宋体" w:eastAsia="宋体" w:cs="宋体"/>
                <w:b w:val="0"/>
                <w:bCs w:val="0"/>
                <w:color w:val="auto"/>
                <w:sz w:val="24"/>
                <w:szCs w:val="24"/>
                <w:highlight w:val="none"/>
                <w:vertAlign w:val="baseline"/>
                <w:lang w:val="en-US" w:eastAsia="zh-CN"/>
              </w:rPr>
              <w:t>“下铺上盖”</w:t>
            </w:r>
            <w:r>
              <w:rPr>
                <w:rFonts w:hint="default" w:ascii="Times New Roman" w:hAnsi="Times New Roman" w:eastAsia="宋体" w:cs="Times New Roman"/>
                <w:b w:val="0"/>
                <w:bCs w:val="0"/>
                <w:color w:val="auto"/>
                <w:sz w:val="24"/>
                <w:szCs w:val="24"/>
                <w:highlight w:val="none"/>
                <w:vertAlign w:val="baseline"/>
                <w:lang w:val="en-US" w:eastAsia="zh-CN"/>
              </w:rPr>
              <w:t>的防渗防尘技术要求。防渗满足</w:t>
            </w:r>
            <w:r>
              <w:rPr>
                <w:rFonts w:hint="eastAsia" w:ascii="Times New Roman" w:hAnsi="Times New Roman" w:eastAsia="宋体" w:cs="Times New Roman"/>
                <w:b w:val="0"/>
                <w:bCs w:val="0"/>
                <w:color w:val="auto"/>
                <w:sz w:val="24"/>
                <w:szCs w:val="24"/>
                <w:highlight w:val="none"/>
                <w:vertAlign w:val="baseline"/>
                <w:lang w:val="en-US" w:eastAsia="zh-CN"/>
              </w:rPr>
              <w:t>重点</w:t>
            </w:r>
            <w:r>
              <w:rPr>
                <w:rFonts w:hint="default" w:ascii="Times New Roman" w:hAnsi="Times New Roman" w:eastAsia="宋体" w:cs="Times New Roman"/>
                <w:b w:val="0"/>
                <w:bCs w:val="0"/>
                <w:color w:val="auto"/>
                <w:sz w:val="24"/>
                <w:szCs w:val="24"/>
                <w:highlight w:val="none"/>
                <w:vertAlign w:val="baseline"/>
                <w:lang w:val="en-US" w:eastAsia="zh-CN"/>
              </w:rPr>
              <w:t>防渗区要求。</w:t>
            </w:r>
          </w:p>
          <w:p w14:paraId="179C5E0A">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drawing>
                <wp:inline distT="0" distB="0" distL="114300" distR="114300">
                  <wp:extent cx="4868545" cy="2557145"/>
                  <wp:effectExtent l="0" t="0" r="8255" b="14605"/>
                  <wp:docPr id="1" name="图片 8" descr="174963106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1749631067965"/>
                          <pic:cNvPicPr>
                            <a:picLocks noChangeAspect="1"/>
                          </pic:cNvPicPr>
                        </pic:nvPicPr>
                        <pic:blipFill>
                          <a:blip r:embed="rId15"/>
                          <a:srcRect t="7320"/>
                          <a:stretch>
                            <a:fillRect/>
                          </a:stretch>
                        </pic:blipFill>
                        <pic:spPr>
                          <a:xfrm>
                            <a:off x="0" y="0"/>
                            <a:ext cx="4868545" cy="2557145"/>
                          </a:xfrm>
                          <a:prstGeom prst="rect">
                            <a:avLst/>
                          </a:prstGeom>
                          <a:noFill/>
                          <a:ln>
                            <a:noFill/>
                          </a:ln>
                        </pic:spPr>
                      </pic:pic>
                    </a:graphicData>
                  </a:graphic>
                </wp:inline>
              </w:drawing>
            </w:r>
          </w:p>
          <w:p w14:paraId="6019B926">
            <w:pPr>
              <w:pStyle w:val="20"/>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bCs/>
                <w:color w:val="auto"/>
                <w:sz w:val="21"/>
                <w:szCs w:val="18"/>
                <w:highlight w:val="none"/>
                <w:lang w:val="en-US" w:eastAsia="zh-CN"/>
              </w:rPr>
              <w:t>图2-</w:t>
            </w:r>
            <w:r>
              <w:rPr>
                <w:rFonts w:hint="eastAsia" w:ascii="Times New Roman" w:hAnsi="Times New Roman" w:eastAsia="宋体" w:cs="Times New Roman"/>
                <w:b/>
                <w:bCs/>
                <w:color w:val="auto"/>
                <w:sz w:val="21"/>
                <w:szCs w:val="18"/>
                <w:highlight w:val="none"/>
                <w:lang w:val="en-US" w:eastAsia="zh-CN"/>
              </w:rPr>
              <w:t>8</w:t>
            </w:r>
            <w:r>
              <w:rPr>
                <w:rFonts w:hint="default" w:ascii="Times New Roman" w:hAnsi="Times New Roman" w:eastAsia="宋体" w:cs="Times New Roman"/>
                <w:b/>
                <w:bCs/>
                <w:color w:val="auto"/>
                <w:sz w:val="21"/>
                <w:szCs w:val="18"/>
                <w:highlight w:val="none"/>
                <w:lang w:val="en-US" w:eastAsia="zh-CN"/>
              </w:rPr>
              <w:t xml:space="preserve">  </w:t>
            </w:r>
            <w:r>
              <w:rPr>
                <w:rFonts w:hint="eastAsia" w:ascii="Times New Roman" w:hAnsi="Times New Roman" w:eastAsia="宋体" w:cs="Times New Roman"/>
                <w:b/>
                <w:bCs/>
                <w:color w:val="auto"/>
                <w:sz w:val="21"/>
                <w:szCs w:val="18"/>
                <w:highlight w:val="none"/>
                <w:lang w:val="en-US" w:eastAsia="zh-CN"/>
              </w:rPr>
              <w:t>泥浆循环系统工艺流程简图</w:t>
            </w:r>
          </w:p>
          <w:p w14:paraId="5F73067A">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highlight w:val="none"/>
              </w:rPr>
            </w:pPr>
            <w:r>
              <w:rPr>
                <w:rFonts w:hint="eastAsia" w:ascii="Times New Roman" w:hAnsi="Times New Roman" w:eastAsia="宋体" w:cs="Times New Roman"/>
                <w:b/>
                <w:bCs/>
                <w:color w:val="auto"/>
                <w:highlight w:val="none"/>
                <w:lang w:val="en-US" w:eastAsia="zh-CN"/>
              </w:rPr>
              <w:t>4</w:t>
            </w:r>
            <w:r>
              <w:rPr>
                <w:rFonts w:hint="default" w:ascii="Times New Roman" w:hAnsi="Times New Roman" w:cs="Times New Roman"/>
                <w:b/>
                <w:bCs/>
                <w:color w:val="auto"/>
                <w:highlight w:val="none"/>
              </w:rPr>
              <w:t>、施工时序</w:t>
            </w:r>
          </w:p>
          <w:p w14:paraId="3E6E0092">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施工时尽可能保证施工连续、均衡和经济，对工程具有控制作用的项目节点作为重点，予以优先安排。施工时首先进行地面平整、井场设施安装，接着完成钻井和固井，钻井分为一开、二开，在每个工段先钻井再下管套然后固井，最后洗井，再根据勘探情况考虑封井或者弃井。本项目单个井场直井施工时间为50d</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具体施工方式由建设单位统筹安排。</w:t>
            </w:r>
          </w:p>
          <w:p w14:paraId="65ADE38D">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5、</w:t>
            </w:r>
            <w:r>
              <w:rPr>
                <w:rFonts w:hint="default" w:ascii="Times New Roman" w:hAnsi="Times New Roman" w:eastAsia="宋体" w:cs="Times New Roman"/>
                <w:b/>
                <w:bCs/>
                <w:color w:val="auto"/>
                <w:highlight w:val="none"/>
              </w:rPr>
              <w:t>建设周期</w:t>
            </w:r>
          </w:p>
          <w:p w14:paraId="62A2D7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4"/>
                <w:szCs w:val="21"/>
                <w:highlight w:val="none"/>
                <w:lang w:val="en-US" w:eastAsia="en-US" w:bidi="ar-SA"/>
              </w:rPr>
              <w:t>本项目米75-</w:t>
            </w:r>
            <w:r>
              <w:rPr>
                <w:rFonts w:hint="eastAsia" w:ascii="Times New Roman" w:hAnsi="Times New Roman" w:cs="Times New Roman"/>
                <w:color w:val="auto"/>
                <w:kern w:val="0"/>
                <w:sz w:val="24"/>
                <w:szCs w:val="21"/>
                <w:highlight w:val="none"/>
                <w:lang w:val="en-US" w:eastAsia="zh-CN" w:bidi="ar-SA"/>
              </w:rPr>
              <w:t>3</w:t>
            </w:r>
            <w:r>
              <w:rPr>
                <w:rFonts w:hint="default" w:ascii="Times New Roman" w:hAnsi="Times New Roman" w:eastAsia="宋体" w:cs="Times New Roman"/>
                <w:color w:val="auto"/>
                <w:kern w:val="0"/>
                <w:sz w:val="24"/>
                <w:szCs w:val="21"/>
                <w:highlight w:val="none"/>
                <w:lang w:val="en-US" w:eastAsia="en-US" w:bidi="ar-SA"/>
              </w:rPr>
              <w:t>M计划开工时间为2026年</w:t>
            </w:r>
            <w:r>
              <w:rPr>
                <w:rFonts w:hint="eastAsia" w:ascii="Times New Roman" w:hAnsi="Times New Roman" w:cs="Times New Roman"/>
                <w:color w:val="auto"/>
                <w:kern w:val="0"/>
                <w:sz w:val="24"/>
                <w:szCs w:val="21"/>
                <w:highlight w:val="none"/>
                <w:lang w:val="en-US" w:eastAsia="zh-CN" w:bidi="ar-SA"/>
              </w:rPr>
              <w:t>4</w:t>
            </w:r>
            <w:r>
              <w:rPr>
                <w:rFonts w:hint="default" w:ascii="Times New Roman" w:hAnsi="Times New Roman" w:eastAsia="宋体" w:cs="Times New Roman"/>
                <w:color w:val="auto"/>
                <w:kern w:val="0"/>
                <w:sz w:val="24"/>
                <w:szCs w:val="21"/>
                <w:highlight w:val="none"/>
                <w:lang w:val="en-US" w:eastAsia="en-US" w:bidi="ar-SA"/>
              </w:rPr>
              <w:t>月，</w:t>
            </w:r>
            <w:r>
              <w:rPr>
                <w:rFonts w:hint="default" w:ascii="Times New Roman" w:hAnsi="Times New Roman" w:eastAsia="Calibri" w:cs="Times New Roman"/>
                <w:color w:val="auto"/>
                <w:kern w:val="0"/>
                <w:sz w:val="24"/>
                <w:szCs w:val="24"/>
                <w:highlight w:val="none"/>
                <w:lang w:val="en-US" w:eastAsia="zh-CN" w:bidi="ar"/>
              </w:rPr>
              <w:t>钻井工期为50天</w:t>
            </w:r>
            <w:r>
              <w:rPr>
                <w:rFonts w:hint="default" w:ascii="Times New Roman" w:hAnsi="Times New Roman" w:eastAsia="宋体" w:cs="Times New Roman"/>
                <w:color w:val="auto"/>
                <w:kern w:val="0"/>
                <w:sz w:val="24"/>
                <w:szCs w:val="21"/>
                <w:highlight w:val="none"/>
                <w:lang w:val="en-US" w:eastAsia="zh-CN" w:bidi="ar-SA"/>
              </w:rPr>
              <w:t>，</w:t>
            </w:r>
            <w:r>
              <w:rPr>
                <w:rFonts w:hint="default" w:ascii="Times New Roman" w:hAnsi="Times New Roman" w:eastAsia="宋体" w:cs="Times New Roman"/>
                <w:color w:val="auto"/>
                <w:kern w:val="0"/>
                <w:sz w:val="24"/>
                <w:szCs w:val="21"/>
                <w:highlight w:val="none"/>
                <w:lang w:val="en-US" w:eastAsia="en-US" w:bidi="ar-SA"/>
              </w:rPr>
              <w:t>预计完工时间为2026年</w:t>
            </w:r>
            <w:r>
              <w:rPr>
                <w:rFonts w:hint="eastAsia" w:ascii="Times New Roman" w:hAnsi="Times New Roman" w:cs="Times New Roman"/>
                <w:color w:val="auto"/>
                <w:kern w:val="0"/>
                <w:sz w:val="24"/>
                <w:szCs w:val="21"/>
                <w:highlight w:val="none"/>
                <w:lang w:val="en-US" w:eastAsia="zh-CN" w:bidi="ar-SA"/>
              </w:rPr>
              <w:t>6</w:t>
            </w:r>
            <w:r>
              <w:rPr>
                <w:rFonts w:hint="default" w:ascii="Times New Roman" w:hAnsi="Times New Roman" w:eastAsia="宋体" w:cs="Times New Roman"/>
                <w:color w:val="auto"/>
                <w:kern w:val="0"/>
                <w:sz w:val="24"/>
                <w:szCs w:val="21"/>
                <w:highlight w:val="none"/>
                <w:lang w:val="en-US" w:eastAsia="en-US" w:bidi="ar-SA"/>
              </w:rPr>
              <w:t>月中旬。</w:t>
            </w:r>
          </w:p>
        </w:tc>
      </w:tr>
      <w:tr w14:paraId="1216F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662D2CFE">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4"/>
                <w:szCs w:val="21"/>
                <w:highlight w:val="none"/>
                <w:lang w:val="en-US" w:eastAsia="zh-CN"/>
              </w:rPr>
            </w:pPr>
            <w:r>
              <w:rPr>
                <w:rFonts w:hint="default" w:ascii="Times New Roman" w:hAnsi="Times New Roman" w:eastAsia="Calibri" w:cs="Times New Roman"/>
                <w:color w:val="auto"/>
                <w:kern w:val="0"/>
                <w:sz w:val="24"/>
                <w:szCs w:val="21"/>
                <w:highlight w:val="none"/>
                <w:lang w:val="en-US" w:eastAsia="zh-CN" w:bidi="ar"/>
              </w:rPr>
              <w:t>其他</w:t>
            </w:r>
          </w:p>
        </w:tc>
        <w:tc>
          <w:tcPr>
            <w:tcW w:w="8597" w:type="dxa"/>
            <w:tcBorders>
              <w:top w:val="single" w:color="auto" w:sz="4" w:space="0"/>
              <w:left w:val="single" w:color="auto" w:sz="4" w:space="0"/>
              <w:bottom w:val="single" w:color="auto" w:sz="4" w:space="0"/>
              <w:right w:val="single" w:color="auto" w:sz="4" w:space="0"/>
            </w:tcBorders>
            <w:noWrap w:val="0"/>
            <w:vAlign w:val="center"/>
          </w:tcPr>
          <w:p w14:paraId="62476B6D">
            <w:pPr>
              <w:keepNext w:val="0"/>
              <w:keepLines w:val="0"/>
              <w:widowControl w:val="0"/>
              <w:suppressLineNumbers w:val="0"/>
              <w:spacing w:before="0" w:beforeAutospacing="0" w:after="0" w:afterAutospacing="0"/>
              <w:ind w:left="0" w:right="0" w:firstLine="480" w:firstLineChars="200"/>
              <w:jc w:val="both"/>
              <w:rPr>
                <w:rFonts w:hint="default" w:ascii="Times New Roman" w:hAnsi="Times New Roman" w:cs="Times New Roman"/>
                <w:color w:val="auto"/>
                <w:highlight w:val="none"/>
                <w:lang w:val="en-US" w:eastAsia="zh-CN"/>
              </w:rPr>
            </w:pPr>
            <w:r>
              <w:rPr>
                <w:rFonts w:hint="default" w:ascii="Times New Roman" w:hAnsi="Times New Roman" w:eastAsia="Calibri" w:cs="Times New Roman"/>
                <w:color w:val="auto"/>
                <w:kern w:val="0"/>
                <w:sz w:val="24"/>
                <w:szCs w:val="21"/>
                <w:highlight w:val="none"/>
                <w:lang w:val="en-US" w:eastAsia="zh-CN" w:bidi="ar"/>
              </w:rPr>
              <w:t>本项目无其他比选方案。</w:t>
            </w:r>
          </w:p>
        </w:tc>
      </w:tr>
    </w:tbl>
    <w:p w14:paraId="4949683F">
      <w:pPr>
        <w:rPr>
          <w:rFonts w:hint="default" w:ascii="Times New Roman" w:hAnsi="Times New Roman" w:eastAsia="黑体" w:cs="Times New Roman"/>
          <w:color w:val="auto"/>
          <w:sz w:val="28"/>
          <w:szCs w:val="28"/>
          <w:highlight w:val="none"/>
          <w:lang w:val="en-US" w:eastAsia="zh-CN" w:bidi="ar"/>
        </w:rPr>
        <w:sectPr>
          <w:footerReference r:id="rId3" w:type="default"/>
          <w:pgSz w:w="11906" w:h="16838"/>
          <w:pgMar w:top="1417" w:right="1417" w:bottom="1417" w:left="1417" w:header="992" w:footer="896" w:gutter="0"/>
          <w:pgBorders w:offsetFrom="page">
            <w:top w:val="none" w:sz="0" w:space="0"/>
            <w:left w:val="none" w:sz="0" w:space="0"/>
            <w:bottom w:val="none" w:sz="0" w:space="0"/>
            <w:right w:val="none" w:sz="0" w:space="0"/>
          </w:pgBorders>
          <w:pgNumType w:fmt="decimal" w:start="1"/>
          <w:cols w:space="720" w:num="1"/>
          <w:docGrid w:type="lines" w:linePitch="318" w:charSpace="0"/>
        </w:sectPr>
      </w:pPr>
    </w:p>
    <w:p w14:paraId="7207A030">
      <w:pPr>
        <w:keepNext w:val="0"/>
        <w:keepLines w:val="0"/>
        <w:widowControl w:val="0"/>
        <w:suppressLineNumbers w:val="0"/>
        <w:spacing w:before="0" w:beforeAutospacing="0" w:after="0" w:afterAutospacing="0"/>
        <w:ind w:left="0" w:right="0"/>
        <w:jc w:val="center"/>
        <w:outlineLvl w:val="1"/>
        <w:rPr>
          <w:rFonts w:hint="default" w:ascii="Times New Roman" w:hAnsi="Times New Roman" w:eastAsia="黑体" w:cs="Times New Roman"/>
          <w:color w:val="auto"/>
          <w:kern w:val="0"/>
          <w:sz w:val="28"/>
          <w:szCs w:val="28"/>
          <w:highlight w:val="none"/>
          <w:lang w:val="en-US" w:eastAsia="zh-CN" w:bidi="ar"/>
        </w:rPr>
      </w:pPr>
      <w:bookmarkStart w:id="3" w:name="_Toc9926"/>
      <w:r>
        <w:rPr>
          <w:rFonts w:hint="default" w:ascii="Times New Roman" w:hAnsi="Times New Roman" w:eastAsia="黑体" w:cs="Times New Roman"/>
          <w:color w:val="auto"/>
          <w:kern w:val="0"/>
          <w:sz w:val="28"/>
          <w:szCs w:val="28"/>
          <w:highlight w:val="none"/>
          <w:lang w:val="en-US" w:eastAsia="zh-CN" w:bidi="ar"/>
        </w:rPr>
        <w:t>三、生态环境现状、保护目标及评价标准</w:t>
      </w:r>
      <w:bookmarkEnd w:id="3"/>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8617"/>
      </w:tblGrid>
      <w:tr w14:paraId="79F54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671" w:type="dxa"/>
            <w:tcBorders>
              <w:top w:val="single" w:color="auto" w:sz="4" w:space="0"/>
              <w:left w:val="single" w:color="auto" w:sz="4" w:space="0"/>
              <w:bottom w:val="single" w:color="auto" w:sz="4" w:space="0"/>
              <w:right w:val="single" w:color="auto" w:sz="4" w:space="0"/>
            </w:tcBorders>
            <w:noWrap w:val="0"/>
            <w:vAlign w:val="center"/>
          </w:tcPr>
          <w:p w14:paraId="4D9C905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生态环境现状</w:t>
            </w:r>
          </w:p>
        </w:tc>
        <w:tc>
          <w:tcPr>
            <w:tcW w:w="8617" w:type="dxa"/>
            <w:tcBorders>
              <w:top w:val="single" w:color="auto" w:sz="4" w:space="0"/>
              <w:left w:val="single" w:color="auto" w:sz="4" w:space="0"/>
              <w:bottom w:val="single" w:color="auto" w:sz="4" w:space="0"/>
              <w:right w:val="single" w:color="auto" w:sz="4" w:space="0"/>
            </w:tcBorders>
            <w:noWrap w:val="0"/>
            <w:vAlign w:val="center"/>
          </w:tcPr>
          <w:p w14:paraId="4640C884">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一、生态环境现状</w:t>
            </w:r>
          </w:p>
          <w:p w14:paraId="044D37A2">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1、主体功能区划和生态功能区划</w:t>
            </w:r>
          </w:p>
          <w:p w14:paraId="3546922A">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根据《陕西省主体功能区划》中陕西省重点开发区域分布图，项目位于国家层面限制开发区域（重点生态功能区）。具体见图3-1。</w:t>
            </w:r>
          </w:p>
          <w:p w14:paraId="262BD1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object>
                <v:shape id="_x0000_i1028" o:spt="75" type="#_x0000_t75" style="height:538.15pt;width:358.55pt;" o:ole="t" filled="f" o:preferrelative="t" stroked="f" coordsize="21600,21600">
                  <v:path/>
                  <v:fill on="f" focussize="0,0"/>
                  <v:stroke on="f"/>
                  <v:imagedata r:id="rId17" o:title=""/>
                  <o:lock v:ext="edit" aspectratio="f"/>
                  <w10:wrap type="none"/>
                  <w10:anchorlock/>
                </v:shape>
                <o:OLEObject Type="Embed" ProgID="Visio.Drawing.15" ShapeID="_x0000_i1028" DrawAspect="Content" ObjectID="_1468075728" r:id="rId16">
                  <o:LockedField>false</o:LockedField>
                </o:OLEObject>
              </w:object>
            </w:r>
          </w:p>
          <w:p w14:paraId="34BDEB78">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图3-1陕西省主体功能区划图</w:t>
            </w:r>
          </w:p>
          <w:p w14:paraId="2AEAEE7A">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陕西省生态功能区划》，本项目位于陕西省生态功能区中黄土高原农牧生态区（一级区）、黄土丘陵沟壑水土流失控制生态功能区（二级区）、黄土峁状丘陵沟壑水土流失控制区（三级区）。该区生态敏感性特征为：沟壑纵横，土壤侵蚀极敏感-高度敏感，土壤保持功能极重要。建立基本农田，坡地退耕还林还草，开展流域综合治理，控制水土流失。本项目为陆地矿产资源地质勘察类项目，</w:t>
            </w:r>
            <w:r>
              <w:rPr>
                <w:rFonts w:hint="eastAsia" w:ascii="Times New Roman" w:hAnsi="Times New Roman" w:eastAsia="宋体" w:cs="Times New Roman"/>
                <w:color w:val="auto"/>
                <w:kern w:val="0"/>
                <w:sz w:val="24"/>
                <w:szCs w:val="24"/>
                <w:highlight w:val="none"/>
                <w:lang w:val="en-US" w:eastAsia="zh-CN" w:bidi="ar"/>
              </w:rPr>
              <w:t>项目施工完成后及时开展生态恢复，可有效降低因项目施工造成的水土流失，维护项目所在地生态功能，</w:t>
            </w:r>
            <w:r>
              <w:rPr>
                <w:rFonts w:hint="default" w:ascii="Times New Roman" w:hAnsi="Times New Roman" w:eastAsia="宋体" w:cs="Times New Roman"/>
                <w:color w:val="auto"/>
                <w:kern w:val="0"/>
                <w:sz w:val="24"/>
                <w:szCs w:val="24"/>
                <w:highlight w:val="none"/>
                <w:lang w:val="en-US" w:eastAsia="zh-CN" w:bidi="ar"/>
              </w:rPr>
              <w:t>因此与《陕西省生态功能区划》相符。</w:t>
            </w:r>
          </w:p>
          <w:p w14:paraId="18DD8DCA">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生态功能区划图见图3-2。</w:t>
            </w:r>
          </w:p>
          <w:p w14:paraId="45B1BE26">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object>
                <v:shape id="_x0000_i1029" o:spt="75" type="#_x0000_t75" style="height:474pt;width:377.25pt;" o:ole="t" filled="f" o:preferrelative="t" stroked="f" coordsize="21600,21600">
                  <v:path/>
                  <v:fill on="f" focussize="0,0"/>
                  <v:stroke on="f"/>
                  <v:imagedata r:id="rId19" o:title=""/>
                  <o:lock v:ext="edit" aspectratio="f"/>
                  <w10:wrap type="none"/>
                  <w10:anchorlock/>
                </v:shape>
                <o:OLEObject Type="Embed" ProgID="Visio.Drawing.15" ShapeID="_x0000_i1029" DrawAspect="Content" ObjectID="_1468075729" r:id="rId18">
                  <o:LockedField>false</o:LockedField>
                </o:OLEObject>
              </w:object>
            </w:r>
          </w:p>
          <w:p w14:paraId="4D18ECD7">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图3-2</w:t>
            </w:r>
            <w:r>
              <w:rPr>
                <w:rFonts w:hint="eastAsia" w:ascii="Times New Roman" w:hAnsi="Times New Roman" w:cs="Times New Roman"/>
                <w:b/>
                <w:bCs/>
                <w:color w:val="auto"/>
                <w:kern w:val="0"/>
                <w:sz w:val="24"/>
                <w:szCs w:val="24"/>
                <w:highlight w:val="none"/>
                <w:lang w:val="en-US" w:eastAsia="zh-CN" w:bidi="ar"/>
              </w:rPr>
              <w:t xml:space="preserve">  </w:t>
            </w:r>
            <w:r>
              <w:rPr>
                <w:rFonts w:hint="default" w:ascii="Times New Roman" w:hAnsi="Times New Roman" w:eastAsia="宋体" w:cs="Times New Roman"/>
                <w:b/>
                <w:bCs/>
                <w:color w:val="auto"/>
                <w:kern w:val="0"/>
                <w:sz w:val="24"/>
                <w:szCs w:val="24"/>
                <w:highlight w:val="none"/>
                <w:lang w:val="en-US" w:eastAsia="zh-CN" w:bidi="ar"/>
              </w:rPr>
              <w:t>陕西省生态功能区划图</w:t>
            </w:r>
          </w:p>
          <w:p w14:paraId="7401C11C">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2</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cs="Times New Roman"/>
                <w:b/>
                <w:bCs/>
                <w:color w:val="auto"/>
                <w:kern w:val="0"/>
                <w:sz w:val="24"/>
                <w:szCs w:val="24"/>
                <w:highlight w:val="none"/>
                <w:lang w:val="en-US" w:eastAsia="zh-CN" w:bidi="ar"/>
              </w:rPr>
              <w:t>生态系统类型</w:t>
            </w:r>
          </w:p>
          <w:p w14:paraId="0D1D0B36">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Cs/>
                <w:snapToGrid w:val="0"/>
                <w:color w:val="auto"/>
                <w:kern w:val="0"/>
                <w:sz w:val="24"/>
                <w:highlight w:val="none"/>
                <w:lang w:val="en-US" w:eastAsia="zh-CN"/>
              </w:rPr>
              <w:t>项目</w:t>
            </w:r>
            <w:r>
              <w:rPr>
                <w:rFonts w:hint="eastAsia" w:cs="Times New Roman"/>
                <w:bCs/>
                <w:snapToGrid w:val="0"/>
                <w:color w:val="auto"/>
                <w:kern w:val="0"/>
                <w:sz w:val="24"/>
                <w:highlight w:val="none"/>
                <w:lang w:val="en-US" w:eastAsia="zh-CN"/>
              </w:rPr>
              <w:t>生态评价范围</w:t>
            </w:r>
            <w:r>
              <w:rPr>
                <w:rFonts w:hint="eastAsia" w:ascii="Times New Roman" w:hAnsi="Times New Roman" w:eastAsia="宋体" w:cs="Times New Roman"/>
                <w:bCs/>
                <w:snapToGrid w:val="0"/>
                <w:color w:val="auto"/>
                <w:kern w:val="0"/>
                <w:sz w:val="24"/>
                <w:highlight w:val="none"/>
                <w:lang w:val="en-US" w:eastAsia="zh-CN"/>
              </w:rPr>
              <w:t>内主要生态系统为草地生态系统和林地生态系统，评价区草地生态系统是干旱气候，黄土丘陵区典型的生态系统类型，主要是以草本植物为主体的各种生物之间以及它们与环境之间的综合体；林地生态系统主要以灌木林地为主。</w:t>
            </w:r>
          </w:p>
          <w:p w14:paraId="41335613">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kern w:val="0"/>
                <w:sz w:val="24"/>
                <w:szCs w:val="24"/>
                <w:highlight w:val="none"/>
                <w:lang w:val="en-US" w:eastAsia="zh-CN" w:bidi="ar"/>
              </w:rPr>
              <w:t>3</w:t>
            </w:r>
            <w:r>
              <w:rPr>
                <w:rFonts w:hint="default" w:ascii="Times New Roman" w:hAnsi="Times New Roman" w:eastAsia="宋体" w:cs="Times New Roman"/>
                <w:b/>
                <w:bCs/>
                <w:color w:val="auto"/>
                <w:kern w:val="0"/>
                <w:sz w:val="24"/>
                <w:szCs w:val="24"/>
                <w:highlight w:val="none"/>
                <w:lang w:val="en-US" w:eastAsia="zh-CN" w:bidi="ar"/>
              </w:rPr>
              <w:t>、土地利用现状</w:t>
            </w:r>
          </w:p>
          <w:p w14:paraId="6EC44F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根据《榆林市投资项目选址“一张图”控制线检测报告》</w:t>
            </w:r>
            <w:r>
              <w:rPr>
                <w:rFonts w:hint="default" w:ascii="Times New Roman" w:hAnsi="Times New Roman" w:eastAsia="宋体" w:cs="Times New Roman"/>
                <w:bCs/>
                <w:color w:val="auto"/>
                <w:sz w:val="24"/>
                <w:szCs w:val="24"/>
                <w:highlight w:val="none"/>
                <w:lang w:eastAsia="zh-CN"/>
              </w:rPr>
              <w:t>（编号：</w:t>
            </w:r>
            <w:r>
              <w:rPr>
                <w:rFonts w:hint="default" w:ascii="Times New Roman" w:hAnsi="Times New Roman" w:eastAsia="宋体" w:cs="Times New Roman"/>
                <w:bCs/>
                <w:color w:val="auto"/>
                <w:sz w:val="24"/>
                <w:szCs w:val="24"/>
                <w:highlight w:val="none"/>
                <w:lang w:val="en-US" w:eastAsia="zh-CN"/>
              </w:rPr>
              <w:t>2026（51</w:t>
            </w:r>
            <w:r>
              <w:rPr>
                <w:rFonts w:hint="eastAsia" w:ascii="Times New Roman" w:hAnsi="Times New Roman" w:eastAsia="宋体" w:cs="Times New Roman"/>
                <w:bCs/>
                <w:color w:val="auto"/>
                <w:sz w:val="24"/>
                <w:szCs w:val="24"/>
                <w:highlight w:val="none"/>
                <w:lang w:val="en-US" w:eastAsia="zh-CN"/>
              </w:rPr>
              <w:t>9</w:t>
            </w:r>
            <w:r>
              <w:rPr>
                <w:rFonts w:hint="default" w:ascii="Times New Roman" w:hAnsi="Times New Roman" w:eastAsia="宋体" w:cs="Times New Roman"/>
                <w:bCs/>
                <w:color w:val="auto"/>
                <w:sz w:val="24"/>
                <w:szCs w:val="24"/>
                <w:highlight w:val="none"/>
                <w:lang w:val="en-US" w:eastAsia="zh-CN"/>
              </w:rPr>
              <w:t>）号</w:t>
            </w:r>
            <w:r>
              <w:rPr>
                <w:rFonts w:hint="eastAsia" w:ascii="Times New Roman" w:hAnsi="Times New Roman" w:eastAsia="宋体" w:cs="Times New Roman"/>
                <w:bCs/>
                <w:color w:val="auto"/>
                <w:sz w:val="24"/>
                <w:szCs w:val="24"/>
                <w:highlight w:val="none"/>
                <w:lang w:val="en-US" w:eastAsia="zh-CN"/>
              </w:rPr>
              <w:t>、2026（600）</w:t>
            </w:r>
            <w:r>
              <w:rPr>
                <w:rFonts w:hint="default" w:ascii="Times New Roman" w:hAnsi="Times New Roman" w:eastAsia="宋体" w:cs="Times New Roman"/>
                <w:bCs/>
                <w:color w:val="auto"/>
                <w:sz w:val="24"/>
                <w:szCs w:val="24"/>
                <w:highlight w:val="none"/>
                <w:lang w:eastAsia="zh-CN"/>
              </w:rPr>
              <w:t>号）</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b w:val="0"/>
                <w:bCs w:val="0"/>
                <w:color w:val="auto"/>
                <w:sz w:val="24"/>
                <w:szCs w:val="24"/>
                <w:highlight w:val="none"/>
                <w:vertAlign w:val="baseline"/>
                <w:lang w:val="en-US" w:eastAsia="zh-CN"/>
              </w:rPr>
              <w:t>项目土地利用类型为草地、种植园用地。</w:t>
            </w:r>
          </w:p>
          <w:p w14:paraId="04F8EF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highlight w:val="none"/>
                <w:lang w:val="en-US" w:eastAsia="zh-CN" w:bidi="ar"/>
              </w:rPr>
            </w:pPr>
            <w:r>
              <w:rPr>
                <w:rFonts w:hint="default" w:ascii="Times New Roman" w:hAnsi="Times New Roman" w:eastAsia="宋体" w:cs="Times New Roman"/>
                <w:b w:val="0"/>
                <w:bCs w:val="0"/>
                <w:color w:val="auto"/>
                <w:sz w:val="24"/>
                <w:szCs w:val="24"/>
                <w:highlight w:val="none"/>
                <w:vertAlign w:val="baseline"/>
                <w:lang w:val="en-US" w:eastAsia="zh-CN"/>
              </w:rPr>
              <w:t>项目土地利用现状图</w:t>
            </w:r>
            <w:r>
              <w:rPr>
                <w:rFonts w:hint="eastAsia" w:ascii="Times New Roman" w:hAnsi="Times New Roman" w:eastAsia="宋体" w:cs="Times New Roman"/>
                <w:b w:val="0"/>
                <w:bCs w:val="0"/>
                <w:color w:val="auto"/>
                <w:sz w:val="24"/>
                <w:szCs w:val="24"/>
                <w:highlight w:val="none"/>
                <w:vertAlign w:val="baseline"/>
                <w:lang w:val="en-US" w:eastAsia="zh-CN"/>
              </w:rPr>
              <w:t>见附图</w:t>
            </w:r>
            <w:r>
              <w:rPr>
                <w:rFonts w:hint="eastAsia" w:ascii="Times New Roman" w:hAnsi="Times New Roman" w:cs="Times New Roman"/>
                <w:color w:val="auto"/>
                <w:sz w:val="24"/>
                <w:szCs w:val="24"/>
                <w:highlight w:val="none"/>
                <w:lang w:val="en-US" w:eastAsia="zh-CN" w:bidi="ar"/>
              </w:rPr>
              <w:t>。</w:t>
            </w:r>
          </w:p>
          <w:p w14:paraId="615C41B7">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kern w:val="0"/>
                <w:sz w:val="24"/>
                <w:szCs w:val="24"/>
                <w:highlight w:val="none"/>
                <w:lang w:val="en-US" w:eastAsia="zh-CN" w:bidi="ar"/>
              </w:rPr>
              <w:t>4、</w:t>
            </w:r>
            <w:r>
              <w:rPr>
                <w:rFonts w:hint="default" w:ascii="Times New Roman" w:hAnsi="Times New Roman" w:eastAsia="宋体" w:cs="Times New Roman"/>
                <w:b/>
                <w:bCs/>
                <w:color w:val="auto"/>
                <w:kern w:val="0"/>
                <w:sz w:val="24"/>
                <w:szCs w:val="24"/>
                <w:highlight w:val="none"/>
                <w:lang w:val="en-US" w:eastAsia="zh-CN" w:bidi="ar"/>
              </w:rPr>
              <w:t>植被环境现状</w:t>
            </w:r>
          </w:p>
          <w:p w14:paraId="6E250F9D">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根据植被类型及地理分布特征，佳县植被可分为三个区，即北部防风固沙林带区，西南丘陵沟壑农作物种植区，东南黄河沿岸土石天然草地和枣林区。项目所在</w:t>
            </w:r>
            <w:r>
              <w:rPr>
                <w:rFonts w:hint="eastAsia" w:ascii="Times New Roman" w:hAnsi="Times New Roman" w:cs="Times New Roman"/>
                <w:color w:val="auto"/>
                <w:kern w:val="0"/>
                <w:sz w:val="24"/>
                <w:szCs w:val="24"/>
                <w:highlight w:val="none"/>
                <w:lang w:val="en-US" w:eastAsia="zh-CN" w:bidi="ar"/>
              </w:rPr>
              <w:t>区域</w:t>
            </w:r>
            <w:r>
              <w:rPr>
                <w:rFonts w:hint="default" w:ascii="Times New Roman" w:hAnsi="Times New Roman" w:eastAsia="宋体" w:cs="Times New Roman"/>
                <w:color w:val="auto"/>
                <w:kern w:val="0"/>
                <w:sz w:val="24"/>
                <w:szCs w:val="24"/>
                <w:highlight w:val="none"/>
                <w:lang w:val="en-US" w:eastAsia="zh-CN" w:bidi="ar"/>
              </w:rPr>
              <w:t>属北部防风固沙林带区，主要由乔木林地、灌木林地组成。</w:t>
            </w:r>
            <w:r>
              <w:rPr>
                <w:rFonts w:hint="eastAsia" w:ascii="Times New Roman" w:hAnsi="Times New Roman" w:cs="Times New Roman"/>
                <w:color w:val="auto"/>
                <w:kern w:val="0"/>
                <w:sz w:val="24"/>
                <w:szCs w:val="24"/>
                <w:highlight w:val="none"/>
                <w:lang w:val="en-US" w:eastAsia="zh-CN" w:bidi="ar"/>
              </w:rPr>
              <w:t>本项目用地主要涉及草地和种植园用地，</w:t>
            </w:r>
            <w:r>
              <w:rPr>
                <w:rFonts w:hint="default" w:ascii="Times New Roman" w:hAnsi="Times New Roman" w:eastAsia="宋体" w:cs="Times New Roman"/>
                <w:b w:val="0"/>
                <w:bCs w:val="0"/>
                <w:color w:val="auto"/>
                <w:sz w:val="24"/>
                <w:szCs w:val="24"/>
                <w:highlight w:val="none"/>
                <w:vertAlign w:val="baseline"/>
                <w:lang w:val="en-US" w:eastAsia="zh-CN"/>
              </w:rPr>
              <w:t>项目区植被种群较为单一，</w:t>
            </w:r>
            <w:r>
              <w:rPr>
                <w:rFonts w:hint="eastAsia" w:ascii="Times New Roman" w:hAnsi="Times New Roman" w:eastAsia="宋体" w:cs="Times New Roman"/>
                <w:b w:val="0"/>
                <w:bCs w:val="0"/>
                <w:color w:val="auto"/>
                <w:sz w:val="24"/>
                <w:szCs w:val="24"/>
                <w:highlight w:val="none"/>
                <w:vertAlign w:val="baseline"/>
                <w:lang w:val="en-US" w:eastAsia="zh-CN"/>
              </w:rPr>
              <w:t>主要为草地和少量林地，</w:t>
            </w:r>
            <w:r>
              <w:rPr>
                <w:rFonts w:hint="default" w:ascii="Times New Roman" w:hAnsi="Times New Roman" w:eastAsia="宋体" w:cs="Times New Roman"/>
                <w:b w:val="0"/>
                <w:bCs w:val="0"/>
                <w:color w:val="auto"/>
                <w:sz w:val="24"/>
                <w:szCs w:val="24"/>
                <w:highlight w:val="none"/>
                <w:vertAlign w:val="baseline"/>
                <w:lang w:val="en-US" w:eastAsia="zh-CN"/>
              </w:rPr>
              <w:t>生态环境比较脆弱</w:t>
            </w:r>
            <w:r>
              <w:rPr>
                <w:rFonts w:hint="eastAsia" w:ascii="Times New Roman" w:hAnsi="Times New Roman" w:eastAsia="宋体" w:cs="Times New Roman"/>
                <w:b w:val="0"/>
                <w:bCs w:val="0"/>
                <w:color w:val="auto"/>
                <w:sz w:val="24"/>
                <w:szCs w:val="24"/>
                <w:highlight w:val="none"/>
                <w:vertAlign w:val="baseline"/>
                <w:lang w:val="en-US" w:eastAsia="zh-CN"/>
              </w:rPr>
              <w:t>。</w:t>
            </w:r>
          </w:p>
          <w:p w14:paraId="335AFFB3">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、动物资源现状</w:t>
            </w:r>
          </w:p>
          <w:p w14:paraId="36B45E9D">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根据野外调查资料及现场调查，调查评价区未见珍稀、濒危野生动物和保护物种，小型野生动物较多，主要是松鼠、田鼠、草兔、蛇等。</w:t>
            </w:r>
          </w:p>
          <w:p w14:paraId="4E9330C6">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二、环境</w:t>
            </w:r>
            <w:r>
              <w:rPr>
                <w:rFonts w:hint="eastAsia" w:ascii="Times New Roman" w:hAnsi="Times New Roman" w:cs="Times New Roman"/>
                <w:b/>
                <w:bCs/>
                <w:color w:val="auto"/>
                <w:kern w:val="0"/>
                <w:sz w:val="24"/>
                <w:szCs w:val="24"/>
                <w:highlight w:val="none"/>
                <w:lang w:val="en-US" w:eastAsia="zh-CN" w:bidi="ar"/>
              </w:rPr>
              <w:t>质量</w:t>
            </w:r>
            <w:r>
              <w:rPr>
                <w:rFonts w:hint="default" w:ascii="Times New Roman" w:hAnsi="Times New Roman" w:eastAsia="宋体" w:cs="Times New Roman"/>
                <w:b/>
                <w:bCs/>
                <w:color w:val="auto"/>
                <w:kern w:val="0"/>
                <w:sz w:val="24"/>
                <w:szCs w:val="24"/>
                <w:highlight w:val="none"/>
                <w:lang w:val="en-US" w:eastAsia="zh-CN" w:bidi="ar"/>
              </w:rPr>
              <w:t>现状</w:t>
            </w:r>
          </w:p>
          <w:p w14:paraId="65246201">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1、大气环境</w:t>
            </w:r>
          </w:p>
          <w:p w14:paraId="76E70A9A">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（1）</w:t>
            </w:r>
            <w:r>
              <w:rPr>
                <w:rFonts w:hint="eastAsia" w:ascii="Times New Roman" w:hAnsi="Times New Roman" w:cs="Times New Roman"/>
                <w:color w:val="auto"/>
                <w:kern w:val="0"/>
                <w:sz w:val="24"/>
                <w:szCs w:val="24"/>
                <w:highlight w:val="none"/>
                <w:lang w:val="en-US" w:eastAsia="zh-CN" w:bidi="ar"/>
              </w:rPr>
              <w:t>基本污染物</w:t>
            </w:r>
          </w:p>
          <w:p w14:paraId="2225256F">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本项目位于榆林市佳县，本次优先采用国家或地方生态环境主管部门公开发布的评价基准年环境质量公告或环境质量报告中的数据或结论。本次评价环境空气质量现状数据</w:t>
            </w:r>
            <w:r>
              <w:rPr>
                <w:rFonts w:hint="eastAsia" w:ascii="Times New Roman" w:hAnsi="Times New Roman" w:cs="Times New Roman"/>
                <w:color w:val="auto"/>
                <w:kern w:val="0"/>
                <w:sz w:val="24"/>
                <w:szCs w:val="24"/>
                <w:highlight w:val="none"/>
                <w:lang w:val="en-US" w:eastAsia="zh-CN" w:bidi="ar"/>
              </w:rPr>
              <w:t>，采用</w:t>
            </w:r>
            <w:r>
              <w:rPr>
                <w:rFonts w:hint="default" w:ascii="Times New Roman" w:hAnsi="Times New Roman" w:eastAsia="宋体" w:cs="Times New Roman"/>
                <w:color w:val="auto"/>
                <w:kern w:val="0"/>
                <w:sz w:val="24"/>
                <w:szCs w:val="24"/>
                <w:highlight w:val="none"/>
                <w:lang w:val="en-US" w:eastAsia="zh-CN" w:bidi="ar"/>
              </w:rPr>
              <w:t>陕西省生态环境厅办公室发布的环保快报（202</w:t>
            </w:r>
            <w:r>
              <w:rPr>
                <w:rFonts w:hint="eastAsia" w:ascii="Times New Roman" w:hAnsi="Times New Roman" w:cs="Times New Roman"/>
                <w:color w:val="auto"/>
                <w:kern w:val="0"/>
                <w:sz w:val="24"/>
                <w:szCs w:val="24"/>
                <w:highlight w:val="none"/>
                <w:lang w:val="en-US" w:eastAsia="zh-CN" w:bidi="ar"/>
              </w:rPr>
              <w:t>6</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）《2025年12月及1-12月全省环境空气质量状况》中佳县环境空气质量监测数据对该项目空气质量进行评价，具体统计数据见表3-1。</w:t>
            </w:r>
          </w:p>
          <w:p w14:paraId="01143E6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表3-1</w:t>
            </w:r>
            <w:r>
              <w:rPr>
                <w:rFonts w:hint="default" w:ascii="Times New Roman" w:hAnsi="Times New Roman" w:cs="Times New Roman"/>
                <w:b/>
                <w:bCs/>
                <w:color w:val="auto"/>
                <w:kern w:val="0"/>
                <w:sz w:val="24"/>
                <w:szCs w:val="24"/>
                <w:highlight w:val="none"/>
                <w:lang w:val="en-US" w:eastAsia="zh-CN" w:bidi="ar"/>
              </w:rPr>
              <w:t xml:space="preserve"> </w:t>
            </w:r>
            <w:r>
              <w:rPr>
                <w:rFonts w:hint="eastAsia" w:ascii="Times New Roman" w:hAnsi="Times New Roman" w:cs="Times New Roman"/>
                <w:b/>
                <w:bCs/>
                <w:color w:val="auto"/>
                <w:kern w:val="0"/>
                <w:sz w:val="24"/>
                <w:szCs w:val="24"/>
                <w:highlight w:val="none"/>
                <w:lang w:val="en-US" w:eastAsia="zh-CN" w:bidi="ar"/>
              </w:rPr>
              <w:t xml:space="preserve"> </w:t>
            </w:r>
            <w:r>
              <w:rPr>
                <w:rFonts w:hint="default" w:ascii="Times New Roman" w:hAnsi="Times New Roman" w:eastAsia="宋体" w:cs="Times New Roman"/>
                <w:b/>
                <w:bCs/>
                <w:color w:val="auto"/>
                <w:kern w:val="0"/>
                <w:sz w:val="24"/>
                <w:szCs w:val="24"/>
                <w:highlight w:val="none"/>
                <w:lang w:val="en-US" w:eastAsia="zh-CN" w:bidi="ar"/>
              </w:rPr>
              <w:t>202</w:t>
            </w:r>
            <w:r>
              <w:rPr>
                <w:rFonts w:hint="eastAsia" w:ascii="Times New Roman" w:hAnsi="Times New Roman"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年佳县环境空气质量状况统计表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2419"/>
              <w:gridCol w:w="1404"/>
              <w:gridCol w:w="1884"/>
              <w:gridCol w:w="1513"/>
              <w:gridCol w:w="6"/>
            </w:tblGrid>
            <w:tr w14:paraId="6F9E6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33" w:hRule="atLeast"/>
                <w:jc w:val="center"/>
              </w:trPr>
              <w:tc>
                <w:tcPr>
                  <w:tcW w:w="1165" w:type="dxa"/>
                  <w:vMerge w:val="restart"/>
                  <w:tcBorders>
                    <w:top w:val="single" w:color="auto" w:sz="4" w:space="0"/>
                    <w:left w:val="single" w:color="auto" w:sz="4" w:space="0"/>
                    <w:right w:val="single" w:color="auto" w:sz="4" w:space="0"/>
                  </w:tcBorders>
                  <w:noWrap w:val="0"/>
                  <w:vAlign w:val="center"/>
                </w:tcPr>
                <w:p w14:paraId="36A8E61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污染物</w:t>
                  </w:r>
                </w:p>
              </w:tc>
              <w:tc>
                <w:tcPr>
                  <w:tcW w:w="2419" w:type="dxa"/>
                  <w:vMerge w:val="restart"/>
                  <w:tcBorders>
                    <w:top w:val="single" w:color="auto" w:sz="4" w:space="0"/>
                    <w:left w:val="single" w:color="auto" w:sz="4" w:space="0"/>
                    <w:right w:val="single" w:color="auto" w:sz="4" w:space="0"/>
                  </w:tcBorders>
                  <w:noWrap w:val="0"/>
                  <w:vAlign w:val="center"/>
                </w:tcPr>
                <w:p w14:paraId="7CE4888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年评价指标</w:t>
                  </w:r>
                </w:p>
              </w:tc>
              <w:tc>
                <w:tcPr>
                  <w:tcW w:w="1404" w:type="dxa"/>
                  <w:vMerge w:val="restart"/>
                  <w:tcBorders>
                    <w:top w:val="single" w:color="auto" w:sz="4" w:space="0"/>
                    <w:left w:val="single" w:color="auto" w:sz="4" w:space="0"/>
                    <w:right w:val="single" w:color="auto" w:sz="4" w:space="0"/>
                  </w:tcBorders>
                  <w:noWrap w:val="0"/>
                  <w:vAlign w:val="center"/>
                </w:tcPr>
                <w:p w14:paraId="7719C2C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现状浓度</w:t>
                  </w:r>
                </w:p>
              </w:tc>
              <w:tc>
                <w:tcPr>
                  <w:tcW w:w="1884" w:type="dxa"/>
                  <w:vMerge w:val="restart"/>
                  <w:tcBorders>
                    <w:top w:val="single" w:color="auto" w:sz="4" w:space="0"/>
                    <w:left w:val="single" w:color="auto" w:sz="4" w:space="0"/>
                    <w:right w:val="single" w:color="auto" w:sz="4" w:space="0"/>
                  </w:tcBorders>
                  <w:noWrap w:val="0"/>
                  <w:vAlign w:val="center"/>
                </w:tcPr>
                <w:p w14:paraId="36807FC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标准值</w:t>
                  </w:r>
                </w:p>
              </w:tc>
              <w:tc>
                <w:tcPr>
                  <w:tcW w:w="1513" w:type="dxa"/>
                  <w:tcBorders>
                    <w:top w:val="single" w:color="auto" w:sz="4" w:space="0"/>
                    <w:left w:val="single" w:color="auto" w:sz="4" w:space="0"/>
                    <w:right w:val="single" w:color="auto" w:sz="4" w:space="0"/>
                  </w:tcBorders>
                  <w:noWrap w:val="0"/>
                  <w:vAlign w:val="center"/>
                </w:tcPr>
                <w:p w14:paraId="480BDF4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达标情况</w:t>
                  </w:r>
                </w:p>
              </w:tc>
            </w:tr>
            <w:tr w14:paraId="0FDD4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676B1F1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SO</w:t>
                  </w:r>
                  <w:r>
                    <w:rPr>
                      <w:rFonts w:hint="default" w:ascii="Times New Roman" w:hAnsi="Times New Roman" w:eastAsia="宋体" w:cs="Times New Roman"/>
                      <w:color w:val="auto"/>
                      <w:kern w:val="0"/>
                      <w:sz w:val="21"/>
                      <w:szCs w:val="21"/>
                      <w:highlight w:val="none"/>
                      <w:vertAlign w:val="subscript"/>
                      <w:lang w:val="en-US" w:eastAsia="zh-CN" w:bidi="ar"/>
                    </w:rPr>
                    <w:t>2</w:t>
                  </w:r>
                </w:p>
              </w:tc>
              <w:tc>
                <w:tcPr>
                  <w:tcW w:w="2419" w:type="dxa"/>
                  <w:tcBorders>
                    <w:top w:val="single" w:color="auto" w:sz="4" w:space="0"/>
                    <w:left w:val="single" w:color="auto" w:sz="4" w:space="0"/>
                    <w:bottom w:val="single" w:color="auto" w:sz="4" w:space="0"/>
                    <w:right w:val="single" w:color="auto" w:sz="4" w:space="0"/>
                  </w:tcBorders>
                  <w:noWrap w:val="0"/>
                  <w:vAlign w:val="center"/>
                </w:tcPr>
                <w:p w14:paraId="1EE70DD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年平均质量浓度</w:t>
                  </w:r>
                </w:p>
              </w:tc>
              <w:tc>
                <w:tcPr>
                  <w:tcW w:w="1404" w:type="dxa"/>
                  <w:tcBorders>
                    <w:top w:val="single" w:color="auto" w:sz="4" w:space="0"/>
                    <w:left w:val="single" w:color="auto" w:sz="4" w:space="0"/>
                    <w:bottom w:val="single" w:color="auto" w:sz="4" w:space="0"/>
                    <w:right w:val="single" w:color="auto" w:sz="4" w:space="0"/>
                  </w:tcBorders>
                  <w:noWrap w:val="0"/>
                  <w:vAlign w:val="center"/>
                </w:tcPr>
                <w:p w14:paraId="0CBCCA3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7</w:t>
                  </w:r>
                  <w:r>
                    <w:rPr>
                      <w:rFonts w:hint="default" w:ascii="Times New Roman" w:hAnsi="Times New Roman" w:eastAsia="宋体" w:cs="Times New Roman"/>
                      <w:color w:val="auto"/>
                      <w:kern w:val="0"/>
                      <w:sz w:val="21"/>
                      <w:szCs w:val="21"/>
                      <w:highlight w:val="none"/>
                      <w:lang w:val="en-US" w:eastAsia="zh-CN" w:bidi="ar"/>
                    </w:rPr>
                    <w:t>μg/m</w:t>
                  </w:r>
                  <w:r>
                    <w:rPr>
                      <w:rFonts w:hint="default" w:ascii="Times New Roman" w:hAnsi="Times New Roman" w:eastAsia="宋体" w:cs="Times New Roman"/>
                      <w:color w:val="auto"/>
                      <w:kern w:val="0"/>
                      <w:sz w:val="21"/>
                      <w:szCs w:val="21"/>
                      <w:highlight w:val="none"/>
                      <w:vertAlign w:val="superscript"/>
                      <w:lang w:val="en-US" w:eastAsia="zh-CN" w:bidi="ar"/>
                    </w:rPr>
                    <w:t>3</w:t>
                  </w:r>
                </w:p>
              </w:tc>
              <w:tc>
                <w:tcPr>
                  <w:tcW w:w="1884" w:type="dxa"/>
                  <w:tcBorders>
                    <w:top w:val="single" w:color="auto" w:sz="4" w:space="0"/>
                    <w:left w:val="single" w:color="auto" w:sz="4" w:space="0"/>
                    <w:bottom w:val="single" w:color="auto" w:sz="4" w:space="0"/>
                    <w:right w:val="single" w:color="auto" w:sz="4" w:space="0"/>
                  </w:tcBorders>
                  <w:noWrap w:val="0"/>
                  <w:vAlign w:val="center"/>
                </w:tcPr>
                <w:p w14:paraId="027E28A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60μg/m</w:t>
                  </w:r>
                  <w:r>
                    <w:rPr>
                      <w:rFonts w:hint="default" w:ascii="Times New Roman" w:hAnsi="Times New Roman" w:eastAsia="宋体" w:cs="Times New Roman"/>
                      <w:color w:val="auto"/>
                      <w:kern w:val="0"/>
                      <w:sz w:val="21"/>
                      <w:szCs w:val="21"/>
                      <w:highlight w:val="none"/>
                      <w:vertAlign w:val="superscript"/>
                      <w:lang w:val="en-US" w:eastAsia="zh-CN" w:bidi="ar"/>
                    </w:rPr>
                    <w:t>3</w:t>
                  </w:r>
                </w:p>
              </w:tc>
              <w:tc>
                <w:tcPr>
                  <w:tcW w:w="1519" w:type="dxa"/>
                  <w:gridSpan w:val="2"/>
                  <w:tcBorders>
                    <w:top w:val="single" w:color="auto" w:sz="4" w:space="0"/>
                    <w:left w:val="single" w:color="auto" w:sz="4" w:space="0"/>
                    <w:bottom w:val="single" w:color="auto" w:sz="4" w:space="0"/>
                    <w:right w:val="single" w:color="auto" w:sz="4" w:space="0"/>
                  </w:tcBorders>
                  <w:noWrap w:val="0"/>
                  <w:vAlign w:val="center"/>
                </w:tcPr>
                <w:p w14:paraId="2836A1F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达标</w:t>
                  </w:r>
                </w:p>
              </w:tc>
            </w:tr>
            <w:tr w14:paraId="59621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67128AD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NO</w:t>
                  </w:r>
                  <w:r>
                    <w:rPr>
                      <w:rFonts w:hint="default" w:ascii="Times New Roman" w:hAnsi="Times New Roman" w:eastAsia="宋体" w:cs="Times New Roman"/>
                      <w:color w:val="auto"/>
                      <w:kern w:val="0"/>
                      <w:sz w:val="21"/>
                      <w:szCs w:val="21"/>
                      <w:highlight w:val="none"/>
                      <w:vertAlign w:val="subscript"/>
                      <w:lang w:val="en-US" w:eastAsia="zh-CN" w:bidi="ar"/>
                    </w:rPr>
                    <w:t>2</w:t>
                  </w:r>
                </w:p>
              </w:tc>
              <w:tc>
                <w:tcPr>
                  <w:tcW w:w="2419" w:type="dxa"/>
                  <w:tcBorders>
                    <w:top w:val="single" w:color="auto" w:sz="4" w:space="0"/>
                    <w:left w:val="single" w:color="auto" w:sz="4" w:space="0"/>
                    <w:bottom w:val="single" w:color="auto" w:sz="4" w:space="0"/>
                    <w:right w:val="single" w:color="auto" w:sz="4" w:space="0"/>
                  </w:tcBorders>
                  <w:noWrap w:val="0"/>
                  <w:vAlign w:val="center"/>
                </w:tcPr>
                <w:p w14:paraId="53F8C0B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年平均质量浓度</w:t>
                  </w:r>
                </w:p>
              </w:tc>
              <w:tc>
                <w:tcPr>
                  <w:tcW w:w="1404" w:type="dxa"/>
                  <w:tcBorders>
                    <w:top w:val="single" w:color="auto" w:sz="4" w:space="0"/>
                    <w:left w:val="single" w:color="auto" w:sz="4" w:space="0"/>
                    <w:bottom w:val="single" w:color="auto" w:sz="4" w:space="0"/>
                    <w:right w:val="single" w:color="auto" w:sz="4" w:space="0"/>
                  </w:tcBorders>
                  <w:noWrap w:val="0"/>
                  <w:vAlign w:val="center"/>
                </w:tcPr>
                <w:p w14:paraId="26B4D8A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19</w:t>
                  </w:r>
                  <w:r>
                    <w:rPr>
                      <w:rFonts w:hint="default" w:ascii="Times New Roman" w:hAnsi="Times New Roman" w:eastAsia="宋体" w:cs="Times New Roman"/>
                      <w:color w:val="auto"/>
                      <w:kern w:val="0"/>
                      <w:sz w:val="21"/>
                      <w:szCs w:val="21"/>
                      <w:highlight w:val="none"/>
                      <w:lang w:val="en-US" w:eastAsia="zh-CN" w:bidi="ar"/>
                    </w:rPr>
                    <w:t>μg/m</w:t>
                  </w:r>
                  <w:r>
                    <w:rPr>
                      <w:rFonts w:hint="default" w:ascii="Times New Roman" w:hAnsi="Times New Roman" w:eastAsia="宋体" w:cs="Times New Roman"/>
                      <w:color w:val="auto"/>
                      <w:kern w:val="0"/>
                      <w:sz w:val="21"/>
                      <w:szCs w:val="21"/>
                      <w:highlight w:val="none"/>
                      <w:vertAlign w:val="superscript"/>
                      <w:lang w:val="en-US" w:eastAsia="zh-CN" w:bidi="ar"/>
                    </w:rPr>
                    <w:t>3</w:t>
                  </w:r>
                </w:p>
              </w:tc>
              <w:tc>
                <w:tcPr>
                  <w:tcW w:w="1884" w:type="dxa"/>
                  <w:tcBorders>
                    <w:top w:val="single" w:color="auto" w:sz="4" w:space="0"/>
                    <w:left w:val="single" w:color="auto" w:sz="4" w:space="0"/>
                    <w:bottom w:val="single" w:color="auto" w:sz="4" w:space="0"/>
                    <w:right w:val="single" w:color="auto" w:sz="4" w:space="0"/>
                  </w:tcBorders>
                  <w:noWrap w:val="0"/>
                  <w:vAlign w:val="center"/>
                </w:tcPr>
                <w:p w14:paraId="6C0C2872">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40μg/m</w:t>
                  </w:r>
                  <w:r>
                    <w:rPr>
                      <w:rFonts w:hint="default" w:ascii="Times New Roman" w:hAnsi="Times New Roman" w:eastAsia="宋体" w:cs="Times New Roman"/>
                      <w:color w:val="auto"/>
                      <w:kern w:val="0"/>
                      <w:sz w:val="21"/>
                      <w:szCs w:val="21"/>
                      <w:highlight w:val="none"/>
                      <w:vertAlign w:val="superscript"/>
                      <w:lang w:val="en-US" w:eastAsia="zh-CN" w:bidi="ar"/>
                    </w:rPr>
                    <w:t>3</w:t>
                  </w:r>
                </w:p>
              </w:tc>
              <w:tc>
                <w:tcPr>
                  <w:tcW w:w="1519" w:type="dxa"/>
                  <w:gridSpan w:val="2"/>
                  <w:tcBorders>
                    <w:top w:val="single" w:color="auto" w:sz="4" w:space="0"/>
                    <w:left w:val="single" w:color="auto" w:sz="4" w:space="0"/>
                    <w:bottom w:val="single" w:color="auto" w:sz="4" w:space="0"/>
                    <w:right w:val="single" w:color="auto" w:sz="4" w:space="0"/>
                  </w:tcBorders>
                  <w:noWrap w:val="0"/>
                  <w:vAlign w:val="center"/>
                </w:tcPr>
                <w:p w14:paraId="5EFEF10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达标</w:t>
                  </w:r>
                </w:p>
              </w:tc>
            </w:tr>
            <w:tr w14:paraId="39B4D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790AF5B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PM</w:t>
                  </w:r>
                  <w:r>
                    <w:rPr>
                      <w:rFonts w:hint="default" w:ascii="Times New Roman" w:hAnsi="Times New Roman" w:eastAsia="宋体" w:cs="Times New Roman"/>
                      <w:color w:val="auto"/>
                      <w:kern w:val="0"/>
                      <w:sz w:val="21"/>
                      <w:szCs w:val="21"/>
                      <w:highlight w:val="none"/>
                      <w:vertAlign w:val="subscript"/>
                      <w:lang w:val="en-US" w:eastAsia="zh-CN" w:bidi="ar"/>
                    </w:rPr>
                    <w:t>10</w:t>
                  </w:r>
                </w:p>
              </w:tc>
              <w:tc>
                <w:tcPr>
                  <w:tcW w:w="2419" w:type="dxa"/>
                  <w:tcBorders>
                    <w:top w:val="single" w:color="auto" w:sz="4" w:space="0"/>
                    <w:left w:val="single" w:color="auto" w:sz="4" w:space="0"/>
                    <w:bottom w:val="single" w:color="auto" w:sz="4" w:space="0"/>
                    <w:right w:val="single" w:color="auto" w:sz="4" w:space="0"/>
                  </w:tcBorders>
                  <w:noWrap w:val="0"/>
                  <w:vAlign w:val="center"/>
                </w:tcPr>
                <w:p w14:paraId="6699AC4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年平均质量浓度</w:t>
                  </w:r>
                </w:p>
              </w:tc>
              <w:tc>
                <w:tcPr>
                  <w:tcW w:w="1404" w:type="dxa"/>
                  <w:tcBorders>
                    <w:top w:val="single" w:color="auto" w:sz="4" w:space="0"/>
                    <w:left w:val="single" w:color="auto" w:sz="4" w:space="0"/>
                    <w:bottom w:val="single" w:color="auto" w:sz="4" w:space="0"/>
                    <w:right w:val="single" w:color="auto" w:sz="4" w:space="0"/>
                  </w:tcBorders>
                  <w:noWrap w:val="0"/>
                  <w:vAlign w:val="center"/>
                </w:tcPr>
                <w:p w14:paraId="77C883F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42</w:t>
                  </w:r>
                  <w:r>
                    <w:rPr>
                      <w:rFonts w:hint="default" w:ascii="Times New Roman" w:hAnsi="Times New Roman" w:eastAsia="宋体" w:cs="Times New Roman"/>
                      <w:color w:val="auto"/>
                      <w:kern w:val="0"/>
                      <w:sz w:val="21"/>
                      <w:szCs w:val="21"/>
                      <w:highlight w:val="none"/>
                      <w:lang w:val="en-US" w:eastAsia="zh-CN" w:bidi="ar"/>
                    </w:rPr>
                    <w:t>μg/m</w:t>
                  </w:r>
                  <w:r>
                    <w:rPr>
                      <w:rFonts w:hint="default" w:ascii="Times New Roman" w:hAnsi="Times New Roman" w:eastAsia="宋体" w:cs="Times New Roman"/>
                      <w:color w:val="auto"/>
                      <w:kern w:val="0"/>
                      <w:sz w:val="21"/>
                      <w:szCs w:val="21"/>
                      <w:highlight w:val="none"/>
                      <w:vertAlign w:val="superscript"/>
                      <w:lang w:val="en-US" w:eastAsia="zh-CN" w:bidi="ar"/>
                    </w:rPr>
                    <w:t>3</w:t>
                  </w:r>
                </w:p>
              </w:tc>
              <w:tc>
                <w:tcPr>
                  <w:tcW w:w="1884" w:type="dxa"/>
                  <w:tcBorders>
                    <w:top w:val="single" w:color="auto" w:sz="4" w:space="0"/>
                    <w:left w:val="single" w:color="auto" w:sz="4" w:space="0"/>
                    <w:bottom w:val="single" w:color="auto" w:sz="4" w:space="0"/>
                    <w:right w:val="single" w:color="auto" w:sz="4" w:space="0"/>
                  </w:tcBorders>
                  <w:noWrap w:val="0"/>
                  <w:vAlign w:val="center"/>
                </w:tcPr>
                <w:p w14:paraId="3E52F80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6</w:t>
                  </w:r>
                  <w:r>
                    <w:rPr>
                      <w:rFonts w:hint="default" w:ascii="Times New Roman" w:hAnsi="Times New Roman" w:eastAsia="宋体" w:cs="Times New Roman"/>
                      <w:color w:val="auto"/>
                      <w:kern w:val="0"/>
                      <w:sz w:val="21"/>
                      <w:szCs w:val="21"/>
                      <w:highlight w:val="none"/>
                      <w:lang w:val="en-US" w:eastAsia="zh-CN" w:bidi="ar"/>
                    </w:rPr>
                    <w:t>0μg/m</w:t>
                  </w:r>
                  <w:r>
                    <w:rPr>
                      <w:rFonts w:hint="default" w:ascii="Times New Roman" w:hAnsi="Times New Roman" w:eastAsia="宋体" w:cs="Times New Roman"/>
                      <w:color w:val="auto"/>
                      <w:kern w:val="0"/>
                      <w:sz w:val="21"/>
                      <w:szCs w:val="21"/>
                      <w:highlight w:val="none"/>
                      <w:vertAlign w:val="superscript"/>
                      <w:lang w:val="en-US" w:eastAsia="zh-CN" w:bidi="ar"/>
                    </w:rPr>
                    <w:t>3</w:t>
                  </w:r>
                </w:p>
              </w:tc>
              <w:tc>
                <w:tcPr>
                  <w:tcW w:w="1519" w:type="dxa"/>
                  <w:gridSpan w:val="2"/>
                  <w:tcBorders>
                    <w:top w:val="single" w:color="auto" w:sz="4" w:space="0"/>
                    <w:left w:val="single" w:color="auto" w:sz="4" w:space="0"/>
                    <w:bottom w:val="single" w:color="auto" w:sz="4" w:space="0"/>
                    <w:right w:val="single" w:color="auto" w:sz="4" w:space="0"/>
                  </w:tcBorders>
                  <w:noWrap w:val="0"/>
                  <w:vAlign w:val="center"/>
                </w:tcPr>
                <w:p w14:paraId="5A1E87E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达标</w:t>
                  </w:r>
                </w:p>
              </w:tc>
            </w:tr>
            <w:tr w14:paraId="14690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5101C39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PM</w:t>
                  </w:r>
                  <w:r>
                    <w:rPr>
                      <w:rFonts w:hint="default" w:ascii="Times New Roman" w:hAnsi="Times New Roman" w:eastAsia="宋体" w:cs="Times New Roman"/>
                      <w:color w:val="auto"/>
                      <w:kern w:val="0"/>
                      <w:sz w:val="21"/>
                      <w:szCs w:val="21"/>
                      <w:highlight w:val="none"/>
                      <w:vertAlign w:val="subscript"/>
                      <w:lang w:val="en-US" w:eastAsia="zh-CN" w:bidi="ar"/>
                    </w:rPr>
                    <w:t>2.5</w:t>
                  </w:r>
                </w:p>
              </w:tc>
              <w:tc>
                <w:tcPr>
                  <w:tcW w:w="2419" w:type="dxa"/>
                  <w:tcBorders>
                    <w:top w:val="single" w:color="auto" w:sz="4" w:space="0"/>
                    <w:left w:val="single" w:color="auto" w:sz="4" w:space="0"/>
                    <w:bottom w:val="single" w:color="auto" w:sz="4" w:space="0"/>
                    <w:right w:val="single" w:color="auto" w:sz="4" w:space="0"/>
                  </w:tcBorders>
                  <w:noWrap w:val="0"/>
                  <w:vAlign w:val="center"/>
                </w:tcPr>
                <w:p w14:paraId="5E10941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年平均质量浓度</w:t>
                  </w:r>
                </w:p>
              </w:tc>
              <w:tc>
                <w:tcPr>
                  <w:tcW w:w="1404" w:type="dxa"/>
                  <w:tcBorders>
                    <w:top w:val="single" w:color="auto" w:sz="4" w:space="0"/>
                    <w:left w:val="single" w:color="auto" w:sz="4" w:space="0"/>
                    <w:bottom w:val="single" w:color="auto" w:sz="4" w:space="0"/>
                    <w:right w:val="single" w:color="auto" w:sz="4" w:space="0"/>
                  </w:tcBorders>
                  <w:noWrap w:val="0"/>
                  <w:vAlign w:val="center"/>
                </w:tcPr>
                <w:p w14:paraId="48F394D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21.9</w:t>
                  </w:r>
                  <w:r>
                    <w:rPr>
                      <w:rFonts w:hint="default" w:ascii="Times New Roman" w:hAnsi="Times New Roman" w:eastAsia="宋体" w:cs="Times New Roman"/>
                      <w:color w:val="auto"/>
                      <w:kern w:val="0"/>
                      <w:sz w:val="21"/>
                      <w:szCs w:val="21"/>
                      <w:highlight w:val="none"/>
                      <w:lang w:val="en-US" w:eastAsia="zh-CN" w:bidi="ar"/>
                    </w:rPr>
                    <w:t>μg/m</w:t>
                  </w:r>
                  <w:r>
                    <w:rPr>
                      <w:rFonts w:hint="default" w:ascii="Times New Roman" w:hAnsi="Times New Roman" w:eastAsia="宋体" w:cs="Times New Roman"/>
                      <w:color w:val="auto"/>
                      <w:kern w:val="0"/>
                      <w:sz w:val="21"/>
                      <w:szCs w:val="21"/>
                      <w:highlight w:val="none"/>
                      <w:vertAlign w:val="superscript"/>
                      <w:lang w:val="en-US" w:eastAsia="zh-CN" w:bidi="ar"/>
                    </w:rPr>
                    <w:t>3</w:t>
                  </w:r>
                </w:p>
              </w:tc>
              <w:tc>
                <w:tcPr>
                  <w:tcW w:w="1884" w:type="dxa"/>
                  <w:tcBorders>
                    <w:top w:val="single" w:color="auto" w:sz="4" w:space="0"/>
                    <w:left w:val="single" w:color="auto" w:sz="4" w:space="0"/>
                    <w:bottom w:val="single" w:color="auto" w:sz="4" w:space="0"/>
                    <w:right w:val="single" w:color="auto" w:sz="4" w:space="0"/>
                  </w:tcBorders>
                  <w:noWrap w:val="0"/>
                  <w:vAlign w:val="center"/>
                </w:tcPr>
                <w:p w14:paraId="5975AE92">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3</w:t>
                  </w:r>
                  <w:r>
                    <w:rPr>
                      <w:rFonts w:hint="eastAsia" w:ascii="Times New Roman" w:hAnsi="Times New Roman" w:eastAsia="宋体" w:cs="Times New Roman"/>
                      <w:color w:val="auto"/>
                      <w:kern w:val="0"/>
                      <w:sz w:val="21"/>
                      <w:szCs w:val="21"/>
                      <w:highlight w:val="none"/>
                      <w:lang w:val="en-US" w:eastAsia="zh-CN" w:bidi="ar"/>
                    </w:rPr>
                    <w:t>0</w:t>
                  </w:r>
                  <w:r>
                    <w:rPr>
                      <w:rFonts w:hint="default" w:ascii="Times New Roman" w:hAnsi="Times New Roman" w:eastAsia="宋体" w:cs="Times New Roman"/>
                      <w:color w:val="auto"/>
                      <w:kern w:val="0"/>
                      <w:sz w:val="21"/>
                      <w:szCs w:val="21"/>
                      <w:highlight w:val="none"/>
                      <w:lang w:val="en-US" w:eastAsia="zh-CN" w:bidi="ar"/>
                    </w:rPr>
                    <w:t>μg/m</w:t>
                  </w:r>
                  <w:r>
                    <w:rPr>
                      <w:rFonts w:hint="default" w:ascii="Times New Roman" w:hAnsi="Times New Roman" w:eastAsia="宋体" w:cs="Times New Roman"/>
                      <w:color w:val="auto"/>
                      <w:kern w:val="0"/>
                      <w:sz w:val="21"/>
                      <w:szCs w:val="21"/>
                      <w:highlight w:val="none"/>
                      <w:vertAlign w:val="superscript"/>
                      <w:lang w:val="en-US" w:eastAsia="zh-CN" w:bidi="ar"/>
                    </w:rPr>
                    <w:t>3</w:t>
                  </w:r>
                </w:p>
              </w:tc>
              <w:tc>
                <w:tcPr>
                  <w:tcW w:w="1519" w:type="dxa"/>
                  <w:gridSpan w:val="2"/>
                  <w:tcBorders>
                    <w:top w:val="single" w:color="auto" w:sz="4" w:space="0"/>
                    <w:left w:val="single" w:color="auto" w:sz="4" w:space="0"/>
                    <w:bottom w:val="single" w:color="auto" w:sz="4" w:space="0"/>
                    <w:right w:val="single" w:color="auto" w:sz="4" w:space="0"/>
                  </w:tcBorders>
                  <w:noWrap w:val="0"/>
                  <w:vAlign w:val="center"/>
                </w:tcPr>
                <w:p w14:paraId="3ABD854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达标</w:t>
                  </w:r>
                </w:p>
              </w:tc>
            </w:tr>
            <w:tr w14:paraId="2B1F3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1664CB9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CO</w:t>
                  </w:r>
                </w:p>
              </w:tc>
              <w:tc>
                <w:tcPr>
                  <w:tcW w:w="2419" w:type="dxa"/>
                  <w:tcBorders>
                    <w:top w:val="single" w:color="auto" w:sz="4" w:space="0"/>
                    <w:left w:val="single" w:color="auto" w:sz="4" w:space="0"/>
                    <w:bottom w:val="single" w:color="auto" w:sz="4" w:space="0"/>
                    <w:right w:val="single" w:color="auto" w:sz="4" w:space="0"/>
                  </w:tcBorders>
                  <w:noWrap w:val="0"/>
                  <w:vAlign w:val="center"/>
                </w:tcPr>
                <w:p w14:paraId="1E2BA75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日平均质量浓度</w:t>
                  </w:r>
                </w:p>
              </w:tc>
              <w:tc>
                <w:tcPr>
                  <w:tcW w:w="1404" w:type="dxa"/>
                  <w:tcBorders>
                    <w:top w:val="single" w:color="auto" w:sz="4" w:space="0"/>
                    <w:left w:val="single" w:color="auto" w:sz="4" w:space="0"/>
                    <w:bottom w:val="single" w:color="auto" w:sz="4" w:space="0"/>
                    <w:right w:val="single" w:color="auto" w:sz="4" w:space="0"/>
                  </w:tcBorders>
                  <w:noWrap w:val="0"/>
                  <w:vAlign w:val="center"/>
                </w:tcPr>
                <w:p w14:paraId="5E233D4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0.8</w:t>
                  </w:r>
                  <w:r>
                    <w:rPr>
                      <w:rFonts w:hint="default" w:ascii="Times New Roman" w:hAnsi="Times New Roman" w:eastAsia="宋体" w:cs="Times New Roman"/>
                      <w:color w:val="auto"/>
                      <w:kern w:val="0"/>
                      <w:sz w:val="21"/>
                      <w:szCs w:val="21"/>
                      <w:highlight w:val="none"/>
                      <w:lang w:val="en-US" w:eastAsia="zh-CN" w:bidi="ar"/>
                    </w:rPr>
                    <w:t>mg/m</w:t>
                  </w:r>
                  <w:r>
                    <w:rPr>
                      <w:rFonts w:hint="default" w:ascii="Times New Roman" w:hAnsi="Times New Roman" w:eastAsia="宋体" w:cs="Times New Roman"/>
                      <w:color w:val="auto"/>
                      <w:kern w:val="0"/>
                      <w:sz w:val="21"/>
                      <w:szCs w:val="21"/>
                      <w:highlight w:val="none"/>
                      <w:vertAlign w:val="superscript"/>
                      <w:lang w:val="en-US" w:eastAsia="zh-CN" w:bidi="ar"/>
                    </w:rPr>
                    <w:t>3</w:t>
                  </w:r>
                </w:p>
              </w:tc>
              <w:tc>
                <w:tcPr>
                  <w:tcW w:w="1884" w:type="dxa"/>
                  <w:tcBorders>
                    <w:top w:val="single" w:color="auto" w:sz="4" w:space="0"/>
                    <w:left w:val="single" w:color="auto" w:sz="4" w:space="0"/>
                    <w:bottom w:val="single" w:color="auto" w:sz="4" w:space="0"/>
                    <w:right w:val="single" w:color="auto" w:sz="4" w:space="0"/>
                  </w:tcBorders>
                  <w:noWrap w:val="0"/>
                  <w:vAlign w:val="center"/>
                </w:tcPr>
                <w:p w14:paraId="6E08B2D2">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4mg/m</w:t>
                  </w:r>
                  <w:r>
                    <w:rPr>
                      <w:rFonts w:hint="default" w:ascii="Times New Roman" w:hAnsi="Times New Roman" w:eastAsia="宋体" w:cs="Times New Roman"/>
                      <w:color w:val="auto"/>
                      <w:kern w:val="0"/>
                      <w:sz w:val="21"/>
                      <w:szCs w:val="21"/>
                      <w:highlight w:val="none"/>
                      <w:vertAlign w:val="superscript"/>
                      <w:lang w:val="en-US" w:eastAsia="zh-CN" w:bidi="ar"/>
                    </w:rPr>
                    <w:t>3</w:t>
                  </w:r>
                </w:p>
              </w:tc>
              <w:tc>
                <w:tcPr>
                  <w:tcW w:w="1519" w:type="dxa"/>
                  <w:gridSpan w:val="2"/>
                  <w:tcBorders>
                    <w:top w:val="single" w:color="auto" w:sz="4" w:space="0"/>
                    <w:left w:val="single" w:color="auto" w:sz="4" w:space="0"/>
                    <w:bottom w:val="single" w:color="auto" w:sz="4" w:space="0"/>
                    <w:right w:val="single" w:color="auto" w:sz="4" w:space="0"/>
                  </w:tcBorders>
                  <w:noWrap w:val="0"/>
                  <w:vAlign w:val="center"/>
                </w:tcPr>
                <w:p w14:paraId="6AFA348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达标</w:t>
                  </w:r>
                </w:p>
              </w:tc>
            </w:tr>
            <w:tr w14:paraId="5BECF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1D9EB56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O</w:t>
                  </w:r>
                  <w:r>
                    <w:rPr>
                      <w:rFonts w:hint="default" w:ascii="Times New Roman" w:hAnsi="Times New Roman" w:eastAsia="宋体" w:cs="Times New Roman"/>
                      <w:color w:val="auto"/>
                      <w:kern w:val="0"/>
                      <w:sz w:val="21"/>
                      <w:szCs w:val="21"/>
                      <w:highlight w:val="none"/>
                      <w:vertAlign w:val="subscript"/>
                      <w:lang w:val="en-US" w:eastAsia="zh-CN" w:bidi="ar"/>
                    </w:rPr>
                    <w:t>3</w:t>
                  </w:r>
                </w:p>
              </w:tc>
              <w:tc>
                <w:tcPr>
                  <w:tcW w:w="2419" w:type="dxa"/>
                  <w:tcBorders>
                    <w:top w:val="single" w:color="auto" w:sz="4" w:space="0"/>
                    <w:left w:val="single" w:color="auto" w:sz="4" w:space="0"/>
                    <w:bottom w:val="single" w:color="auto" w:sz="4" w:space="0"/>
                    <w:right w:val="single" w:color="auto" w:sz="4" w:space="0"/>
                  </w:tcBorders>
                  <w:noWrap w:val="0"/>
                  <w:vAlign w:val="center"/>
                </w:tcPr>
                <w:p w14:paraId="0D415CF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8h平均质量浓度</w:t>
                  </w:r>
                </w:p>
              </w:tc>
              <w:tc>
                <w:tcPr>
                  <w:tcW w:w="1404" w:type="dxa"/>
                  <w:tcBorders>
                    <w:top w:val="single" w:color="auto" w:sz="4" w:space="0"/>
                    <w:left w:val="single" w:color="auto" w:sz="4" w:space="0"/>
                    <w:bottom w:val="single" w:color="auto" w:sz="4" w:space="0"/>
                    <w:right w:val="single" w:color="auto" w:sz="4" w:space="0"/>
                  </w:tcBorders>
                  <w:noWrap w:val="0"/>
                  <w:vAlign w:val="center"/>
                </w:tcPr>
                <w:p w14:paraId="4F4C0A9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148</w:t>
                  </w:r>
                  <w:r>
                    <w:rPr>
                      <w:rFonts w:hint="default" w:ascii="Times New Roman" w:hAnsi="Times New Roman" w:eastAsia="宋体" w:cs="Times New Roman"/>
                      <w:color w:val="auto"/>
                      <w:kern w:val="0"/>
                      <w:sz w:val="21"/>
                      <w:szCs w:val="21"/>
                      <w:highlight w:val="none"/>
                      <w:lang w:val="en-US" w:eastAsia="zh-CN" w:bidi="ar"/>
                    </w:rPr>
                    <w:t>μg/m</w:t>
                  </w:r>
                  <w:r>
                    <w:rPr>
                      <w:rFonts w:hint="default" w:ascii="Times New Roman" w:hAnsi="Times New Roman" w:eastAsia="宋体" w:cs="Times New Roman"/>
                      <w:color w:val="auto"/>
                      <w:kern w:val="0"/>
                      <w:sz w:val="21"/>
                      <w:szCs w:val="21"/>
                      <w:highlight w:val="none"/>
                      <w:vertAlign w:val="superscript"/>
                      <w:lang w:val="en-US" w:eastAsia="zh-CN" w:bidi="ar"/>
                    </w:rPr>
                    <w:t>3</w:t>
                  </w:r>
                </w:p>
              </w:tc>
              <w:tc>
                <w:tcPr>
                  <w:tcW w:w="1884" w:type="dxa"/>
                  <w:tcBorders>
                    <w:top w:val="single" w:color="auto" w:sz="4" w:space="0"/>
                    <w:left w:val="single" w:color="auto" w:sz="4" w:space="0"/>
                    <w:bottom w:val="single" w:color="auto" w:sz="4" w:space="0"/>
                    <w:right w:val="single" w:color="auto" w:sz="4" w:space="0"/>
                  </w:tcBorders>
                  <w:noWrap w:val="0"/>
                  <w:vAlign w:val="center"/>
                </w:tcPr>
                <w:p w14:paraId="0FACFC8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160μg/m</w:t>
                  </w:r>
                  <w:r>
                    <w:rPr>
                      <w:rFonts w:hint="default" w:ascii="Times New Roman" w:hAnsi="Times New Roman" w:eastAsia="宋体" w:cs="Times New Roman"/>
                      <w:color w:val="auto"/>
                      <w:kern w:val="0"/>
                      <w:sz w:val="21"/>
                      <w:szCs w:val="21"/>
                      <w:highlight w:val="none"/>
                      <w:vertAlign w:val="superscript"/>
                      <w:lang w:val="en-US" w:eastAsia="zh-CN" w:bidi="ar"/>
                    </w:rPr>
                    <w:t>3</w:t>
                  </w:r>
                </w:p>
              </w:tc>
              <w:tc>
                <w:tcPr>
                  <w:tcW w:w="1519" w:type="dxa"/>
                  <w:gridSpan w:val="2"/>
                  <w:tcBorders>
                    <w:top w:val="single" w:color="auto" w:sz="4" w:space="0"/>
                    <w:left w:val="single" w:color="auto" w:sz="4" w:space="0"/>
                    <w:bottom w:val="single" w:color="auto" w:sz="4" w:space="0"/>
                    <w:right w:val="single" w:color="auto" w:sz="4" w:space="0"/>
                  </w:tcBorders>
                  <w:noWrap w:val="0"/>
                  <w:vAlign w:val="center"/>
                </w:tcPr>
                <w:p w14:paraId="24918AF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达标</w:t>
                  </w:r>
                </w:p>
              </w:tc>
            </w:tr>
          </w:tbl>
          <w:p w14:paraId="4CFC164E">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根据上表，榆林市佳县属于达标区</w:t>
            </w:r>
            <w:r>
              <w:rPr>
                <w:rFonts w:hint="default" w:ascii="Times New Roman" w:hAnsi="Times New Roman" w:eastAsia="宋体" w:cs="Times New Roman"/>
                <w:color w:val="auto"/>
                <w:kern w:val="0"/>
                <w:sz w:val="24"/>
                <w:szCs w:val="24"/>
                <w:highlight w:val="none"/>
                <w:lang w:val="en-US" w:eastAsia="zh-CN" w:bidi="ar"/>
              </w:rPr>
              <w:t>。</w:t>
            </w:r>
          </w:p>
          <w:p w14:paraId="3A08D36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bidi="ar-SA"/>
              </w:rPr>
              <w:t>（2）</w:t>
            </w:r>
            <w:r>
              <w:rPr>
                <w:rFonts w:hint="default" w:ascii="Times New Roman" w:hAnsi="Times New Roman" w:eastAsia="宋体" w:cs="Times New Roman"/>
                <w:b w:val="0"/>
                <w:bCs/>
                <w:color w:val="auto"/>
                <w:sz w:val="24"/>
                <w:highlight w:val="none"/>
                <w:lang w:val="en-US" w:eastAsia="zh-CN"/>
              </w:rPr>
              <w:t>特征因子环境空气质量</w:t>
            </w:r>
          </w:p>
          <w:p w14:paraId="2D66C748">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val="0"/>
                <w:bCs/>
                <w:color w:val="auto"/>
                <w:sz w:val="24"/>
                <w:highlight w:val="none"/>
                <w:lang w:val="en-US" w:eastAsia="zh-CN"/>
              </w:rPr>
              <w:t>本项目编制的生态影响类环境影响报告表，本次评价不设置大气专项评价，根据《建设项目环境影响报告表编制技术指南（生态影响类）（试行）》规定，应参照《建设项目环境影响报告表编制技术指南（污染影响类）》（试行）相关规定开展补充监测大气现状。本项目为天然气评价井建设，项目仅涉及钻前工程和钻井工程，参照《环境影响评价技术导则 陆地石油天然气开发建设项目》（HJ349-2023）中的8.5.2的大气现状监测要求（一、二级评价项目，应收集或补充监测项目特征评价因子的环境质量现状数据，特征污染物应包含项目排放的非甲烷总烃、硫化氢等），本项目大气不设置评价等级仅开展简单分析，且非甲烷总烃、硫化氢在国家和地方环境空气质量标准中没有标准限值要求，可不开展特征因子监测。</w:t>
            </w:r>
          </w:p>
          <w:p w14:paraId="163EB214">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2、声环境</w:t>
            </w:r>
          </w:p>
          <w:p w14:paraId="43CD605A">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项目场地外周边50m范围内不存在声环境保护目标，不需要开展声环境现状监测。</w:t>
            </w:r>
          </w:p>
          <w:p w14:paraId="584B6A14">
            <w:pPr>
              <w:keepNext w:val="0"/>
              <w:keepLines w:val="0"/>
              <w:widowControl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3、地下水</w:t>
            </w:r>
          </w:p>
          <w:p w14:paraId="1B4823CD">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依据建设项目环境影响报告表编制技术指南（生态影响类）（试行）中“水、生态、土壤等其他环境要素参照环境影响评价相关技术导则开展补充监测和调查”。对照《环境影响评价技术导则地下水环境》（HJ610-2016）项目行业类别为“C地质勘査24矿产资源地质勘查（包括勘探活动）”，属于地下水Ⅳ类建设项目，且本项目地下水污染防治措施按照“源头控制、分区防治、污染监控、应急响应”相结合的原则，从污染物的产生、入渗、扩散、应急响应进行控制，项目占地区域采用分区防渗，可以避免发生地下水污染，因此不开展地下水环境质量现状调查。</w:t>
            </w:r>
          </w:p>
          <w:p w14:paraId="3161A284">
            <w:pPr>
              <w:keepNext w:val="0"/>
              <w:keepLines w:val="0"/>
              <w:widowControl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4、土壤</w:t>
            </w:r>
          </w:p>
          <w:p w14:paraId="6AA6BAE9">
            <w:pPr>
              <w:keepNext w:val="0"/>
              <w:keepLines w:val="0"/>
              <w:widowControl w:val="0"/>
              <w:suppressLineNumbers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szCs w:val="22"/>
                <w:highlight w:val="none"/>
                <w:lang w:val="en-US" w:eastAsia="zh-CN"/>
              </w:rPr>
            </w:pPr>
            <w:r>
              <w:rPr>
                <w:rFonts w:hint="default" w:ascii="Times New Roman" w:hAnsi="Times New Roman" w:eastAsia="宋体" w:cs="Times New Roman"/>
                <w:bCs/>
                <w:color w:val="auto"/>
                <w:kern w:val="0"/>
                <w:sz w:val="24"/>
                <w:szCs w:val="22"/>
                <w:highlight w:val="none"/>
                <w:lang w:val="en-US" w:eastAsia="zh-CN" w:bidi="ar"/>
              </w:rPr>
              <w:t>依据建设项目环境影响报告表编制技术指南（生态影响类）（试行）中“水、生态、土壤等其他环境要素参照环境影响评价相关技术导则开展补充监测和调查”，根据《环境影响评价技术导则土壤环境（试行）》（HJ964-2018）附录A土壤环境影响评价行业分类表，本项目为天然气评价井项目，属于“其他行业”，为土壤Ⅳ类建设项目，无需开展土壤环境质量现状调查。</w:t>
            </w:r>
          </w:p>
          <w:p w14:paraId="1DC51530">
            <w:pPr>
              <w:keepNext w:val="0"/>
              <w:keepLines w:val="0"/>
              <w:widowControl w:val="0"/>
              <w:suppressLineNumbers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Cs/>
                <w:color w:val="auto"/>
                <w:kern w:val="0"/>
                <w:sz w:val="24"/>
                <w:szCs w:val="22"/>
                <w:highlight w:val="none"/>
                <w:lang w:val="en-US" w:eastAsia="zh-CN" w:bidi="ar"/>
              </w:rPr>
              <w:t>土壤污染途径主要分为大气沉降、地面漫流和垂直入渗。本项目钻井过程中，不可避免地将有少量地下的易燃气体排出，但污染物通过“大气沉降”方式对项目区土壤影响甚微。且本项目钻井平台区和钻具区、泥浆不落地系统区、岩屑暂存箱区等采取重点防渗措施，地面底部利用机械将衬层压实，铺设防渗材料，危险废物采用撬装式危废贮存库收集，落实以上措施后可避免土壤污染，因此不开展土壤环境质量现状调查。</w:t>
            </w:r>
          </w:p>
        </w:tc>
      </w:tr>
      <w:tr w14:paraId="519AF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tcBorders>
              <w:top w:val="single" w:color="auto" w:sz="4" w:space="0"/>
              <w:left w:val="single" w:color="auto" w:sz="4" w:space="0"/>
              <w:bottom w:val="single" w:color="auto" w:sz="4" w:space="0"/>
              <w:right w:val="single" w:color="auto" w:sz="4" w:space="0"/>
            </w:tcBorders>
            <w:noWrap w:val="0"/>
            <w:vAlign w:val="center"/>
          </w:tcPr>
          <w:p w14:paraId="283D4D5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与项目有关的原有环境污染和生态破坏问题</w:t>
            </w:r>
          </w:p>
        </w:tc>
        <w:tc>
          <w:tcPr>
            <w:tcW w:w="8617" w:type="dxa"/>
            <w:tcBorders>
              <w:top w:val="single" w:color="auto" w:sz="4" w:space="0"/>
              <w:left w:val="single" w:color="auto" w:sz="4" w:space="0"/>
              <w:bottom w:val="single" w:color="auto" w:sz="4" w:space="0"/>
              <w:right w:val="single" w:color="auto" w:sz="4" w:space="0"/>
            </w:tcBorders>
            <w:noWrap w:val="0"/>
            <w:vAlign w:val="center"/>
          </w:tcPr>
          <w:p w14:paraId="3136AA8C">
            <w:pPr>
              <w:keepNext w:val="0"/>
              <w:keepLines w:val="0"/>
              <w:widowControl w:val="0"/>
              <w:suppressLineNumbers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本项目为新建项目，不存在原有环境污染和生态破坏问题。</w:t>
            </w:r>
          </w:p>
        </w:tc>
      </w:tr>
      <w:tr w14:paraId="0EF65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tcBorders>
              <w:top w:val="single" w:color="auto" w:sz="4" w:space="0"/>
              <w:left w:val="single" w:color="auto" w:sz="4" w:space="0"/>
              <w:bottom w:val="single" w:color="auto" w:sz="4" w:space="0"/>
              <w:right w:val="single" w:color="auto" w:sz="4" w:space="0"/>
            </w:tcBorders>
            <w:noWrap w:val="0"/>
            <w:vAlign w:val="center"/>
          </w:tcPr>
          <w:p w14:paraId="62AEA8E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生态环境保护目标</w:t>
            </w:r>
          </w:p>
        </w:tc>
        <w:tc>
          <w:tcPr>
            <w:tcW w:w="8617" w:type="dxa"/>
            <w:tcBorders>
              <w:top w:val="single" w:color="auto" w:sz="4" w:space="0"/>
              <w:left w:val="single" w:color="auto" w:sz="4" w:space="0"/>
              <w:bottom w:val="single" w:color="auto" w:sz="4" w:space="0"/>
              <w:right w:val="single" w:color="auto" w:sz="4" w:space="0"/>
            </w:tcBorders>
            <w:noWrap w:val="0"/>
            <w:vAlign w:val="center"/>
          </w:tcPr>
          <w:p w14:paraId="70C682F3">
            <w:pPr>
              <w:keepNext w:val="0"/>
              <w:keepLines w:val="0"/>
              <w:widowControl w:val="0"/>
              <w:suppressLineNumbers w:val="0"/>
              <w:adjustRightInd w:val="0"/>
              <w:spacing w:before="0" w:beforeAutospacing="0" w:after="0" w:afterAutospacing="0" w:line="360" w:lineRule="auto"/>
              <w:ind w:left="0" w:right="0" w:firstLine="480" w:firstLineChars="200"/>
              <w:jc w:val="left"/>
              <w:rPr>
                <w:rFonts w:hint="eastAsia" w:cs="Times New Roman"/>
                <w:bCs/>
                <w:color w:val="auto"/>
                <w:sz w:val="24"/>
                <w:highlight w:val="none"/>
                <w:lang w:val="en-US" w:eastAsia="zh-CN"/>
              </w:rPr>
            </w:pPr>
            <w:r>
              <w:rPr>
                <w:rFonts w:hint="eastAsia" w:cs="Times New Roman"/>
                <w:bCs/>
                <w:color w:val="auto"/>
                <w:sz w:val="24"/>
                <w:highlight w:val="none"/>
                <w:lang w:val="en-US" w:eastAsia="zh-CN"/>
              </w:rPr>
              <w:t>根据《建设项目环境影响报告表编制技术指南 生态影响类（试行）》，应按照环境影响评价相关技术导则要求确定评价范围并识别环境保护目标。</w:t>
            </w:r>
          </w:p>
          <w:p w14:paraId="34C87502">
            <w:pPr>
              <w:keepNext w:val="0"/>
              <w:keepLines w:val="0"/>
              <w:widowControl w:val="0"/>
              <w:suppressLineNumbers w:val="0"/>
              <w:adjustRightIn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kern w:val="2"/>
                <w:sz w:val="24"/>
                <w:szCs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
              </w:rPr>
              <w:t>1.生态环境</w:t>
            </w:r>
          </w:p>
          <w:p w14:paraId="75F18C9B">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bCs/>
                <w:color w:val="auto"/>
                <w:sz w:val="24"/>
                <w:szCs w:val="22"/>
                <w:highlight w:val="none"/>
                <w:lang w:val="en-US" w:eastAsia="zh-CN"/>
              </w:rPr>
            </w:pPr>
            <w:r>
              <w:rPr>
                <w:rFonts w:hint="default" w:ascii="Times New Roman" w:hAnsi="Times New Roman" w:cs="Times New Roman"/>
                <w:bCs/>
                <w:color w:val="auto"/>
                <w:sz w:val="24"/>
                <w:szCs w:val="22"/>
                <w:highlight w:val="none"/>
                <w:lang w:val="en-US" w:eastAsia="zh-CN"/>
              </w:rPr>
              <w:t>参照《环境影响评价技术导则 陆地石油天然气开发建设项目》（HJ349-2023），本项目生态评价范围为井场和生活区外扩50m范围。</w:t>
            </w:r>
          </w:p>
          <w:p w14:paraId="0C3F9BF0">
            <w:pPr>
              <w:keepNext w:val="0"/>
              <w:keepLines w:val="0"/>
              <w:widowControl w:val="0"/>
              <w:suppressLineNumbers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Calibri" w:cs="Times New Roman"/>
                <w:bCs/>
                <w:color w:val="auto"/>
                <w:kern w:val="0"/>
                <w:sz w:val="24"/>
                <w:szCs w:val="22"/>
                <w:highlight w:val="none"/>
                <w:lang w:val="en-US" w:eastAsia="zh-CN" w:bidi="ar"/>
              </w:rPr>
              <w:t>根据调查，</w:t>
            </w:r>
            <w:r>
              <w:rPr>
                <w:rFonts w:hint="default" w:ascii="Times New Roman" w:hAnsi="Times New Roman" w:eastAsia="宋体" w:cs="Times New Roman"/>
                <w:color w:val="auto"/>
                <w:kern w:val="2"/>
                <w:sz w:val="24"/>
                <w:szCs w:val="24"/>
                <w:highlight w:val="none"/>
                <w:lang w:val="en-US" w:eastAsia="zh-CN" w:bidi="ar"/>
              </w:rPr>
              <w:t>本项目井场评价范围内不涉及森林公园、自然保护区、风景名胜区、世界文化和自然遗产地、文物古迹、饮用水源保护区等环境敏感区，不涉及生态红线保护区。</w:t>
            </w:r>
            <w:r>
              <w:rPr>
                <w:rFonts w:hint="default" w:ascii="Times New Roman" w:hAnsi="Times New Roman" w:eastAsia="宋体" w:cs="Times New Roman"/>
                <w:bCs/>
                <w:color w:val="auto"/>
                <w:kern w:val="0"/>
                <w:sz w:val="24"/>
                <w:szCs w:val="22"/>
                <w:highlight w:val="none"/>
                <w:lang w:val="en-US" w:eastAsia="zh-CN" w:bidi="ar"/>
              </w:rPr>
              <w:t>项目占地范围内的用地类型主要为</w:t>
            </w:r>
            <w:r>
              <w:rPr>
                <w:rFonts w:hint="default" w:ascii="Times New Roman" w:hAnsi="Times New Roman" w:cs="Times New Roman"/>
                <w:color w:val="auto"/>
                <w:sz w:val="24"/>
                <w:szCs w:val="24"/>
                <w:highlight w:val="none"/>
                <w:lang w:eastAsia="zh-CN"/>
              </w:rPr>
              <w:t>草地</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eastAsia="zh-CN"/>
              </w:rPr>
              <w:t>种植园用地</w:t>
            </w:r>
            <w:r>
              <w:rPr>
                <w:rFonts w:hint="default" w:ascii="Times New Roman" w:hAnsi="Times New Roman" w:eastAsia="宋体" w:cs="Times New Roman"/>
                <w:bCs/>
                <w:color w:val="auto"/>
                <w:kern w:val="0"/>
                <w:sz w:val="24"/>
                <w:szCs w:val="22"/>
                <w:highlight w:val="none"/>
                <w:lang w:val="en-US" w:eastAsia="zh-CN" w:bidi="ar"/>
              </w:rPr>
              <w:t>，不涉及基本农田，无珍稀</w:t>
            </w:r>
            <w:r>
              <w:rPr>
                <w:rFonts w:hint="default" w:ascii="Times New Roman" w:hAnsi="Times New Roman" w:eastAsia="宋体" w:cs="Times New Roman"/>
                <w:bCs/>
                <w:color w:val="auto"/>
                <w:kern w:val="0"/>
                <w:sz w:val="24"/>
                <w:szCs w:val="24"/>
                <w:highlight w:val="none"/>
                <w:lang w:val="en-US" w:eastAsia="zh-CN" w:bidi="ar"/>
              </w:rPr>
              <w:t>野生动植物分布。故本项目生态保护目标为临时占地及影响范围内的</w:t>
            </w:r>
            <w:r>
              <w:rPr>
                <w:rFonts w:hint="default" w:ascii="Times New Roman" w:hAnsi="Times New Roman" w:eastAsia="Calibri" w:cs="Times New Roman"/>
                <w:color w:val="auto"/>
                <w:kern w:val="0"/>
                <w:sz w:val="24"/>
                <w:szCs w:val="24"/>
                <w:highlight w:val="none"/>
                <w:lang w:val="en-US" w:eastAsia="zh-CN" w:bidi="ar"/>
              </w:rPr>
              <w:t>土壤、植被、景观、水土流失、生态系统等</w:t>
            </w:r>
            <w:r>
              <w:rPr>
                <w:rFonts w:hint="default" w:ascii="Times New Roman" w:hAnsi="Times New Roman" w:eastAsia="宋体" w:cs="Times New Roman"/>
                <w:color w:val="auto"/>
                <w:kern w:val="2"/>
                <w:sz w:val="24"/>
                <w:szCs w:val="24"/>
                <w:highlight w:val="none"/>
                <w:lang w:val="en-US" w:eastAsia="zh-CN" w:bidi="ar"/>
              </w:rPr>
              <w:t>。</w:t>
            </w:r>
          </w:p>
          <w:p w14:paraId="04977577">
            <w:pPr>
              <w:pStyle w:val="24"/>
              <w:widowControl/>
              <w:snapToGrid/>
              <w:ind w:left="0" w:firstLine="480"/>
              <w:jc w:val="both"/>
              <w:rPr>
                <w:rFonts w:hint="default" w:ascii="Times New Roman" w:hAnsi="Times New Roman" w:eastAsia="宋体" w:cs="Times New Roman"/>
                <w:b/>
                <w:bCs/>
                <w:color w:val="auto"/>
                <w:highlight w:val="none"/>
                <w:lang w:val="en-US" w:eastAsia="zh-CN" w:bidi="ar"/>
              </w:rPr>
            </w:pPr>
            <w:r>
              <w:rPr>
                <w:rFonts w:hint="default" w:ascii="Times New Roman" w:hAnsi="Times New Roman" w:eastAsia="宋体" w:cs="Times New Roman"/>
                <w:b/>
                <w:bCs/>
                <w:color w:val="auto"/>
                <w:highlight w:val="none"/>
                <w:lang w:val="en-US" w:eastAsia="zh-CN" w:bidi="ar"/>
              </w:rPr>
              <w:t>2.大气环境</w:t>
            </w:r>
          </w:p>
          <w:p w14:paraId="23769748">
            <w:pPr>
              <w:pStyle w:val="24"/>
              <w:widowControl/>
              <w:snapToGrid/>
              <w:ind w:left="0" w:firstLine="480"/>
              <w:jc w:val="both"/>
              <w:rPr>
                <w:rFonts w:hint="default" w:ascii="Times New Roman" w:hAnsi="Times New Roman" w:eastAsia="宋体" w:cs="Times New Roman"/>
                <w:color w:val="auto"/>
                <w:highlight w:val="none"/>
                <w:lang w:val="en-US" w:eastAsia="zh-CN" w:bidi="ar"/>
              </w:rPr>
            </w:pPr>
            <w:r>
              <w:rPr>
                <w:rFonts w:hint="default" w:ascii="Times New Roman" w:hAnsi="Times New Roman" w:eastAsia="宋体" w:cs="Times New Roman"/>
                <w:color w:val="auto"/>
                <w:highlight w:val="none"/>
                <w:lang w:val="en-US" w:eastAsia="zh-CN" w:bidi="ar"/>
              </w:rPr>
              <w:t>本次参照《建设项目环境影响报告表编制技术指南 污染影响类（试行）》，评价范围为井场和生活区外扩500m，井场周边500m范围内无自然保护区、风景名胜区、文化区等</w:t>
            </w:r>
            <w:r>
              <w:rPr>
                <w:rFonts w:hint="eastAsia" w:ascii="Times New Roman" w:hAnsi="Times New Roman" w:eastAsia="宋体" w:cs="Times New Roman"/>
                <w:color w:val="auto"/>
                <w:highlight w:val="none"/>
                <w:lang w:val="en-US" w:eastAsia="zh-CN" w:bidi="ar"/>
              </w:rPr>
              <w:t>，但存在居民散户</w:t>
            </w:r>
            <w:r>
              <w:rPr>
                <w:rFonts w:hint="default" w:ascii="Times New Roman" w:hAnsi="Times New Roman" w:eastAsia="宋体" w:cs="Times New Roman"/>
                <w:color w:val="auto"/>
                <w:highlight w:val="none"/>
                <w:lang w:val="en-US" w:eastAsia="zh-CN" w:bidi="ar"/>
              </w:rPr>
              <w:t>。</w:t>
            </w:r>
          </w:p>
          <w:p w14:paraId="707519BB">
            <w:pPr>
              <w:pStyle w:val="24"/>
              <w:widowControl/>
              <w:snapToGrid/>
              <w:ind w:left="0" w:firstLine="480"/>
              <w:jc w:val="both"/>
              <w:rPr>
                <w:rFonts w:hint="default" w:ascii="Times New Roman" w:hAnsi="Times New Roman" w:eastAsia="宋体" w:cs="Times New Roman"/>
                <w:b/>
                <w:bCs/>
                <w:color w:val="auto"/>
                <w:highlight w:val="none"/>
                <w:lang w:val="en-US" w:eastAsia="zh-CN" w:bidi="ar"/>
              </w:rPr>
            </w:pPr>
            <w:r>
              <w:rPr>
                <w:rFonts w:hint="default" w:ascii="Times New Roman" w:hAnsi="Times New Roman" w:eastAsia="宋体" w:cs="Times New Roman"/>
                <w:b/>
                <w:bCs/>
                <w:color w:val="auto"/>
                <w:highlight w:val="none"/>
                <w:lang w:val="en-US" w:eastAsia="zh-CN" w:bidi="ar"/>
              </w:rPr>
              <w:t>3.声环境</w:t>
            </w:r>
          </w:p>
          <w:p w14:paraId="5B58F784">
            <w:pPr>
              <w:pStyle w:val="24"/>
              <w:widowControl/>
              <w:snapToGrid/>
              <w:ind w:left="0" w:firstLine="480"/>
              <w:jc w:val="both"/>
              <w:rPr>
                <w:rFonts w:hint="default" w:ascii="Times New Roman" w:hAnsi="Times New Roman" w:eastAsia="宋体" w:cs="Times New Roman"/>
                <w:color w:val="auto"/>
                <w:highlight w:val="none"/>
                <w:lang w:val="en-US" w:eastAsia="zh-CN" w:bidi="ar"/>
              </w:rPr>
            </w:pPr>
            <w:r>
              <w:rPr>
                <w:rFonts w:hint="default" w:ascii="Times New Roman" w:hAnsi="Times New Roman" w:eastAsia="宋体" w:cs="Times New Roman"/>
                <w:color w:val="auto"/>
                <w:highlight w:val="none"/>
                <w:lang w:val="en-US" w:eastAsia="zh-CN" w:bidi="ar"/>
              </w:rPr>
              <w:t>项目周边</w:t>
            </w:r>
            <w:r>
              <w:rPr>
                <w:rFonts w:hint="eastAsia" w:ascii="Times New Roman" w:hAnsi="Times New Roman" w:eastAsia="宋体" w:cs="Times New Roman"/>
                <w:color w:val="auto"/>
                <w:highlight w:val="none"/>
                <w:lang w:val="en-US" w:eastAsia="zh-CN" w:bidi="ar"/>
              </w:rPr>
              <w:t>50</w:t>
            </w:r>
            <w:r>
              <w:rPr>
                <w:rFonts w:hint="default" w:ascii="Times New Roman" w:hAnsi="Times New Roman" w:eastAsia="宋体" w:cs="Times New Roman"/>
                <w:color w:val="auto"/>
                <w:highlight w:val="none"/>
                <w:lang w:val="en-US" w:eastAsia="zh-CN" w:bidi="ar"/>
              </w:rPr>
              <w:t>m范围内无声环境敏感目标。</w:t>
            </w:r>
          </w:p>
          <w:p w14:paraId="6BF55654">
            <w:pPr>
              <w:pStyle w:val="24"/>
              <w:widowControl/>
              <w:snapToGrid/>
              <w:ind w:left="0" w:firstLine="480"/>
              <w:jc w:val="both"/>
              <w:rPr>
                <w:rFonts w:hint="default" w:ascii="Times New Roman" w:hAnsi="Times New Roman" w:eastAsia="宋体" w:cs="Times New Roman"/>
                <w:b/>
                <w:bCs/>
                <w:color w:val="auto"/>
                <w:highlight w:val="none"/>
                <w:lang w:val="en-US" w:eastAsia="zh-CN" w:bidi="ar"/>
              </w:rPr>
            </w:pPr>
            <w:r>
              <w:rPr>
                <w:rFonts w:hint="default" w:ascii="Times New Roman" w:hAnsi="Times New Roman" w:eastAsia="宋体" w:cs="Times New Roman"/>
                <w:b/>
                <w:bCs/>
                <w:color w:val="auto"/>
                <w:highlight w:val="none"/>
                <w:lang w:val="en-US" w:eastAsia="zh-CN" w:bidi="ar"/>
              </w:rPr>
              <w:t>4.地表水环境</w:t>
            </w:r>
          </w:p>
          <w:p w14:paraId="07CCAF64">
            <w:pPr>
              <w:pStyle w:val="24"/>
              <w:widowControl/>
              <w:snapToGrid/>
              <w:ind w:left="0" w:firstLine="480"/>
              <w:jc w:val="both"/>
              <w:rPr>
                <w:rFonts w:hint="default" w:ascii="Times New Roman" w:hAnsi="Times New Roman" w:eastAsia="宋体" w:cs="Times New Roman"/>
                <w:color w:val="auto"/>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本项目施工期盥洗废水用于井场洒水抑尘，生活污水排入卫生旱厕，定期清掏用作农肥，不外排。项目钻井过程废水收集后委托第三方收集处理，废水不外排；根据《环境影响评价技术导则 地表水环境》（HJ2.3-2018），仅调查依托设施的可行性</w:t>
            </w:r>
            <w:r>
              <w:rPr>
                <w:rFonts w:hint="default" w:ascii="Times New Roman" w:hAnsi="Times New Roman" w:eastAsia="宋体" w:cs="Times New Roman"/>
                <w:color w:val="auto"/>
                <w:highlight w:val="none"/>
                <w:lang w:val="en-US" w:eastAsia="zh-CN" w:bidi="ar"/>
              </w:rPr>
              <w:t>。</w:t>
            </w:r>
          </w:p>
          <w:p w14:paraId="4DE48C2D">
            <w:pPr>
              <w:pStyle w:val="24"/>
              <w:widowControl/>
              <w:snapToGrid/>
              <w:ind w:left="0" w:firstLine="480"/>
              <w:jc w:val="both"/>
              <w:rPr>
                <w:rFonts w:hint="default" w:ascii="Times New Roman" w:hAnsi="Times New Roman" w:eastAsia="宋体" w:cs="Times New Roman"/>
                <w:b/>
                <w:bCs/>
                <w:color w:val="auto"/>
                <w:highlight w:val="none"/>
                <w:lang w:val="en-US" w:eastAsia="zh-CN" w:bidi="ar"/>
              </w:rPr>
            </w:pPr>
            <w:r>
              <w:rPr>
                <w:rFonts w:hint="default" w:ascii="Times New Roman" w:hAnsi="Times New Roman" w:eastAsia="宋体" w:cs="Times New Roman"/>
                <w:b/>
                <w:bCs/>
                <w:color w:val="auto"/>
                <w:highlight w:val="none"/>
                <w:lang w:val="en-US" w:eastAsia="zh-CN" w:bidi="ar"/>
              </w:rPr>
              <w:t>5.地下水环境</w:t>
            </w:r>
          </w:p>
          <w:p w14:paraId="6AD18474">
            <w:pPr>
              <w:pStyle w:val="24"/>
              <w:widowControl/>
              <w:snapToGrid/>
              <w:ind w:left="0" w:firstLine="480"/>
              <w:jc w:val="both"/>
              <w:rPr>
                <w:rFonts w:hint="default" w:ascii="Times New Roman" w:hAnsi="Times New Roman" w:eastAsia="宋体" w:cs="Times New Roman"/>
                <w:color w:val="auto"/>
                <w:highlight w:val="none"/>
                <w:lang w:val="en-US" w:eastAsia="zh-CN" w:bidi="ar"/>
              </w:rPr>
            </w:pPr>
            <w:r>
              <w:rPr>
                <w:rFonts w:hint="eastAsia" w:cs="Times New Roman"/>
                <w:bCs/>
                <w:color w:val="auto"/>
                <w:sz w:val="24"/>
                <w:highlight w:val="none"/>
                <w:lang w:val="en-US" w:eastAsia="zh-CN"/>
              </w:rPr>
              <w:t>根据</w:t>
            </w:r>
            <w:r>
              <w:rPr>
                <w:rFonts w:hint="default" w:ascii="Times New Roman" w:hAnsi="Times New Roman" w:cs="Times New Roman"/>
                <w:color w:val="auto"/>
                <w:sz w:val="24"/>
                <w:highlight w:val="none"/>
              </w:rPr>
              <w:t>《环境影响评价技术导则 地下水环境》（HJ 610-2016）附录A中规定，本项目属于“</w:t>
            </w:r>
            <w:r>
              <w:rPr>
                <w:rFonts w:hint="default" w:ascii="Times New Roman" w:hAnsi="Times New Roman" w:cs="Times New Roman"/>
                <w:color w:val="auto"/>
                <w:sz w:val="24"/>
                <w:highlight w:val="none"/>
                <w:lang w:bidi="ar"/>
              </w:rPr>
              <w:t>24、矿产资源地质勘查（包括勘探活动）</w:t>
            </w:r>
            <w:r>
              <w:rPr>
                <w:rFonts w:hint="default" w:ascii="Times New Roman" w:hAnsi="Times New Roman" w:cs="Times New Roman"/>
                <w:color w:val="auto"/>
                <w:sz w:val="24"/>
                <w:highlight w:val="none"/>
              </w:rPr>
              <w:t>”，地下水环境影响评价项目类别为</w:t>
            </w:r>
            <w:r>
              <w:rPr>
                <w:rFonts w:hint="eastAsia" w:cs="Times New Roman"/>
                <w:color w:val="auto"/>
                <w:sz w:val="24"/>
                <w:highlight w:val="none"/>
                <w:lang w:eastAsia="zh-CN"/>
              </w:rPr>
              <w:t>Ⅳ类</w:t>
            </w:r>
            <w:r>
              <w:rPr>
                <w:rFonts w:hint="default" w:ascii="Times New Roman" w:hAnsi="Times New Roman" w:cs="Times New Roman"/>
                <w:color w:val="auto"/>
                <w:sz w:val="24"/>
                <w:highlight w:val="none"/>
              </w:rPr>
              <w:t>项目，无需开展地下水环境影响评价</w:t>
            </w:r>
            <w:r>
              <w:rPr>
                <w:rFonts w:hint="default" w:ascii="Times New Roman" w:hAnsi="Times New Roman" w:eastAsia="宋体" w:cs="Times New Roman"/>
                <w:bCs/>
                <w:color w:val="auto"/>
                <w:sz w:val="24"/>
                <w:highlight w:val="none"/>
                <w:lang w:eastAsia="zh-CN"/>
              </w:rPr>
              <w:t>。</w:t>
            </w:r>
          </w:p>
          <w:p w14:paraId="20B16100">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3-</w:t>
            </w:r>
            <w:r>
              <w:rPr>
                <w:rFonts w:hint="eastAsia" w:ascii="Times New Roman" w:hAnsi="Times New Roman" w:cs="Times New Roman"/>
                <w:b/>
                <w:bCs/>
                <w:color w:val="auto"/>
                <w:kern w:val="0"/>
                <w:sz w:val="24"/>
                <w:szCs w:val="24"/>
                <w:highlight w:val="none"/>
                <w:lang w:val="en-US" w:eastAsia="zh-CN" w:bidi="ar"/>
              </w:rPr>
              <w:t>2</w:t>
            </w:r>
            <w:r>
              <w:rPr>
                <w:rFonts w:hint="default" w:ascii="Times New Roman" w:hAnsi="Times New Roman" w:eastAsia="宋体" w:cs="Times New Roman"/>
                <w:b/>
                <w:bCs/>
                <w:color w:val="auto"/>
                <w:kern w:val="0"/>
                <w:sz w:val="24"/>
                <w:szCs w:val="24"/>
                <w:highlight w:val="none"/>
                <w:lang w:val="en-US" w:eastAsia="zh-CN" w:bidi="ar"/>
              </w:rPr>
              <w:t xml:space="preserve"> </w:t>
            </w:r>
            <w:r>
              <w:rPr>
                <w:rFonts w:hint="eastAsia" w:ascii="Times New Roman" w:hAnsi="Times New Roman" w:cs="Times New Roman"/>
                <w:b/>
                <w:bCs/>
                <w:color w:val="auto"/>
                <w:kern w:val="0"/>
                <w:sz w:val="24"/>
                <w:szCs w:val="24"/>
                <w:highlight w:val="none"/>
                <w:lang w:val="en-US" w:eastAsia="zh-CN" w:bidi="ar"/>
              </w:rPr>
              <w:t xml:space="preserve"> </w:t>
            </w:r>
            <w:r>
              <w:rPr>
                <w:rFonts w:hint="eastAsia" w:ascii="Times New Roman" w:hAnsi="Times New Roman" w:eastAsia="宋体" w:cs="Times New Roman"/>
                <w:b/>
                <w:bCs/>
                <w:color w:val="auto"/>
                <w:kern w:val="0"/>
                <w:sz w:val="24"/>
                <w:szCs w:val="24"/>
                <w:highlight w:val="none"/>
                <w:lang w:val="en-US" w:eastAsia="zh-CN" w:bidi="ar"/>
              </w:rPr>
              <w:t>主要环境保护目标</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802"/>
              <w:gridCol w:w="1638"/>
              <w:gridCol w:w="1618"/>
              <w:gridCol w:w="955"/>
              <w:gridCol w:w="1458"/>
              <w:gridCol w:w="1458"/>
            </w:tblGrid>
            <w:tr w14:paraId="26F2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 w:hRule="atLeast"/>
              </w:trPr>
              <w:tc>
                <w:tcPr>
                  <w:tcW w:w="273" w:type="pct"/>
                  <w:tcBorders>
                    <w:tl2br w:val="nil"/>
                    <w:tr2bl w:val="nil"/>
                  </w:tcBorders>
                  <w:noWrap w:val="0"/>
                  <w:vAlign w:val="center"/>
                </w:tcPr>
                <w:p w14:paraId="05B38831">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环境</w:t>
                  </w:r>
                </w:p>
                <w:p w14:paraId="6F7B512C">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要素</w:t>
                  </w:r>
                </w:p>
              </w:tc>
              <w:tc>
                <w:tcPr>
                  <w:tcW w:w="478" w:type="pct"/>
                  <w:tcBorders>
                    <w:tl2br w:val="nil"/>
                    <w:tr2bl w:val="nil"/>
                  </w:tcBorders>
                  <w:noWrap w:val="0"/>
                  <w:vAlign w:val="center"/>
                </w:tcPr>
                <w:p w14:paraId="299B0E58">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105" w:leftChars="-50" w:right="-105" w:rightChars="-50" w:firstLine="0" w:firstLineChars="0"/>
                    <w:jc w:val="center"/>
                    <w:textAlignment w:val="auto"/>
                    <w:outlineLvl w:val="9"/>
                    <w:rPr>
                      <w:rFonts w:hint="eastAsia" w:ascii="Times New Roman" w:hAnsi="Times New Roman" w:eastAsia="宋体" w:cs="Times New Roman"/>
                      <w:b/>
                      <w:color w:val="auto"/>
                      <w:sz w:val="21"/>
                      <w:szCs w:val="21"/>
                      <w:highlight w:val="none"/>
                      <w:lang w:eastAsia="zh-CN"/>
                    </w:rPr>
                  </w:pPr>
                  <w:r>
                    <w:rPr>
                      <w:rFonts w:hint="eastAsia" w:ascii="Times New Roman" w:hAnsi="Times New Roman" w:eastAsia="宋体" w:cs="Times New Roman"/>
                      <w:b/>
                      <w:color w:val="auto"/>
                      <w:sz w:val="21"/>
                      <w:szCs w:val="21"/>
                      <w:highlight w:val="none"/>
                      <w:lang w:val="en-US" w:eastAsia="zh-CN"/>
                    </w:rPr>
                    <w:t>名称</w:t>
                  </w:r>
                </w:p>
              </w:tc>
              <w:tc>
                <w:tcPr>
                  <w:tcW w:w="976" w:type="pct"/>
                  <w:tcBorders>
                    <w:tl2br w:val="nil"/>
                    <w:tr2bl w:val="nil"/>
                  </w:tcBorders>
                  <w:noWrap w:val="0"/>
                  <w:vAlign w:val="center"/>
                </w:tcPr>
                <w:p w14:paraId="25DB80F4">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color w:val="auto"/>
                      <w:kern w:val="2"/>
                      <w:sz w:val="21"/>
                      <w:szCs w:val="21"/>
                      <w:highlight w:val="none"/>
                      <w:lang w:val="en-US" w:eastAsia="zh-CN" w:bidi="ar-SA"/>
                    </w:rPr>
                  </w:pPr>
                  <w:r>
                    <w:rPr>
                      <w:rFonts w:hint="eastAsia" w:ascii="Times New Roman" w:hAnsi="Times New Roman" w:eastAsia="宋体" w:cs="Times New Roman"/>
                      <w:b/>
                      <w:color w:val="auto"/>
                      <w:kern w:val="2"/>
                      <w:sz w:val="21"/>
                      <w:szCs w:val="21"/>
                      <w:highlight w:val="none"/>
                      <w:lang w:val="en-US" w:eastAsia="zh-CN" w:bidi="ar-SA"/>
                    </w:rPr>
                    <w:t>坐标</w:t>
                  </w:r>
                </w:p>
              </w:tc>
              <w:tc>
                <w:tcPr>
                  <w:tcW w:w="964" w:type="pct"/>
                  <w:tcBorders>
                    <w:tl2br w:val="nil"/>
                    <w:tr2bl w:val="nil"/>
                  </w:tcBorders>
                  <w:noWrap w:val="0"/>
                  <w:vAlign w:val="center"/>
                </w:tcPr>
                <w:p w14:paraId="1AC13EC2">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color w:val="auto"/>
                      <w:kern w:val="2"/>
                      <w:sz w:val="21"/>
                      <w:szCs w:val="21"/>
                      <w:highlight w:val="none"/>
                      <w:lang w:val="en-US" w:eastAsia="zh-CN" w:bidi="ar-SA"/>
                    </w:rPr>
                  </w:pPr>
                  <w:r>
                    <w:rPr>
                      <w:rFonts w:hint="eastAsia" w:ascii="Times New Roman" w:hAnsi="Times New Roman" w:eastAsia="宋体" w:cs="Times New Roman"/>
                      <w:b/>
                      <w:color w:val="auto"/>
                      <w:sz w:val="21"/>
                      <w:szCs w:val="21"/>
                      <w:highlight w:val="none"/>
                      <w:lang w:val="en-US" w:eastAsia="zh-CN"/>
                    </w:rPr>
                    <w:t>位置关系</w:t>
                  </w:r>
                </w:p>
              </w:tc>
              <w:tc>
                <w:tcPr>
                  <w:tcW w:w="569" w:type="pct"/>
                  <w:tcBorders>
                    <w:tl2br w:val="nil"/>
                    <w:tr2bl w:val="nil"/>
                  </w:tcBorders>
                  <w:noWrap w:val="0"/>
                  <w:vAlign w:val="center"/>
                </w:tcPr>
                <w:p w14:paraId="1B406A75">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sz w:val="21"/>
                      <w:szCs w:val="21"/>
                      <w:highlight w:val="none"/>
                    </w:rPr>
                    <w:t>规模</w:t>
                  </w:r>
                </w:p>
              </w:tc>
              <w:tc>
                <w:tcPr>
                  <w:tcW w:w="869" w:type="pct"/>
                  <w:tcBorders>
                    <w:tl2br w:val="nil"/>
                    <w:tr2bl w:val="nil"/>
                  </w:tcBorders>
                  <w:noWrap w:val="0"/>
                  <w:vAlign w:val="center"/>
                </w:tcPr>
                <w:p w14:paraId="310F4066">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保护对象</w:t>
                  </w:r>
                </w:p>
              </w:tc>
              <w:tc>
                <w:tcPr>
                  <w:tcW w:w="869" w:type="pct"/>
                  <w:tcBorders>
                    <w:tl2br w:val="nil"/>
                    <w:tr2bl w:val="nil"/>
                  </w:tcBorders>
                  <w:noWrap w:val="0"/>
                  <w:vAlign w:val="center"/>
                </w:tcPr>
                <w:p w14:paraId="045D7C88">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功能分区</w:t>
                  </w:r>
                </w:p>
              </w:tc>
            </w:tr>
            <w:tr w14:paraId="0E421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 w:hRule="atLeast"/>
              </w:trPr>
              <w:tc>
                <w:tcPr>
                  <w:tcW w:w="273" w:type="pct"/>
                  <w:tcBorders>
                    <w:tl2br w:val="nil"/>
                    <w:tr2bl w:val="nil"/>
                  </w:tcBorders>
                  <w:noWrap w:val="0"/>
                  <w:vAlign w:val="center"/>
                </w:tcPr>
                <w:p w14:paraId="139C9D4C">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w:t>
                  </w:r>
                </w:p>
                <w:p w14:paraId="5BF2DCF9">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空气</w:t>
                  </w:r>
                </w:p>
              </w:tc>
              <w:tc>
                <w:tcPr>
                  <w:tcW w:w="478" w:type="pct"/>
                  <w:tcBorders>
                    <w:tl2br w:val="nil"/>
                    <w:tr2bl w:val="nil"/>
                  </w:tcBorders>
                  <w:noWrap w:val="0"/>
                  <w:vAlign w:val="center"/>
                </w:tcPr>
                <w:p w14:paraId="2A681FA9">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天池花界村散户</w:t>
                  </w:r>
                </w:p>
              </w:tc>
              <w:tc>
                <w:tcPr>
                  <w:tcW w:w="976" w:type="pct"/>
                  <w:tcBorders>
                    <w:tl2br w:val="nil"/>
                    <w:tr2bl w:val="nil"/>
                  </w:tcBorders>
                  <w:noWrap w:val="0"/>
                  <w:vAlign w:val="center"/>
                </w:tcPr>
                <w:p w14:paraId="3CDB45CB">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E110.</w:t>
                  </w:r>
                  <w:r>
                    <w:rPr>
                      <w:rFonts w:hint="eastAsia" w:ascii="Times New Roman" w:hAnsi="Times New Roman" w:cs="Times New Roman"/>
                      <w:color w:val="auto"/>
                      <w:sz w:val="21"/>
                      <w:szCs w:val="21"/>
                      <w:highlight w:val="none"/>
                      <w:lang w:val="en-US" w:eastAsia="zh-CN"/>
                    </w:rPr>
                    <w:t>220239</w:t>
                  </w:r>
                </w:p>
                <w:p w14:paraId="2BFD41F5">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N3</w:t>
                  </w:r>
                  <w:r>
                    <w:rPr>
                      <w:rFonts w:hint="eastAsia" w:ascii="Times New Roman" w:hAnsi="Times New Roman" w:cs="Times New Roman"/>
                      <w:color w:val="auto"/>
                      <w:sz w:val="21"/>
                      <w:szCs w:val="21"/>
                      <w:highlight w:val="none"/>
                      <w:lang w:val="en-US" w:eastAsia="zh-CN"/>
                    </w:rPr>
                    <w:t>7</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981812</w:t>
                  </w:r>
                </w:p>
              </w:tc>
              <w:tc>
                <w:tcPr>
                  <w:tcW w:w="964" w:type="pct"/>
                  <w:tcBorders>
                    <w:tl2br w:val="nil"/>
                    <w:tr2bl w:val="nil"/>
                  </w:tcBorders>
                  <w:noWrap w:val="0"/>
                  <w:vAlign w:val="center"/>
                </w:tcPr>
                <w:p w14:paraId="1C6063B1">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105" w:leftChars="-50" w:right="-105" w:rightChars="-5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米75-</w:t>
                  </w:r>
                  <w:r>
                    <w:rPr>
                      <w:rFonts w:hint="eastAsia" w:ascii="Times New Roman" w:hAnsi="Times New Roman" w:eastAsia="宋体" w:cs="Times New Roman"/>
                      <w:color w:val="auto"/>
                      <w:kern w:val="0"/>
                      <w:sz w:val="21"/>
                      <w:szCs w:val="21"/>
                      <w:highlight w:val="none"/>
                      <w:lang w:val="en-US" w:eastAsia="zh-CN" w:bidi="ar"/>
                    </w:rPr>
                    <w:t>3M</w:t>
                  </w:r>
                  <w:r>
                    <w:rPr>
                      <w:rFonts w:hint="eastAsia" w:ascii="Times New Roman" w:hAnsi="Times New Roman" w:cs="Times New Roman"/>
                      <w:color w:val="auto"/>
                      <w:sz w:val="21"/>
                      <w:szCs w:val="21"/>
                      <w:highlight w:val="none"/>
                      <w:lang w:val="en-US" w:eastAsia="zh-CN"/>
                    </w:rPr>
                    <w:t>井场西北400</w:t>
                  </w:r>
                  <w:r>
                    <w:rPr>
                      <w:rFonts w:hint="default" w:ascii="Times New Roman" w:hAnsi="Times New Roman" w:cs="Times New Roman"/>
                      <w:color w:val="auto"/>
                      <w:sz w:val="21"/>
                      <w:szCs w:val="21"/>
                      <w:highlight w:val="none"/>
                      <w:lang w:val="en-US" w:eastAsia="zh-CN"/>
                    </w:rPr>
                    <w:t>m</w:t>
                  </w:r>
                </w:p>
              </w:tc>
              <w:tc>
                <w:tcPr>
                  <w:tcW w:w="569" w:type="pct"/>
                  <w:tcBorders>
                    <w:tl2br w:val="nil"/>
                    <w:tr2bl w:val="nil"/>
                  </w:tcBorders>
                  <w:noWrap w:val="0"/>
                  <w:vAlign w:val="center"/>
                </w:tcPr>
                <w:p w14:paraId="7C08B161">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105" w:leftChars="-50" w:right="-105" w:rightChars="-5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lang w:val="en-US" w:eastAsia="zh-CN"/>
                    </w:rPr>
                    <w:t>户/</w:t>
                  </w:r>
                  <w:r>
                    <w:rPr>
                      <w:rFonts w:hint="eastAsia" w:ascii="Times New Roman" w:hAnsi="Times New Roman" w:cs="Times New Roman"/>
                      <w:color w:val="auto"/>
                      <w:sz w:val="21"/>
                      <w:szCs w:val="21"/>
                      <w:highlight w:val="none"/>
                      <w:lang w:val="en-US" w:eastAsia="zh-CN"/>
                    </w:rPr>
                    <w:t>30</w:t>
                  </w:r>
                  <w:r>
                    <w:rPr>
                      <w:rFonts w:hint="default" w:ascii="Times New Roman" w:hAnsi="Times New Roman" w:cs="Times New Roman"/>
                      <w:color w:val="auto"/>
                      <w:sz w:val="21"/>
                      <w:szCs w:val="21"/>
                      <w:highlight w:val="none"/>
                      <w:lang w:val="en-US" w:eastAsia="zh-CN"/>
                    </w:rPr>
                    <w:t>人</w:t>
                  </w:r>
                </w:p>
              </w:tc>
              <w:tc>
                <w:tcPr>
                  <w:tcW w:w="869" w:type="pct"/>
                  <w:tcBorders>
                    <w:tl2br w:val="nil"/>
                    <w:tr2bl w:val="nil"/>
                  </w:tcBorders>
                  <w:noWrap w:val="0"/>
                  <w:vAlign w:val="center"/>
                </w:tcPr>
                <w:p w14:paraId="7A2A5B90">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环境空气</w:t>
                  </w:r>
                  <w:r>
                    <w:rPr>
                      <w:rFonts w:hint="eastAsia" w:ascii="Times New Roman" w:hAnsi="Times New Roman" w:cs="Times New Roman"/>
                      <w:color w:val="auto"/>
                      <w:sz w:val="21"/>
                      <w:szCs w:val="21"/>
                      <w:highlight w:val="none"/>
                      <w:lang w:val="en-US" w:eastAsia="zh-CN"/>
                    </w:rPr>
                    <w:t>质量</w:t>
                  </w:r>
                </w:p>
              </w:tc>
              <w:tc>
                <w:tcPr>
                  <w:tcW w:w="869" w:type="pct"/>
                  <w:tcBorders>
                    <w:tl2br w:val="nil"/>
                    <w:tr2bl w:val="nil"/>
                  </w:tcBorders>
                  <w:noWrap w:val="0"/>
                  <w:vAlign w:val="center"/>
                </w:tcPr>
                <w:p w14:paraId="21635CFE">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二类区</w:t>
                  </w:r>
                </w:p>
              </w:tc>
            </w:tr>
            <w:tr w14:paraId="0CAC8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 w:hRule="atLeast"/>
              </w:trPr>
              <w:tc>
                <w:tcPr>
                  <w:tcW w:w="273" w:type="pct"/>
                  <w:tcBorders>
                    <w:tl2br w:val="nil"/>
                    <w:tr2bl w:val="nil"/>
                  </w:tcBorders>
                  <w:noWrap w:val="0"/>
                  <w:vAlign w:val="center"/>
                </w:tcPr>
                <w:p w14:paraId="06C7FE1F">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105" w:leftChars="-50" w:right="-105" w:rightChars="-5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声环境</w:t>
                  </w:r>
                </w:p>
              </w:tc>
              <w:tc>
                <w:tcPr>
                  <w:tcW w:w="4726" w:type="pct"/>
                  <w:gridSpan w:val="6"/>
                  <w:tcBorders>
                    <w:tl2br w:val="nil"/>
                    <w:tr2bl w:val="nil"/>
                  </w:tcBorders>
                  <w:noWrap w:val="0"/>
                  <w:vAlign w:val="center"/>
                </w:tcPr>
                <w:p w14:paraId="17CF6A0E">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无</w:t>
                  </w:r>
                </w:p>
              </w:tc>
            </w:tr>
            <w:tr w14:paraId="419C0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 w:hRule="atLeast"/>
              </w:trPr>
              <w:tc>
                <w:tcPr>
                  <w:tcW w:w="273" w:type="pct"/>
                  <w:tcBorders>
                    <w:tl2br w:val="nil"/>
                    <w:tr2bl w:val="nil"/>
                  </w:tcBorders>
                  <w:noWrap w:val="0"/>
                  <w:vAlign w:val="center"/>
                </w:tcPr>
                <w:p w14:paraId="57613D74">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地表水</w:t>
                  </w:r>
                </w:p>
              </w:tc>
              <w:tc>
                <w:tcPr>
                  <w:tcW w:w="4726" w:type="pct"/>
                  <w:gridSpan w:val="6"/>
                  <w:tcBorders>
                    <w:tl2br w:val="nil"/>
                    <w:tr2bl w:val="nil"/>
                  </w:tcBorders>
                  <w:noWrap w:val="0"/>
                  <w:vAlign w:val="center"/>
                </w:tcPr>
                <w:p w14:paraId="62FB59F9">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无</w:t>
                  </w:r>
                </w:p>
              </w:tc>
            </w:tr>
            <w:tr w14:paraId="052A9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 w:hRule="atLeast"/>
              </w:trPr>
              <w:tc>
                <w:tcPr>
                  <w:tcW w:w="273" w:type="pct"/>
                  <w:tcBorders>
                    <w:tl2br w:val="nil"/>
                    <w:tr2bl w:val="nil"/>
                  </w:tcBorders>
                  <w:noWrap w:val="0"/>
                  <w:vAlign w:val="center"/>
                </w:tcPr>
                <w:p w14:paraId="7FCF4BF3">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生态</w:t>
                  </w:r>
                </w:p>
                <w:p w14:paraId="156DCD44">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w:t>
                  </w:r>
                </w:p>
              </w:tc>
              <w:tc>
                <w:tcPr>
                  <w:tcW w:w="3857" w:type="pct"/>
                  <w:gridSpan w:val="5"/>
                  <w:tcBorders>
                    <w:tl2br w:val="nil"/>
                    <w:tr2bl w:val="nil"/>
                  </w:tcBorders>
                  <w:noWrap w:val="0"/>
                  <w:vAlign w:val="center"/>
                </w:tcPr>
                <w:p w14:paraId="782AF21C">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项目临时占地及影响范围内的</w:t>
                  </w:r>
                  <w:r>
                    <w:rPr>
                      <w:rFonts w:hint="default" w:ascii="Times New Roman" w:hAnsi="Times New Roman" w:eastAsia="宋体" w:cs="Times New Roman"/>
                      <w:color w:val="auto"/>
                      <w:sz w:val="21"/>
                      <w:szCs w:val="21"/>
                      <w:highlight w:val="none"/>
                    </w:rPr>
                    <w:t>土壤、植被、景观、水土流失、生态系统等</w:t>
                  </w:r>
                </w:p>
              </w:tc>
              <w:tc>
                <w:tcPr>
                  <w:tcW w:w="869" w:type="pct"/>
                  <w:tcBorders>
                    <w:tl2br w:val="nil"/>
                    <w:tr2bl w:val="nil"/>
                  </w:tcBorders>
                  <w:noWrap w:val="0"/>
                  <w:vAlign w:val="center"/>
                </w:tcPr>
                <w:p w14:paraId="361109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生态环境质量</w:t>
                  </w:r>
                </w:p>
              </w:tc>
            </w:tr>
          </w:tbl>
          <w:p w14:paraId="17C17A2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p>
        </w:tc>
      </w:tr>
      <w:tr w14:paraId="5647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tcBorders>
              <w:top w:val="single" w:color="auto" w:sz="4" w:space="0"/>
              <w:left w:val="single" w:color="auto" w:sz="4" w:space="0"/>
              <w:bottom w:val="single" w:color="auto" w:sz="4" w:space="0"/>
              <w:right w:val="single" w:color="auto" w:sz="4" w:space="0"/>
            </w:tcBorders>
            <w:noWrap w:val="0"/>
            <w:vAlign w:val="center"/>
          </w:tcPr>
          <w:p w14:paraId="5A32980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评价标准</w:t>
            </w:r>
          </w:p>
        </w:tc>
        <w:tc>
          <w:tcPr>
            <w:tcW w:w="8617" w:type="dxa"/>
            <w:tcBorders>
              <w:top w:val="single" w:color="auto" w:sz="4" w:space="0"/>
              <w:left w:val="single" w:color="auto" w:sz="4" w:space="0"/>
              <w:bottom w:val="single" w:color="auto" w:sz="4" w:space="0"/>
              <w:right w:val="single" w:color="auto" w:sz="4" w:space="0"/>
            </w:tcBorders>
            <w:noWrap w:val="0"/>
            <w:vAlign w:val="center"/>
          </w:tcPr>
          <w:p w14:paraId="5121B245">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b/>
                <w:bCs/>
                <w:color w:val="auto"/>
                <w:sz w:val="24"/>
                <w:szCs w:val="22"/>
                <w:highlight w:val="none"/>
                <w:lang w:val="en-US" w:eastAsia="zh-CN"/>
              </w:rPr>
            </w:pPr>
            <w:r>
              <w:rPr>
                <w:rFonts w:hint="default" w:ascii="Times New Roman" w:hAnsi="Times New Roman" w:eastAsia="Calibri" w:cs="Times New Roman"/>
                <w:b/>
                <w:bCs/>
                <w:color w:val="auto"/>
                <w:kern w:val="0"/>
                <w:sz w:val="24"/>
                <w:szCs w:val="22"/>
                <w:highlight w:val="none"/>
                <w:lang w:val="en-US" w:eastAsia="zh-CN" w:bidi="ar"/>
              </w:rPr>
              <w:t>1、环境质量标准</w:t>
            </w:r>
          </w:p>
          <w:p w14:paraId="2B645067">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22"/>
                <w:highlight w:val="none"/>
                <w:lang w:val="en-US" w:eastAsia="zh-CN"/>
              </w:rPr>
            </w:pPr>
            <w:r>
              <w:rPr>
                <w:rFonts w:hint="default" w:ascii="Times New Roman" w:hAnsi="Times New Roman" w:eastAsia="Calibri" w:cs="Times New Roman"/>
                <w:color w:val="auto"/>
                <w:kern w:val="0"/>
                <w:sz w:val="24"/>
                <w:szCs w:val="22"/>
                <w:highlight w:val="none"/>
                <w:lang w:val="en-US" w:eastAsia="zh-CN" w:bidi="ar"/>
              </w:rPr>
              <w:t>（1）环境空气质量：基本因子执行《环境空气质量标准》（GB3095-20</w:t>
            </w:r>
            <w:r>
              <w:rPr>
                <w:rFonts w:hint="eastAsia" w:ascii="Times New Roman" w:hAnsi="Times New Roman" w:eastAsia="Calibri" w:cs="Times New Roman"/>
                <w:color w:val="auto"/>
                <w:kern w:val="0"/>
                <w:sz w:val="24"/>
                <w:szCs w:val="22"/>
                <w:highlight w:val="none"/>
                <w:lang w:val="en-US" w:eastAsia="zh-CN" w:bidi="ar"/>
              </w:rPr>
              <w:t>26</w:t>
            </w:r>
            <w:r>
              <w:rPr>
                <w:rFonts w:hint="default" w:ascii="Times New Roman" w:hAnsi="Times New Roman" w:eastAsia="Calibri" w:cs="Times New Roman"/>
                <w:color w:val="auto"/>
                <w:kern w:val="0"/>
                <w:sz w:val="24"/>
                <w:szCs w:val="22"/>
                <w:highlight w:val="none"/>
                <w:lang w:val="en-US" w:eastAsia="zh-CN" w:bidi="ar"/>
              </w:rPr>
              <w:t>）中过渡阶段二级浓度限值。</w:t>
            </w:r>
          </w:p>
          <w:p w14:paraId="56BC0FA7">
            <w:pPr>
              <w:pStyle w:val="25"/>
              <w:widowControl/>
              <w:ind w:left="0" w:right="91" w:firstLine="482"/>
              <w:jc w:val="center"/>
              <w:rPr>
                <w:rFonts w:hint="default" w:ascii="Times New Roman" w:hAnsi="Times New Roman" w:cs="Times New Roman"/>
                <w:b/>
                <w:bCs/>
                <w:color w:val="auto"/>
                <w:sz w:val="24"/>
                <w:szCs w:val="24"/>
                <w:highlight w:val="none"/>
                <w:lang w:val="en-US" w:bidi="ar"/>
              </w:rPr>
            </w:pPr>
            <w:r>
              <w:rPr>
                <w:rFonts w:hint="default" w:ascii="Times New Roman" w:hAnsi="Times New Roman" w:cs="Times New Roman"/>
                <w:b/>
                <w:bCs/>
                <w:color w:val="auto"/>
                <w:sz w:val="24"/>
                <w:szCs w:val="24"/>
                <w:highlight w:val="none"/>
                <w:lang w:val="en-US" w:bidi="ar"/>
              </w:rPr>
              <w:t>表3-</w:t>
            </w:r>
            <w:r>
              <w:rPr>
                <w:rFonts w:hint="eastAsia" w:ascii="Times New Roman" w:hAnsi="Times New Roman" w:cs="Times New Roman"/>
                <w:b/>
                <w:bCs/>
                <w:color w:val="auto"/>
                <w:sz w:val="24"/>
                <w:szCs w:val="24"/>
                <w:highlight w:val="none"/>
                <w:lang w:val="en-US" w:eastAsia="zh-CN" w:bidi="ar"/>
              </w:rPr>
              <w:t xml:space="preserve">3 </w:t>
            </w:r>
            <w:r>
              <w:rPr>
                <w:rFonts w:hint="default" w:ascii="Times New Roman" w:hAnsi="Times New Roman" w:cs="Times New Roman"/>
                <w:b/>
                <w:bCs/>
                <w:color w:val="auto"/>
                <w:sz w:val="24"/>
                <w:szCs w:val="24"/>
                <w:highlight w:val="none"/>
                <w:lang w:val="en-US" w:bidi="ar"/>
              </w:rPr>
              <w:t>环境空气质量标准</w:t>
            </w:r>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0"/>
              <w:gridCol w:w="3017"/>
              <w:gridCol w:w="1492"/>
              <w:gridCol w:w="1491"/>
            </w:tblGrid>
            <w:tr w14:paraId="09D71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4" w:type="pct"/>
                  <w:vMerge w:val="restart"/>
                  <w:tcBorders>
                    <w:top w:val="single" w:color="auto" w:sz="4" w:space="0"/>
                    <w:left w:val="single" w:color="auto" w:sz="4" w:space="0"/>
                    <w:bottom w:val="single" w:color="auto" w:sz="4" w:space="0"/>
                    <w:right w:val="single" w:color="auto" w:sz="4" w:space="0"/>
                  </w:tcBorders>
                  <w:noWrap w:val="0"/>
                  <w:vAlign w:val="center"/>
                </w:tcPr>
                <w:p w14:paraId="72474BE9">
                  <w:pPr>
                    <w:keepNext w:val="0"/>
                    <w:keepLines w:val="0"/>
                    <w:pageBreakBefore w:val="0"/>
                    <w:widowControl w:val="0"/>
                    <w:suppressLineNumbers w:val="0"/>
                    <w:kinsoku/>
                    <w:wordWrap/>
                    <w:overflowPunct/>
                    <w:topLinePunct w:val="0"/>
                    <w:autoSpaceDE/>
                    <w:autoSpaceDN/>
                    <w:bidi w:val="0"/>
                    <w:spacing w:beforeAutospacing="0" w:after="0" w:afterAutospacing="0"/>
                    <w:ind w:left="0" w:right="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eastAsia="Calibri" w:cs="Times New Roman"/>
                      <w:b/>
                      <w:bCs/>
                      <w:color w:val="auto"/>
                      <w:kern w:val="0"/>
                      <w:sz w:val="21"/>
                      <w:szCs w:val="21"/>
                      <w:highlight w:val="none"/>
                      <w:lang w:val="en-US" w:eastAsia="zh-CN" w:bidi="ar"/>
                    </w:rPr>
                    <w:t>污染物名称</w:t>
                  </w:r>
                </w:p>
              </w:tc>
              <w:tc>
                <w:tcPr>
                  <w:tcW w:w="2687" w:type="pct"/>
                  <w:gridSpan w:val="2"/>
                  <w:tcBorders>
                    <w:top w:val="single" w:color="auto" w:sz="4" w:space="0"/>
                    <w:left w:val="single" w:color="auto" w:sz="4" w:space="0"/>
                    <w:bottom w:val="single" w:color="auto" w:sz="4" w:space="0"/>
                    <w:right w:val="single" w:color="auto" w:sz="4" w:space="0"/>
                  </w:tcBorders>
                  <w:noWrap w:val="0"/>
                  <w:vAlign w:val="center"/>
                </w:tcPr>
                <w:p w14:paraId="59A9FC7B">
                  <w:pPr>
                    <w:keepNext w:val="0"/>
                    <w:keepLines w:val="0"/>
                    <w:pageBreakBefore w:val="0"/>
                    <w:widowControl w:val="0"/>
                    <w:suppressLineNumbers w:val="0"/>
                    <w:kinsoku/>
                    <w:wordWrap/>
                    <w:overflowPunct/>
                    <w:topLinePunct w:val="0"/>
                    <w:autoSpaceDE/>
                    <w:autoSpaceDN/>
                    <w:bidi w:val="0"/>
                    <w:spacing w:beforeAutospacing="0" w:after="0" w:afterAutospacing="0"/>
                    <w:ind w:left="0" w:right="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eastAsia="Calibri" w:cs="Times New Roman"/>
                      <w:b/>
                      <w:bCs/>
                      <w:color w:val="auto"/>
                      <w:kern w:val="0"/>
                      <w:sz w:val="21"/>
                      <w:szCs w:val="21"/>
                      <w:highlight w:val="none"/>
                      <w:lang w:val="en-US" w:eastAsia="zh-CN" w:bidi="ar"/>
                    </w:rPr>
                    <w:t>执行标准</w:t>
                  </w:r>
                </w:p>
              </w:tc>
              <w:tc>
                <w:tcPr>
                  <w:tcW w:w="888" w:type="pct"/>
                  <w:vMerge w:val="restart"/>
                  <w:tcBorders>
                    <w:top w:val="single" w:color="auto" w:sz="4" w:space="0"/>
                    <w:left w:val="single" w:color="auto" w:sz="4" w:space="0"/>
                    <w:bottom w:val="single" w:color="auto" w:sz="4" w:space="0"/>
                    <w:right w:val="single" w:color="auto" w:sz="4" w:space="0"/>
                  </w:tcBorders>
                  <w:noWrap w:val="0"/>
                  <w:vAlign w:val="center"/>
                </w:tcPr>
                <w:p w14:paraId="51252B25">
                  <w:pPr>
                    <w:pStyle w:val="26"/>
                    <w:keepNext w:val="0"/>
                    <w:keepLines w:val="0"/>
                    <w:pageBreakBefore w:val="0"/>
                    <w:widowControl/>
                    <w:kinsoku/>
                    <w:wordWrap/>
                    <w:overflowPunct/>
                    <w:topLinePunct w:val="0"/>
                    <w:autoSpaceDE/>
                    <w:autoSpaceDN/>
                    <w:bidi w:val="0"/>
                    <w:spacing w:before="0" w:beforeLines="0" w:beforeAutospacing="0" w:after="0" w:afterAutospacing="0" w:line="240" w:lineRule="auto"/>
                    <w:ind w:left="0" w:right="0" w:firstLine="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zh-CN" w:eastAsia="zh-CN"/>
                    </w:rPr>
                    <w:t>单位</w:t>
                  </w:r>
                </w:p>
              </w:tc>
            </w:tr>
            <w:tr w14:paraId="15E88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4" w:type="pct"/>
                  <w:vMerge w:val="continue"/>
                  <w:tcBorders>
                    <w:top w:val="single" w:color="auto" w:sz="4" w:space="0"/>
                    <w:left w:val="single" w:color="auto" w:sz="4" w:space="0"/>
                    <w:bottom w:val="single" w:color="auto" w:sz="4" w:space="0"/>
                    <w:right w:val="single" w:color="auto" w:sz="4" w:space="0"/>
                  </w:tcBorders>
                  <w:noWrap w:val="0"/>
                  <w:vAlign w:val="center"/>
                </w:tcPr>
                <w:p w14:paraId="6855F0E4">
                  <w:pPr>
                    <w:keepNext w:val="0"/>
                    <w:keepLines w:val="0"/>
                    <w:pageBreakBefore w:val="0"/>
                    <w:kinsoku/>
                    <w:wordWrap/>
                    <w:overflowPunct/>
                    <w:topLinePunct w:val="0"/>
                    <w:autoSpaceDE/>
                    <w:autoSpaceDN/>
                    <w:bidi w:val="0"/>
                    <w:ind w:left="0"/>
                    <w:textAlignment w:val="auto"/>
                    <w:rPr>
                      <w:rFonts w:hint="default" w:ascii="Times New Roman" w:hAnsi="Times New Roman" w:cs="Times New Roman"/>
                      <w:color w:val="auto"/>
                      <w:sz w:val="21"/>
                      <w:szCs w:val="21"/>
                      <w:highlight w:val="none"/>
                    </w:rPr>
                  </w:pPr>
                </w:p>
              </w:tc>
              <w:tc>
                <w:tcPr>
                  <w:tcW w:w="1797" w:type="pct"/>
                  <w:tcBorders>
                    <w:top w:val="single" w:color="auto" w:sz="4" w:space="0"/>
                    <w:left w:val="single" w:color="auto" w:sz="4" w:space="0"/>
                    <w:bottom w:val="single" w:color="auto" w:sz="4" w:space="0"/>
                    <w:right w:val="single" w:color="auto" w:sz="4" w:space="0"/>
                  </w:tcBorders>
                  <w:noWrap w:val="0"/>
                  <w:vAlign w:val="center"/>
                </w:tcPr>
                <w:p w14:paraId="053E8CDF">
                  <w:pPr>
                    <w:keepNext w:val="0"/>
                    <w:keepLines w:val="0"/>
                    <w:pageBreakBefore w:val="0"/>
                    <w:widowControl w:val="0"/>
                    <w:suppressLineNumbers w:val="0"/>
                    <w:kinsoku/>
                    <w:wordWrap/>
                    <w:overflowPunct/>
                    <w:topLinePunct w:val="0"/>
                    <w:autoSpaceDE/>
                    <w:autoSpaceDN/>
                    <w:bidi w:val="0"/>
                    <w:spacing w:beforeAutospacing="0" w:after="0" w:afterAutospacing="0"/>
                    <w:ind w:left="0" w:right="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eastAsia="Calibri" w:cs="Times New Roman"/>
                      <w:b/>
                      <w:bCs/>
                      <w:color w:val="auto"/>
                      <w:kern w:val="0"/>
                      <w:sz w:val="21"/>
                      <w:szCs w:val="21"/>
                      <w:highlight w:val="none"/>
                      <w:lang w:val="en-US" w:eastAsia="zh-CN" w:bidi="ar"/>
                    </w:rPr>
                    <w:t>取值时间</w:t>
                  </w:r>
                </w:p>
              </w:tc>
              <w:tc>
                <w:tcPr>
                  <w:tcW w:w="889" w:type="pct"/>
                  <w:tcBorders>
                    <w:top w:val="single" w:color="auto" w:sz="4" w:space="0"/>
                    <w:left w:val="single" w:color="auto" w:sz="4" w:space="0"/>
                    <w:bottom w:val="single" w:color="auto" w:sz="4" w:space="0"/>
                    <w:right w:val="single" w:color="auto" w:sz="4" w:space="0"/>
                  </w:tcBorders>
                  <w:noWrap w:val="0"/>
                  <w:vAlign w:val="center"/>
                </w:tcPr>
                <w:p w14:paraId="64D5622D">
                  <w:pPr>
                    <w:keepNext w:val="0"/>
                    <w:keepLines w:val="0"/>
                    <w:pageBreakBefore w:val="0"/>
                    <w:widowControl w:val="0"/>
                    <w:suppressLineNumbers w:val="0"/>
                    <w:kinsoku/>
                    <w:wordWrap/>
                    <w:overflowPunct/>
                    <w:topLinePunct w:val="0"/>
                    <w:autoSpaceDE/>
                    <w:autoSpaceDN/>
                    <w:bidi w:val="0"/>
                    <w:spacing w:beforeAutospacing="0" w:after="0" w:afterAutospacing="0"/>
                    <w:ind w:left="0" w:right="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eastAsia="Calibri" w:cs="Times New Roman"/>
                      <w:b/>
                      <w:bCs/>
                      <w:color w:val="auto"/>
                      <w:kern w:val="0"/>
                      <w:sz w:val="21"/>
                      <w:szCs w:val="21"/>
                      <w:highlight w:val="none"/>
                      <w:lang w:val="en-US" w:eastAsia="zh-CN" w:bidi="ar"/>
                    </w:rPr>
                    <w:t>二级标准</w:t>
                  </w:r>
                </w:p>
              </w:tc>
              <w:tc>
                <w:tcPr>
                  <w:tcW w:w="888" w:type="pct"/>
                  <w:vMerge w:val="continue"/>
                  <w:tcBorders>
                    <w:top w:val="single" w:color="auto" w:sz="4" w:space="0"/>
                    <w:left w:val="single" w:color="auto" w:sz="4" w:space="0"/>
                    <w:bottom w:val="single" w:color="auto" w:sz="4" w:space="0"/>
                    <w:right w:val="single" w:color="auto" w:sz="4" w:space="0"/>
                  </w:tcBorders>
                  <w:noWrap w:val="0"/>
                  <w:vAlign w:val="center"/>
                </w:tcPr>
                <w:p w14:paraId="201D56C0">
                  <w:pPr>
                    <w:keepNext w:val="0"/>
                    <w:keepLines w:val="0"/>
                    <w:pageBreakBefore w:val="0"/>
                    <w:kinsoku/>
                    <w:wordWrap/>
                    <w:overflowPunct/>
                    <w:topLinePunct w:val="0"/>
                    <w:autoSpaceDE/>
                    <w:autoSpaceDN/>
                    <w:bidi w:val="0"/>
                    <w:ind w:left="0"/>
                    <w:textAlignment w:val="auto"/>
                    <w:rPr>
                      <w:rFonts w:hint="default" w:ascii="Times New Roman" w:hAnsi="Times New Roman" w:cs="Times New Roman"/>
                      <w:color w:val="auto"/>
                      <w:sz w:val="21"/>
                      <w:szCs w:val="21"/>
                      <w:highlight w:val="none"/>
                    </w:rPr>
                  </w:pPr>
                </w:p>
              </w:tc>
            </w:tr>
            <w:tr w14:paraId="3112F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4" w:type="pct"/>
                  <w:vMerge w:val="restart"/>
                  <w:tcBorders>
                    <w:top w:val="single" w:color="auto" w:sz="4" w:space="0"/>
                    <w:left w:val="single" w:color="auto" w:sz="4" w:space="0"/>
                    <w:bottom w:val="single" w:color="auto" w:sz="4" w:space="0"/>
                    <w:right w:val="single" w:color="auto" w:sz="4" w:space="0"/>
                  </w:tcBorders>
                  <w:noWrap w:val="0"/>
                  <w:vAlign w:val="center"/>
                </w:tcPr>
                <w:p w14:paraId="1B27FA9A">
                  <w:pPr>
                    <w:keepNext w:val="0"/>
                    <w:keepLines w:val="0"/>
                    <w:pageBreakBefore w:val="0"/>
                    <w:widowControl/>
                    <w:suppressLineNumbers w:val="0"/>
                    <w:kinsoku/>
                    <w:wordWrap/>
                    <w:overflowPunct/>
                    <w:topLinePunct w:val="0"/>
                    <w:autoSpaceDE/>
                    <w:autoSpaceDN/>
                    <w:bidi w:val="0"/>
                    <w:spacing w:beforeAutospacing="0" w:after="0" w:afterAutospacing="0"/>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Calibri" w:cs="Times New Roman"/>
                      <w:color w:val="auto"/>
                      <w:kern w:val="0"/>
                      <w:sz w:val="21"/>
                      <w:szCs w:val="21"/>
                      <w:highlight w:val="none"/>
                      <w:lang w:val="en-US" w:eastAsia="zh-CN" w:bidi="ar"/>
                    </w:rPr>
                    <w:t>二氧化硫（SO</w:t>
                  </w:r>
                  <w:r>
                    <w:rPr>
                      <w:rFonts w:hint="default" w:ascii="Times New Roman" w:hAnsi="Times New Roman" w:eastAsia="Calibri" w:cs="Times New Roman"/>
                      <w:color w:val="auto"/>
                      <w:kern w:val="0"/>
                      <w:sz w:val="21"/>
                      <w:szCs w:val="21"/>
                      <w:highlight w:val="none"/>
                      <w:vertAlign w:val="subscript"/>
                      <w:lang w:val="en-US" w:eastAsia="zh-CN" w:bidi="ar"/>
                    </w:rPr>
                    <w:t>2</w:t>
                  </w:r>
                  <w:r>
                    <w:rPr>
                      <w:rFonts w:hint="default" w:ascii="Times New Roman" w:hAnsi="Times New Roman" w:eastAsia="Calibri" w:cs="Times New Roman"/>
                      <w:color w:val="auto"/>
                      <w:kern w:val="0"/>
                      <w:sz w:val="21"/>
                      <w:szCs w:val="21"/>
                      <w:highlight w:val="none"/>
                      <w:lang w:val="en-US" w:eastAsia="zh-CN" w:bidi="ar"/>
                    </w:rPr>
                    <w:t>）</w:t>
                  </w:r>
                </w:p>
              </w:tc>
              <w:tc>
                <w:tcPr>
                  <w:tcW w:w="1797" w:type="pct"/>
                  <w:tcBorders>
                    <w:top w:val="single" w:color="auto" w:sz="4" w:space="0"/>
                    <w:left w:val="single" w:color="auto" w:sz="4" w:space="0"/>
                    <w:bottom w:val="single" w:color="auto" w:sz="4" w:space="0"/>
                    <w:right w:val="single" w:color="auto" w:sz="4" w:space="0"/>
                  </w:tcBorders>
                  <w:noWrap w:val="0"/>
                  <w:vAlign w:val="center"/>
                </w:tcPr>
                <w:p w14:paraId="5A8F8E48">
                  <w:pPr>
                    <w:pStyle w:val="26"/>
                    <w:keepNext w:val="0"/>
                    <w:keepLines w:val="0"/>
                    <w:pageBreakBefore w:val="0"/>
                    <w:widowControl/>
                    <w:kinsoku/>
                    <w:wordWrap/>
                    <w:overflowPunct/>
                    <w:topLinePunct w:val="0"/>
                    <w:autoSpaceDE/>
                    <w:autoSpaceDN/>
                    <w:bidi w:val="0"/>
                    <w:spacing w:before="0" w:beforeLines="0" w:beforeAutospacing="0" w:after="0" w:afterAutospacing="0" w:line="240" w:lineRule="auto"/>
                    <w:ind w:left="0" w:right="0" w:firstLine="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eastAsia="zh-CN"/>
                    </w:rPr>
                    <w:t>年平均</w:t>
                  </w:r>
                </w:p>
              </w:tc>
              <w:tc>
                <w:tcPr>
                  <w:tcW w:w="889" w:type="pct"/>
                  <w:tcBorders>
                    <w:top w:val="single" w:color="auto" w:sz="4" w:space="0"/>
                    <w:left w:val="single" w:color="auto" w:sz="4" w:space="0"/>
                    <w:bottom w:val="single" w:color="auto" w:sz="4" w:space="0"/>
                    <w:right w:val="single" w:color="auto" w:sz="4" w:space="0"/>
                  </w:tcBorders>
                  <w:noWrap w:val="0"/>
                  <w:vAlign w:val="center"/>
                </w:tcPr>
                <w:p w14:paraId="5849F022">
                  <w:pPr>
                    <w:pStyle w:val="26"/>
                    <w:keepNext w:val="0"/>
                    <w:keepLines w:val="0"/>
                    <w:pageBreakBefore w:val="0"/>
                    <w:widowControl/>
                    <w:kinsoku/>
                    <w:wordWrap/>
                    <w:overflowPunct/>
                    <w:topLinePunct w:val="0"/>
                    <w:autoSpaceDE/>
                    <w:autoSpaceDN/>
                    <w:bidi w:val="0"/>
                    <w:spacing w:before="0" w:beforeLines="0" w:beforeAutospacing="0" w:after="0" w:afterAutospacing="0" w:line="240" w:lineRule="auto"/>
                    <w:ind w:left="0" w:right="0" w:firstLine="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60</w:t>
                  </w:r>
                </w:p>
              </w:tc>
              <w:tc>
                <w:tcPr>
                  <w:tcW w:w="888" w:type="pct"/>
                  <w:vMerge w:val="restart"/>
                  <w:tcBorders>
                    <w:top w:val="single" w:color="auto" w:sz="4" w:space="0"/>
                    <w:left w:val="single" w:color="auto" w:sz="4" w:space="0"/>
                    <w:bottom w:val="single" w:color="auto" w:sz="4" w:space="0"/>
                    <w:right w:val="single" w:color="auto" w:sz="4" w:space="0"/>
                  </w:tcBorders>
                  <w:noWrap w:val="0"/>
                  <w:vAlign w:val="center"/>
                </w:tcPr>
                <w:p w14:paraId="205F75DD">
                  <w:pPr>
                    <w:pStyle w:val="26"/>
                    <w:keepNext w:val="0"/>
                    <w:keepLines w:val="0"/>
                    <w:pageBreakBefore w:val="0"/>
                    <w:widowControl/>
                    <w:kinsoku/>
                    <w:wordWrap/>
                    <w:overflowPunct/>
                    <w:topLinePunct w:val="0"/>
                    <w:autoSpaceDE/>
                    <w:autoSpaceDN/>
                    <w:bidi w:val="0"/>
                    <w:spacing w:before="0" w:beforeLines="0" w:beforeAutospacing="0" w:after="0" w:afterAutospacing="0" w:line="240" w:lineRule="auto"/>
                    <w:ind w:left="0" w:right="0" w:firstLine="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Cs w:val="21"/>
                      <w:highlight w:val="none"/>
                      <w:lang w:val="en-US" w:eastAsia="zh-CN"/>
                    </w:rPr>
                    <w:t>μ</w:t>
                  </w:r>
                  <w:r>
                    <w:rPr>
                      <w:rFonts w:hint="default" w:ascii="Times New Roman" w:hAnsi="Times New Roman" w:cs="Times New Roman"/>
                      <w:b w:val="0"/>
                      <w:bCs/>
                      <w:color w:val="auto"/>
                      <w:szCs w:val="21"/>
                      <w:highlight w:val="none"/>
                    </w:rPr>
                    <w:t>g/m</w:t>
                  </w:r>
                  <w:r>
                    <w:rPr>
                      <w:rFonts w:hint="default" w:ascii="Times New Roman" w:hAnsi="Times New Roman" w:cs="Times New Roman"/>
                      <w:b w:val="0"/>
                      <w:bCs/>
                      <w:color w:val="auto"/>
                      <w:szCs w:val="21"/>
                      <w:highlight w:val="none"/>
                      <w:vertAlign w:val="superscript"/>
                    </w:rPr>
                    <w:t>3</w:t>
                  </w:r>
                </w:p>
              </w:tc>
            </w:tr>
            <w:tr w14:paraId="6868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4" w:type="pct"/>
                  <w:vMerge w:val="continue"/>
                  <w:tcBorders>
                    <w:top w:val="single" w:color="auto" w:sz="4" w:space="0"/>
                    <w:left w:val="single" w:color="auto" w:sz="4" w:space="0"/>
                    <w:bottom w:val="single" w:color="auto" w:sz="4" w:space="0"/>
                    <w:right w:val="single" w:color="auto" w:sz="4" w:space="0"/>
                  </w:tcBorders>
                  <w:noWrap w:val="0"/>
                  <w:vAlign w:val="center"/>
                </w:tcPr>
                <w:p w14:paraId="41396F3D">
                  <w:pPr>
                    <w:keepNext w:val="0"/>
                    <w:keepLines w:val="0"/>
                    <w:pageBreakBefore w:val="0"/>
                    <w:kinsoku/>
                    <w:wordWrap/>
                    <w:overflowPunct/>
                    <w:topLinePunct w:val="0"/>
                    <w:autoSpaceDE/>
                    <w:autoSpaceDN/>
                    <w:bidi w:val="0"/>
                    <w:ind w:left="0"/>
                    <w:textAlignment w:val="auto"/>
                    <w:rPr>
                      <w:rFonts w:hint="default" w:ascii="Times New Roman" w:hAnsi="Times New Roman" w:cs="Times New Roman"/>
                      <w:color w:val="auto"/>
                      <w:sz w:val="21"/>
                      <w:szCs w:val="21"/>
                      <w:highlight w:val="none"/>
                    </w:rPr>
                  </w:pPr>
                </w:p>
              </w:tc>
              <w:tc>
                <w:tcPr>
                  <w:tcW w:w="1797" w:type="pct"/>
                  <w:tcBorders>
                    <w:top w:val="single" w:color="auto" w:sz="4" w:space="0"/>
                    <w:left w:val="single" w:color="auto" w:sz="4" w:space="0"/>
                    <w:bottom w:val="single" w:color="auto" w:sz="4" w:space="0"/>
                    <w:right w:val="single" w:color="auto" w:sz="4" w:space="0"/>
                  </w:tcBorders>
                  <w:noWrap w:val="0"/>
                  <w:vAlign w:val="center"/>
                </w:tcPr>
                <w:p w14:paraId="49DDA6E8">
                  <w:pPr>
                    <w:pStyle w:val="26"/>
                    <w:keepNext w:val="0"/>
                    <w:keepLines w:val="0"/>
                    <w:pageBreakBefore w:val="0"/>
                    <w:widowControl/>
                    <w:kinsoku/>
                    <w:wordWrap/>
                    <w:overflowPunct/>
                    <w:topLinePunct w:val="0"/>
                    <w:autoSpaceDE/>
                    <w:autoSpaceDN/>
                    <w:bidi w:val="0"/>
                    <w:spacing w:before="0" w:beforeLines="0" w:beforeAutospacing="0" w:after="0" w:afterAutospacing="0" w:line="240" w:lineRule="auto"/>
                    <w:ind w:left="0" w:right="0" w:firstLine="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24</w:t>
                  </w:r>
                  <w:r>
                    <w:rPr>
                      <w:rFonts w:hint="default" w:ascii="Times New Roman" w:hAnsi="Times New Roman" w:cs="Times New Roman"/>
                      <w:b w:val="0"/>
                      <w:bCs/>
                      <w:color w:val="auto"/>
                      <w:sz w:val="21"/>
                      <w:szCs w:val="21"/>
                      <w:highlight w:val="none"/>
                      <w:lang w:eastAsia="zh-CN"/>
                    </w:rPr>
                    <w:t>小时平均</w:t>
                  </w:r>
                </w:p>
              </w:tc>
              <w:tc>
                <w:tcPr>
                  <w:tcW w:w="889" w:type="pct"/>
                  <w:tcBorders>
                    <w:top w:val="single" w:color="auto" w:sz="4" w:space="0"/>
                    <w:left w:val="single" w:color="auto" w:sz="4" w:space="0"/>
                    <w:bottom w:val="single" w:color="auto" w:sz="4" w:space="0"/>
                    <w:right w:val="single" w:color="auto" w:sz="4" w:space="0"/>
                  </w:tcBorders>
                  <w:noWrap w:val="0"/>
                  <w:vAlign w:val="center"/>
                </w:tcPr>
                <w:p w14:paraId="773E711C">
                  <w:pPr>
                    <w:pStyle w:val="26"/>
                    <w:keepNext w:val="0"/>
                    <w:keepLines w:val="0"/>
                    <w:pageBreakBefore w:val="0"/>
                    <w:widowControl/>
                    <w:kinsoku/>
                    <w:wordWrap/>
                    <w:overflowPunct/>
                    <w:topLinePunct w:val="0"/>
                    <w:autoSpaceDE/>
                    <w:autoSpaceDN/>
                    <w:bidi w:val="0"/>
                    <w:spacing w:before="0" w:beforeLines="0" w:beforeAutospacing="0" w:after="0" w:afterAutospacing="0" w:line="240" w:lineRule="auto"/>
                    <w:ind w:left="0" w:right="0" w:firstLine="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150</w:t>
                  </w:r>
                </w:p>
              </w:tc>
              <w:tc>
                <w:tcPr>
                  <w:tcW w:w="888" w:type="pct"/>
                  <w:vMerge w:val="continue"/>
                  <w:tcBorders>
                    <w:top w:val="single" w:color="auto" w:sz="4" w:space="0"/>
                    <w:left w:val="single" w:color="auto" w:sz="4" w:space="0"/>
                    <w:bottom w:val="single" w:color="auto" w:sz="4" w:space="0"/>
                    <w:right w:val="single" w:color="auto" w:sz="4" w:space="0"/>
                  </w:tcBorders>
                  <w:noWrap w:val="0"/>
                  <w:vAlign w:val="center"/>
                </w:tcPr>
                <w:p w14:paraId="73106B8C">
                  <w:pPr>
                    <w:keepNext w:val="0"/>
                    <w:keepLines w:val="0"/>
                    <w:pageBreakBefore w:val="0"/>
                    <w:kinsoku/>
                    <w:wordWrap/>
                    <w:overflowPunct/>
                    <w:topLinePunct w:val="0"/>
                    <w:autoSpaceDE/>
                    <w:autoSpaceDN/>
                    <w:bidi w:val="0"/>
                    <w:ind w:left="0"/>
                    <w:textAlignment w:val="auto"/>
                    <w:rPr>
                      <w:rFonts w:hint="default" w:ascii="Times New Roman" w:hAnsi="Times New Roman" w:cs="Times New Roman"/>
                      <w:b w:val="0"/>
                      <w:bCs/>
                      <w:color w:val="auto"/>
                      <w:sz w:val="21"/>
                      <w:szCs w:val="21"/>
                      <w:highlight w:val="none"/>
                    </w:rPr>
                  </w:pPr>
                </w:p>
              </w:tc>
            </w:tr>
            <w:tr w14:paraId="71C02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4" w:type="pct"/>
                  <w:vMerge w:val="continue"/>
                  <w:tcBorders>
                    <w:top w:val="single" w:color="auto" w:sz="4" w:space="0"/>
                    <w:left w:val="single" w:color="auto" w:sz="4" w:space="0"/>
                    <w:bottom w:val="single" w:color="auto" w:sz="4" w:space="0"/>
                    <w:right w:val="single" w:color="auto" w:sz="4" w:space="0"/>
                  </w:tcBorders>
                  <w:noWrap w:val="0"/>
                  <w:vAlign w:val="center"/>
                </w:tcPr>
                <w:p w14:paraId="0C4CEA9D">
                  <w:pPr>
                    <w:keepNext w:val="0"/>
                    <w:keepLines w:val="0"/>
                    <w:pageBreakBefore w:val="0"/>
                    <w:kinsoku/>
                    <w:wordWrap/>
                    <w:overflowPunct/>
                    <w:topLinePunct w:val="0"/>
                    <w:autoSpaceDE/>
                    <w:autoSpaceDN/>
                    <w:bidi w:val="0"/>
                    <w:ind w:left="0"/>
                    <w:textAlignment w:val="auto"/>
                    <w:rPr>
                      <w:rFonts w:hint="default" w:ascii="Times New Roman" w:hAnsi="Times New Roman" w:cs="Times New Roman"/>
                      <w:color w:val="auto"/>
                      <w:sz w:val="21"/>
                      <w:szCs w:val="21"/>
                      <w:highlight w:val="none"/>
                    </w:rPr>
                  </w:pPr>
                </w:p>
              </w:tc>
              <w:tc>
                <w:tcPr>
                  <w:tcW w:w="1797" w:type="pct"/>
                  <w:tcBorders>
                    <w:top w:val="single" w:color="auto" w:sz="4" w:space="0"/>
                    <w:left w:val="single" w:color="auto" w:sz="4" w:space="0"/>
                    <w:bottom w:val="single" w:color="auto" w:sz="4" w:space="0"/>
                    <w:right w:val="single" w:color="auto" w:sz="4" w:space="0"/>
                  </w:tcBorders>
                  <w:noWrap w:val="0"/>
                  <w:vAlign w:val="center"/>
                </w:tcPr>
                <w:p w14:paraId="7C711BCB">
                  <w:pPr>
                    <w:pStyle w:val="26"/>
                    <w:keepNext w:val="0"/>
                    <w:keepLines w:val="0"/>
                    <w:pageBreakBefore w:val="0"/>
                    <w:widowControl/>
                    <w:kinsoku/>
                    <w:wordWrap/>
                    <w:overflowPunct/>
                    <w:topLinePunct w:val="0"/>
                    <w:autoSpaceDE/>
                    <w:autoSpaceDN/>
                    <w:bidi w:val="0"/>
                    <w:spacing w:before="0" w:beforeLines="0" w:beforeAutospacing="0" w:after="0" w:afterAutospacing="0" w:line="240" w:lineRule="auto"/>
                    <w:ind w:left="0" w:right="0" w:firstLine="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r>
                    <w:rPr>
                      <w:rFonts w:hint="default" w:ascii="Times New Roman" w:hAnsi="Times New Roman" w:cs="Times New Roman"/>
                      <w:b w:val="0"/>
                      <w:bCs/>
                      <w:color w:val="auto"/>
                      <w:sz w:val="21"/>
                      <w:szCs w:val="21"/>
                      <w:highlight w:val="none"/>
                      <w:lang w:eastAsia="zh-CN"/>
                    </w:rPr>
                    <w:t>小时平均</w:t>
                  </w:r>
                </w:p>
              </w:tc>
              <w:tc>
                <w:tcPr>
                  <w:tcW w:w="889" w:type="pct"/>
                  <w:tcBorders>
                    <w:top w:val="single" w:color="auto" w:sz="4" w:space="0"/>
                    <w:left w:val="single" w:color="auto" w:sz="4" w:space="0"/>
                    <w:bottom w:val="single" w:color="auto" w:sz="4" w:space="0"/>
                    <w:right w:val="single" w:color="auto" w:sz="4" w:space="0"/>
                  </w:tcBorders>
                  <w:noWrap w:val="0"/>
                  <w:vAlign w:val="center"/>
                </w:tcPr>
                <w:p w14:paraId="78764A50">
                  <w:pPr>
                    <w:pStyle w:val="26"/>
                    <w:keepNext w:val="0"/>
                    <w:keepLines w:val="0"/>
                    <w:pageBreakBefore w:val="0"/>
                    <w:widowControl/>
                    <w:kinsoku/>
                    <w:wordWrap/>
                    <w:overflowPunct/>
                    <w:topLinePunct w:val="0"/>
                    <w:autoSpaceDE/>
                    <w:autoSpaceDN/>
                    <w:bidi w:val="0"/>
                    <w:spacing w:before="0" w:beforeLines="0" w:beforeAutospacing="0" w:after="0" w:afterAutospacing="0" w:line="240" w:lineRule="auto"/>
                    <w:ind w:left="0" w:right="0" w:firstLine="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500</w:t>
                  </w:r>
                </w:p>
              </w:tc>
              <w:tc>
                <w:tcPr>
                  <w:tcW w:w="888" w:type="pct"/>
                  <w:vMerge w:val="continue"/>
                  <w:tcBorders>
                    <w:top w:val="single" w:color="auto" w:sz="4" w:space="0"/>
                    <w:left w:val="single" w:color="auto" w:sz="4" w:space="0"/>
                    <w:bottom w:val="single" w:color="auto" w:sz="4" w:space="0"/>
                    <w:right w:val="single" w:color="auto" w:sz="4" w:space="0"/>
                  </w:tcBorders>
                  <w:noWrap w:val="0"/>
                  <w:vAlign w:val="center"/>
                </w:tcPr>
                <w:p w14:paraId="7293C395">
                  <w:pPr>
                    <w:keepNext w:val="0"/>
                    <w:keepLines w:val="0"/>
                    <w:pageBreakBefore w:val="0"/>
                    <w:kinsoku/>
                    <w:wordWrap/>
                    <w:overflowPunct/>
                    <w:topLinePunct w:val="0"/>
                    <w:autoSpaceDE/>
                    <w:autoSpaceDN/>
                    <w:bidi w:val="0"/>
                    <w:ind w:left="0"/>
                    <w:textAlignment w:val="auto"/>
                    <w:rPr>
                      <w:rFonts w:hint="default" w:ascii="Times New Roman" w:hAnsi="Times New Roman" w:cs="Times New Roman"/>
                      <w:b w:val="0"/>
                      <w:bCs/>
                      <w:color w:val="auto"/>
                      <w:sz w:val="21"/>
                      <w:szCs w:val="21"/>
                      <w:highlight w:val="none"/>
                    </w:rPr>
                  </w:pPr>
                </w:p>
              </w:tc>
            </w:tr>
            <w:tr w14:paraId="2C7D3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4" w:type="pct"/>
                  <w:vMerge w:val="restart"/>
                  <w:tcBorders>
                    <w:top w:val="single" w:color="auto" w:sz="4" w:space="0"/>
                    <w:left w:val="single" w:color="auto" w:sz="4" w:space="0"/>
                    <w:bottom w:val="single" w:color="auto" w:sz="4" w:space="0"/>
                    <w:right w:val="single" w:color="auto" w:sz="4" w:space="0"/>
                  </w:tcBorders>
                  <w:noWrap w:val="0"/>
                  <w:vAlign w:val="center"/>
                </w:tcPr>
                <w:p w14:paraId="6F5BE998">
                  <w:pPr>
                    <w:keepNext w:val="0"/>
                    <w:keepLines w:val="0"/>
                    <w:pageBreakBefore w:val="0"/>
                    <w:widowControl/>
                    <w:suppressLineNumbers w:val="0"/>
                    <w:kinsoku/>
                    <w:wordWrap/>
                    <w:overflowPunct/>
                    <w:topLinePunct w:val="0"/>
                    <w:autoSpaceDE/>
                    <w:autoSpaceDN/>
                    <w:bidi w:val="0"/>
                    <w:spacing w:beforeAutospacing="0" w:after="0" w:afterAutospacing="0"/>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Calibri" w:cs="Times New Roman"/>
                      <w:color w:val="auto"/>
                      <w:kern w:val="0"/>
                      <w:sz w:val="21"/>
                      <w:szCs w:val="21"/>
                      <w:highlight w:val="none"/>
                      <w:lang w:val="en-US" w:eastAsia="zh-CN" w:bidi="ar"/>
                    </w:rPr>
                    <w:t>二氧化氮（NO</w:t>
                  </w:r>
                  <w:r>
                    <w:rPr>
                      <w:rFonts w:hint="default" w:ascii="Times New Roman" w:hAnsi="Times New Roman" w:eastAsia="Calibri" w:cs="Times New Roman"/>
                      <w:color w:val="auto"/>
                      <w:kern w:val="0"/>
                      <w:sz w:val="21"/>
                      <w:szCs w:val="21"/>
                      <w:highlight w:val="none"/>
                      <w:vertAlign w:val="subscript"/>
                      <w:lang w:val="en-US" w:eastAsia="zh-CN" w:bidi="ar"/>
                    </w:rPr>
                    <w:t>2</w:t>
                  </w:r>
                  <w:r>
                    <w:rPr>
                      <w:rFonts w:hint="default" w:ascii="Times New Roman" w:hAnsi="Times New Roman" w:eastAsia="Calibri" w:cs="Times New Roman"/>
                      <w:color w:val="auto"/>
                      <w:kern w:val="0"/>
                      <w:sz w:val="21"/>
                      <w:szCs w:val="21"/>
                      <w:highlight w:val="none"/>
                      <w:lang w:val="en-US" w:eastAsia="zh-CN" w:bidi="ar"/>
                    </w:rPr>
                    <w:t>）</w:t>
                  </w:r>
                </w:p>
              </w:tc>
              <w:tc>
                <w:tcPr>
                  <w:tcW w:w="1797" w:type="pct"/>
                  <w:tcBorders>
                    <w:top w:val="single" w:color="auto" w:sz="4" w:space="0"/>
                    <w:left w:val="single" w:color="auto" w:sz="4" w:space="0"/>
                    <w:bottom w:val="single" w:color="auto" w:sz="4" w:space="0"/>
                    <w:right w:val="single" w:color="auto" w:sz="4" w:space="0"/>
                  </w:tcBorders>
                  <w:noWrap w:val="0"/>
                  <w:vAlign w:val="center"/>
                </w:tcPr>
                <w:p w14:paraId="7736245C">
                  <w:pPr>
                    <w:pStyle w:val="26"/>
                    <w:keepNext w:val="0"/>
                    <w:keepLines w:val="0"/>
                    <w:pageBreakBefore w:val="0"/>
                    <w:widowControl/>
                    <w:kinsoku/>
                    <w:wordWrap/>
                    <w:overflowPunct/>
                    <w:topLinePunct w:val="0"/>
                    <w:autoSpaceDE/>
                    <w:autoSpaceDN/>
                    <w:bidi w:val="0"/>
                    <w:spacing w:before="0" w:beforeLines="0" w:beforeAutospacing="0" w:after="0" w:afterAutospacing="0" w:line="240" w:lineRule="auto"/>
                    <w:ind w:left="0" w:right="0" w:firstLine="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eastAsia="zh-CN"/>
                    </w:rPr>
                    <w:t>年平均</w:t>
                  </w:r>
                </w:p>
              </w:tc>
              <w:tc>
                <w:tcPr>
                  <w:tcW w:w="889" w:type="pct"/>
                  <w:tcBorders>
                    <w:top w:val="single" w:color="auto" w:sz="4" w:space="0"/>
                    <w:left w:val="single" w:color="auto" w:sz="4" w:space="0"/>
                    <w:bottom w:val="single" w:color="auto" w:sz="4" w:space="0"/>
                    <w:right w:val="single" w:color="auto" w:sz="4" w:space="0"/>
                  </w:tcBorders>
                  <w:noWrap w:val="0"/>
                  <w:vAlign w:val="center"/>
                </w:tcPr>
                <w:p w14:paraId="3C7E65CD">
                  <w:pPr>
                    <w:pStyle w:val="26"/>
                    <w:keepNext w:val="0"/>
                    <w:keepLines w:val="0"/>
                    <w:pageBreakBefore w:val="0"/>
                    <w:widowControl/>
                    <w:kinsoku/>
                    <w:wordWrap/>
                    <w:overflowPunct/>
                    <w:topLinePunct w:val="0"/>
                    <w:autoSpaceDE/>
                    <w:autoSpaceDN/>
                    <w:bidi w:val="0"/>
                    <w:spacing w:before="0" w:beforeLines="0" w:beforeAutospacing="0" w:after="0" w:afterAutospacing="0" w:line="240" w:lineRule="auto"/>
                    <w:ind w:left="0" w:right="0" w:firstLine="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40</w:t>
                  </w:r>
                </w:p>
              </w:tc>
              <w:tc>
                <w:tcPr>
                  <w:tcW w:w="888" w:type="pct"/>
                  <w:vMerge w:val="continue"/>
                  <w:tcBorders>
                    <w:top w:val="single" w:color="auto" w:sz="4" w:space="0"/>
                    <w:left w:val="single" w:color="auto" w:sz="4" w:space="0"/>
                    <w:bottom w:val="single" w:color="auto" w:sz="4" w:space="0"/>
                    <w:right w:val="single" w:color="auto" w:sz="4" w:space="0"/>
                  </w:tcBorders>
                  <w:noWrap w:val="0"/>
                  <w:vAlign w:val="center"/>
                </w:tcPr>
                <w:p w14:paraId="33A59AA8">
                  <w:pPr>
                    <w:keepNext w:val="0"/>
                    <w:keepLines w:val="0"/>
                    <w:pageBreakBefore w:val="0"/>
                    <w:kinsoku/>
                    <w:wordWrap/>
                    <w:overflowPunct/>
                    <w:topLinePunct w:val="0"/>
                    <w:autoSpaceDE/>
                    <w:autoSpaceDN/>
                    <w:bidi w:val="0"/>
                    <w:ind w:left="0"/>
                    <w:textAlignment w:val="auto"/>
                    <w:rPr>
                      <w:rFonts w:hint="default" w:ascii="Times New Roman" w:hAnsi="Times New Roman" w:cs="Times New Roman"/>
                      <w:b w:val="0"/>
                      <w:bCs/>
                      <w:color w:val="auto"/>
                      <w:sz w:val="21"/>
                      <w:szCs w:val="21"/>
                      <w:highlight w:val="none"/>
                    </w:rPr>
                  </w:pPr>
                </w:p>
              </w:tc>
            </w:tr>
            <w:tr w14:paraId="69DD8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4" w:type="pct"/>
                  <w:vMerge w:val="continue"/>
                  <w:tcBorders>
                    <w:top w:val="single" w:color="auto" w:sz="4" w:space="0"/>
                    <w:left w:val="single" w:color="auto" w:sz="4" w:space="0"/>
                    <w:bottom w:val="single" w:color="auto" w:sz="4" w:space="0"/>
                    <w:right w:val="single" w:color="auto" w:sz="4" w:space="0"/>
                  </w:tcBorders>
                  <w:noWrap w:val="0"/>
                  <w:vAlign w:val="center"/>
                </w:tcPr>
                <w:p w14:paraId="0CD31483">
                  <w:pPr>
                    <w:keepNext w:val="0"/>
                    <w:keepLines w:val="0"/>
                    <w:pageBreakBefore w:val="0"/>
                    <w:kinsoku/>
                    <w:wordWrap/>
                    <w:overflowPunct/>
                    <w:topLinePunct w:val="0"/>
                    <w:autoSpaceDE/>
                    <w:autoSpaceDN/>
                    <w:bidi w:val="0"/>
                    <w:ind w:left="0"/>
                    <w:textAlignment w:val="auto"/>
                    <w:rPr>
                      <w:rFonts w:hint="default" w:ascii="Times New Roman" w:hAnsi="Times New Roman" w:cs="Times New Roman"/>
                      <w:color w:val="auto"/>
                      <w:sz w:val="21"/>
                      <w:szCs w:val="21"/>
                      <w:highlight w:val="none"/>
                    </w:rPr>
                  </w:pPr>
                </w:p>
              </w:tc>
              <w:tc>
                <w:tcPr>
                  <w:tcW w:w="1797" w:type="pct"/>
                  <w:tcBorders>
                    <w:top w:val="single" w:color="auto" w:sz="4" w:space="0"/>
                    <w:left w:val="single" w:color="auto" w:sz="4" w:space="0"/>
                    <w:bottom w:val="single" w:color="auto" w:sz="4" w:space="0"/>
                    <w:right w:val="single" w:color="auto" w:sz="4" w:space="0"/>
                  </w:tcBorders>
                  <w:noWrap w:val="0"/>
                  <w:vAlign w:val="center"/>
                </w:tcPr>
                <w:p w14:paraId="091A86F1">
                  <w:pPr>
                    <w:pStyle w:val="26"/>
                    <w:keepNext w:val="0"/>
                    <w:keepLines w:val="0"/>
                    <w:pageBreakBefore w:val="0"/>
                    <w:widowControl/>
                    <w:kinsoku/>
                    <w:wordWrap/>
                    <w:overflowPunct/>
                    <w:topLinePunct w:val="0"/>
                    <w:autoSpaceDE/>
                    <w:autoSpaceDN/>
                    <w:bidi w:val="0"/>
                    <w:spacing w:before="0" w:beforeLines="0" w:beforeAutospacing="0" w:after="0" w:afterAutospacing="0" w:line="240" w:lineRule="auto"/>
                    <w:ind w:left="0" w:right="0" w:firstLine="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24</w:t>
                  </w:r>
                  <w:r>
                    <w:rPr>
                      <w:rFonts w:hint="default" w:ascii="Times New Roman" w:hAnsi="Times New Roman" w:cs="Times New Roman"/>
                      <w:b w:val="0"/>
                      <w:bCs/>
                      <w:color w:val="auto"/>
                      <w:sz w:val="21"/>
                      <w:szCs w:val="21"/>
                      <w:highlight w:val="none"/>
                      <w:lang w:eastAsia="zh-CN"/>
                    </w:rPr>
                    <w:t>小时平均</w:t>
                  </w:r>
                </w:p>
              </w:tc>
              <w:tc>
                <w:tcPr>
                  <w:tcW w:w="889" w:type="pct"/>
                  <w:tcBorders>
                    <w:top w:val="single" w:color="auto" w:sz="4" w:space="0"/>
                    <w:left w:val="single" w:color="auto" w:sz="4" w:space="0"/>
                    <w:bottom w:val="single" w:color="auto" w:sz="4" w:space="0"/>
                    <w:right w:val="single" w:color="auto" w:sz="4" w:space="0"/>
                  </w:tcBorders>
                  <w:noWrap w:val="0"/>
                  <w:vAlign w:val="center"/>
                </w:tcPr>
                <w:p w14:paraId="0EE41149">
                  <w:pPr>
                    <w:pStyle w:val="26"/>
                    <w:keepNext w:val="0"/>
                    <w:keepLines w:val="0"/>
                    <w:pageBreakBefore w:val="0"/>
                    <w:widowControl/>
                    <w:kinsoku/>
                    <w:wordWrap/>
                    <w:overflowPunct/>
                    <w:topLinePunct w:val="0"/>
                    <w:autoSpaceDE/>
                    <w:autoSpaceDN/>
                    <w:bidi w:val="0"/>
                    <w:spacing w:before="0" w:beforeLines="0" w:beforeAutospacing="0" w:after="0" w:afterAutospacing="0" w:line="240" w:lineRule="auto"/>
                    <w:ind w:left="0" w:right="0" w:firstLine="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80</w:t>
                  </w:r>
                </w:p>
              </w:tc>
              <w:tc>
                <w:tcPr>
                  <w:tcW w:w="888" w:type="pct"/>
                  <w:vMerge w:val="continue"/>
                  <w:tcBorders>
                    <w:top w:val="single" w:color="auto" w:sz="4" w:space="0"/>
                    <w:left w:val="single" w:color="auto" w:sz="4" w:space="0"/>
                    <w:bottom w:val="single" w:color="auto" w:sz="4" w:space="0"/>
                    <w:right w:val="single" w:color="auto" w:sz="4" w:space="0"/>
                  </w:tcBorders>
                  <w:noWrap w:val="0"/>
                  <w:vAlign w:val="center"/>
                </w:tcPr>
                <w:p w14:paraId="60488232">
                  <w:pPr>
                    <w:keepNext w:val="0"/>
                    <w:keepLines w:val="0"/>
                    <w:pageBreakBefore w:val="0"/>
                    <w:kinsoku/>
                    <w:wordWrap/>
                    <w:overflowPunct/>
                    <w:topLinePunct w:val="0"/>
                    <w:autoSpaceDE/>
                    <w:autoSpaceDN/>
                    <w:bidi w:val="0"/>
                    <w:ind w:left="0"/>
                    <w:textAlignment w:val="auto"/>
                    <w:rPr>
                      <w:rFonts w:hint="default" w:ascii="Times New Roman" w:hAnsi="Times New Roman" w:cs="Times New Roman"/>
                      <w:b w:val="0"/>
                      <w:bCs/>
                      <w:color w:val="auto"/>
                      <w:sz w:val="21"/>
                      <w:szCs w:val="21"/>
                      <w:highlight w:val="none"/>
                    </w:rPr>
                  </w:pPr>
                </w:p>
              </w:tc>
            </w:tr>
            <w:tr w14:paraId="249F8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4" w:type="pct"/>
                  <w:vMerge w:val="continue"/>
                  <w:tcBorders>
                    <w:top w:val="single" w:color="auto" w:sz="4" w:space="0"/>
                    <w:left w:val="single" w:color="auto" w:sz="4" w:space="0"/>
                    <w:bottom w:val="single" w:color="auto" w:sz="4" w:space="0"/>
                    <w:right w:val="single" w:color="auto" w:sz="4" w:space="0"/>
                  </w:tcBorders>
                  <w:noWrap w:val="0"/>
                  <w:vAlign w:val="center"/>
                </w:tcPr>
                <w:p w14:paraId="0F3C929C">
                  <w:pPr>
                    <w:keepNext w:val="0"/>
                    <w:keepLines w:val="0"/>
                    <w:pageBreakBefore w:val="0"/>
                    <w:kinsoku/>
                    <w:wordWrap/>
                    <w:overflowPunct/>
                    <w:topLinePunct w:val="0"/>
                    <w:autoSpaceDE/>
                    <w:autoSpaceDN/>
                    <w:bidi w:val="0"/>
                    <w:ind w:left="0"/>
                    <w:textAlignment w:val="auto"/>
                    <w:rPr>
                      <w:rFonts w:hint="default" w:ascii="Times New Roman" w:hAnsi="Times New Roman" w:cs="Times New Roman"/>
                      <w:color w:val="auto"/>
                      <w:sz w:val="21"/>
                      <w:szCs w:val="21"/>
                      <w:highlight w:val="none"/>
                    </w:rPr>
                  </w:pPr>
                </w:p>
              </w:tc>
              <w:tc>
                <w:tcPr>
                  <w:tcW w:w="1797" w:type="pct"/>
                  <w:tcBorders>
                    <w:top w:val="single" w:color="auto" w:sz="4" w:space="0"/>
                    <w:left w:val="single" w:color="auto" w:sz="4" w:space="0"/>
                    <w:bottom w:val="single" w:color="auto" w:sz="4" w:space="0"/>
                    <w:right w:val="single" w:color="auto" w:sz="4" w:space="0"/>
                  </w:tcBorders>
                  <w:noWrap w:val="0"/>
                  <w:vAlign w:val="center"/>
                </w:tcPr>
                <w:p w14:paraId="3272C0CC">
                  <w:pPr>
                    <w:pStyle w:val="26"/>
                    <w:keepNext w:val="0"/>
                    <w:keepLines w:val="0"/>
                    <w:pageBreakBefore w:val="0"/>
                    <w:widowControl/>
                    <w:kinsoku/>
                    <w:wordWrap/>
                    <w:overflowPunct/>
                    <w:topLinePunct w:val="0"/>
                    <w:autoSpaceDE/>
                    <w:autoSpaceDN/>
                    <w:bidi w:val="0"/>
                    <w:spacing w:before="0" w:beforeLines="0" w:beforeAutospacing="0" w:after="0" w:afterAutospacing="0" w:line="240" w:lineRule="auto"/>
                    <w:ind w:left="0" w:right="0" w:firstLine="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r>
                    <w:rPr>
                      <w:rFonts w:hint="default" w:ascii="Times New Roman" w:hAnsi="Times New Roman" w:cs="Times New Roman"/>
                      <w:b w:val="0"/>
                      <w:bCs/>
                      <w:color w:val="auto"/>
                      <w:sz w:val="21"/>
                      <w:szCs w:val="21"/>
                      <w:highlight w:val="none"/>
                      <w:lang w:eastAsia="zh-CN"/>
                    </w:rPr>
                    <w:t>小时平均</w:t>
                  </w:r>
                </w:p>
              </w:tc>
              <w:tc>
                <w:tcPr>
                  <w:tcW w:w="889" w:type="pct"/>
                  <w:tcBorders>
                    <w:top w:val="single" w:color="auto" w:sz="4" w:space="0"/>
                    <w:left w:val="single" w:color="auto" w:sz="4" w:space="0"/>
                    <w:bottom w:val="single" w:color="auto" w:sz="4" w:space="0"/>
                    <w:right w:val="single" w:color="auto" w:sz="4" w:space="0"/>
                  </w:tcBorders>
                  <w:noWrap w:val="0"/>
                  <w:vAlign w:val="center"/>
                </w:tcPr>
                <w:p w14:paraId="4AC47506">
                  <w:pPr>
                    <w:pStyle w:val="26"/>
                    <w:keepNext w:val="0"/>
                    <w:keepLines w:val="0"/>
                    <w:pageBreakBefore w:val="0"/>
                    <w:widowControl/>
                    <w:kinsoku/>
                    <w:wordWrap/>
                    <w:overflowPunct/>
                    <w:topLinePunct w:val="0"/>
                    <w:autoSpaceDE/>
                    <w:autoSpaceDN/>
                    <w:bidi w:val="0"/>
                    <w:spacing w:before="0" w:beforeLines="0" w:beforeAutospacing="0" w:after="0" w:afterAutospacing="0" w:line="240" w:lineRule="auto"/>
                    <w:ind w:left="0" w:right="0" w:firstLine="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200</w:t>
                  </w:r>
                </w:p>
              </w:tc>
              <w:tc>
                <w:tcPr>
                  <w:tcW w:w="888" w:type="pct"/>
                  <w:vMerge w:val="continue"/>
                  <w:tcBorders>
                    <w:top w:val="single" w:color="auto" w:sz="4" w:space="0"/>
                    <w:left w:val="single" w:color="auto" w:sz="4" w:space="0"/>
                    <w:bottom w:val="single" w:color="auto" w:sz="4" w:space="0"/>
                    <w:right w:val="single" w:color="auto" w:sz="4" w:space="0"/>
                  </w:tcBorders>
                  <w:noWrap w:val="0"/>
                  <w:vAlign w:val="center"/>
                </w:tcPr>
                <w:p w14:paraId="53FF7690">
                  <w:pPr>
                    <w:keepNext w:val="0"/>
                    <w:keepLines w:val="0"/>
                    <w:pageBreakBefore w:val="0"/>
                    <w:kinsoku/>
                    <w:wordWrap/>
                    <w:overflowPunct/>
                    <w:topLinePunct w:val="0"/>
                    <w:autoSpaceDE/>
                    <w:autoSpaceDN/>
                    <w:bidi w:val="0"/>
                    <w:ind w:left="0"/>
                    <w:textAlignment w:val="auto"/>
                    <w:rPr>
                      <w:rFonts w:hint="default" w:ascii="Times New Roman" w:hAnsi="Times New Roman" w:cs="Times New Roman"/>
                      <w:b w:val="0"/>
                      <w:bCs/>
                      <w:color w:val="auto"/>
                      <w:sz w:val="21"/>
                      <w:szCs w:val="21"/>
                      <w:highlight w:val="none"/>
                    </w:rPr>
                  </w:pPr>
                </w:p>
              </w:tc>
            </w:tr>
            <w:tr w14:paraId="256DC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4" w:type="pct"/>
                  <w:vMerge w:val="restart"/>
                  <w:tcBorders>
                    <w:top w:val="single" w:color="auto" w:sz="4" w:space="0"/>
                    <w:left w:val="single" w:color="auto" w:sz="4" w:space="0"/>
                    <w:bottom w:val="single" w:color="auto" w:sz="4" w:space="0"/>
                    <w:right w:val="single" w:color="auto" w:sz="4" w:space="0"/>
                  </w:tcBorders>
                  <w:noWrap w:val="0"/>
                  <w:vAlign w:val="center"/>
                </w:tcPr>
                <w:p w14:paraId="1404D729">
                  <w:pPr>
                    <w:keepNext w:val="0"/>
                    <w:keepLines w:val="0"/>
                    <w:pageBreakBefore w:val="0"/>
                    <w:widowControl/>
                    <w:suppressLineNumbers w:val="0"/>
                    <w:kinsoku/>
                    <w:wordWrap/>
                    <w:overflowPunct/>
                    <w:topLinePunct w:val="0"/>
                    <w:autoSpaceDE/>
                    <w:autoSpaceDN/>
                    <w:bidi w:val="0"/>
                    <w:spacing w:beforeAutospacing="0" w:after="0" w:afterAutospacing="0"/>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Calibri" w:cs="Times New Roman"/>
                      <w:color w:val="auto"/>
                      <w:kern w:val="0"/>
                      <w:sz w:val="21"/>
                      <w:szCs w:val="21"/>
                      <w:highlight w:val="none"/>
                      <w:lang w:val="en-US" w:eastAsia="zh-CN" w:bidi="ar"/>
                    </w:rPr>
                    <w:t>颗粒物（PM</w:t>
                  </w:r>
                  <w:r>
                    <w:rPr>
                      <w:rFonts w:hint="default" w:ascii="Times New Roman" w:hAnsi="Times New Roman" w:eastAsia="Calibri" w:cs="Times New Roman"/>
                      <w:color w:val="auto"/>
                      <w:kern w:val="0"/>
                      <w:sz w:val="21"/>
                      <w:szCs w:val="21"/>
                      <w:highlight w:val="none"/>
                      <w:vertAlign w:val="subscript"/>
                      <w:lang w:val="en-US" w:eastAsia="zh-CN" w:bidi="ar"/>
                    </w:rPr>
                    <w:t>10</w:t>
                  </w:r>
                  <w:r>
                    <w:rPr>
                      <w:rFonts w:hint="default" w:ascii="Times New Roman" w:hAnsi="Times New Roman" w:eastAsia="Calibri" w:cs="Times New Roman"/>
                      <w:color w:val="auto"/>
                      <w:kern w:val="0"/>
                      <w:sz w:val="21"/>
                      <w:szCs w:val="21"/>
                      <w:highlight w:val="none"/>
                      <w:lang w:val="en-US" w:eastAsia="zh-CN" w:bidi="ar"/>
                    </w:rPr>
                    <w:t>）</w:t>
                  </w:r>
                </w:p>
              </w:tc>
              <w:tc>
                <w:tcPr>
                  <w:tcW w:w="1797" w:type="pct"/>
                  <w:tcBorders>
                    <w:top w:val="single" w:color="auto" w:sz="4" w:space="0"/>
                    <w:left w:val="single" w:color="auto" w:sz="4" w:space="0"/>
                    <w:bottom w:val="single" w:color="auto" w:sz="4" w:space="0"/>
                    <w:right w:val="single" w:color="auto" w:sz="4" w:space="0"/>
                  </w:tcBorders>
                  <w:noWrap w:val="0"/>
                  <w:vAlign w:val="center"/>
                </w:tcPr>
                <w:p w14:paraId="56F5F801">
                  <w:pPr>
                    <w:pStyle w:val="26"/>
                    <w:keepNext w:val="0"/>
                    <w:keepLines w:val="0"/>
                    <w:pageBreakBefore w:val="0"/>
                    <w:widowControl/>
                    <w:kinsoku/>
                    <w:wordWrap/>
                    <w:overflowPunct/>
                    <w:topLinePunct w:val="0"/>
                    <w:autoSpaceDE/>
                    <w:autoSpaceDN/>
                    <w:bidi w:val="0"/>
                    <w:spacing w:before="0" w:beforeLines="0" w:beforeAutospacing="0" w:after="0" w:afterAutospacing="0" w:line="240" w:lineRule="auto"/>
                    <w:ind w:left="0" w:right="0" w:firstLine="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eastAsia="zh-CN"/>
                    </w:rPr>
                    <w:t>年平均</w:t>
                  </w:r>
                </w:p>
              </w:tc>
              <w:tc>
                <w:tcPr>
                  <w:tcW w:w="889" w:type="pct"/>
                  <w:tcBorders>
                    <w:top w:val="single" w:color="auto" w:sz="4" w:space="0"/>
                    <w:left w:val="single" w:color="auto" w:sz="4" w:space="0"/>
                    <w:bottom w:val="single" w:color="auto" w:sz="4" w:space="0"/>
                    <w:right w:val="single" w:color="auto" w:sz="4" w:space="0"/>
                  </w:tcBorders>
                  <w:noWrap w:val="0"/>
                  <w:vAlign w:val="center"/>
                </w:tcPr>
                <w:p w14:paraId="5BC18898">
                  <w:pPr>
                    <w:pStyle w:val="26"/>
                    <w:keepNext w:val="0"/>
                    <w:keepLines w:val="0"/>
                    <w:pageBreakBefore w:val="0"/>
                    <w:widowControl/>
                    <w:kinsoku/>
                    <w:wordWrap/>
                    <w:overflowPunct/>
                    <w:topLinePunct w:val="0"/>
                    <w:autoSpaceDE/>
                    <w:autoSpaceDN/>
                    <w:bidi w:val="0"/>
                    <w:spacing w:before="0" w:beforeLines="0" w:beforeAutospacing="0" w:after="0" w:afterAutospacing="0" w:line="240" w:lineRule="auto"/>
                    <w:ind w:left="0" w:right="0" w:firstLine="0"/>
                    <w:textAlignment w:val="auto"/>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60</w:t>
                  </w:r>
                </w:p>
              </w:tc>
              <w:tc>
                <w:tcPr>
                  <w:tcW w:w="888" w:type="pct"/>
                  <w:vMerge w:val="continue"/>
                  <w:tcBorders>
                    <w:top w:val="single" w:color="auto" w:sz="4" w:space="0"/>
                    <w:left w:val="single" w:color="auto" w:sz="4" w:space="0"/>
                    <w:bottom w:val="single" w:color="auto" w:sz="4" w:space="0"/>
                    <w:right w:val="single" w:color="auto" w:sz="4" w:space="0"/>
                  </w:tcBorders>
                  <w:noWrap w:val="0"/>
                  <w:vAlign w:val="center"/>
                </w:tcPr>
                <w:p w14:paraId="3A10E275">
                  <w:pPr>
                    <w:keepNext w:val="0"/>
                    <w:keepLines w:val="0"/>
                    <w:pageBreakBefore w:val="0"/>
                    <w:kinsoku/>
                    <w:wordWrap/>
                    <w:overflowPunct/>
                    <w:topLinePunct w:val="0"/>
                    <w:autoSpaceDE/>
                    <w:autoSpaceDN/>
                    <w:bidi w:val="0"/>
                    <w:ind w:left="0"/>
                    <w:textAlignment w:val="auto"/>
                    <w:rPr>
                      <w:rFonts w:hint="default" w:ascii="Times New Roman" w:hAnsi="Times New Roman" w:cs="Times New Roman"/>
                      <w:b w:val="0"/>
                      <w:bCs/>
                      <w:color w:val="auto"/>
                      <w:sz w:val="21"/>
                      <w:szCs w:val="21"/>
                      <w:highlight w:val="none"/>
                    </w:rPr>
                  </w:pPr>
                </w:p>
              </w:tc>
            </w:tr>
            <w:tr w14:paraId="26AC9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4" w:type="pct"/>
                  <w:vMerge w:val="continue"/>
                  <w:tcBorders>
                    <w:top w:val="single" w:color="auto" w:sz="4" w:space="0"/>
                    <w:left w:val="single" w:color="auto" w:sz="4" w:space="0"/>
                    <w:bottom w:val="single" w:color="auto" w:sz="4" w:space="0"/>
                    <w:right w:val="single" w:color="auto" w:sz="4" w:space="0"/>
                  </w:tcBorders>
                  <w:noWrap w:val="0"/>
                  <w:vAlign w:val="center"/>
                </w:tcPr>
                <w:p w14:paraId="76CA0F99">
                  <w:pPr>
                    <w:keepNext w:val="0"/>
                    <w:keepLines w:val="0"/>
                    <w:pageBreakBefore w:val="0"/>
                    <w:kinsoku/>
                    <w:wordWrap/>
                    <w:overflowPunct/>
                    <w:topLinePunct w:val="0"/>
                    <w:autoSpaceDE/>
                    <w:autoSpaceDN/>
                    <w:bidi w:val="0"/>
                    <w:ind w:left="0"/>
                    <w:textAlignment w:val="auto"/>
                    <w:rPr>
                      <w:rFonts w:hint="default" w:ascii="Times New Roman" w:hAnsi="Times New Roman" w:cs="Times New Roman"/>
                      <w:color w:val="auto"/>
                      <w:sz w:val="21"/>
                      <w:szCs w:val="21"/>
                      <w:highlight w:val="none"/>
                    </w:rPr>
                  </w:pPr>
                </w:p>
              </w:tc>
              <w:tc>
                <w:tcPr>
                  <w:tcW w:w="1797" w:type="pct"/>
                  <w:tcBorders>
                    <w:top w:val="single" w:color="auto" w:sz="4" w:space="0"/>
                    <w:left w:val="single" w:color="auto" w:sz="4" w:space="0"/>
                    <w:bottom w:val="single" w:color="auto" w:sz="4" w:space="0"/>
                    <w:right w:val="single" w:color="auto" w:sz="4" w:space="0"/>
                  </w:tcBorders>
                  <w:noWrap w:val="0"/>
                  <w:vAlign w:val="center"/>
                </w:tcPr>
                <w:p w14:paraId="3EAA133F">
                  <w:pPr>
                    <w:pStyle w:val="26"/>
                    <w:keepNext w:val="0"/>
                    <w:keepLines w:val="0"/>
                    <w:pageBreakBefore w:val="0"/>
                    <w:widowControl/>
                    <w:kinsoku/>
                    <w:wordWrap/>
                    <w:overflowPunct/>
                    <w:topLinePunct w:val="0"/>
                    <w:autoSpaceDE/>
                    <w:autoSpaceDN/>
                    <w:bidi w:val="0"/>
                    <w:spacing w:before="0" w:beforeLines="0" w:beforeAutospacing="0" w:after="0" w:afterAutospacing="0" w:line="240" w:lineRule="auto"/>
                    <w:ind w:left="0" w:right="0" w:firstLine="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24</w:t>
                  </w:r>
                  <w:r>
                    <w:rPr>
                      <w:rFonts w:hint="default" w:ascii="Times New Roman" w:hAnsi="Times New Roman" w:cs="Times New Roman"/>
                      <w:b w:val="0"/>
                      <w:bCs/>
                      <w:color w:val="auto"/>
                      <w:sz w:val="21"/>
                      <w:szCs w:val="21"/>
                      <w:highlight w:val="none"/>
                      <w:lang w:eastAsia="zh-CN"/>
                    </w:rPr>
                    <w:t>小时平均</w:t>
                  </w:r>
                </w:p>
              </w:tc>
              <w:tc>
                <w:tcPr>
                  <w:tcW w:w="889" w:type="pct"/>
                  <w:tcBorders>
                    <w:top w:val="single" w:color="auto" w:sz="4" w:space="0"/>
                    <w:left w:val="single" w:color="auto" w:sz="4" w:space="0"/>
                    <w:bottom w:val="single" w:color="auto" w:sz="4" w:space="0"/>
                    <w:right w:val="single" w:color="auto" w:sz="4" w:space="0"/>
                  </w:tcBorders>
                  <w:noWrap w:val="0"/>
                  <w:vAlign w:val="center"/>
                </w:tcPr>
                <w:p w14:paraId="082A0694">
                  <w:pPr>
                    <w:pStyle w:val="26"/>
                    <w:keepNext w:val="0"/>
                    <w:keepLines w:val="0"/>
                    <w:pageBreakBefore w:val="0"/>
                    <w:widowControl/>
                    <w:kinsoku/>
                    <w:wordWrap/>
                    <w:overflowPunct/>
                    <w:topLinePunct w:val="0"/>
                    <w:autoSpaceDE/>
                    <w:autoSpaceDN/>
                    <w:bidi w:val="0"/>
                    <w:spacing w:before="0" w:beforeLines="0" w:beforeAutospacing="0" w:after="0" w:afterAutospacing="0" w:line="240" w:lineRule="auto"/>
                    <w:ind w:left="0" w:right="0" w:firstLine="0"/>
                    <w:textAlignment w:val="auto"/>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120</w:t>
                  </w:r>
                </w:p>
              </w:tc>
              <w:tc>
                <w:tcPr>
                  <w:tcW w:w="888" w:type="pct"/>
                  <w:vMerge w:val="continue"/>
                  <w:tcBorders>
                    <w:top w:val="single" w:color="auto" w:sz="4" w:space="0"/>
                    <w:left w:val="single" w:color="auto" w:sz="4" w:space="0"/>
                    <w:bottom w:val="single" w:color="auto" w:sz="4" w:space="0"/>
                    <w:right w:val="single" w:color="auto" w:sz="4" w:space="0"/>
                  </w:tcBorders>
                  <w:noWrap w:val="0"/>
                  <w:vAlign w:val="center"/>
                </w:tcPr>
                <w:p w14:paraId="414CEF1A">
                  <w:pPr>
                    <w:keepNext w:val="0"/>
                    <w:keepLines w:val="0"/>
                    <w:pageBreakBefore w:val="0"/>
                    <w:kinsoku/>
                    <w:wordWrap/>
                    <w:overflowPunct/>
                    <w:topLinePunct w:val="0"/>
                    <w:autoSpaceDE/>
                    <w:autoSpaceDN/>
                    <w:bidi w:val="0"/>
                    <w:ind w:left="0"/>
                    <w:textAlignment w:val="auto"/>
                    <w:rPr>
                      <w:rFonts w:hint="default" w:ascii="Times New Roman" w:hAnsi="Times New Roman" w:cs="Times New Roman"/>
                      <w:b w:val="0"/>
                      <w:bCs/>
                      <w:color w:val="auto"/>
                      <w:sz w:val="21"/>
                      <w:szCs w:val="21"/>
                      <w:highlight w:val="none"/>
                    </w:rPr>
                  </w:pPr>
                </w:p>
              </w:tc>
            </w:tr>
            <w:tr w14:paraId="76542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4" w:type="pct"/>
                  <w:vMerge w:val="restart"/>
                  <w:tcBorders>
                    <w:top w:val="single" w:color="auto" w:sz="4" w:space="0"/>
                    <w:left w:val="single" w:color="auto" w:sz="4" w:space="0"/>
                    <w:bottom w:val="single" w:color="auto" w:sz="4" w:space="0"/>
                    <w:right w:val="single" w:color="auto" w:sz="4" w:space="0"/>
                  </w:tcBorders>
                  <w:noWrap w:val="0"/>
                  <w:vAlign w:val="center"/>
                </w:tcPr>
                <w:p w14:paraId="48CAA17E">
                  <w:pPr>
                    <w:pStyle w:val="2"/>
                    <w:keepNext w:val="0"/>
                    <w:keepLines w:val="0"/>
                    <w:pageBreakBefore w:val="0"/>
                    <w:widowControl/>
                    <w:kinsoku/>
                    <w:wordWrap/>
                    <w:overflowPunct/>
                    <w:topLinePunct w:val="0"/>
                    <w:autoSpaceDE/>
                    <w:autoSpaceDN/>
                    <w:bidi w:val="0"/>
                    <w:spacing w:before="0"/>
                    <w:ind w:left="0" w:firstLine="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颗粒物（</w:t>
                  </w:r>
                  <w:r>
                    <w:rPr>
                      <w:rFonts w:hint="default" w:ascii="Times New Roman" w:hAnsi="Times New Roman" w:cs="Times New Roman"/>
                      <w:color w:val="auto"/>
                      <w:sz w:val="21"/>
                      <w:szCs w:val="21"/>
                      <w:highlight w:val="none"/>
                      <w:lang w:val="en-US" w:eastAsia="zh-CN"/>
                    </w:rPr>
                    <w:t>PM</w:t>
                  </w:r>
                  <w:r>
                    <w:rPr>
                      <w:rFonts w:hint="default" w:ascii="Times New Roman" w:hAnsi="Times New Roman" w:cs="Times New Roman"/>
                      <w:color w:val="auto"/>
                      <w:sz w:val="21"/>
                      <w:szCs w:val="21"/>
                      <w:highlight w:val="none"/>
                      <w:vertAlign w:val="subscript"/>
                      <w:lang w:val="en-US" w:eastAsia="zh-CN"/>
                    </w:rPr>
                    <w:t>2.5</w:t>
                  </w:r>
                  <w:r>
                    <w:rPr>
                      <w:rFonts w:hint="default" w:ascii="Times New Roman" w:hAnsi="Times New Roman" w:cs="Times New Roman"/>
                      <w:color w:val="auto"/>
                      <w:sz w:val="21"/>
                      <w:szCs w:val="21"/>
                      <w:highlight w:val="none"/>
                      <w:lang w:eastAsia="zh-CN"/>
                    </w:rPr>
                    <w:t>）</w:t>
                  </w:r>
                </w:p>
              </w:tc>
              <w:tc>
                <w:tcPr>
                  <w:tcW w:w="1797" w:type="pct"/>
                  <w:tcBorders>
                    <w:top w:val="single" w:color="auto" w:sz="4" w:space="0"/>
                    <w:left w:val="single" w:color="auto" w:sz="4" w:space="0"/>
                    <w:bottom w:val="single" w:color="auto" w:sz="4" w:space="0"/>
                    <w:right w:val="single" w:color="auto" w:sz="4" w:space="0"/>
                  </w:tcBorders>
                  <w:noWrap w:val="0"/>
                  <w:vAlign w:val="center"/>
                </w:tcPr>
                <w:p w14:paraId="5F86A17A">
                  <w:pPr>
                    <w:pStyle w:val="26"/>
                    <w:keepNext w:val="0"/>
                    <w:keepLines w:val="0"/>
                    <w:pageBreakBefore w:val="0"/>
                    <w:widowControl/>
                    <w:kinsoku/>
                    <w:wordWrap/>
                    <w:overflowPunct/>
                    <w:topLinePunct w:val="0"/>
                    <w:autoSpaceDE/>
                    <w:autoSpaceDN/>
                    <w:bidi w:val="0"/>
                    <w:spacing w:before="0" w:beforeLines="0" w:beforeAutospacing="0" w:after="0" w:afterAutospacing="0" w:line="240" w:lineRule="auto"/>
                    <w:ind w:left="0" w:right="0" w:firstLine="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eastAsia="zh-CN"/>
                    </w:rPr>
                    <w:t>年平均</w:t>
                  </w:r>
                </w:p>
              </w:tc>
              <w:tc>
                <w:tcPr>
                  <w:tcW w:w="889" w:type="pct"/>
                  <w:tcBorders>
                    <w:top w:val="single" w:color="auto" w:sz="4" w:space="0"/>
                    <w:left w:val="single" w:color="auto" w:sz="4" w:space="0"/>
                    <w:bottom w:val="single" w:color="auto" w:sz="4" w:space="0"/>
                    <w:right w:val="single" w:color="auto" w:sz="4" w:space="0"/>
                  </w:tcBorders>
                  <w:noWrap w:val="0"/>
                  <w:vAlign w:val="center"/>
                </w:tcPr>
                <w:p w14:paraId="4B69283F">
                  <w:pPr>
                    <w:pStyle w:val="26"/>
                    <w:keepNext w:val="0"/>
                    <w:keepLines w:val="0"/>
                    <w:pageBreakBefore w:val="0"/>
                    <w:widowControl/>
                    <w:kinsoku/>
                    <w:wordWrap/>
                    <w:overflowPunct/>
                    <w:topLinePunct w:val="0"/>
                    <w:autoSpaceDE/>
                    <w:autoSpaceDN/>
                    <w:bidi w:val="0"/>
                    <w:spacing w:before="0" w:beforeLines="0" w:beforeAutospacing="0" w:after="0" w:afterAutospacing="0" w:line="240" w:lineRule="auto"/>
                    <w:ind w:left="0" w:right="0" w:firstLine="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3</w:t>
                  </w:r>
                  <w:r>
                    <w:rPr>
                      <w:rFonts w:hint="eastAsia" w:ascii="Times New Roman" w:hAnsi="Times New Roman" w:cs="Times New Roman"/>
                      <w:b w:val="0"/>
                      <w:bCs/>
                      <w:color w:val="auto"/>
                      <w:sz w:val="21"/>
                      <w:szCs w:val="21"/>
                      <w:highlight w:val="none"/>
                      <w:lang w:val="en-US" w:eastAsia="zh-CN"/>
                    </w:rPr>
                    <w:t>0</w:t>
                  </w:r>
                </w:p>
              </w:tc>
              <w:tc>
                <w:tcPr>
                  <w:tcW w:w="888" w:type="pct"/>
                  <w:vMerge w:val="continue"/>
                  <w:tcBorders>
                    <w:top w:val="single" w:color="auto" w:sz="4" w:space="0"/>
                    <w:left w:val="single" w:color="auto" w:sz="4" w:space="0"/>
                    <w:bottom w:val="single" w:color="auto" w:sz="4" w:space="0"/>
                    <w:right w:val="single" w:color="auto" w:sz="4" w:space="0"/>
                  </w:tcBorders>
                  <w:noWrap w:val="0"/>
                  <w:vAlign w:val="center"/>
                </w:tcPr>
                <w:p w14:paraId="1031C2B2">
                  <w:pPr>
                    <w:keepNext w:val="0"/>
                    <w:keepLines w:val="0"/>
                    <w:pageBreakBefore w:val="0"/>
                    <w:kinsoku/>
                    <w:wordWrap/>
                    <w:overflowPunct/>
                    <w:topLinePunct w:val="0"/>
                    <w:autoSpaceDE/>
                    <w:autoSpaceDN/>
                    <w:bidi w:val="0"/>
                    <w:ind w:left="0"/>
                    <w:textAlignment w:val="auto"/>
                    <w:rPr>
                      <w:rFonts w:hint="default" w:ascii="Times New Roman" w:hAnsi="Times New Roman" w:cs="Times New Roman"/>
                      <w:b w:val="0"/>
                      <w:bCs/>
                      <w:color w:val="auto"/>
                      <w:sz w:val="21"/>
                      <w:szCs w:val="21"/>
                      <w:highlight w:val="none"/>
                    </w:rPr>
                  </w:pPr>
                </w:p>
              </w:tc>
            </w:tr>
            <w:tr w14:paraId="44720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4" w:type="pct"/>
                  <w:vMerge w:val="continue"/>
                  <w:tcBorders>
                    <w:top w:val="single" w:color="auto" w:sz="4" w:space="0"/>
                    <w:left w:val="single" w:color="auto" w:sz="4" w:space="0"/>
                    <w:bottom w:val="single" w:color="auto" w:sz="4" w:space="0"/>
                    <w:right w:val="single" w:color="auto" w:sz="4" w:space="0"/>
                  </w:tcBorders>
                  <w:noWrap w:val="0"/>
                  <w:vAlign w:val="center"/>
                </w:tcPr>
                <w:p w14:paraId="08661991">
                  <w:pPr>
                    <w:keepNext w:val="0"/>
                    <w:keepLines w:val="0"/>
                    <w:pageBreakBefore w:val="0"/>
                    <w:kinsoku/>
                    <w:wordWrap/>
                    <w:overflowPunct/>
                    <w:topLinePunct w:val="0"/>
                    <w:autoSpaceDE/>
                    <w:autoSpaceDN/>
                    <w:bidi w:val="0"/>
                    <w:ind w:left="0"/>
                    <w:textAlignment w:val="auto"/>
                    <w:rPr>
                      <w:rFonts w:hint="default" w:ascii="Times New Roman" w:hAnsi="Times New Roman" w:cs="Times New Roman"/>
                      <w:color w:val="auto"/>
                      <w:sz w:val="21"/>
                      <w:szCs w:val="21"/>
                      <w:highlight w:val="none"/>
                    </w:rPr>
                  </w:pPr>
                </w:p>
              </w:tc>
              <w:tc>
                <w:tcPr>
                  <w:tcW w:w="1797" w:type="pct"/>
                  <w:tcBorders>
                    <w:top w:val="single" w:color="auto" w:sz="4" w:space="0"/>
                    <w:left w:val="single" w:color="auto" w:sz="4" w:space="0"/>
                    <w:bottom w:val="single" w:color="auto" w:sz="4" w:space="0"/>
                    <w:right w:val="single" w:color="auto" w:sz="4" w:space="0"/>
                  </w:tcBorders>
                  <w:noWrap w:val="0"/>
                  <w:vAlign w:val="center"/>
                </w:tcPr>
                <w:p w14:paraId="72AAEEB2">
                  <w:pPr>
                    <w:pStyle w:val="26"/>
                    <w:keepNext w:val="0"/>
                    <w:keepLines w:val="0"/>
                    <w:pageBreakBefore w:val="0"/>
                    <w:widowControl/>
                    <w:kinsoku/>
                    <w:wordWrap/>
                    <w:overflowPunct/>
                    <w:topLinePunct w:val="0"/>
                    <w:autoSpaceDE/>
                    <w:autoSpaceDN/>
                    <w:bidi w:val="0"/>
                    <w:spacing w:before="0" w:beforeLines="0" w:beforeAutospacing="0" w:after="0" w:afterAutospacing="0" w:line="240" w:lineRule="auto"/>
                    <w:ind w:left="0" w:right="0" w:firstLine="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24</w:t>
                  </w:r>
                  <w:r>
                    <w:rPr>
                      <w:rFonts w:hint="default" w:ascii="Times New Roman" w:hAnsi="Times New Roman" w:cs="Times New Roman"/>
                      <w:b w:val="0"/>
                      <w:bCs/>
                      <w:color w:val="auto"/>
                      <w:sz w:val="21"/>
                      <w:szCs w:val="21"/>
                      <w:highlight w:val="none"/>
                      <w:lang w:eastAsia="zh-CN"/>
                    </w:rPr>
                    <w:t>小时平均</w:t>
                  </w:r>
                </w:p>
              </w:tc>
              <w:tc>
                <w:tcPr>
                  <w:tcW w:w="889" w:type="pct"/>
                  <w:tcBorders>
                    <w:top w:val="single" w:color="auto" w:sz="4" w:space="0"/>
                    <w:left w:val="single" w:color="auto" w:sz="4" w:space="0"/>
                    <w:bottom w:val="single" w:color="auto" w:sz="4" w:space="0"/>
                    <w:right w:val="single" w:color="auto" w:sz="4" w:space="0"/>
                  </w:tcBorders>
                  <w:noWrap w:val="0"/>
                  <w:vAlign w:val="center"/>
                </w:tcPr>
                <w:p w14:paraId="466C6F4B">
                  <w:pPr>
                    <w:pStyle w:val="26"/>
                    <w:keepNext w:val="0"/>
                    <w:keepLines w:val="0"/>
                    <w:pageBreakBefore w:val="0"/>
                    <w:widowControl/>
                    <w:kinsoku/>
                    <w:wordWrap/>
                    <w:overflowPunct/>
                    <w:topLinePunct w:val="0"/>
                    <w:autoSpaceDE/>
                    <w:autoSpaceDN/>
                    <w:bidi w:val="0"/>
                    <w:spacing w:before="0" w:beforeLines="0" w:beforeAutospacing="0" w:after="0" w:afterAutospacing="0" w:line="240" w:lineRule="auto"/>
                    <w:ind w:left="0" w:right="0" w:firstLine="0"/>
                    <w:textAlignment w:val="auto"/>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60</w:t>
                  </w:r>
                </w:p>
              </w:tc>
              <w:tc>
                <w:tcPr>
                  <w:tcW w:w="888" w:type="pct"/>
                  <w:vMerge w:val="continue"/>
                  <w:tcBorders>
                    <w:top w:val="single" w:color="auto" w:sz="4" w:space="0"/>
                    <w:left w:val="single" w:color="auto" w:sz="4" w:space="0"/>
                    <w:bottom w:val="single" w:color="auto" w:sz="4" w:space="0"/>
                    <w:right w:val="single" w:color="auto" w:sz="4" w:space="0"/>
                  </w:tcBorders>
                  <w:noWrap w:val="0"/>
                  <w:vAlign w:val="center"/>
                </w:tcPr>
                <w:p w14:paraId="47BFB0F6">
                  <w:pPr>
                    <w:keepNext w:val="0"/>
                    <w:keepLines w:val="0"/>
                    <w:pageBreakBefore w:val="0"/>
                    <w:kinsoku/>
                    <w:wordWrap/>
                    <w:overflowPunct/>
                    <w:topLinePunct w:val="0"/>
                    <w:autoSpaceDE/>
                    <w:autoSpaceDN/>
                    <w:bidi w:val="0"/>
                    <w:ind w:left="0"/>
                    <w:textAlignment w:val="auto"/>
                    <w:rPr>
                      <w:rFonts w:hint="default" w:ascii="Times New Roman" w:hAnsi="Times New Roman" w:cs="Times New Roman"/>
                      <w:b w:val="0"/>
                      <w:bCs/>
                      <w:color w:val="auto"/>
                      <w:sz w:val="21"/>
                      <w:szCs w:val="21"/>
                      <w:highlight w:val="none"/>
                    </w:rPr>
                  </w:pPr>
                </w:p>
              </w:tc>
            </w:tr>
            <w:tr w14:paraId="4952F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4" w:type="pct"/>
                  <w:vMerge w:val="restart"/>
                  <w:tcBorders>
                    <w:top w:val="single" w:color="auto" w:sz="4" w:space="0"/>
                    <w:left w:val="single" w:color="auto" w:sz="4" w:space="0"/>
                    <w:bottom w:val="single" w:color="auto" w:sz="4" w:space="0"/>
                    <w:right w:val="single" w:color="auto" w:sz="4" w:space="0"/>
                  </w:tcBorders>
                  <w:noWrap w:val="0"/>
                  <w:vAlign w:val="center"/>
                </w:tcPr>
                <w:p w14:paraId="6993D0A8">
                  <w:pPr>
                    <w:pStyle w:val="2"/>
                    <w:keepNext w:val="0"/>
                    <w:keepLines w:val="0"/>
                    <w:pageBreakBefore w:val="0"/>
                    <w:widowControl/>
                    <w:kinsoku/>
                    <w:wordWrap/>
                    <w:overflowPunct/>
                    <w:topLinePunct w:val="0"/>
                    <w:autoSpaceDE/>
                    <w:autoSpaceDN/>
                    <w:bidi w:val="0"/>
                    <w:spacing w:before="0"/>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一氧化碳（</w:t>
                  </w:r>
                  <w:r>
                    <w:rPr>
                      <w:rFonts w:hint="default" w:ascii="Times New Roman" w:hAnsi="Times New Roman" w:cs="Times New Roman"/>
                      <w:color w:val="auto"/>
                      <w:sz w:val="21"/>
                      <w:szCs w:val="21"/>
                      <w:highlight w:val="none"/>
                      <w:lang w:val="en-US" w:eastAsia="zh-CN"/>
                    </w:rPr>
                    <w:t>CO</w:t>
                  </w:r>
                  <w:r>
                    <w:rPr>
                      <w:rFonts w:hint="default" w:ascii="Times New Roman" w:hAnsi="Times New Roman" w:cs="Times New Roman"/>
                      <w:color w:val="auto"/>
                      <w:sz w:val="21"/>
                      <w:szCs w:val="21"/>
                      <w:highlight w:val="none"/>
                      <w:lang w:eastAsia="zh-CN"/>
                    </w:rPr>
                    <w:t>）</w:t>
                  </w:r>
                </w:p>
              </w:tc>
              <w:tc>
                <w:tcPr>
                  <w:tcW w:w="1797" w:type="pct"/>
                  <w:tcBorders>
                    <w:top w:val="single" w:color="auto" w:sz="4" w:space="0"/>
                    <w:left w:val="single" w:color="auto" w:sz="4" w:space="0"/>
                    <w:bottom w:val="single" w:color="auto" w:sz="4" w:space="0"/>
                    <w:right w:val="single" w:color="auto" w:sz="4" w:space="0"/>
                  </w:tcBorders>
                  <w:noWrap w:val="0"/>
                  <w:vAlign w:val="center"/>
                </w:tcPr>
                <w:p w14:paraId="445863DC">
                  <w:pPr>
                    <w:pStyle w:val="26"/>
                    <w:keepNext w:val="0"/>
                    <w:keepLines w:val="0"/>
                    <w:pageBreakBefore w:val="0"/>
                    <w:widowControl/>
                    <w:kinsoku/>
                    <w:wordWrap/>
                    <w:overflowPunct/>
                    <w:topLinePunct w:val="0"/>
                    <w:autoSpaceDE/>
                    <w:autoSpaceDN/>
                    <w:bidi w:val="0"/>
                    <w:spacing w:before="0" w:beforeLines="0" w:beforeAutospacing="0" w:after="0" w:afterAutospacing="0" w:line="240" w:lineRule="auto"/>
                    <w:ind w:left="0" w:leftChars="0" w:right="0" w:rightChars="0" w:firstLine="0" w:firstLineChars="0"/>
                    <w:textAlignment w:val="auto"/>
                    <w:rPr>
                      <w:rFonts w:hint="default" w:ascii="Times New Roman" w:hAnsi="Times New Roman" w:eastAsia="Calibri" w:cs="Times New Roman"/>
                      <w:b w:val="0"/>
                      <w:bCs/>
                      <w:color w:val="auto"/>
                      <w:kern w:val="0"/>
                      <w:sz w:val="21"/>
                      <w:szCs w:val="21"/>
                      <w:highlight w:val="none"/>
                      <w:lang w:val="en-US" w:eastAsia="zh-CN" w:bidi="ar"/>
                    </w:rPr>
                  </w:pPr>
                  <w:r>
                    <w:rPr>
                      <w:rFonts w:hint="default" w:ascii="Times New Roman" w:hAnsi="Times New Roman" w:cs="Times New Roman"/>
                      <w:b w:val="0"/>
                      <w:bCs/>
                      <w:color w:val="auto"/>
                      <w:sz w:val="21"/>
                      <w:szCs w:val="21"/>
                      <w:highlight w:val="none"/>
                      <w:lang w:val="en-US" w:eastAsia="zh-CN"/>
                    </w:rPr>
                    <w:t>24</w:t>
                  </w:r>
                  <w:r>
                    <w:rPr>
                      <w:rFonts w:hint="default" w:ascii="Times New Roman" w:hAnsi="Times New Roman" w:cs="Times New Roman"/>
                      <w:b w:val="0"/>
                      <w:bCs/>
                      <w:color w:val="auto"/>
                      <w:sz w:val="21"/>
                      <w:szCs w:val="21"/>
                      <w:highlight w:val="none"/>
                      <w:lang w:eastAsia="zh-CN"/>
                    </w:rPr>
                    <w:t>小时平均</w:t>
                  </w:r>
                </w:p>
              </w:tc>
              <w:tc>
                <w:tcPr>
                  <w:tcW w:w="889" w:type="pct"/>
                  <w:tcBorders>
                    <w:top w:val="single" w:color="auto" w:sz="4" w:space="0"/>
                    <w:left w:val="single" w:color="auto" w:sz="4" w:space="0"/>
                    <w:bottom w:val="single" w:color="auto" w:sz="4" w:space="0"/>
                    <w:right w:val="single" w:color="auto" w:sz="4" w:space="0"/>
                  </w:tcBorders>
                  <w:noWrap w:val="0"/>
                  <w:vAlign w:val="center"/>
                </w:tcPr>
                <w:p w14:paraId="3DDA4B3C">
                  <w:pPr>
                    <w:pStyle w:val="26"/>
                    <w:keepNext w:val="0"/>
                    <w:keepLines w:val="0"/>
                    <w:pageBreakBefore w:val="0"/>
                    <w:widowControl/>
                    <w:kinsoku/>
                    <w:wordWrap/>
                    <w:overflowPunct/>
                    <w:topLinePunct w:val="0"/>
                    <w:autoSpaceDE/>
                    <w:autoSpaceDN/>
                    <w:bidi w:val="0"/>
                    <w:spacing w:before="0" w:beforeLines="0" w:beforeAutospacing="0" w:after="0" w:afterAutospacing="0" w:line="240" w:lineRule="auto"/>
                    <w:ind w:left="0" w:leftChars="0" w:right="0" w:rightChars="0" w:firstLine="0" w:firstLineChars="0"/>
                    <w:textAlignment w:val="auto"/>
                    <w:rPr>
                      <w:rFonts w:hint="default" w:ascii="Times New Roman" w:hAnsi="Times New Roman" w:eastAsia="Calibri" w:cs="Times New Roman"/>
                      <w:b w:val="0"/>
                      <w:bCs/>
                      <w:color w:val="auto"/>
                      <w:kern w:val="0"/>
                      <w:sz w:val="21"/>
                      <w:szCs w:val="21"/>
                      <w:highlight w:val="none"/>
                      <w:lang w:val="en-US" w:eastAsia="zh-CN" w:bidi="ar"/>
                    </w:rPr>
                  </w:pPr>
                  <w:r>
                    <w:rPr>
                      <w:rFonts w:hint="default" w:ascii="Times New Roman" w:hAnsi="Times New Roman" w:cs="Times New Roman"/>
                      <w:b w:val="0"/>
                      <w:bCs/>
                      <w:color w:val="auto"/>
                      <w:sz w:val="21"/>
                      <w:szCs w:val="21"/>
                      <w:highlight w:val="none"/>
                      <w:lang w:val="en-US" w:eastAsia="zh-CN"/>
                    </w:rPr>
                    <w:t>4</w:t>
                  </w:r>
                </w:p>
              </w:tc>
              <w:tc>
                <w:tcPr>
                  <w:tcW w:w="888" w:type="pct"/>
                  <w:vMerge w:val="restart"/>
                  <w:tcBorders>
                    <w:top w:val="single" w:color="auto" w:sz="4" w:space="0"/>
                    <w:left w:val="single" w:color="auto" w:sz="4" w:space="0"/>
                    <w:bottom w:val="single" w:color="auto" w:sz="4" w:space="0"/>
                    <w:right w:val="single" w:color="auto" w:sz="4" w:space="0"/>
                  </w:tcBorders>
                  <w:noWrap w:val="0"/>
                  <w:vAlign w:val="center"/>
                </w:tcPr>
                <w:p w14:paraId="1407DFAD">
                  <w:pPr>
                    <w:pStyle w:val="26"/>
                    <w:keepNext w:val="0"/>
                    <w:keepLines w:val="0"/>
                    <w:pageBreakBefore w:val="0"/>
                    <w:widowControl/>
                    <w:kinsoku/>
                    <w:wordWrap/>
                    <w:overflowPunct/>
                    <w:topLinePunct w:val="0"/>
                    <w:autoSpaceDE/>
                    <w:autoSpaceDN/>
                    <w:bidi w:val="0"/>
                    <w:spacing w:before="0" w:beforeLines="0" w:beforeAutospacing="0" w:after="0" w:afterAutospacing="0" w:line="240" w:lineRule="auto"/>
                    <w:ind w:left="0" w:right="0" w:firstLine="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mg/m</w:t>
                  </w:r>
                  <w:r>
                    <w:rPr>
                      <w:rFonts w:hint="default" w:ascii="Times New Roman" w:hAnsi="Times New Roman" w:cs="Times New Roman"/>
                      <w:b w:val="0"/>
                      <w:bCs/>
                      <w:color w:val="auto"/>
                      <w:sz w:val="21"/>
                      <w:szCs w:val="21"/>
                      <w:highlight w:val="none"/>
                      <w:vertAlign w:val="superscript"/>
                      <w:lang w:val="en-US" w:eastAsia="zh-CN"/>
                    </w:rPr>
                    <w:t>3</w:t>
                  </w:r>
                </w:p>
              </w:tc>
            </w:tr>
            <w:tr w14:paraId="21CD0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4" w:type="pct"/>
                  <w:vMerge w:val="continue"/>
                  <w:tcBorders>
                    <w:top w:val="single" w:color="auto" w:sz="4" w:space="0"/>
                    <w:left w:val="single" w:color="auto" w:sz="4" w:space="0"/>
                    <w:bottom w:val="single" w:color="auto" w:sz="4" w:space="0"/>
                    <w:right w:val="single" w:color="auto" w:sz="4" w:space="0"/>
                  </w:tcBorders>
                  <w:noWrap w:val="0"/>
                  <w:vAlign w:val="center"/>
                </w:tcPr>
                <w:p w14:paraId="2DF3BB6D">
                  <w:pPr>
                    <w:keepNext w:val="0"/>
                    <w:keepLines w:val="0"/>
                    <w:pageBreakBefore w:val="0"/>
                    <w:kinsoku/>
                    <w:wordWrap/>
                    <w:overflowPunct/>
                    <w:topLinePunct w:val="0"/>
                    <w:autoSpaceDE/>
                    <w:autoSpaceDN/>
                    <w:bidi w:val="0"/>
                    <w:ind w:left="0"/>
                    <w:textAlignment w:val="auto"/>
                    <w:rPr>
                      <w:rFonts w:hint="default" w:ascii="Times New Roman" w:hAnsi="Times New Roman" w:cs="Times New Roman"/>
                      <w:color w:val="auto"/>
                      <w:sz w:val="21"/>
                      <w:szCs w:val="21"/>
                      <w:highlight w:val="none"/>
                    </w:rPr>
                  </w:pPr>
                </w:p>
              </w:tc>
              <w:tc>
                <w:tcPr>
                  <w:tcW w:w="1797" w:type="pct"/>
                  <w:tcBorders>
                    <w:top w:val="single" w:color="auto" w:sz="4" w:space="0"/>
                    <w:left w:val="single" w:color="auto" w:sz="4" w:space="0"/>
                    <w:bottom w:val="single" w:color="auto" w:sz="4" w:space="0"/>
                    <w:right w:val="single" w:color="auto" w:sz="4" w:space="0"/>
                  </w:tcBorders>
                  <w:noWrap w:val="0"/>
                  <w:vAlign w:val="center"/>
                </w:tcPr>
                <w:p w14:paraId="5400CF24">
                  <w:pPr>
                    <w:pStyle w:val="26"/>
                    <w:keepNext w:val="0"/>
                    <w:keepLines w:val="0"/>
                    <w:pageBreakBefore w:val="0"/>
                    <w:widowControl/>
                    <w:kinsoku/>
                    <w:wordWrap/>
                    <w:overflowPunct/>
                    <w:topLinePunct w:val="0"/>
                    <w:autoSpaceDE/>
                    <w:autoSpaceDN/>
                    <w:bidi w:val="0"/>
                    <w:spacing w:before="0" w:beforeLines="0" w:beforeAutospacing="0" w:after="0" w:afterAutospacing="0" w:line="240" w:lineRule="auto"/>
                    <w:ind w:left="0" w:leftChars="0" w:right="0" w:rightChars="0" w:firstLine="0" w:firstLineChars="0"/>
                    <w:textAlignment w:val="auto"/>
                    <w:rPr>
                      <w:rFonts w:hint="default" w:ascii="Times New Roman" w:hAnsi="Times New Roman" w:eastAsia="Calibri" w:cs="Times New Roman"/>
                      <w:b w:val="0"/>
                      <w:bCs/>
                      <w:color w:val="auto"/>
                      <w:kern w:val="0"/>
                      <w:sz w:val="21"/>
                      <w:szCs w:val="21"/>
                      <w:highlight w:val="none"/>
                      <w:lang w:val="en-US" w:eastAsia="zh-CN" w:bidi="ar"/>
                    </w:rPr>
                  </w:pPr>
                  <w:r>
                    <w:rPr>
                      <w:rFonts w:hint="default" w:ascii="Times New Roman" w:hAnsi="Times New Roman" w:cs="Times New Roman"/>
                      <w:b w:val="0"/>
                      <w:bCs/>
                      <w:color w:val="auto"/>
                      <w:sz w:val="21"/>
                      <w:szCs w:val="21"/>
                      <w:highlight w:val="none"/>
                      <w:lang w:val="en-US" w:eastAsia="zh-CN"/>
                    </w:rPr>
                    <w:t>1</w:t>
                  </w:r>
                  <w:r>
                    <w:rPr>
                      <w:rFonts w:hint="default" w:ascii="Times New Roman" w:hAnsi="Times New Roman" w:cs="Times New Roman"/>
                      <w:b w:val="0"/>
                      <w:bCs/>
                      <w:color w:val="auto"/>
                      <w:sz w:val="21"/>
                      <w:szCs w:val="21"/>
                      <w:highlight w:val="none"/>
                      <w:lang w:eastAsia="zh-CN"/>
                    </w:rPr>
                    <w:t>小时平均</w:t>
                  </w:r>
                </w:p>
              </w:tc>
              <w:tc>
                <w:tcPr>
                  <w:tcW w:w="889" w:type="pct"/>
                  <w:tcBorders>
                    <w:top w:val="single" w:color="auto" w:sz="4" w:space="0"/>
                    <w:left w:val="single" w:color="auto" w:sz="4" w:space="0"/>
                    <w:bottom w:val="single" w:color="auto" w:sz="4" w:space="0"/>
                    <w:right w:val="single" w:color="auto" w:sz="4" w:space="0"/>
                  </w:tcBorders>
                  <w:noWrap w:val="0"/>
                  <w:vAlign w:val="center"/>
                </w:tcPr>
                <w:p w14:paraId="42CCB487">
                  <w:pPr>
                    <w:pStyle w:val="26"/>
                    <w:keepNext w:val="0"/>
                    <w:keepLines w:val="0"/>
                    <w:pageBreakBefore w:val="0"/>
                    <w:widowControl/>
                    <w:kinsoku/>
                    <w:wordWrap/>
                    <w:overflowPunct/>
                    <w:topLinePunct w:val="0"/>
                    <w:autoSpaceDE/>
                    <w:autoSpaceDN/>
                    <w:bidi w:val="0"/>
                    <w:spacing w:before="0" w:beforeLines="0" w:beforeAutospacing="0" w:after="0" w:afterAutospacing="0" w:line="240" w:lineRule="auto"/>
                    <w:ind w:left="0" w:leftChars="0" w:right="0" w:rightChars="0" w:firstLine="0" w:firstLineChars="0"/>
                    <w:textAlignment w:val="auto"/>
                    <w:rPr>
                      <w:rFonts w:hint="default" w:ascii="Times New Roman" w:hAnsi="Times New Roman" w:eastAsia="Calibri" w:cs="Times New Roman"/>
                      <w:b w:val="0"/>
                      <w:bCs/>
                      <w:color w:val="auto"/>
                      <w:kern w:val="0"/>
                      <w:sz w:val="21"/>
                      <w:szCs w:val="21"/>
                      <w:highlight w:val="none"/>
                      <w:lang w:val="en-US" w:eastAsia="zh-CN" w:bidi="ar"/>
                    </w:rPr>
                  </w:pPr>
                  <w:r>
                    <w:rPr>
                      <w:rFonts w:hint="default" w:ascii="Times New Roman" w:hAnsi="Times New Roman" w:cs="Times New Roman"/>
                      <w:b w:val="0"/>
                      <w:bCs/>
                      <w:color w:val="auto"/>
                      <w:sz w:val="21"/>
                      <w:szCs w:val="21"/>
                      <w:highlight w:val="none"/>
                      <w:lang w:val="en-US" w:eastAsia="zh-CN"/>
                    </w:rPr>
                    <w:t>10</w:t>
                  </w:r>
                </w:p>
              </w:tc>
              <w:tc>
                <w:tcPr>
                  <w:tcW w:w="888" w:type="pct"/>
                  <w:vMerge w:val="continue"/>
                  <w:tcBorders>
                    <w:top w:val="single" w:color="auto" w:sz="4" w:space="0"/>
                    <w:left w:val="single" w:color="auto" w:sz="4" w:space="0"/>
                    <w:bottom w:val="single" w:color="auto" w:sz="4" w:space="0"/>
                    <w:right w:val="single" w:color="auto" w:sz="4" w:space="0"/>
                  </w:tcBorders>
                  <w:noWrap w:val="0"/>
                  <w:vAlign w:val="center"/>
                </w:tcPr>
                <w:p w14:paraId="74E3EB8F">
                  <w:pPr>
                    <w:keepNext w:val="0"/>
                    <w:keepLines w:val="0"/>
                    <w:pageBreakBefore w:val="0"/>
                    <w:kinsoku/>
                    <w:wordWrap/>
                    <w:overflowPunct/>
                    <w:topLinePunct w:val="0"/>
                    <w:autoSpaceDE/>
                    <w:autoSpaceDN/>
                    <w:bidi w:val="0"/>
                    <w:ind w:left="0"/>
                    <w:textAlignment w:val="auto"/>
                    <w:rPr>
                      <w:rFonts w:hint="default" w:ascii="Times New Roman" w:hAnsi="Times New Roman" w:cs="Times New Roman"/>
                      <w:b w:val="0"/>
                      <w:bCs/>
                      <w:color w:val="auto"/>
                      <w:sz w:val="21"/>
                      <w:szCs w:val="21"/>
                      <w:highlight w:val="none"/>
                    </w:rPr>
                  </w:pPr>
                </w:p>
              </w:tc>
            </w:tr>
            <w:tr w14:paraId="5EF7E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4" w:type="pct"/>
                  <w:vMerge w:val="restart"/>
                  <w:tcBorders>
                    <w:top w:val="single" w:color="auto" w:sz="4" w:space="0"/>
                    <w:left w:val="single" w:color="auto" w:sz="4" w:space="0"/>
                    <w:bottom w:val="single" w:color="auto" w:sz="4" w:space="0"/>
                    <w:right w:val="single" w:color="auto" w:sz="4" w:space="0"/>
                  </w:tcBorders>
                  <w:noWrap w:val="0"/>
                  <w:vAlign w:val="center"/>
                </w:tcPr>
                <w:p w14:paraId="56C3FBA2">
                  <w:pPr>
                    <w:pStyle w:val="2"/>
                    <w:keepNext w:val="0"/>
                    <w:keepLines w:val="0"/>
                    <w:pageBreakBefore w:val="0"/>
                    <w:widowControl/>
                    <w:kinsoku/>
                    <w:wordWrap/>
                    <w:overflowPunct/>
                    <w:topLinePunct w:val="0"/>
                    <w:autoSpaceDE/>
                    <w:autoSpaceDN/>
                    <w:bidi w:val="0"/>
                    <w:spacing w:before="0"/>
                    <w:ind w:left="0" w:firstLine="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臭氧（</w:t>
                  </w:r>
                  <w:r>
                    <w:rPr>
                      <w:rFonts w:hint="default" w:ascii="Times New Roman" w:hAnsi="Times New Roman" w:cs="Times New Roman"/>
                      <w:color w:val="auto"/>
                      <w:sz w:val="21"/>
                      <w:szCs w:val="21"/>
                      <w:highlight w:val="none"/>
                      <w:lang w:val="en-US" w:eastAsia="zh-CN"/>
                    </w:rPr>
                    <w:t>O</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lang w:eastAsia="zh-CN"/>
                    </w:rPr>
                    <w:t>）</w:t>
                  </w:r>
                </w:p>
              </w:tc>
              <w:tc>
                <w:tcPr>
                  <w:tcW w:w="1797" w:type="pct"/>
                  <w:tcBorders>
                    <w:top w:val="single" w:color="auto" w:sz="4" w:space="0"/>
                    <w:left w:val="single" w:color="auto" w:sz="4" w:space="0"/>
                    <w:bottom w:val="single" w:color="auto" w:sz="4" w:space="0"/>
                    <w:right w:val="single" w:color="auto" w:sz="4" w:space="0"/>
                  </w:tcBorders>
                  <w:noWrap w:val="0"/>
                  <w:vAlign w:val="center"/>
                </w:tcPr>
                <w:p w14:paraId="465BB2D7">
                  <w:pPr>
                    <w:pStyle w:val="26"/>
                    <w:keepNext w:val="0"/>
                    <w:keepLines w:val="0"/>
                    <w:pageBreakBefore w:val="0"/>
                    <w:widowControl/>
                    <w:kinsoku/>
                    <w:wordWrap/>
                    <w:overflowPunct/>
                    <w:topLinePunct w:val="0"/>
                    <w:autoSpaceDE/>
                    <w:autoSpaceDN/>
                    <w:bidi w:val="0"/>
                    <w:spacing w:before="0" w:beforeLines="0" w:beforeAutospacing="0" w:after="0" w:afterAutospacing="0" w:line="240" w:lineRule="auto"/>
                    <w:ind w:left="0" w:right="0" w:firstLine="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eastAsia="zh-CN"/>
                    </w:rPr>
                    <w:t>日最大</w:t>
                  </w:r>
                  <w:r>
                    <w:rPr>
                      <w:rFonts w:hint="default" w:ascii="Times New Roman" w:hAnsi="Times New Roman" w:cs="Times New Roman"/>
                      <w:b w:val="0"/>
                      <w:bCs/>
                      <w:color w:val="auto"/>
                      <w:sz w:val="21"/>
                      <w:szCs w:val="21"/>
                      <w:highlight w:val="none"/>
                      <w:lang w:val="en-US" w:eastAsia="zh-CN"/>
                    </w:rPr>
                    <w:t>8h</w:t>
                  </w:r>
                  <w:r>
                    <w:rPr>
                      <w:rFonts w:hint="default" w:ascii="Times New Roman" w:hAnsi="Times New Roman" w:cs="Times New Roman"/>
                      <w:b w:val="0"/>
                      <w:bCs/>
                      <w:color w:val="auto"/>
                      <w:sz w:val="21"/>
                      <w:szCs w:val="21"/>
                      <w:highlight w:val="none"/>
                      <w:lang w:eastAsia="zh-CN"/>
                    </w:rPr>
                    <w:t>平均</w:t>
                  </w:r>
                </w:p>
              </w:tc>
              <w:tc>
                <w:tcPr>
                  <w:tcW w:w="889" w:type="pct"/>
                  <w:tcBorders>
                    <w:top w:val="single" w:color="auto" w:sz="4" w:space="0"/>
                    <w:left w:val="single" w:color="auto" w:sz="4" w:space="0"/>
                    <w:bottom w:val="single" w:color="auto" w:sz="4" w:space="0"/>
                    <w:right w:val="single" w:color="auto" w:sz="4" w:space="0"/>
                  </w:tcBorders>
                  <w:noWrap w:val="0"/>
                  <w:vAlign w:val="center"/>
                </w:tcPr>
                <w:p w14:paraId="005B179A">
                  <w:pPr>
                    <w:pStyle w:val="26"/>
                    <w:keepNext w:val="0"/>
                    <w:keepLines w:val="0"/>
                    <w:pageBreakBefore w:val="0"/>
                    <w:widowControl/>
                    <w:kinsoku/>
                    <w:wordWrap/>
                    <w:overflowPunct/>
                    <w:topLinePunct w:val="0"/>
                    <w:autoSpaceDE/>
                    <w:autoSpaceDN/>
                    <w:bidi w:val="0"/>
                    <w:spacing w:before="0" w:beforeLines="0" w:beforeAutospacing="0" w:after="0" w:afterAutospacing="0" w:line="240" w:lineRule="auto"/>
                    <w:ind w:left="0" w:right="0" w:firstLine="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160</w:t>
                  </w:r>
                </w:p>
              </w:tc>
              <w:tc>
                <w:tcPr>
                  <w:tcW w:w="888" w:type="pct"/>
                  <w:vMerge w:val="restart"/>
                  <w:tcBorders>
                    <w:top w:val="single" w:color="auto" w:sz="4" w:space="0"/>
                    <w:left w:val="single" w:color="auto" w:sz="4" w:space="0"/>
                    <w:bottom w:val="single" w:color="auto" w:sz="4" w:space="0"/>
                    <w:right w:val="single" w:color="auto" w:sz="4" w:space="0"/>
                  </w:tcBorders>
                  <w:noWrap w:val="0"/>
                  <w:vAlign w:val="center"/>
                </w:tcPr>
                <w:p w14:paraId="146326BA">
                  <w:pPr>
                    <w:pStyle w:val="26"/>
                    <w:keepNext w:val="0"/>
                    <w:keepLines w:val="0"/>
                    <w:pageBreakBefore w:val="0"/>
                    <w:widowControl/>
                    <w:kinsoku/>
                    <w:wordWrap/>
                    <w:overflowPunct/>
                    <w:topLinePunct w:val="0"/>
                    <w:autoSpaceDE/>
                    <w:autoSpaceDN/>
                    <w:bidi w:val="0"/>
                    <w:spacing w:before="0" w:beforeLines="0" w:beforeAutospacing="0" w:after="0" w:afterAutospacing="0" w:line="240" w:lineRule="auto"/>
                    <w:ind w:left="0" w:right="0" w:firstLine="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Cs w:val="21"/>
                      <w:highlight w:val="none"/>
                      <w:lang w:val="en-US" w:eastAsia="zh-CN"/>
                    </w:rPr>
                    <w:t>μ</w:t>
                  </w:r>
                  <w:r>
                    <w:rPr>
                      <w:rFonts w:hint="default" w:ascii="Times New Roman" w:hAnsi="Times New Roman" w:cs="Times New Roman"/>
                      <w:b w:val="0"/>
                      <w:bCs/>
                      <w:color w:val="auto"/>
                      <w:szCs w:val="21"/>
                      <w:highlight w:val="none"/>
                    </w:rPr>
                    <w:t>g/m</w:t>
                  </w:r>
                  <w:r>
                    <w:rPr>
                      <w:rFonts w:hint="default" w:ascii="Times New Roman" w:hAnsi="Times New Roman" w:cs="Times New Roman"/>
                      <w:b w:val="0"/>
                      <w:bCs/>
                      <w:color w:val="auto"/>
                      <w:szCs w:val="21"/>
                      <w:highlight w:val="none"/>
                      <w:vertAlign w:val="superscript"/>
                    </w:rPr>
                    <w:t>3</w:t>
                  </w:r>
                </w:p>
              </w:tc>
            </w:tr>
            <w:tr w14:paraId="61A9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4" w:type="pct"/>
                  <w:vMerge w:val="continue"/>
                  <w:tcBorders>
                    <w:top w:val="single" w:color="auto" w:sz="4" w:space="0"/>
                    <w:left w:val="single" w:color="auto" w:sz="4" w:space="0"/>
                    <w:bottom w:val="single" w:color="auto" w:sz="4" w:space="0"/>
                    <w:right w:val="single" w:color="auto" w:sz="4" w:space="0"/>
                  </w:tcBorders>
                  <w:noWrap w:val="0"/>
                  <w:vAlign w:val="center"/>
                </w:tcPr>
                <w:p w14:paraId="13DC6E6E">
                  <w:pPr>
                    <w:keepNext w:val="0"/>
                    <w:keepLines w:val="0"/>
                    <w:pageBreakBefore w:val="0"/>
                    <w:kinsoku/>
                    <w:wordWrap/>
                    <w:overflowPunct/>
                    <w:topLinePunct w:val="0"/>
                    <w:autoSpaceDE/>
                    <w:autoSpaceDN/>
                    <w:bidi w:val="0"/>
                    <w:ind w:left="0"/>
                    <w:textAlignment w:val="auto"/>
                    <w:rPr>
                      <w:rFonts w:hint="default" w:ascii="Times New Roman" w:hAnsi="Times New Roman" w:cs="Times New Roman"/>
                      <w:color w:val="auto"/>
                      <w:sz w:val="21"/>
                      <w:szCs w:val="21"/>
                      <w:highlight w:val="none"/>
                    </w:rPr>
                  </w:pPr>
                </w:p>
              </w:tc>
              <w:tc>
                <w:tcPr>
                  <w:tcW w:w="1797" w:type="pct"/>
                  <w:tcBorders>
                    <w:top w:val="single" w:color="auto" w:sz="4" w:space="0"/>
                    <w:left w:val="single" w:color="auto" w:sz="4" w:space="0"/>
                    <w:bottom w:val="single" w:color="auto" w:sz="4" w:space="0"/>
                    <w:right w:val="single" w:color="auto" w:sz="4" w:space="0"/>
                  </w:tcBorders>
                  <w:noWrap w:val="0"/>
                  <w:vAlign w:val="center"/>
                </w:tcPr>
                <w:p w14:paraId="73888840">
                  <w:pPr>
                    <w:pStyle w:val="26"/>
                    <w:keepNext w:val="0"/>
                    <w:keepLines w:val="0"/>
                    <w:pageBreakBefore w:val="0"/>
                    <w:widowControl/>
                    <w:kinsoku/>
                    <w:wordWrap/>
                    <w:overflowPunct/>
                    <w:topLinePunct w:val="0"/>
                    <w:autoSpaceDE/>
                    <w:autoSpaceDN/>
                    <w:bidi w:val="0"/>
                    <w:spacing w:before="0" w:beforeLines="0" w:beforeAutospacing="0" w:after="0" w:afterAutospacing="0" w:line="240" w:lineRule="auto"/>
                    <w:ind w:left="0" w:right="0" w:firstLine="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r>
                    <w:rPr>
                      <w:rFonts w:hint="default" w:ascii="Times New Roman" w:hAnsi="Times New Roman" w:cs="Times New Roman"/>
                      <w:b w:val="0"/>
                      <w:bCs/>
                      <w:color w:val="auto"/>
                      <w:sz w:val="21"/>
                      <w:szCs w:val="21"/>
                      <w:highlight w:val="none"/>
                      <w:lang w:eastAsia="zh-CN"/>
                    </w:rPr>
                    <w:t>小时平均</w:t>
                  </w:r>
                </w:p>
              </w:tc>
              <w:tc>
                <w:tcPr>
                  <w:tcW w:w="889" w:type="pct"/>
                  <w:tcBorders>
                    <w:top w:val="single" w:color="auto" w:sz="4" w:space="0"/>
                    <w:left w:val="single" w:color="auto" w:sz="4" w:space="0"/>
                    <w:bottom w:val="single" w:color="auto" w:sz="4" w:space="0"/>
                    <w:right w:val="single" w:color="auto" w:sz="4" w:space="0"/>
                  </w:tcBorders>
                  <w:noWrap w:val="0"/>
                  <w:vAlign w:val="center"/>
                </w:tcPr>
                <w:p w14:paraId="5EC214BA">
                  <w:pPr>
                    <w:pStyle w:val="26"/>
                    <w:keepNext w:val="0"/>
                    <w:keepLines w:val="0"/>
                    <w:pageBreakBefore w:val="0"/>
                    <w:widowControl/>
                    <w:kinsoku/>
                    <w:wordWrap/>
                    <w:overflowPunct/>
                    <w:topLinePunct w:val="0"/>
                    <w:autoSpaceDE/>
                    <w:autoSpaceDN/>
                    <w:bidi w:val="0"/>
                    <w:spacing w:before="0" w:beforeLines="0" w:beforeAutospacing="0" w:after="0" w:afterAutospacing="0" w:line="240" w:lineRule="auto"/>
                    <w:ind w:left="0" w:right="0" w:firstLine="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200</w:t>
                  </w:r>
                </w:p>
              </w:tc>
              <w:tc>
                <w:tcPr>
                  <w:tcW w:w="888" w:type="pct"/>
                  <w:vMerge w:val="continue"/>
                  <w:tcBorders>
                    <w:top w:val="single" w:color="auto" w:sz="4" w:space="0"/>
                    <w:left w:val="single" w:color="auto" w:sz="4" w:space="0"/>
                    <w:bottom w:val="single" w:color="auto" w:sz="4" w:space="0"/>
                    <w:right w:val="single" w:color="auto" w:sz="4" w:space="0"/>
                  </w:tcBorders>
                  <w:noWrap w:val="0"/>
                  <w:vAlign w:val="center"/>
                </w:tcPr>
                <w:p w14:paraId="41DF45E5">
                  <w:pPr>
                    <w:keepNext w:val="0"/>
                    <w:keepLines w:val="0"/>
                    <w:pageBreakBefore w:val="0"/>
                    <w:kinsoku/>
                    <w:wordWrap/>
                    <w:overflowPunct/>
                    <w:topLinePunct w:val="0"/>
                    <w:autoSpaceDE/>
                    <w:autoSpaceDN/>
                    <w:bidi w:val="0"/>
                    <w:ind w:left="0"/>
                    <w:textAlignment w:val="auto"/>
                    <w:rPr>
                      <w:rFonts w:hint="default" w:ascii="Times New Roman" w:hAnsi="Times New Roman" w:cs="Times New Roman"/>
                      <w:color w:val="auto"/>
                      <w:sz w:val="21"/>
                      <w:szCs w:val="21"/>
                      <w:highlight w:val="none"/>
                    </w:rPr>
                  </w:pPr>
                </w:p>
              </w:tc>
            </w:tr>
          </w:tbl>
          <w:p w14:paraId="382A8953">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22"/>
                <w:highlight w:val="none"/>
                <w:lang w:val="en-US" w:eastAsia="zh-CN"/>
              </w:rPr>
            </w:pPr>
            <w:r>
              <w:rPr>
                <w:rFonts w:hint="default" w:ascii="Times New Roman" w:hAnsi="Times New Roman" w:eastAsia="Calibri" w:cs="Times New Roman"/>
                <w:color w:val="auto"/>
                <w:kern w:val="0"/>
                <w:sz w:val="24"/>
                <w:szCs w:val="22"/>
                <w:highlight w:val="none"/>
                <w:lang w:val="en-US" w:eastAsia="zh-CN" w:bidi="ar"/>
              </w:rPr>
              <w:t>（2）声环境质量标准：声环境质量执行《声环境质量标准》（GB3096-2008）</w:t>
            </w:r>
            <w:r>
              <w:rPr>
                <w:rFonts w:hint="default" w:ascii="Times New Roman" w:hAnsi="Times New Roman" w:cs="Times New Roman"/>
                <w:color w:val="auto"/>
                <w:kern w:val="0"/>
                <w:sz w:val="24"/>
                <w:szCs w:val="22"/>
                <w:highlight w:val="none"/>
                <w:lang w:val="en-US" w:eastAsia="zh-CN" w:bidi="ar"/>
              </w:rPr>
              <w:t>1</w:t>
            </w:r>
            <w:r>
              <w:rPr>
                <w:rFonts w:hint="default" w:ascii="Times New Roman" w:hAnsi="Times New Roman" w:eastAsia="Calibri" w:cs="Times New Roman"/>
                <w:color w:val="auto"/>
                <w:kern w:val="0"/>
                <w:sz w:val="24"/>
                <w:szCs w:val="22"/>
                <w:highlight w:val="none"/>
                <w:lang w:val="en-US" w:eastAsia="zh-CN" w:bidi="ar"/>
              </w:rPr>
              <w:t>类标准。</w:t>
            </w:r>
          </w:p>
          <w:p w14:paraId="03B0786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szCs w:val="24"/>
                <w:highlight w:val="none"/>
                <w:lang w:val="en-US" w:eastAsia="zh-CN"/>
              </w:rPr>
            </w:pPr>
            <w:r>
              <w:rPr>
                <w:rFonts w:hint="default" w:ascii="Times New Roman" w:hAnsi="Times New Roman" w:eastAsia="Calibri" w:cs="Times New Roman"/>
                <w:b/>
                <w:bCs/>
                <w:color w:val="auto"/>
                <w:kern w:val="0"/>
                <w:sz w:val="24"/>
                <w:szCs w:val="24"/>
                <w:highlight w:val="none"/>
                <w:lang w:val="en-US" w:eastAsia="zh-CN" w:bidi="ar"/>
              </w:rPr>
              <w:t>表3-</w:t>
            </w:r>
            <w:r>
              <w:rPr>
                <w:rFonts w:hint="eastAsia" w:ascii="Times New Roman" w:hAnsi="Times New Roman" w:cs="Times New Roman"/>
                <w:b/>
                <w:bCs/>
                <w:color w:val="auto"/>
                <w:kern w:val="0"/>
                <w:sz w:val="24"/>
                <w:szCs w:val="24"/>
                <w:highlight w:val="none"/>
                <w:lang w:val="en-US" w:eastAsia="zh-CN" w:bidi="ar"/>
              </w:rPr>
              <w:t xml:space="preserve">4 </w:t>
            </w:r>
            <w:r>
              <w:rPr>
                <w:rFonts w:hint="default" w:ascii="Times New Roman" w:hAnsi="Times New Roman" w:eastAsia="Calibri" w:cs="Times New Roman"/>
                <w:b/>
                <w:bCs/>
                <w:color w:val="auto"/>
                <w:kern w:val="0"/>
                <w:sz w:val="24"/>
                <w:szCs w:val="24"/>
                <w:highlight w:val="none"/>
                <w:lang w:val="en-US" w:eastAsia="zh-CN" w:bidi="ar"/>
              </w:rPr>
              <w:t>环境噪声评价标准单位：dB</w:t>
            </w:r>
            <w:r>
              <w:rPr>
                <w:rFonts w:hint="eastAsia" w:ascii="Times New Roman" w:hAnsi="Times New Roman" w:eastAsia="Calibri" w:cs="Times New Roman"/>
                <w:b/>
                <w:bCs/>
                <w:color w:val="auto"/>
                <w:kern w:val="0"/>
                <w:sz w:val="24"/>
                <w:szCs w:val="24"/>
                <w:highlight w:val="none"/>
                <w:lang w:val="en-US" w:eastAsia="zh-CN" w:bidi="ar"/>
              </w:rPr>
              <w:t>（</w:t>
            </w:r>
            <w:r>
              <w:rPr>
                <w:rFonts w:hint="default" w:ascii="Times New Roman" w:hAnsi="Times New Roman" w:eastAsia="Calibri" w:cs="Times New Roman"/>
                <w:b/>
                <w:bCs/>
                <w:color w:val="auto"/>
                <w:kern w:val="0"/>
                <w:sz w:val="24"/>
                <w:szCs w:val="24"/>
                <w:highlight w:val="none"/>
                <w:lang w:val="en-US" w:eastAsia="zh-CN" w:bidi="ar"/>
              </w:rPr>
              <w:t>A</w:t>
            </w:r>
            <w:r>
              <w:rPr>
                <w:rFonts w:hint="eastAsia" w:ascii="Times New Roman" w:hAnsi="Times New Roman" w:eastAsia="Calibri" w:cs="Times New Roman"/>
                <w:b/>
                <w:bCs/>
                <w:color w:val="auto"/>
                <w:kern w:val="0"/>
                <w:sz w:val="24"/>
                <w:szCs w:val="24"/>
                <w:highlight w:val="none"/>
                <w:lang w:val="en-US" w:eastAsia="zh-CN" w:bidi="ar"/>
              </w:rPr>
              <w:t>）</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2904"/>
              <w:gridCol w:w="1291"/>
              <w:gridCol w:w="970"/>
              <w:gridCol w:w="969"/>
              <w:gridCol w:w="919"/>
            </w:tblGrid>
            <w:tr w14:paraId="76D6E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798" w:type="pct"/>
                  <w:vMerge w:val="restart"/>
                  <w:tcBorders>
                    <w:top w:val="single" w:color="auto" w:sz="4" w:space="0"/>
                    <w:left w:val="single" w:color="auto" w:sz="4" w:space="0"/>
                    <w:bottom w:val="single" w:color="auto" w:sz="4" w:space="0"/>
                    <w:right w:val="single" w:color="auto" w:sz="4" w:space="0"/>
                  </w:tcBorders>
                  <w:noWrap w:val="0"/>
                  <w:vAlign w:val="center"/>
                </w:tcPr>
                <w:p w14:paraId="68B32242">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lang w:val="en-US"/>
                    </w:rPr>
                  </w:pPr>
                  <w:r>
                    <w:rPr>
                      <w:rFonts w:hint="default" w:ascii="Times New Roman" w:hAnsi="Times New Roman" w:eastAsia="Calibri" w:cs="Times New Roman"/>
                      <w:b/>
                      <w:bCs/>
                      <w:color w:val="auto"/>
                      <w:kern w:val="0"/>
                      <w:sz w:val="21"/>
                      <w:szCs w:val="21"/>
                      <w:highlight w:val="none"/>
                      <w:lang w:val="en-US" w:eastAsia="zh-CN" w:bidi="ar"/>
                    </w:rPr>
                    <w:t>环境类别</w:t>
                  </w:r>
                </w:p>
              </w:tc>
              <w:tc>
                <w:tcPr>
                  <w:tcW w:w="1730" w:type="pct"/>
                  <w:vMerge w:val="restart"/>
                  <w:tcBorders>
                    <w:top w:val="single" w:color="auto" w:sz="4" w:space="0"/>
                    <w:left w:val="single" w:color="auto" w:sz="4" w:space="0"/>
                    <w:bottom w:val="single" w:color="auto" w:sz="4" w:space="0"/>
                    <w:right w:val="single" w:color="auto" w:sz="4" w:space="0"/>
                  </w:tcBorders>
                  <w:noWrap w:val="0"/>
                  <w:vAlign w:val="center"/>
                </w:tcPr>
                <w:p w14:paraId="7A661435">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eastAsia="Calibri" w:cs="Times New Roman"/>
                      <w:b/>
                      <w:bCs/>
                      <w:color w:val="auto"/>
                      <w:kern w:val="0"/>
                      <w:sz w:val="21"/>
                      <w:szCs w:val="21"/>
                      <w:highlight w:val="none"/>
                      <w:lang w:val="en-US" w:eastAsia="zh-CN" w:bidi="ar"/>
                    </w:rPr>
                    <w:t>标准名称及级（类）别</w:t>
                  </w:r>
                </w:p>
              </w:tc>
              <w:tc>
                <w:tcPr>
                  <w:tcW w:w="769" w:type="pct"/>
                  <w:vMerge w:val="restart"/>
                  <w:tcBorders>
                    <w:top w:val="single" w:color="auto" w:sz="4" w:space="0"/>
                    <w:left w:val="single" w:color="auto" w:sz="4" w:space="0"/>
                    <w:bottom w:val="single" w:color="auto" w:sz="4" w:space="0"/>
                    <w:right w:val="single" w:color="auto" w:sz="4" w:space="0"/>
                  </w:tcBorders>
                  <w:noWrap w:val="0"/>
                  <w:vAlign w:val="center"/>
                </w:tcPr>
                <w:p w14:paraId="209C6185">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lang w:val="en-US"/>
                    </w:rPr>
                  </w:pPr>
                  <w:r>
                    <w:rPr>
                      <w:rFonts w:hint="default" w:ascii="Times New Roman" w:hAnsi="Times New Roman" w:eastAsia="Calibri" w:cs="Times New Roman"/>
                      <w:b/>
                      <w:bCs/>
                      <w:color w:val="auto"/>
                      <w:kern w:val="0"/>
                      <w:sz w:val="21"/>
                      <w:szCs w:val="21"/>
                      <w:highlight w:val="none"/>
                      <w:lang w:val="en-US" w:eastAsia="zh-CN" w:bidi="ar"/>
                    </w:rPr>
                    <w:t>项目</w:t>
                  </w:r>
                </w:p>
              </w:tc>
              <w:tc>
                <w:tcPr>
                  <w:tcW w:w="1702" w:type="pct"/>
                  <w:gridSpan w:val="3"/>
                  <w:tcBorders>
                    <w:top w:val="single" w:color="auto" w:sz="4" w:space="0"/>
                    <w:left w:val="single" w:color="auto" w:sz="4" w:space="0"/>
                    <w:bottom w:val="single" w:color="auto" w:sz="4" w:space="0"/>
                    <w:right w:val="single" w:color="auto" w:sz="4" w:space="0"/>
                  </w:tcBorders>
                  <w:noWrap w:val="0"/>
                  <w:vAlign w:val="center"/>
                </w:tcPr>
                <w:p w14:paraId="140860A8">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lang w:val="en-US"/>
                    </w:rPr>
                  </w:pPr>
                  <w:r>
                    <w:rPr>
                      <w:rFonts w:hint="default" w:ascii="Times New Roman" w:hAnsi="Times New Roman" w:eastAsia="Calibri" w:cs="Times New Roman"/>
                      <w:b/>
                      <w:bCs/>
                      <w:color w:val="auto"/>
                      <w:kern w:val="0"/>
                      <w:sz w:val="21"/>
                      <w:szCs w:val="21"/>
                      <w:highlight w:val="none"/>
                      <w:lang w:val="en-US" w:eastAsia="zh-CN" w:bidi="ar"/>
                    </w:rPr>
                    <w:t>标准限值</w:t>
                  </w:r>
                </w:p>
              </w:tc>
            </w:tr>
            <w:tr w14:paraId="52CA3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798" w:type="pct"/>
                  <w:vMerge w:val="continue"/>
                  <w:tcBorders>
                    <w:top w:val="single" w:color="auto" w:sz="4" w:space="0"/>
                    <w:left w:val="single" w:color="auto" w:sz="4" w:space="0"/>
                    <w:bottom w:val="single" w:color="auto" w:sz="4" w:space="0"/>
                    <w:right w:val="single" w:color="auto" w:sz="4" w:space="0"/>
                  </w:tcBorders>
                  <w:noWrap w:val="0"/>
                  <w:vAlign w:val="center"/>
                </w:tcPr>
                <w:p w14:paraId="617E1580">
                  <w:pPr>
                    <w:rPr>
                      <w:rFonts w:hint="default" w:ascii="Times New Roman" w:hAnsi="Times New Roman" w:cs="Times New Roman"/>
                      <w:color w:val="auto"/>
                      <w:sz w:val="20"/>
                      <w:szCs w:val="20"/>
                      <w:highlight w:val="none"/>
                    </w:rPr>
                  </w:pPr>
                </w:p>
              </w:tc>
              <w:tc>
                <w:tcPr>
                  <w:tcW w:w="1730" w:type="pct"/>
                  <w:vMerge w:val="continue"/>
                  <w:tcBorders>
                    <w:top w:val="single" w:color="auto" w:sz="4" w:space="0"/>
                    <w:left w:val="single" w:color="auto" w:sz="4" w:space="0"/>
                    <w:bottom w:val="single" w:color="auto" w:sz="4" w:space="0"/>
                    <w:right w:val="single" w:color="auto" w:sz="4" w:space="0"/>
                  </w:tcBorders>
                  <w:noWrap w:val="0"/>
                  <w:vAlign w:val="center"/>
                </w:tcPr>
                <w:p w14:paraId="070519DE">
                  <w:pPr>
                    <w:rPr>
                      <w:rFonts w:hint="default" w:ascii="Times New Roman" w:hAnsi="Times New Roman" w:cs="Times New Roman"/>
                      <w:color w:val="auto"/>
                      <w:sz w:val="20"/>
                      <w:szCs w:val="20"/>
                      <w:highlight w:val="none"/>
                    </w:rPr>
                  </w:pPr>
                </w:p>
              </w:tc>
              <w:tc>
                <w:tcPr>
                  <w:tcW w:w="769" w:type="pct"/>
                  <w:vMerge w:val="continue"/>
                  <w:tcBorders>
                    <w:top w:val="single" w:color="auto" w:sz="4" w:space="0"/>
                    <w:left w:val="single" w:color="auto" w:sz="4" w:space="0"/>
                    <w:bottom w:val="single" w:color="auto" w:sz="4" w:space="0"/>
                    <w:right w:val="single" w:color="auto" w:sz="4" w:space="0"/>
                  </w:tcBorders>
                  <w:noWrap w:val="0"/>
                  <w:vAlign w:val="center"/>
                </w:tcPr>
                <w:p w14:paraId="40D5C548">
                  <w:pPr>
                    <w:rPr>
                      <w:rFonts w:hint="default" w:ascii="Times New Roman" w:hAnsi="Times New Roman" w:cs="Times New Roman"/>
                      <w:color w:val="auto"/>
                      <w:sz w:val="20"/>
                      <w:szCs w:val="20"/>
                      <w:highlight w:val="none"/>
                    </w:rPr>
                  </w:pPr>
                </w:p>
              </w:tc>
              <w:tc>
                <w:tcPr>
                  <w:tcW w:w="578" w:type="pct"/>
                  <w:tcBorders>
                    <w:top w:val="single" w:color="auto" w:sz="4" w:space="0"/>
                    <w:left w:val="single" w:color="auto" w:sz="4" w:space="0"/>
                    <w:bottom w:val="single" w:color="auto" w:sz="4" w:space="0"/>
                    <w:right w:val="single" w:color="auto" w:sz="4" w:space="0"/>
                  </w:tcBorders>
                  <w:noWrap w:val="0"/>
                  <w:vAlign w:val="center"/>
                </w:tcPr>
                <w:p w14:paraId="0B3CEDB7">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lang w:val="en-US"/>
                    </w:rPr>
                  </w:pPr>
                  <w:r>
                    <w:rPr>
                      <w:rFonts w:hint="default" w:ascii="Times New Roman" w:hAnsi="Times New Roman" w:eastAsia="Calibri" w:cs="Times New Roman"/>
                      <w:b/>
                      <w:bCs/>
                      <w:color w:val="auto"/>
                      <w:kern w:val="0"/>
                      <w:sz w:val="21"/>
                      <w:szCs w:val="21"/>
                      <w:highlight w:val="none"/>
                      <w:lang w:val="en-US" w:eastAsia="zh-CN" w:bidi="ar"/>
                    </w:rPr>
                    <w:t>单位</w:t>
                  </w:r>
                </w:p>
              </w:tc>
              <w:tc>
                <w:tcPr>
                  <w:tcW w:w="1124" w:type="pct"/>
                  <w:gridSpan w:val="2"/>
                  <w:tcBorders>
                    <w:top w:val="single" w:color="auto" w:sz="4" w:space="0"/>
                    <w:left w:val="single" w:color="auto" w:sz="4" w:space="0"/>
                    <w:bottom w:val="single" w:color="auto" w:sz="4" w:space="0"/>
                    <w:right w:val="single" w:color="auto" w:sz="4" w:space="0"/>
                  </w:tcBorders>
                  <w:noWrap w:val="0"/>
                  <w:vAlign w:val="center"/>
                </w:tcPr>
                <w:p w14:paraId="42DC1376">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lang w:val="en-US"/>
                    </w:rPr>
                  </w:pPr>
                  <w:r>
                    <w:rPr>
                      <w:rFonts w:hint="default" w:ascii="Times New Roman" w:hAnsi="Times New Roman" w:eastAsia="Calibri" w:cs="Times New Roman"/>
                      <w:b/>
                      <w:bCs/>
                      <w:color w:val="auto"/>
                      <w:kern w:val="0"/>
                      <w:sz w:val="21"/>
                      <w:szCs w:val="21"/>
                      <w:highlight w:val="none"/>
                      <w:lang w:val="en-US" w:eastAsia="zh-CN" w:bidi="ar"/>
                    </w:rPr>
                    <w:t>数值</w:t>
                  </w:r>
                </w:p>
              </w:tc>
            </w:tr>
            <w:tr w14:paraId="5466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798" w:type="pct"/>
                  <w:vMerge w:val="restart"/>
                  <w:tcBorders>
                    <w:top w:val="single" w:color="auto" w:sz="4" w:space="0"/>
                    <w:left w:val="single" w:color="auto" w:sz="4" w:space="0"/>
                    <w:bottom w:val="single" w:color="auto" w:sz="4" w:space="0"/>
                    <w:right w:val="single" w:color="auto" w:sz="4" w:space="0"/>
                  </w:tcBorders>
                  <w:noWrap w:val="0"/>
                  <w:vAlign w:val="center"/>
                </w:tcPr>
                <w:p w14:paraId="15206847">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Calibri" w:cs="Times New Roman"/>
                      <w:color w:val="auto"/>
                      <w:kern w:val="0"/>
                      <w:sz w:val="21"/>
                      <w:szCs w:val="21"/>
                      <w:highlight w:val="none"/>
                      <w:lang w:val="en-US" w:eastAsia="zh-CN" w:bidi="ar"/>
                    </w:rPr>
                    <w:t>声环境</w:t>
                  </w:r>
                </w:p>
              </w:tc>
              <w:tc>
                <w:tcPr>
                  <w:tcW w:w="1730" w:type="pct"/>
                  <w:vMerge w:val="restart"/>
                  <w:tcBorders>
                    <w:top w:val="single" w:color="auto" w:sz="4" w:space="0"/>
                    <w:left w:val="single" w:color="auto" w:sz="4" w:space="0"/>
                    <w:bottom w:val="single" w:color="auto" w:sz="4" w:space="0"/>
                    <w:right w:val="single" w:color="auto" w:sz="4" w:space="0"/>
                  </w:tcBorders>
                  <w:noWrap w:val="0"/>
                  <w:vAlign w:val="center"/>
                </w:tcPr>
                <w:p w14:paraId="76F39F23">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Calibri" w:cs="Times New Roman"/>
                      <w:color w:val="auto"/>
                      <w:kern w:val="0"/>
                      <w:sz w:val="21"/>
                      <w:szCs w:val="21"/>
                      <w:highlight w:val="none"/>
                      <w:lang w:val="en-US" w:eastAsia="zh-CN" w:bidi="ar"/>
                    </w:rPr>
                    <w:t>《声环境质量标准》（GB3096-2008）</w:t>
                  </w:r>
                  <w:r>
                    <w:rPr>
                      <w:rFonts w:hint="default" w:ascii="Times New Roman" w:hAnsi="Times New Roman" w:eastAsia="宋体" w:cs="Times New Roman"/>
                      <w:color w:val="auto"/>
                      <w:kern w:val="0"/>
                      <w:sz w:val="21"/>
                      <w:szCs w:val="21"/>
                      <w:highlight w:val="none"/>
                      <w:lang w:val="en-US" w:eastAsia="zh-CN" w:bidi="ar"/>
                    </w:rPr>
                    <w:t>1</w:t>
                  </w:r>
                  <w:r>
                    <w:rPr>
                      <w:rFonts w:hint="default" w:ascii="Times New Roman" w:hAnsi="Times New Roman" w:eastAsia="Calibri" w:cs="Times New Roman"/>
                      <w:color w:val="auto"/>
                      <w:kern w:val="0"/>
                      <w:sz w:val="21"/>
                      <w:szCs w:val="21"/>
                      <w:highlight w:val="none"/>
                      <w:lang w:val="en-US" w:eastAsia="zh-CN" w:bidi="ar"/>
                    </w:rPr>
                    <w:t>类标准</w:t>
                  </w:r>
                </w:p>
              </w:tc>
              <w:tc>
                <w:tcPr>
                  <w:tcW w:w="769" w:type="pct"/>
                  <w:vMerge w:val="restart"/>
                  <w:tcBorders>
                    <w:top w:val="single" w:color="auto" w:sz="4" w:space="0"/>
                    <w:left w:val="single" w:color="auto" w:sz="4" w:space="0"/>
                    <w:bottom w:val="single" w:color="auto" w:sz="4" w:space="0"/>
                    <w:right w:val="single" w:color="auto" w:sz="4" w:space="0"/>
                  </w:tcBorders>
                  <w:noWrap w:val="0"/>
                  <w:vAlign w:val="center"/>
                </w:tcPr>
                <w:p w14:paraId="5E028D99">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Calibri" w:cs="Times New Roman"/>
                      <w:color w:val="auto"/>
                      <w:kern w:val="0"/>
                      <w:sz w:val="21"/>
                      <w:szCs w:val="21"/>
                      <w:highlight w:val="none"/>
                      <w:lang w:val="en-US" w:eastAsia="zh-CN" w:bidi="ar"/>
                    </w:rPr>
                    <w:t>等效声级</w:t>
                  </w:r>
                </w:p>
              </w:tc>
              <w:tc>
                <w:tcPr>
                  <w:tcW w:w="578" w:type="pct"/>
                  <w:vMerge w:val="restart"/>
                  <w:tcBorders>
                    <w:top w:val="single" w:color="auto" w:sz="4" w:space="0"/>
                    <w:left w:val="single" w:color="auto" w:sz="4" w:space="0"/>
                    <w:bottom w:val="single" w:color="auto" w:sz="4" w:space="0"/>
                    <w:right w:val="single" w:color="auto" w:sz="4" w:space="0"/>
                  </w:tcBorders>
                  <w:noWrap w:val="0"/>
                  <w:vAlign w:val="center"/>
                </w:tcPr>
                <w:p w14:paraId="2A3A022A">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Calibri" w:cs="Times New Roman"/>
                      <w:color w:val="auto"/>
                      <w:kern w:val="0"/>
                      <w:sz w:val="21"/>
                      <w:szCs w:val="21"/>
                      <w:highlight w:val="none"/>
                      <w:lang w:val="en-US" w:eastAsia="zh-CN" w:bidi="ar"/>
                    </w:rPr>
                    <w:t>dB（A）</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57E8ABD2">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Calibri" w:cs="Times New Roman"/>
                      <w:color w:val="auto"/>
                      <w:kern w:val="0"/>
                      <w:sz w:val="21"/>
                      <w:szCs w:val="21"/>
                      <w:highlight w:val="none"/>
                      <w:lang w:val="en-US" w:eastAsia="zh-CN" w:bidi="ar"/>
                    </w:rPr>
                    <w:t>昼间</w:t>
                  </w:r>
                </w:p>
              </w:tc>
              <w:tc>
                <w:tcPr>
                  <w:tcW w:w="547" w:type="pct"/>
                  <w:tcBorders>
                    <w:top w:val="single" w:color="auto" w:sz="4" w:space="0"/>
                    <w:left w:val="single" w:color="auto" w:sz="4" w:space="0"/>
                    <w:bottom w:val="single" w:color="auto" w:sz="4" w:space="0"/>
                    <w:right w:val="single" w:color="auto" w:sz="4" w:space="0"/>
                  </w:tcBorders>
                  <w:noWrap w:val="0"/>
                  <w:vAlign w:val="center"/>
                </w:tcPr>
                <w:p w14:paraId="587BBA9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bidi="ar"/>
                    </w:rPr>
                    <w:t>55</w:t>
                  </w:r>
                </w:p>
              </w:tc>
            </w:tr>
            <w:tr w14:paraId="5242E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98" w:type="pct"/>
                  <w:vMerge w:val="continue"/>
                  <w:tcBorders>
                    <w:top w:val="single" w:color="auto" w:sz="4" w:space="0"/>
                    <w:left w:val="single" w:color="auto" w:sz="4" w:space="0"/>
                    <w:bottom w:val="single" w:color="auto" w:sz="4" w:space="0"/>
                    <w:right w:val="single" w:color="auto" w:sz="4" w:space="0"/>
                  </w:tcBorders>
                  <w:noWrap w:val="0"/>
                  <w:vAlign w:val="center"/>
                </w:tcPr>
                <w:p w14:paraId="5830BA57">
                  <w:pPr>
                    <w:rPr>
                      <w:rFonts w:hint="default" w:ascii="Times New Roman" w:hAnsi="Times New Roman" w:cs="Times New Roman"/>
                      <w:color w:val="auto"/>
                      <w:sz w:val="20"/>
                      <w:szCs w:val="20"/>
                      <w:highlight w:val="none"/>
                    </w:rPr>
                  </w:pPr>
                </w:p>
              </w:tc>
              <w:tc>
                <w:tcPr>
                  <w:tcW w:w="1730" w:type="pct"/>
                  <w:vMerge w:val="continue"/>
                  <w:tcBorders>
                    <w:top w:val="single" w:color="auto" w:sz="4" w:space="0"/>
                    <w:left w:val="single" w:color="auto" w:sz="4" w:space="0"/>
                    <w:bottom w:val="single" w:color="auto" w:sz="4" w:space="0"/>
                    <w:right w:val="single" w:color="auto" w:sz="4" w:space="0"/>
                  </w:tcBorders>
                  <w:noWrap w:val="0"/>
                  <w:vAlign w:val="center"/>
                </w:tcPr>
                <w:p w14:paraId="036D0EEB">
                  <w:pPr>
                    <w:rPr>
                      <w:rFonts w:hint="default" w:ascii="Times New Roman" w:hAnsi="Times New Roman" w:cs="Times New Roman"/>
                      <w:color w:val="auto"/>
                      <w:sz w:val="20"/>
                      <w:szCs w:val="20"/>
                      <w:highlight w:val="none"/>
                    </w:rPr>
                  </w:pPr>
                </w:p>
              </w:tc>
              <w:tc>
                <w:tcPr>
                  <w:tcW w:w="769" w:type="pct"/>
                  <w:vMerge w:val="continue"/>
                  <w:tcBorders>
                    <w:top w:val="single" w:color="auto" w:sz="4" w:space="0"/>
                    <w:left w:val="single" w:color="auto" w:sz="4" w:space="0"/>
                    <w:bottom w:val="single" w:color="auto" w:sz="4" w:space="0"/>
                    <w:right w:val="single" w:color="auto" w:sz="4" w:space="0"/>
                  </w:tcBorders>
                  <w:noWrap w:val="0"/>
                  <w:vAlign w:val="center"/>
                </w:tcPr>
                <w:p w14:paraId="21EA204B">
                  <w:pPr>
                    <w:rPr>
                      <w:rFonts w:hint="default" w:ascii="Times New Roman" w:hAnsi="Times New Roman" w:cs="Times New Roman"/>
                      <w:color w:val="auto"/>
                      <w:sz w:val="20"/>
                      <w:szCs w:val="20"/>
                      <w:highlight w:val="none"/>
                    </w:rPr>
                  </w:pPr>
                </w:p>
              </w:tc>
              <w:tc>
                <w:tcPr>
                  <w:tcW w:w="578" w:type="pct"/>
                  <w:vMerge w:val="continue"/>
                  <w:tcBorders>
                    <w:top w:val="single" w:color="auto" w:sz="4" w:space="0"/>
                    <w:left w:val="single" w:color="auto" w:sz="4" w:space="0"/>
                    <w:bottom w:val="single" w:color="auto" w:sz="4" w:space="0"/>
                    <w:right w:val="single" w:color="auto" w:sz="4" w:space="0"/>
                  </w:tcBorders>
                  <w:noWrap w:val="0"/>
                  <w:vAlign w:val="center"/>
                </w:tcPr>
                <w:p w14:paraId="75A51130">
                  <w:pPr>
                    <w:rPr>
                      <w:rFonts w:hint="default" w:ascii="Times New Roman" w:hAnsi="Times New Roman" w:cs="Times New Roman"/>
                      <w:color w:val="auto"/>
                      <w:sz w:val="20"/>
                      <w:szCs w:val="20"/>
                      <w:highlight w:val="none"/>
                    </w:rPr>
                  </w:pPr>
                </w:p>
              </w:tc>
              <w:tc>
                <w:tcPr>
                  <w:tcW w:w="577" w:type="pct"/>
                  <w:tcBorders>
                    <w:top w:val="single" w:color="auto" w:sz="4" w:space="0"/>
                    <w:left w:val="single" w:color="auto" w:sz="4" w:space="0"/>
                    <w:bottom w:val="single" w:color="auto" w:sz="4" w:space="0"/>
                    <w:right w:val="single" w:color="auto" w:sz="4" w:space="0"/>
                  </w:tcBorders>
                  <w:noWrap w:val="0"/>
                  <w:vAlign w:val="center"/>
                </w:tcPr>
                <w:p w14:paraId="4CE8AE5A">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Calibri" w:cs="Times New Roman"/>
                      <w:color w:val="auto"/>
                      <w:kern w:val="0"/>
                      <w:sz w:val="21"/>
                      <w:szCs w:val="21"/>
                      <w:highlight w:val="none"/>
                      <w:lang w:val="en-US" w:eastAsia="zh-CN" w:bidi="ar"/>
                    </w:rPr>
                    <w:t>夜间</w:t>
                  </w:r>
                </w:p>
              </w:tc>
              <w:tc>
                <w:tcPr>
                  <w:tcW w:w="547" w:type="pct"/>
                  <w:tcBorders>
                    <w:top w:val="single" w:color="auto" w:sz="4" w:space="0"/>
                    <w:left w:val="single" w:color="auto" w:sz="4" w:space="0"/>
                    <w:bottom w:val="single" w:color="auto" w:sz="4" w:space="0"/>
                    <w:right w:val="single" w:color="auto" w:sz="4" w:space="0"/>
                  </w:tcBorders>
                  <w:noWrap w:val="0"/>
                  <w:vAlign w:val="center"/>
                </w:tcPr>
                <w:p w14:paraId="03336F4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45</w:t>
                  </w:r>
                </w:p>
              </w:tc>
            </w:tr>
          </w:tbl>
          <w:p w14:paraId="64FAFB2A">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b/>
                <w:bCs/>
                <w:color w:val="auto"/>
                <w:sz w:val="24"/>
                <w:szCs w:val="22"/>
                <w:highlight w:val="none"/>
                <w:lang w:val="en-US" w:eastAsia="zh-CN"/>
              </w:rPr>
            </w:pPr>
            <w:r>
              <w:rPr>
                <w:rFonts w:hint="default" w:ascii="Times New Roman" w:hAnsi="Times New Roman" w:eastAsia="Calibri" w:cs="Times New Roman"/>
                <w:b/>
                <w:bCs/>
                <w:color w:val="auto"/>
                <w:kern w:val="0"/>
                <w:sz w:val="24"/>
                <w:szCs w:val="22"/>
                <w:highlight w:val="none"/>
                <w:lang w:val="en-US" w:eastAsia="zh-CN" w:bidi="ar"/>
              </w:rPr>
              <w:t>2、污染物排放标准</w:t>
            </w:r>
          </w:p>
          <w:p w14:paraId="57116AD9">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22"/>
                <w:highlight w:val="none"/>
                <w:lang w:val="en-US" w:eastAsia="zh-CN"/>
              </w:rPr>
            </w:pPr>
            <w:r>
              <w:rPr>
                <w:rFonts w:hint="default" w:ascii="Times New Roman" w:hAnsi="Times New Roman" w:eastAsia="Calibri" w:cs="Times New Roman"/>
                <w:color w:val="auto"/>
                <w:kern w:val="0"/>
                <w:sz w:val="24"/>
                <w:szCs w:val="22"/>
                <w:highlight w:val="none"/>
                <w:lang w:val="en-US" w:eastAsia="zh-CN" w:bidi="ar"/>
              </w:rPr>
              <w:t>（1）废气</w:t>
            </w:r>
          </w:p>
          <w:p w14:paraId="62DF9D61">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22"/>
                <w:highlight w:val="none"/>
                <w:lang w:val="en-US" w:eastAsia="zh-CN"/>
              </w:rPr>
            </w:pPr>
            <w:r>
              <w:rPr>
                <w:rFonts w:hint="default" w:ascii="Times New Roman" w:hAnsi="Times New Roman" w:eastAsia="Calibri" w:cs="Times New Roman"/>
                <w:color w:val="auto"/>
                <w:kern w:val="0"/>
                <w:sz w:val="24"/>
                <w:szCs w:val="22"/>
                <w:highlight w:val="none"/>
                <w:lang w:val="en-US" w:eastAsia="zh-CN" w:bidi="ar"/>
              </w:rPr>
              <w:t>①施工扬尘执行《施工场界扬尘排放限值》（DB61/1078-2017）标准，具</w:t>
            </w:r>
            <w:r>
              <w:rPr>
                <w:rFonts w:hint="eastAsia" w:ascii="Times New Roman" w:hAnsi="Times New Roman" w:eastAsia="Calibri" w:cs="Times New Roman"/>
                <w:color w:val="auto"/>
                <w:kern w:val="0"/>
                <w:sz w:val="24"/>
                <w:szCs w:val="22"/>
                <w:highlight w:val="none"/>
                <w:lang w:val="en-US" w:eastAsia="zh-CN" w:bidi="ar"/>
              </w:rPr>
              <w:t>体施</w:t>
            </w:r>
            <w:r>
              <w:rPr>
                <w:rFonts w:hint="default" w:ascii="Times New Roman" w:hAnsi="Times New Roman" w:eastAsia="Calibri" w:cs="Times New Roman"/>
                <w:color w:val="auto"/>
                <w:kern w:val="0"/>
                <w:sz w:val="24"/>
                <w:szCs w:val="22"/>
                <w:highlight w:val="none"/>
                <w:lang w:val="en-US" w:eastAsia="zh-CN" w:bidi="ar"/>
              </w:rPr>
              <w:t>工场界扬尘（总悬浮颗粒物）浓度标准限值见表</w:t>
            </w:r>
            <w:r>
              <w:rPr>
                <w:rFonts w:hint="default" w:ascii="Times New Roman" w:hAnsi="Times New Roman" w:eastAsia="TimesNewRomanPSMT" w:cs="Times New Roman"/>
                <w:color w:val="auto"/>
                <w:kern w:val="0"/>
                <w:sz w:val="24"/>
                <w:szCs w:val="22"/>
                <w:highlight w:val="none"/>
                <w:lang w:val="en-US" w:eastAsia="zh-CN" w:bidi="ar"/>
              </w:rPr>
              <w:t>3-</w:t>
            </w:r>
            <w:r>
              <w:rPr>
                <w:rFonts w:hint="eastAsia" w:ascii="Times New Roman" w:hAnsi="Times New Roman" w:cs="Times New Roman"/>
                <w:color w:val="auto"/>
                <w:kern w:val="0"/>
                <w:sz w:val="24"/>
                <w:szCs w:val="22"/>
                <w:highlight w:val="none"/>
                <w:lang w:val="en-US" w:eastAsia="zh-CN" w:bidi="ar"/>
              </w:rPr>
              <w:t>5</w:t>
            </w:r>
            <w:r>
              <w:rPr>
                <w:rFonts w:hint="default" w:ascii="Times New Roman" w:hAnsi="Times New Roman" w:eastAsia="Calibri" w:cs="Times New Roman"/>
                <w:color w:val="auto"/>
                <w:kern w:val="0"/>
                <w:sz w:val="24"/>
                <w:szCs w:val="22"/>
                <w:highlight w:val="none"/>
                <w:lang w:val="en-US" w:eastAsia="zh-CN" w:bidi="ar"/>
              </w:rPr>
              <w:t>。</w:t>
            </w:r>
          </w:p>
          <w:p w14:paraId="2C5F001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szCs w:val="24"/>
                <w:highlight w:val="none"/>
                <w:lang w:val="en-US" w:eastAsia="zh-CN"/>
              </w:rPr>
            </w:pPr>
            <w:r>
              <w:rPr>
                <w:rFonts w:hint="default" w:ascii="Times New Roman" w:hAnsi="Times New Roman" w:eastAsia="Calibri" w:cs="Times New Roman"/>
                <w:b/>
                <w:bCs/>
                <w:color w:val="auto"/>
                <w:kern w:val="0"/>
                <w:sz w:val="24"/>
                <w:szCs w:val="24"/>
                <w:highlight w:val="none"/>
                <w:lang w:val="en-US" w:eastAsia="zh-CN" w:bidi="ar"/>
              </w:rPr>
              <w:t>表3-</w:t>
            </w:r>
            <w:r>
              <w:rPr>
                <w:rFonts w:hint="eastAsia" w:ascii="Times New Roman" w:hAnsi="Times New Roman" w:cs="Times New Roman"/>
                <w:b/>
                <w:bCs/>
                <w:color w:val="auto"/>
                <w:kern w:val="0"/>
                <w:sz w:val="24"/>
                <w:szCs w:val="24"/>
                <w:highlight w:val="none"/>
                <w:lang w:val="en-US" w:eastAsia="zh-CN" w:bidi="ar"/>
              </w:rPr>
              <w:t xml:space="preserve">5  </w:t>
            </w:r>
            <w:r>
              <w:rPr>
                <w:rFonts w:hint="default" w:ascii="Times New Roman" w:hAnsi="Times New Roman" w:eastAsia="Calibri" w:cs="Times New Roman"/>
                <w:b/>
                <w:bCs/>
                <w:color w:val="auto"/>
                <w:kern w:val="0"/>
                <w:sz w:val="24"/>
                <w:szCs w:val="24"/>
                <w:highlight w:val="none"/>
                <w:lang w:val="en-US" w:eastAsia="zh-CN" w:bidi="ar"/>
              </w:rPr>
              <w:t>施工场界扬尘（总悬浮颗粒物）浓度限值</w:t>
            </w:r>
          </w:p>
          <w:tbl>
            <w:tblPr>
              <w:tblStyle w:val="16"/>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942"/>
              <w:gridCol w:w="1640"/>
              <w:gridCol w:w="2238"/>
              <w:gridCol w:w="1870"/>
            </w:tblGrid>
            <w:tr w14:paraId="2E309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pct"/>
                  <w:tcBorders>
                    <w:tl2br w:val="nil"/>
                    <w:tr2bl w:val="nil"/>
                  </w:tcBorders>
                  <w:noWrap w:val="0"/>
                  <w:vAlign w:val="center"/>
                </w:tcPr>
                <w:p w14:paraId="1E7FB77F">
                  <w:pPr>
                    <w:pStyle w:val="27"/>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b w:val="0"/>
                      <w:bCs w:val="0"/>
                      <w:snapToGrid/>
                      <w:color w:val="auto"/>
                      <w:kern w:val="2"/>
                      <w:sz w:val="21"/>
                      <w:szCs w:val="21"/>
                      <w:highlight w:val="none"/>
                    </w:rPr>
                  </w:pPr>
                  <w:r>
                    <w:rPr>
                      <w:rFonts w:hint="default" w:ascii="Times New Roman" w:hAnsi="Times New Roman" w:eastAsia="宋体" w:cs="Times New Roman"/>
                      <w:b w:val="0"/>
                      <w:bCs w:val="0"/>
                      <w:snapToGrid/>
                      <w:color w:val="auto"/>
                      <w:kern w:val="2"/>
                      <w:sz w:val="21"/>
                      <w:szCs w:val="21"/>
                      <w:highlight w:val="none"/>
                    </w:rPr>
                    <w:t>序号</w:t>
                  </w:r>
                </w:p>
              </w:tc>
              <w:tc>
                <w:tcPr>
                  <w:tcW w:w="1157" w:type="pct"/>
                  <w:tcBorders>
                    <w:tl2br w:val="nil"/>
                    <w:tr2bl w:val="nil"/>
                  </w:tcBorders>
                  <w:noWrap w:val="0"/>
                  <w:vAlign w:val="center"/>
                </w:tcPr>
                <w:p w14:paraId="789B63EC">
                  <w:pPr>
                    <w:pStyle w:val="27"/>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b w:val="0"/>
                      <w:bCs w:val="0"/>
                      <w:snapToGrid/>
                      <w:color w:val="auto"/>
                      <w:kern w:val="2"/>
                      <w:sz w:val="21"/>
                      <w:szCs w:val="21"/>
                      <w:highlight w:val="none"/>
                    </w:rPr>
                  </w:pPr>
                  <w:r>
                    <w:rPr>
                      <w:rFonts w:hint="default" w:ascii="Times New Roman" w:hAnsi="Times New Roman" w:eastAsia="宋体" w:cs="Times New Roman"/>
                      <w:b w:val="0"/>
                      <w:bCs w:val="0"/>
                      <w:snapToGrid/>
                      <w:color w:val="auto"/>
                      <w:kern w:val="2"/>
                      <w:sz w:val="21"/>
                      <w:szCs w:val="21"/>
                      <w:highlight w:val="none"/>
                    </w:rPr>
                    <w:t>污染物</w:t>
                  </w:r>
                </w:p>
              </w:tc>
              <w:tc>
                <w:tcPr>
                  <w:tcW w:w="977" w:type="pct"/>
                  <w:tcBorders>
                    <w:tl2br w:val="nil"/>
                    <w:tr2bl w:val="nil"/>
                  </w:tcBorders>
                  <w:noWrap w:val="0"/>
                  <w:vAlign w:val="center"/>
                </w:tcPr>
                <w:p w14:paraId="1676261D">
                  <w:pPr>
                    <w:pStyle w:val="27"/>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b w:val="0"/>
                      <w:bCs w:val="0"/>
                      <w:snapToGrid/>
                      <w:color w:val="auto"/>
                      <w:kern w:val="2"/>
                      <w:sz w:val="21"/>
                      <w:szCs w:val="21"/>
                      <w:highlight w:val="none"/>
                    </w:rPr>
                  </w:pPr>
                  <w:r>
                    <w:rPr>
                      <w:rFonts w:hint="default" w:ascii="Times New Roman" w:hAnsi="Times New Roman" w:eastAsia="宋体" w:cs="Times New Roman"/>
                      <w:b w:val="0"/>
                      <w:bCs w:val="0"/>
                      <w:snapToGrid/>
                      <w:color w:val="auto"/>
                      <w:kern w:val="2"/>
                      <w:sz w:val="21"/>
                      <w:szCs w:val="21"/>
                      <w:highlight w:val="none"/>
                    </w:rPr>
                    <w:t>监控点</w:t>
                  </w:r>
                </w:p>
              </w:tc>
              <w:tc>
                <w:tcPr>
                  <w:tcW w:w="1334" w:type="pct"/>
                  <w:tcBorders>
                    <w:tl2br w:val="nil"/>
                    <w:tr2bl w:val="nil"/>
                  </w:tcBorders>
                  <w:noWrap w:val="0"/>
                  <w:vAlign w:val="center"/>
                </w:tcPr>
                <w:p w14:paraId="72265138">
                  <w:pPr>
                    <w:pStyle w:val="27"/>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b w:val="0"/>
                      <w:bCs w:val="0"/>
                      <w:snapToGrid/>
                      <w:color w:val="auto"/>
                      <w:kern w:val="2"/>
                      <w:sz w:val="21"/>
                      <w:szCs w:val="21"/>
                      <w:highlight w:val="none"/>
                    </w:rPr>
                  </w:pPr>
                  <w:r>
                    <w:rPr>
                      <w:rFonts w:hint="default" w:ascii="Times New Roman" w:hAnsi="Times New Roman" w:eastAsia="宋体" w:cs="Times New Roman"/>
                      <w:b w:val="0"/>
                      <w:bCs w:val="0"/>
                      <w:snapToGrid/>
                      <w:color w:val="auto"/>
                      <w:kern w:val="2"/>
                      <w:sz w:val="21"/>
                      <w:szCs w:val="21"/>
                      <w:highlight w:val="none"/>
                    </w:rPr>
                    <w:t>施工阶段</w:t>
                  </w:r>
                </w:p>
              </w:tc>
              <w:tc>
                <w:tcPr>
                  <w:tcW w:w="1114" w:type="pct"/>
                  <w:tcBorders>
                    <w:tl2br w:val="nil"/>
                    <w:tr2bl w:val="nil"/>
                  </w:tcBorders>
                  <w:noWrap w:val="0"/>
                  <w:vAlign w:val="center"/>
                </w:tcPr>
                <w:p w14:paraId="423B14B2">
                  <w:pPr>
                    <w:pStyle w:val="27"/>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b w:val="0"/>
                      <w:bCs w:val="0"/>
                      <w:snapToGrid/>
                      <w:color w:val="auto"/>
                      <w:kern w:val="2"/>
                      <w:sz w:val="21"/>
                      <w:szCs w:val="21"/>
                      <w:highlight w:val="none"/>
                    </w:rPr>
                  </w:pPr>
                  <w:r>
                    <w:rPr>
                      <w:rFonts w:hint="default" w:ascii="Times New Roman" w:hAnsi="Times New Roman" w:eastAsia="宋体" w:cs="Times New Roman"/>
                      <w:b w:val="0"/>
                      <w:bCs w:val="0"/>
                      <w:snapToGrid/>
                      <w:color w:val="auto"/>
                      <w:kern w:val="2"/>
                      <w:sz w:val="21"/>
                      <w:szCs w:val="21"/>
                      <w:highlight w:val="none"/>
                    </w:rPr>
                    <w:t>小时平均浓度限值（mg/m</w:t>
                  </w:r>
                  <w:r>
                    <w:rPr>
                      <w:rFonts w:hint="default" w:ascii="Times New Roman" w:hAnsi="Times New Roman" w:eastAsia="宋体" w:cs="Times New Roman"/>
                      <w:b w:val="0"/>
                      <w:bCs w:val="0"/>
                      <w:snapToGrid/>
                      <w:color w:val="auto"/>
                      <w:kern w:val="2"/>
                      <w:sz w:val="21"/>
                      <w:szCs w:val="21"/>
                      <w:highlight w:val="none"/>
                      <w:vertAlign w:val="superscript"/>
                    </w:rPr>
                    <w:t>3</w:t>
                  </w:r>
                  <w:r>
                    <w:rPr>
                      <w:rFonts w:hint="default" w:ascii="Times New Roman" w:hAnsi="Times New Roman" w:eastAsia="宋体" w:cs="Times New Roman"/>
                      <w:b w:val="0"/>
                      <w:bCs w:val="0"/>
                      <w:snapToGrid/>
                      <w:color w:val="auto"/>
                      <w:kern w:val="2"/>
                      <w:sz w:val="21"/>
                      <w:szCs w:val="21"/>
                      <w:highlight w:val="none"/>
                    </w:rPr>
                    <w:t>）</w:t>
                  </w:r>
                </w:p>
              </w:tc>
            </w:tr>
            <w:tr w14:paraId="1EF53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pct"/>
                  <w:tcBorders>
                    <w:tl2br w:val="nil"/>
                    <w:tr2bl w:val="nil"/>
                  </w:tcBorders>
                  <w:noWrap w:val="0"/>
                  <w:vAlign w:val="center"/>
                </w:tcPr>
                <w:p w14:paraId="232B6AE6">
                  <w:pPr>
                    <w:pStyle w:val="27"/>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b w:val="0"/>
                      <w:bCs w:val="0"/>
                      <w:snapToGrid/>
                      <w:color w:val="auto"/>
                      <w:kern w:val="2"/>
                      <w:sz w:val="21"/>
                      <w:szCs w:val="21"/>
                      <w:highlight w:val="none"/>
                    </w:rPr>
                  </w:pPr>
                  <w:r>
                    <w:rPr>
                      <w:rFonts w:hint="default" w:ascii="Times New Roman" w:hAnsi="Times New Roman" w:eastAsia="宋体" w:cs="Times New Roman"/>
                      <w:b w:val="0"/>
                      <w:bCs w:val="0"/>
                      <w:snapToGrid/>
                      <w:color w:val="auto"/>
                      <w:kern w:val="2"/>
                      <w:sz w:val="21"/>
                      <w:szCs w:val="21"/>
                      <w:highlight w:val="none"/>
                    </w:rPr>
                    <w:t>1</w:t>
                  </w:r>
                </w:p>
              </w:tc>
              <w:tc>
                <w:tcPr>
                  <w:tcW w:w="1157" w:type="pct"/>
                  <w:vMerge w:val="restart"/>
                  <w:tcBorders>
                    <w:tl2br w:val="nil"/>
                    <w:tr2bl w:val="nil"/>
                  </w:tcBorders>
                  <w:noWrap w:val="0"/>
                  <w:vAlign w:val="center"/>
                </w:tcPr>
                <w:p w14:paraId="4AD53981">
                  <w:pPr>
                    <w:pStyle w:val="27"/>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b w:val="0"/>
                      <w:bCs w:val="0"/>
                      <w:snapToGrid/>
                      <w:color w:val="auto"/>
                      <w:kern w:val="2"/>
                      <w:sz w:val="21"/>
                      <w:szCs w:val="21"/>
                      <w:highlight w:val="none"/>
                    </w:rPr>
                  </w:pPr>
                  <w:r>
                    <w:rPr>
                      <w:rFonts w:hint="default" w:ascii="Times New Roman" w:hAnsi="Times New Roman" w:eastAsia="宋体" w:cs="Times New Roman"/>
                      <w:b w:val="0"/>
                      <w:bCs w:val="0"/>
                      <w:snapToGrid/>
                      <w:color w:val="auto"/>
                      <w:kern w:val="2"/>
                      <w:sz w:val="21"/>
                      <w:szCs w:val="21"/>
                      <w:highlight w:val="none"/>
                    </w:rPr>
                    <w:t>施工扬尘（即总悬浮物颗粒物TSP）</w:t>
                  </w:r>
                </w:p>
              </w:tc>
              <w:tc>
                <w:tcPr>
                  <w:tcW w:w="977" w:type="pct"/>
                  <w:vMerge w:val="restart"/>
                  <w:tcBorders>
                    <w:tl2br w:val="nil"/>
                    <w:tr2bl w:val="nil"/>
                  </w:tcBorders>
                  <w:noWrap w:val="0"/>
                  <w:vAlign w:val="center"/>
                </w:tcPr>
                <w:p w14:paraId="2FBD1096">
                  <w:pPr>
                    <w:pStyle w:val="27"/>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b w:val="0"/>
                      <w:bCs w:val="0"/>
                      <w:snapToGrid/>
                      <w:color w:val="auto"/>
                      <w:kern w:val="2"/>
                      <w:sz w:val="21"/>
                      <w:szCs w:val="21"/>
                      <w:highlight w:val="none"/>
                      <w:vertAlign w:val="superscript"/>
                    </w:rPr>
                  </w:pPr>
                  <w:r>
                    <w:rPr>
                      <w:rFonts w:hint="default" w:ascii="Times New Roman" w:hAnsi="Times New Roman" w:eastAsia="宋体" w:cs="Times New Roman"/>
                      <w:b w:val="0"/>
                      <w:bCs w:val="0"/>
                      <w:snapToGrid/>
                      <w:color w:val="auto"/>
                      <w:kern w:val="2"/>
                      <w:sz w:val="21"/>
                      <w:szCs w:val="21"/>
                      <w:highlight w:val="none"/>
                    </w:rPr>
                    <w:t>周界外浓度最高点</w:t>
                  </w:r>
                  <w:r>
                    <w:rPr>
                      <w:rFonts w:hint="default" w:ascii="Times New Roman" w:hAnsi="Times New Roman" w:eastAsia="宋体" w:cs="Times New Roman"/>
                      <w:b w:val="0"/>
                      <w:bCs w:val="0"/>
                      <w:snapToGrid/>
                      <w:color w:val="auto"/>
                      <w:kern w:val="2"/>
                      <w:sz w:val="21"/>
                      <w:szCs w:val="21"/>
                      <w:highlight w:val="none"/>
                      <w:vertAlign w:val="superscript"/>
                    </w:rPr>
                    <w:t>a</w:t>
                  </w:r>
                </w:p>
              </w:tc>
              <w:tc>
                <w:tcPr>
                  <w:tcW w:w="1334" w:type="pct"/>
                  <w:tcBorders>
                    <w:tl2br w:val="nil"/>
                    <w:tr2bl w:val="nil"/>
                  </w:tcBorders>
                  <w:noWrap w:val="0"/>
                  <w:vAlign w:val="center"/>
                </w:tcPr>
                <w:p w14:paraId="6F71603F">
                  <w:pPr>
                    <w:pStyle w:val="27"/>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b w:val="0"/>
                      <w:bCs w:val="0"/>
                      <w:snapToGrid/>
                      <w:color w:val="auto"/>
                      <w:kern w:val="2"/>
                      <w:sz w:val="21"/>
                      <w:szCs w:val="21"/>
                      <w:highlight w:val="none"/>
                    </w:rPr>
                  </w:pPr>
                  <w:r>
                    <w:rPr>
                      <w:rFonts w:hint="default" w:ascii="Times New Roman" w:hAnsi="Times New Roman" w:eastAsia="宋体" w:cs="Times New Roman"/>
                      <w:b w:val="0"/>
                      <w:bCs w:val="0"/>
                      <w:snapToGrid/>
                      <w:color w:val="auto"/>
                      <w:kern w:val="2"/>
                      <w:sz w:val="21"/>
                      <w:szCs w:val="21"/>
                      <w:highlight w:val="none"/>
                    </w:rPr>
                    <w:t>拆除、土方及地基处理工程</w:t>
                  </w:r>
                </w:p>
              </w:tc>
              <w:tc>
                <w:tcPr>
                  <w:tcW w:w="1114" w:type="pct"/>
                  <w:tcBorders>
                    <w:tl2br w:val="nil"/>
                    <w:tr2bl w:val="nil"/>
                  </w:tcBorders>
                  <w:noWrap w:val="0"/>
                  <w:vAlign w:val="center"/>
                </w:tcPr>
                <w:p w14:paraId="51E48BB4">
                  <w:pPr>
                    <w:pStyle w:val="27"/>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b w:val="0"/>
                      <w:bCs w:val="0"/>
                      <w:snapToGrid/>
                      <w:color w:val="auto"/>
                      <w:kern w:val="2"/>
                      <w:sz w:val="21"/>
                      <w:szCs w:val="21"/>
                      <w:highlight w:val="none"/>
                    </w:rPr>
                  </w:pPr>
                  <w:r>
                    <w:rPr>
                      <w:rFonts w:hint="default" w:ascii="Times New Roman" w:hAnsi="Times New Roman" w:eastAsia="宋体" w:cs="Times New Roman"/>
                      <w:b w:val="0"/>
                      <w:bCs w:val="0"/>
                      <w:snapToGrid/>
                      <w:color w:val="auto"/>
                      <w:kern w:val="2"/>
                      <w:sz w:val="21"/>
                      <w:szCs w:val="21"/>
                      <w:highlight w:val="none"/>
                    </w:rPr>
                    <w:t>≤0.8</w:t>
                  </w:r>
                </w:p>
              </w:tc>
            </w:tr>
            <w:tr w14:paraId="5177B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pct"/>
                  <w:tcBorders>
                    <w:tl2br w:val="nil"/>
                    <w:tr2bl w:val="nil"/>
                  </w:tcBorders>
                  <w:noWrap w:val="0"/>
                  <w:vAlign w:val="center"/>
                </w:tcPr>
                <w:p w14:paraId="4AF11439">
                  <w:pPr>
                    <w:pStyle w:val="27"/>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b w:val="0"/>
                      <w:bCs w:val="0"/>
                      <w:snapToGrid/>
                      <w:color w:val="auto"/>
                      <w:kern w:val="2"/>
                      <w:sz w:val="21"/>
                      <w:szCs w:val="21"/>
                      <w:highlight w:val="none"/>
                    </w:rPr>
                  </w:pPr>
                  <w:r>
                    <w:rPr>
                      <w:rFonts w:hint="default" w:ascii="Times New Roman" w:hAnsi="Times New Roman" w:eastAsia="宋体" w:cs="Times New Roman"/>
                      <w:b w:val="0"/>
                      <w:bCs w:val="0"/>
                      <w:snapToGrid/>
                      <w:color w:val="auto"/>
                      <w:kern w:val="2"/>
                      <w:sz w:val="21"/>
                      <w:szCs w:val="21"/>
                      <w:highlight w:val="none"/>
                    </w:rPr>
                    <w:t>2</w:t>
                  </w:r>
                </w:p>
              </w:tc>
              <w:tc>
                <w:tcPr>
                  <w:tcW w:w="1157" w:type="pct"/>
                  <w:vMerge w:val="continue"/>
                  <w:tcBorders>
                    <w:tl2br w:val="nil"/>
                    <w:tr2bl w:val="nil"/>
                  </w:tcBorders>
                  <w:noWrap w:val="0"/>
                  <w:vAlign w:val="center"/>
                </w:tcPr>
                <w:p w14:paraId="1FDE1097">
                  <w:pPr>
                    <w:pStyle w:val="27"/>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b w:val="0"/>
                      <w:bCs w:val="0"/>
                      <w:snapToGrid/>
                      <w:color w:val="auto"/>
                      <w:kern w:val="2"/>
                      <w:sz w:val="21"/>
                      <w:szCs w:val="21"/>
                      <w:highlight w:val="none"/>
                    </w:rPr>
                  </w:pPr>
                </w:p>
              </w:tc>
              <w:tc>
                <w:tcPr>
                  <w:tcW w:w="977" w:type="pct"/>
                  <w:vMerge w:val="continue"/>
                  <w:tcBorders>
                    <w:tl2br w:val="nil"/>
                    <w:tr2bl w:val="nil"/>
                  </w:tcBorders>
                  <w:noWrap w:val="0"/>
                  <w:vAlign w:val="center"/>
                </w:tcPr>
                <w:p w14:paraId="39A55E93">
                  <w:pPr>
                    <w:pStyle w:val="27"/>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b w:val="0"/>
                      <w:bCs w:val="0"/>
                      <w:snapToGrid/>
                      <w:color w:val="auto"/>
                      <w:kern w:val="2"/>
                      <w:sz w:val="21"/>
                      <w:szCs w:val="21"/>
                      <w:highlight w:val="none"/>
                    </w:rPr>
                  </w:pPr>
                </w:p>
              </w:tc>
              <w:tc>
                <w:tcPr>
                  <w:tcW w:w="1334" w:type="pct"/>
                  <w:tcBorders>
                    <w:tl2br w:val="nil"/>
                    <w:tr2bl w:val="nil"/>
                  </w:tcBorders>
                  <w:noWrap w:val="0"/>
                  <w:vAlign w:val="center"/>
                </w:tcPr>
                <w:p w14:paraId="052CB073">
                  <w:pPr>
                    <w:pStyle w:val="27"/>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b w:val="0"/>
                      <w:bCs w:val="0"/>
                      <w:snapToGrid/>
                      <w:color w:val="auto"/>
                      <w:kern w:val="2"/>
                      <w:sz w:val="21"/>
                      <w:szCs w:val="21"/>
                      <w:highlight w:val="none"/>
                    </w:rPr>
                  </w:pPr>
                  <w:r>
                    <w:rPr>
                      <w:rFonts w:hint="default" w:ascii="Times New Roman" w:hAnsi="Times New Roman" w:eastAsia="宋体" w:cs="Times New Roman"/>
                      <w:b w:val="0"/>
                      <w:bCs w:val="0"/>
                      <w:snapToGrid/>
                      <w:color w:val="auto"/>
                      <w:kern w:val="2"/>
                      <w:sz w:val="21"/>
                      <w:szCs w:val="21"/>
                      <w:highlight w:val="none"/>
                    </w:rPr>
                    <w:t>基础、主体结构及装饰工程</w:t>
                  </w:r>
                </w:p>
              </w:tc>
              <w:tc>
                <w:tcPr>
                  <w:tcW w:w="1114" w:type="pct"/>
                  <w:tcBorders>
                    <w:tl2br w:val="nil"/>
                    <w:tr2bl w:val="nil"/>
                  </w:tcBorders>
                  <w:noWrap w:val="0"/>
                  <w:vAlign w:val="center"/>
                </w:tcPr>
                <w:p w14:paraId="5355746B">
                  <w:pPr>
                    <w:pStyle w:val="27"/>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b w:val="0"/>
                      <w:bCs w:val="0"/>
                      <w:snapToGrid/>
                      <w:color w:val="auto"/>
                      <w:kern w:val="2"/>
                      <w:sz w:val="21"/>
                      <w:szCs w:val="21"/>
                      <w:highlight w:val="none"/>
                    </w:rPr>
                  </w:pPr>
                  <w:r>
                    <w:rPr>
                      <w:rFonts w:hint="default" w:ascii="Times New Roman" w:hAnsi="Times New Roman" w:eastAsia="宋体" w:cs="Times New Roman"/>
                      <w:b w:val="0"/>
                      <w:bCs w:val="0"/>
                      <w:snapToGrid/>
                      <w:color w:val="auto"/>
                      <w:kern w:val="2"/>
                      <w:sz w:val="21"/>
                      <w:szCs w:val="21"/>
                      <w:highlight w:val="none"/>
                    </w:rPr>
                    <w:t>≤0.7</w:t>
                  </w:r>
                </w:p>
              </w:tc>
            </w:tr>
            <w:tr w14:paraId="76976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tcBorders>
                    <w:tl2br w:val="nil"/>
                    <w:tr2bl w:val="nil"/>
                  </w:tcBorders>
                  <w:noWrap w:val="0"/>
                  <w:vAlign w:val="center"/>
                </w:tcPr>
                <w:p w14:paraId="073F87F7">
                  <w:pPr>
                    <w:pStyle w:val="27"/>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b w:val="0"/>
                      <w:bCs w:val="0"/>
                      <w:snapToGrid/>
                      <w:color w:val="auto"/>
                      <w:kern w:val="2"/>
                      <w:sz w:val="21"/>
                      <w:szCs w:val="21"/>
                      <w:highlight w:val="none"/>
                    </w:rPr>
                  </w:pPr>
                  <w:r>
                    <w:rPr>
                      <w:rFonts w:hint="default" w:ascii="Times New Roman" w:hAnsi="Times New Roman" w:eastAsia="宋体" w:cs="Times New Roman"/>
                      <w:b w:val="0"/>
                      <w:bCs w:val="0"/>
                      <w:snapToGrid/>
                      <w:color w:val="auto"/>
                      <w:kern w:val="2"/>
                      <w:sz w:val="21"/>
                      <w:szCs w:val="21"/>
                      <w:highlight w:val="none"/>
                      <w:vertAlign w:val="superscript"/>
                    </w:rPr>
                    <w:t>a</w:t>
                  </w:r>
                  <w:r>
                    <w:rPr>
                      <w:rFonts w:hint="default" w:ascii="Times New Roman" w:hAnsi="Times New Roman" w:eastAsia="宋体" w:cs="Times New Roman"/>
                      <w:b w:val="0"/>
                      <w:bCs w:val="0"/>
                      <w:snapToGrid/>
                      <w:color w:val="auto"/>
                      <w:kern w:val="2"/>
                      <w:sz w:val="21"/>
                      <w:szCs w:val="21"/>
                      <w:highlight w:val="none"/>
                    </w:rPr>
                    <w:t>周界外浓度最高点一般应设置于无组织排放源下风向的单位周界外10m范围内，若预计无组织排放的最大落地浓度点超出10m范围，可将监控点移至该预计浓度最高点附近。</w:t>
                  </w:r>
                </w:p>
              </w:tc>
            </w:tr>
          </w:tbl>
          <w:p w14:paraId="4C85EB53">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1"/>
                <w:szCs w:val="21"/>
                <w:highlight w:val="none"/>
                <w:lang w:val="en-US" w:eastAsia="zh-CN"/>
              </w:rPr>
            </w:pPr>
            <w:r>
              <w:rPr>
                <w:rFonts w:hint="default" w:ascii="Times New Roman" w:hAnsi="Times New Roman" w:eastAsia="Calibri" w:cs="Times New Roman"/>
                <w:color w:val="auto"/>
                <w:kern w:val="0"/>
                <w:sz w:val="24"/>
                <w:szCs w:val="22"/>
                <w:highlight w:val="none"/>
                <w:lang w:val="en-US" w:eastAsia="zh-CN" w:bidi="ar"/>
              </w:rPr>
              <w:t>②试气阶段无组织逸散的非甲烷总烃执行《</w:t>
            </w:r>
            <w:r>
              <w:rPr>
                <w:rFonts w:hint="default" w:ascii="Times New Roman" w:hAnsi="Times New Roman" w:eastAsia="Calibri" w:cs="Times New Roman"/>
                <w:color w:val="auto"/>
                <w:kern w:val="0"/>
                <w:sz w:val="22"/>
                <w:szCs w:val="22"/>
                <w:highlight w:val="none"/>
                <w:lang w:val="en-US" w:eastAsia="zh-CN" w:bidi="ar"/>
              </w:rPr>
              <w:fldChar w:fldCharType="begin"/>
            </w:r>
            <w:r>
              <w:rPr>
                <w:rFonts w:hint="default" w:ascii="Times New Roman" w:hAnsi="Times New Roman" w:eastAsia="Calibri" w:cs="Times New Roman"/>
                <w:color w:val="auto"/>
                <w:kern w:val="0"/>
                <w:sz w:val="22"/>
                <w:szCs w:val="22"/>
                <w:highlight w:val="none"/>
                <w:lang w:val="en-US" w:eastAsia="zh-CN" w:bidi="ar"/>
              </w:rPr>
              <w:instrText xml:space="preserve"> HYPERLINK "http://www.mee.gov.cn/ywgz/fgbz/bz/bzwb/dqhjbh/dqgdwrywrwpfbz/202012/W020201225551948738018.pdf" </w:instrText>
            </w:r>
            <w:r>
              <w:rPr>
                <w:rFonts w:hint="default" w:ascii="Times New Roman" w:hAnsi="Times New Roman" w:eastAsia="Calibri" w:cs="Times New Roman"/>
                <w:color w:val="auto"/>
                <w:kern w:val="0"/>
                <w:sz w:val="22"/>
                <w:szCs w:val="22"/>
                <w:highlight w:val="none"/>
                <w:lang w:val="en-US" w:eastAsia="zh-CN" w:bidi="ar"/>
              </w:rPr>
              <w:fldChar w:fldCharType="separate"/>
            </w:r>
            <w:r>
              <w:rPr>
                <w:rStyle w:val="19"/>
                <w:rFonts w:hint="default" w:ascii="Times New Roman" w:hAnsi="Times New Roman" w:cs="Times New Roman"/>
                <w:color w:val="auto"/>
                <w:sz w:val="24"/>
                <w:szCs w:val="22"/>
                <w:highlight w:val="none"/>
                <w:u w:val="none"/>
                <w:lang w:val="en-US" w:eastAsia="zh-CN"/>
              </w:rPr>
              <w:t>陆上石油天然气开采工业大气污染物排放标准》（GB39728</w:t>
            </w:r>
            <w:r>
              <w:rPr>
                <w:rStyle w:val="19"/>
                <w:rFonts w:hint="default" w:ascii="Times New Roman" w:hAnsi="Times New Roman" w:eastAsia="宋体" w:cs="Times New Roman"/>
                <w:color w:val="auto"/>
                <w:sz w:val="24"/>
                <w:szCs w:val="22"/>
                <w:highlight w:val="none"/>
                <w:u w:val="none"/>
                <w:lang w:val="en-US" w:eastAsia="zh-CN"/>
              </w:rPr>
              <w:t>-</w:t>
            </w:r>
            <w:r>
              <w:rPr>
                <w:rStyle w:val="19"/>
                <w:rFonts w:hint="default" w:ascii="Times New Roman" w:hAnsi="Times New Roman" w:cs="Times New Roman"/>
                <w:color w:val="auto"/>
                <w:sz w:val="24"/>
                <w:szCs w:val="22"/>
                <w:highlight w:val="none"/>
                <w:u w:val="none"/>
                <w:lang w:val="en-US" w:eastAsia="zh-CN"/>
              </w:rPr>
              <w:t>2020）</w:t>
            </w:r>
            <w:r>
              <w:rPr>
                <w:rFonts w:hint="default" w:ascii="Times New Roman" w:hAnsi="Times New Roman" w:eastAsia="Calibri" w:cs="Times New Roman"/>
                <w:color w:val="auto"/>
                <w:kern w:val="0"/>
                <w:sz w:val="22"/>
                <w:szCs w:val="22"/>
                <w:highlight w:val="none"/>
                <w:lang w:val="en-US" w:eastAsia="zh-CN" w:bidi="ar"/>
              </w:rPr>
              <w:fldChar w:fldCharType="end"/>
            </w:r>
            <w:r>
              <w:rPr>
                <w:rFonts w:hint="default" w:ascii="Times New Roman" w:hAnsi="Times New Roman" w:eastAsia="Calibri" w:cs="Times New Roman"/>
                <w:color w:val="auto"/>
                <w:kern w:val="0"/>
                <w:sz w:val="24"/>
                <w:szCs w:val="22"/>
                <w:highlight w:val="none"/>
                <w:lang w:val="en-US" w:eastAsia="zh-CN" w:bidi="ar"/>
              </w:rPr>
              <w:t>中无组织排放监控浓度限值标准，详见下表3-</w:t>
            </w:r>
            <w:r>
              <w:rPr>
                <w:rFonts w:hint="eastAsia" w:ascii="Times New Roman" w:hAnsi="Times New Roman" w:cs="Times New Roman"/>
                <w:color w:val="auto"/>
                <w:kern w:val="0"/>
                <w:sz w:val="24"/>
                <w:szCs w:val="22"/>
                <w:highlight w:val="none"/>
                <w:lang w:val="en-US" w:eastAsia="zh-CN" w:bidi="ar"/>
              </w:rPr>
              <w:t>6</w:t>
            </w:r>
            <w:r>
              <w:rPr>
                <w:rFonts w:hint="default" w:ascii="Times New Roman" w:hAnsi="Times New Roman" w:eastAsia="Calibri" w:cs="Times New Roman"/>
                <w:color w:val="auto"/>
                <w:kern w:val="0"/>
                <w:sz w:val="24"/>
                <w:szCs w:val="22"/>
                <w:highlight w:val="none"/>
                <w:lang w:val="en-US" w:eastAsia="zh-CN" w:bidi="ar"/>
              </w:rPr>
              <w:t>。</w:t>
            </w:r>
          </w:p>
          <w:p w14:paraId="53BB6A9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szCs w:val="24"/>
                <w:highlight w:val="none"/>
                <w:lang w:val="en-US" w:eastAsia="zh-CN"/>
              </w:rPr>
            </w:pPr>
            <w:r>
              <w:rPr>
                <w:rFonts w:hint="default" w:ascii="Times New Roman" w:hAnsi="Times New Roman" w:eastAsia="Calibri" w:cs="Times New Roman"/>
                <w:b/>
                <w:bCs/>
                <w:color w:val="auto"/>
                <w:kern w:val="0"/>
                <w:sz w:val="24"/>
                <w:szCs w:val="24"/>
                <w:highlight w:val="none"/>
                <w:lang w:val="en-US" w:eastAsia="zh-CN" w:bidi="ar"/>
              </w:rPr>
              <w:t>表3-</w:t>
            </w:r>
            <w:r>
              <w:rPr>
                <w:rFonts w:hint="eastAsia" w:ascii="Times New Roman" w:hAnsi="Times New Roman" w:cs="Times New Roman"/>
                <w:b/>
                <w:bCs/>
                <w:color w:val="auto"/>
                <w:kern w:val="0"/>
                <w:sz w:val="24"/>
                <w:szCs w:val="24"/>
                <w:highlight w:val="none"/>
                <w:lang w:val="en-US" w:eastAsia="zh-CN" w:bidi="ar"/>
              </w:rPr>
              <w:t xml:space="preserve">6  </w:t>
            </w:r>
            <w:r>
              <w:rPr>
                <w:rFonts w:hint="default" w:ascii="Times New Roman" w:hAnsi="Times New Roman" w:eastAsia="Calibri" w:cs="Times New Roman"/>
                <w:b/>
                <w:bCs/>
                <w:color w:val="auto"/>
                <w:kern w:val="0"/>
                <w:sz w:val="24"/>
                <w:szCs w:val="24"/>
                <w:highlight w:val="none"/>
                <w:lang w:val="en-US" w:eastAsia="zh-CN" w:bidi="ar"/>
              </w:rPr>
              <w:t>施工场界非甲烷总烃浓度限值</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6"/>
              <w:gridCol w:w="2797"/>
              <w:gridCol w:w="2797"/>
            </w:tblGrid>
            <w:tr w14:paraId="3367C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Merge w:val="restart"/>
                  <w:tcBorders>
                    <w:top w:val="single" w:color="auto" w:sz="4" w:space="0"/>
                    <w:left w:val="single" w:color="auto" w:sz="4" w:space="0"/>
                    <w:bottom w:val="single" w:color="auto" w:sz="4" w:space="0"/>
                    <w:right w:val="single" w:color="auto" w:sz="4" w:space="0"/>
                  </w:tcBorders>
                  <w:noWrap w:val="0"/>
                  <w:vAlign w:val="center"/>
                </w:tcPr>
                <w:p w14:paraId="682C416B">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lang w:val="en-US"/>
                    </w:rPr>
                  </w:pPr>
                  <w:r>
                    <w:rPr>
                      <w:rFonts w:hint="default" w:ascii="Times New Roman" w:hAnsi="Times New Roman" w:eastAsia="Calibri" w:cs="Times New Roman"/>
                      <w:b/>
                      <w:bCs/>
                      <w:color w:val="auto"/>
                      <w:kern w:val="0"/>
                      <w:sz w:val="21"/>
                      <w:szCs w:val="21"/>
                      <w:highlight w:val="none"/>
                      <w:lang w:val="en-US" w:eastAsia="zh-CN" w:bidi="ar"/>
                    </w:rPr>
                    <w:t>污染物</w:t>
                  </w:r>
                </w:p>
              </w:tc>
              <w:tc>
                <w:tcPr>
                  <w:tcW w:w="3334" w:type="pct"/>
                  <w:gridSpan w:val="2"/>
                  <w:tcBorders>
                    <w:top w:val="single" w:color="auto" w:sz="4" w:space="0"/>
                    <w:left w:val="single" w:color="auto" w:sz="4" w:space="0"/>
                    <w:bottom w:val="single" w:color="auto" w:sz="4" w:space="0"/>
                    <w:right w:val="single" w:color="auto" w:sz="4" w:space="0"/>
                  </w:tcBorders>
                  <w:noWrap w:val="0"/>
                  <w:vAlign w:val="center"/>
                </w:tcPr>
                <w:p w14:paraId="10E23AEE">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eastAsia="Calibri" w:cs="Times New Roman"/>
                      <w:b/>
                      <w:bCs/>
                      <w:color w:val="auto"/>
                      <w:kern w:val="0"/>
                      <w:sz w:val="21"/>
                      <w:szCs w:val="21"/>
                      <w:highlight w:val="none"/>
                      <w:lang w:val="en-US" w:eastAsia="zh-CN" w:bidi="ar"/>
                    </w:rPr>
                    <w:t>无组织排放监控浓度限值</w:t>
                  </w:r>
                </w:p>
              </w:tc>
            </w:tr>
            <w:tr w14:paraId="49DCB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Merge w:val="continue"/>
                  <w:tcBorders>
                    <w:top w:val="single" w:color="auto" w:sz="4" w:space="0"/>
                    <w:left w:val="single" w:color="auto" w:sz="4" w:space="0"/>
                    <w:bottom w:val="single" w:color="auto" w:sz="4" w:space="0"/>
                    <w:right w:val="single" w:color="auto" w:sz="4" w:space="0"/>
                  </w:tcBorders>
                  <w:noWrap w:val="0"/>
                  <w:vAlign w:val="center"/>
                </w:tcPr>
                <w:p w14:paraId="59DD356A">
                  <w:pPr>
                    <w:rPr>
                      <w:rFonts w:hint="default" w:ascii="Times New Roman" w:hAnsi="Times New Roman" w:cs="Times New Roman"/>
                      <w:color w:val="auto"/>
                      <w:sz w:val="20"/>
                      <w:szCs w:val="20"/>
                      <w:highlight w:val="none"/>
                    </w:rPr>
                  </w:pPr>
                </w:p>
              </w:tc>
              <w:tc>
                <w:tcPr>
                  <w:tcW w:w="1667" w:type="pct"/>
                  <w:tcBorders>
                    <w:top w:val="single" w:color="auto" w:sz="4" w:space="0"/>
                    <w:left w:val="single" w:color="auto" w:sz="4" w:space="0"/>
                    <w:bottom w:val="single" w:color="auto" w:sz="4" w:space="0"/>
                    <w:right w:val="single" w:color="auto" w:sz="4" w:space="0"/>
                  </w:tcBorders>
                  <w:noWrap w:val="0"/>
                  <w:vAlign w:val="center"/>
                </w:tcPr>
                <w:p w14:paraId="371E4C5F">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eastAsia="Calibri" w:cs="Times New Roman"/>
                      <w:b/>
                      <w:bCs/>
                      <w:color w:val="auto"/>
                      <w:kern w:val="0"/>
                      <w:sz w:val="21"/>
                      <w:szCs w:val="21"/>
                      <w:highlight w:val="none"/>
                      <w:lang w:val="en-US" w:eastAsia="zh-CN" w:bidi="ar"/>
                    </w:rPr>
                    <w:t>监控点</w:t>
                  </w:r>
                </w:p>
              </w:tc>
              <w:tc>
                <w:tcPr>
                  <w:tcW w:w="1667" w:type="pct"/>
                  <w:tcBorders>
                    <w:top w:val="single" w:color="auto" w:sz="4" w:space="0"/>
                    <w:left w:val="single" w:color="auto" w:sz="4" w:space="0"/>
                    <w:bottom w:val="single" w:color="auto" w:sz="4" w:space="0"/>
                    <w:right w:val="single" w:color="auto" w:sz="4" w:space="0"/>
                  </w:tcBorders>
                  <w:noWrap w:val="0"/>
                  <w:vAlign w:val="center"/>
                </w:tcPr>
                <w:p w14:paraId="4185A448">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eastAsia="Calibri" w:cs="Times New Roman"/>
                      <w:b/>
                      <w:bCs/>
                      <w:color w:val="auto"/>
                      <w:kern w:val="0"/>
                      <w:sz w:val="21"/>
                      <w:szCs w:val="21"/>
                      <w:highlight w:val="none"/>
                      <w:lang w:val="en-US" w:eastAsia="zh-CN" w:bidi="ar"/>
                    </w:rPr>
                    <w:t>浓度（mg/m</w:t>
                  </w:r>
                  <w:r>
                    <w:rPr>
                      <w:rFonts w:hint="default" w:ascii="Times New Roman" w:hAnsi="Times New Roman" w:eastAsia="Calibri" w:cs="Times New Roman"/>
                      <w:b/>
                      <w:bCs/>
                      <w:color w:val="auto"/>
                      <w:kern w:val="0"/>
                      <w:sz w:val="21"/>
                      <w:szCs w:val="21"/>
                      <w:highlight w:val="none"/>
                      <w:vertAlign w:val="superscript"/>
                      <w:lang w:val="en-US" w:eastAsia="zh-CN" w:bidi="ar"/>
                    </w:rPr>
                    <w:t>3</w:t>
                  </w:r>
                  <w:r>
                    <w:rPr>
                      <w:rFonts w:hint="default" w:ascii="Times New Roman" w:hAnsi="Times New Roman" w:eastAsia="Calibri" w:cs="Times New Roman"/>
                      <w:b/>
                      <w:bCs/>
                      <w:color w:val="auto"/>
                      <w:kern w:val="0"/>
                      <w:sz w:val="21"/>
                      <w:szCs w:val="21"/>
                      <w:highlight w:val="none"/>
                      <w:lang w:val="en-US" w:eastAsia="zh-CN" w:bidi="ar"/>
                    </w:rPr>
                    <w:t>）</w:t>
                  </w:r>
                </w:p>
              </w:tc>
            </w:tr>
            <w:tr w14:paraId="66B7F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tcBorders>
                    <w:top w:val="single" w:color="auto" w:sz="4" w:space="0"/>
                    <w:left w:val="single" w:color="auto" w:sz="4" w:space="0"/>
                    <w:bottom w:val="single" w:color="auto" w:sz="4" w:space="0"/>
                    <w:right w:val="single" w:color="auto" w:sz="4" w:space="0"/>
                  </w:tcBorders>
                  <w:noWrap w:val="0"/>
                  <w:vAlign w:val="center"/>
                </w:tcPr>
                <w:p w14:paraId="16C8C009">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Calibri" w:cs="Times New Roman"/>
                      <w:color w:val="auto"/>
                      <w:kern w:val="0"/>
                      <w:sz w:val="21"/>
                      <w:szCs w:val="21"/>
                      <w:highlight w:val="none"/>
                      <w:lang w:val="en-US" w:eastAsia="zh-CN" w:bidi="ar"/>
                    </w:rPr>
                    <w:t>非甲烷总烃</w:t>
                  </w:r>
                </w:p>
              </w:tc>
              <w:tc>
                <w:tcPr>
                  <w:tcW w:w="1667" w:type="pct"/>
                  <w:tcBorders>
                    <w:top w:val="single" w:color="auto" w:sz="4" w:space="0"/>
                    <w:left w:val="single" w:color="auto" w:sz="4" w:space="0"/>
                    <w:bottom w:val="single" w:color="auto" w:sz="4" w:space="0"/>
                    <w:right w:val="single" w:color="auto" w:sz="4" w:space="0"/>
                  </w:tcBorders>
                  <w:noWrap w:val="0"/>
                  <w:vAlign w:val="center"/>
                </w:tcPr>
                <w:p w14:paraId="7C39291E">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Calibri" w:cs="Times New Roman"/>
                      <w:color w:val="auto"/>
                      <w:kern w:val="0"/>
                      <w:sz w:val="21"/>
                      <w:szCs w:val="21"/>
                      <w:highlight w:val="none"/>
                      <w:lang w:val="en-US" w:eastAsia="zh-CN" w:bidi="ar"/>
                    </w:rPr>
                    <w:t>周界外浓度最高点</w:t>
                  </w:r>
                </w:p>
              </w:tc>
              <w:tc>
                <w:tcPr>
                  <w:tcW w:w="1667" w:type="pct"/>
                  <w:tcBorders>
                    <w:top w:val="single" w:color="auto" w:sz="4" w:space="0"/>
                    <w:left w:val="single" w:color="auto" w:sz="4" w:space="0"/>
                    <w:bottom w:val="single" w:color="auto" w:sz="4" w:space="0"/>
                    <w:right w:val="single" w:color="auto" w:sz="4" w:space="0"/>
                  </w:tcBorders>
                  <w:noWrap w:val="0"/>
                  <w:vAlign w:val="center"/>
                </w:tcPr>
                <w:p w14:paraId="568EB763">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Calibri" w:cs="Times New Roman"/>
                      <w:color w:val="auto"/>
                      <w:kern w:val="0"/>
                      <w:sz w:val="21"/>
                      <w:szCs w:val="21"/>
                      <w:highlight w:val="none"/>
                      <w:lang w:val="en-US" w:eastAsia="zh-CN" w:bidi="ar"/>
                    </w:rPr>
                    <w:t>4.0</w:t>
                  </w:r>
                </w:p>
              </w:tc>
            </w:tr>
          </w:tbl>
          <w:p w14:paraId="05DB305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highlight w:val="none"/>
                <w:lang w:val="en-US" w:eastAsia="zh-CN"/>
              </w:rPr>
            </w:pPr>
            <w:r>
              <w:rPr>
                <w:rFonts w:hint="default" w:ascii="Times New Roman" w:hAnsi="Times New Roman" w:eastAsia="Calibri" w:cs="Times New Roman"/>
                <w:color w:val="auto"/>
                <w:kern w:val="0"/>
                <w:sz w:val="24"/>
                <w:szCs w:val="22"/>
                <w:highlight w:val="none"/>
                <w:lang w:val="en-US" w:eastAsia="zh-CN" w:bidi="ar"/>
              </w:rPr>
              <w:t>（2）项目废水不外排。</w:t>
            </w:r>
          </w:p>
          <w:p w14:paraId="22DD2E1F">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22"/>
                <w:highlight w:val="none"/>
                <w:lang w:val="en-US" w:eastAsia="zh-CN"/>
              </w:rPr>
            </w:pPr>
            <w:r>
              <w:rPr>
                <w:rFonts w:hint="default" w:ascii="Times New Roman" w:hAnsi="Times New Roman" w:eastAsia="Calibri" w:cs="Times New Roman"/>
                <w:color w:val="auto"/>
                <w:kern w:val="0"/>
                <w:sz w:val="24"/>
                <w:szCs w:val="22"/>
                <w:highlight w:val="none"/>
                <w:lang w:val="en-US" w:eastAsia="zh-CN" w:bidi="ar"/>
              </w:rPr>
              <w:t>（3）施工噪声执行</w:t>
            </w:r>
            <w:r>
              <w:rPr>
                <w:rFonts w:hint="eastAsia" w:ascii="Times New Roman" w:hAnsi="Times New Roman" w:eastAsia="宋体" w:cs="Times New Roman"/>
                <w:b w:val="0"/>
                <w:bCs w:val="0"/>
                <w:color w:val="auto"/>
                <w:sz w:val="24"/>
                <w:szCs w:val="24"/>
                <w:highlight w:val="none"/>
                <w:vertAlign w:val="baseline"/>
                <w:lang w:val="en-US" w:eastAsia="zh-CN"/>
              </w:rPr>
              <w:t>《建筑施工噪声排放标准》（GB12523-2025）</w:t>
            </w:r>
            <w:r>
              <w:rPr>
                <w:rFonts w:hint="default" w:ascii="Times New Roman" w:hAnsi="Times New Roman" w:eastAsia="Calibri" w:cs="Times New Roman"/>
                <w:color w:val="auto"/>
                <w:kern w:val="0"/>
                <w:sz w:val="24"/>
                <w:szCs w:val="22"/>
                <w:highlight w:val="none"/>
                <w:lang w:val="en-US" w:eastAsia="zh-CN" w:bidi="ar"/>
              </w:rPr>
              <w:t>，具体施工期噪声执行标准见表3-</w:t>
            </w:r>
            <w:r>
              <w:rPr>
                <w:rFonts w:hint="eastAsia" w:ascii="Times New Roman" w:hAnsi="Times New Roman" w:eastAsia="Calibri" w:cs="Times New Roman"/>
                <w:color w:val="auto"/>
                <w:kern w:val="0"/>
                <w:sz w:val="24"/>
                <w:szCs w:val="22"/>
                <w:highlight w:val="none"/>
                <w:lang w:val="en-US" w:eastAsia="zh-CN" w:bidi="ar"/>
              </w:rPr>
              <w:t>7</w:t>
            </w:r>
            <w:r>
              <w:rPr>
                <w:rFonts w:hint="default" w:ascii="Times New Roman" w:hAnsi="Times New Roman" w:eastAsia="Calibri" w:cs="Times New Roman"/>
                <w:color w:val="auto"/>
                <w:kern w:val="0"/>
                <w:sz w:val="24"/>
                <w:szCs w:val="22"/>
                <w:highlight w:val="none"/>
                <w:lang w:val="en-US" w:eastAsia="zh-CN" w:bidi="ar"/>
              </w:rPr>
              <w:t>。</w:t>
            </w:r>
          </w:p>
          <w:p w14:paraId="3BB03DC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szCs w:val="24"/>
                <w:highlight w:val="none"/>
                <w:lang w:val="en-US" w:eastAsia="zh-CN"/>
              </w:rPr>
            </w:pPr>
            <w:r>
              <w:rPr>
                <w:rFonts w:hint="default" w:ascii="Times New Roman" w:hAnsi="Times New Roman" w:eastAsia="Calibri" w:cs="Times New Roman"/>
                <w:b/>
                <w:bCs/>
                <w:color w:val="auto"/>
                <w:kern w:val="0"/>
                <w:sz w:val="24"/>
                <w:szCs w:val="24"/>
                <w:highlight w:val="none"/>
                <w:lang w:val="en-US" w:eastAsia="zh-CN" w:bidi="ar"/>
              </w:rPr>
              <w:t>表3-</w:t>
            </w:r>
            <w:r>
              <w:rPr>
                <w:rFonts w:hint="eastAsia" w:ascii="Times New Roman" w:hAnsi="Times New Roman" w:cs="Times New Roman"/>
                <w:b/>
                <w:bCs/>
                <w:color w:val="auto"/>
                <w:kern w:val="0"/>
                <w:sz w:val="24"/>
                <w:szCs w:val="24"/>
                <w:highlight w:val="none"/>
                <w:lang w:val="en-US" w:eastAsia="zh-CN" w:bidi="ar"/>
              </w:rPr>
              <w:t xml:space="preserve">7  </w:t>
            </w:r>
            <w:r>
              <w:rPr>
                <w:rFonts w:hint="default" w:ascii="Times New Roman" w:hAnsi="Times New Roman" w:eastAsia="Calibri" w:cs="Times New Roman"/>
                <w:b/>
                <w:bCs/>
                <w:color w:val="auto"/>
                <w:kern w:val="0"/>
                <w:sz w:val="24"/>
                <w:szCs w:val="24"/>
                <w:highlight w:val="none"/>
                <w:lang w:val="en-US" w:eastAsia="zh-CN" w:bidi="ar"/>
              </w:rPr>
              <w:t>《</w:t>
            </w:r>
            <w:r>
              <w:rPr>
                <w:rFonts w:hint="eastAsia" w:ascii="Times New Roman" w:hAnsi="Times New Roman" w:eastAsia="Calibri" w:cs="Times New Roman"/>
                <w:b/>
                <w:bCs/>
                <w:color w:val="auto"/>
                <w:kern w:val="0"/>
                <w:sz w:val="24"/>
                <w:szCs w:val="24"/>
                <w:highlight w:val="none"/>
                <w:lang w:val="en-US" w:eastAsia="zh-CN" w:bidi="ar"/>
              </w:rPr>
              <w:t>建筑施工噪声排放标准</w:t>
            </w:r>
            <w:r>
              <w:rPr>
                <w:rFonts w:hint="default" w:ascii="Times New Roman" w:hAnsi="Times New Roman" w:eastAsia="Calibri" w:cs="Times New Roman"/>
                <w:b/>
                <w:bCs/>
                <w:color w:val="auto"/>
                <w:kern w:val="0"/>
                <w:sz w:val="24"/>
                <w:szCs w:val="24"/>
                <w:highlight w:val="none"/>
                <w:lang w:val="en-US" w:eastAsia="zh-CN" w:bidi="ar"/>
              </w:rPr>
              <w:t>》（</w:t>
            </w:r>
            <w:r>
              <w:rPr>
                <w:rFonts w:hint="eastAsia" w:ascii="Times New Roman" w:hAnsi="Times New Roman" w:eastAsia="Calibri" w:cs="Times New Roman"/>
                <w:b/>
                <w:bCs/>
                <w:color w:val="auto"/>
                <w:kern w:val="0"/>
                <w:sz w:val="24"/>
                <w:szCs w:val="24"/>
                <w:highlight w:val="none"/>
                <w:lang w:val="en-US" w:eastAsia="zh-CN" w:bidi="ar"/>
              </w:rPr>
              <w:t>GB12523-2025</w:t>
            </w:r>
            <w:r>
              <w:rPr>
                <w:rFonts w:hint="default" w:ascii="Times New Roman" w:hAnsi="Times New Roman" w:eastAsia="Calibri" w:cs="Times New Roman"/>
                <w:b/>
                <w:bCs/>
                <w:color w:val="auto"/>
                <w:kern w:val="0"/>
                <w:sz w:val="24"/>
                <w:szCs w:val="24"/>
                <w:highlight w:val="none"/>
                <w:lang w:val="en-US" w:eastAsia="zh-CN" w:bidi="ar"/>
              </w:rPr>
              <w:t>）</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6"/>
              <w:gridCol w:w="4375"/>
            </w:tblGrid>
            <w:tr w14:paraId="44406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393" w:type="pct"/>
                  <w:tcBorders>
                    <w:top w:val="single" w:color="auto" w:sz="4" w:space="0"/>
                    <w:left w:val="single" w:color="auto" w:sz="4" w:space="0"/>
                    <w:bottom w:val="single" w:color="auto" w:sz="4" w:space="0"/>
                    <w:right w:val="single" w:color="auto" w:sz="4" w:space="0"/>
                  </w:tcBorders>
                  <w:noWrap w:val="0"/>
                  <w:vAlign w:val="center"/>
                </w:tcPr>
                <w:p w14:paraId="198F027B">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eastAsia="Calibri" w:cs="Times New Roman"/>
                      <w:b/>
                      <w:bCs/>
                      <w:color w:val="auto"/>
                      <w:kern w:val="0"/>
                      <w:sz w:val="21"/>
                      <w:szCs w:val="21"/>
                      <w:highlight w:val="none"/>
                      <w:lang w:val="en-US" w:eastAsia="zh-CN" w:bidi="ar"/>
                    </w:rPr>
                    <w:t>昼间</w:t>
                  </w:r>
                </w:p>
              </w:tc>
              <w:tc>
                <w:tcPr>
                  <w:tcW w:w="2607" w:type="pct"/>
                  <w:tcBorders>
                    <w:top w:val="single" w:color="auto" w:sz="4" w:space="0"/>
                    <w:left w:val="single" w:color="auto" w:sz="4" w:space="0"/>
                    <w:bottom w:val="single" w:color="auto" w:sz="4" w:space="0"/>
                    <w:right w:val="single" w:color="auto" w:sz="4" w:space="0"/>
                  </w:tcBorders>
                  <w:noWrap w:val="0"/>
                  <w:vAlign w:val="center"/>
                </w:tcPr>
                <w:p w14:paraId="68778DAB">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eastAsia="Calibri" w:cs="Times New Roman"/>
                      <w:b/>
                      <w:bCs/>
                      <w:color w:val="auto"/>
                      <w:kern w:val="0"/>
                      <w:sz w:val="21"/>
                      <w:szCs w:val="21"/>
                      <w:highlight w:val="none"/>
                      <w:lang w:val="en-US" w:eastAsia="zh-CN" w:bidi="ar"/>
                    </w:rPr>
                    <w:t>夜间</w:t>
                  </w:r>
                </w:p>
              </w:tc>
            </w:tr>
            <w:tr w14:paraId="7FE0B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3" w:type="pct"/>
                  <w:tcBorders>
                    <w:top w:val="single" w:color="auto" w:sz="4" w:space="0"/>
                    <w:left w:val="single" w:color="auto" w:sz="4" w:space="0"/>
                    <w:bottom w:val="single" w:color="auto" w:sz="4" w:space="0"/>
                    <w:right w:val="single" w:color="auto" w:sz="4" w:space="0"/>
                  </w:tcBorders>
                  <w:noWrap w:val="0"/>
                  <w:vAlign w:val="center"/>
                </w:tcPr>
                <w:p w14:paraId="2A70A72C">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Calibri" w:cs="Times New Roman"/>
                      <w:color w:val="auto"/>
                      <w:kern w:val="0"/>
                      <w:sz w:val="21"/>
                      <w:szCs w:val="21"/>
                      <w:highlight w:val="none"/>
                      <w:lang w:val="en-US" w:eastAsia="zh-CN" w:bidi="ar"/>
                    </w:rPr>
                    <w:t>70dB（A）</w:t>
                  </w:r>
                </w:p>
              </w:tc>
              <w:tc>
                <w:tcPr>
                  <w:tcW w:w="2607" w:type="pct"/>
                  <w:tcBorders>
                    <w:top w:val="single" w:color="auto" w:sz="4" w:space="0"/>
                    <w:left w:val="single" w:color="auto" w:sz="4" w:space="0"/>
                    <w:bottom w:val="single" w:color="auto" w:sz="4" w:space="0"/>
                    <w:right w:val="single" w:color="auto" w:sz="4" w:space="0"/>
                  </w:tcBorders>
                  <w:noWrap w:val="0"/>
                  <w:vAlign w:val="center"/>
                </w:tcPr>
                <w:p w14:paraId="68682FC0">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Calibri" w:cs="Times New Roman"/>
                      <w:color w:val="auto"/>
                      <w:kern w:val="0"/>
                      <w:sz w:val="21"/>
                      <w:szCs w:val="21"/>
                      <w:highlight w:val="none"/>
                      <w:lang w:val="en-US" w:eastAsia="zh-CN" w:bidi="ar"/>
                    </w:rPr>
                    <w:t>55dB（A）</w:t>
                  </w:r>
                </w:p>
              </w:tc>
            </w:tr>
          </w:tbl>
          <w:p w14:paraId="1743469E">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Calibri" w:cs="Times New Roman"/>
                <w:color w:val="auto"/>
                <w:kern w:val="0"/>
                <w:sz w:val="24"/>
                <w:szCs w:val="22"/>
                <w:highlight w:val="none"/>
                <w:lang w:val="en-US" w:eastAsia="zh-CN" w:bidi="ar"/>
              </w:rPr>
              <w:t>（4）</w:t>
            </w:r>
            <w:r>
              <w:rPr>
                <w:rFonts w:hint="default" w:ascii="Times New Roman" w:hAnsi="Times New Roman" w:cs="Times New Roman"/>
                <w:color w:val="auto"/>
                <w:kern w:val="0"/>
                <w:sz w:val="24"/>
                <w:highlight w:val="none"/>
              </w:rPr>
              <w:t>施工期一般固体废物</w:t>
            </w:r>
            <w:r>
              <w:rPr>
                <w:rFonts w:hint="eastAsia" w:cs="Times New Roman"/>
                <w:color w:val="auto"/>
                <w:kern w:val="0"/>
                <w:sz w:val="24"/>
                <w:highlight w:val="none"/>
                <w:lang w:val="en-US" w:eastAsia="zh-CN"/>
              </w:rPr>
              <w:t>暂存及处置</w:t>
            </w:r>
            <w:r>
              <w:rPr>
                <w:rFonts w:hint="default" w:ascii="Times New Roman" w:hAnsi="Times New Roman" w:cs="Times New Roman"/>
                <w:color w:val="auto"/>
                <w:kern w:val="0"/>
                <w:sz w:val="24"/>
                <w:highlight w:val="none"/>
              </w:rPr>
              <w:t>执行</w:t>
            </w:r>
            <w:r>
              <w:rPr>
                <w:rFonts w:hint="default" w:ascii="Times New Roman" w:hAnsi="Times New Roman" w:eastAsia="宋体" w:cs="Times New Roman"/>
                <w:bCs/>
                <w:color w:val="auto"/>
                <w:kern w:val="0"/>
                <w:sz w:val="24"/>
                <w:szCs w:val="21"/>
                <w:highlight w:val="none"/>
                <w:lang w:bidi="ar"/>
              </w:rPr>
              <w:t>《一般工业固体废物贮存和填埋污染控制标准》（GB18599-2020）</w:t>
            </w:r>
            <w:r>
              <w:rPr>
                <w:rFonts w:hint="default" w:ascii="Times New Roman" w:hAnsi="Times New Roman" w:eastAsia="宋体" w:cs="Times New Roman"/>
                <w:color w:val="auto"/>
                <w:sz w:val="24"/>
                <w:szCs w:val="24"/>
                <w:highlight w:val="none"/>
                <w:lang w:bidi="ar"/>
              </w:rPr>
              <w:t>中的</w:t>
            </w:r>
            <w:r>
              <w:rPr>
                <w:rFonts w:hint="eastAsia" w:ascii="Times New Roman" w:hAnsi="Times New Roman" w:eastAsia="宋体" w:cs="Times New Roman"/>
                <w:color w:val="auto"/>
                <w:sz w:val="24"/>
                <w:szCs w:val="24"/>
                <w:highlight w:val="none"/>
                <w:lang w:val="en-US" w:eastAsia="zh-CN" w:bidi="ar"/>
              </w:rPr>
              <w:t>三防要求</w:t>
            </w:r>
            <w:r>
              <w:rPr>
                <w:rFonts w:hint="default" w:ascii="Times New Roman" w:hAnsi="Times New Roman" w:cs="Times New Roman"/>
                <w:color w:val="auto"/>
                <w:kern w:val="0"/>
                <w:sz w:val="24"/>
                <w:highlight w:val="none"/>
              </w:rPr>
              <w:t>；钻井泥浆岩屑执行《榆林市油（气）开采废弃物处置环保暂行管理办法》中有关规定；危险</w:t>
            </w:r>
            <w:r>
              <w:rPr>
                <w:rFonts w:hint="eastAsia" w:ascii="Times New Roman" w:hAnsi="Times New Roman" w:cs="Times New Roman"/>
                <w:color w:val="auto"/>
                <w:kern w:val="0"/>
                <w:sz w:val="24"/>
                <w:highlight w:val="none"/>
                <w:lang w:val="en-US" w:eastAsia="zh-CN"/>
              </w:rPr>
              <w:t>废物</w:t>
            </w:r>
            <w:r>
              <w:rPr>
                <w:rFonts w:hint="default" w:ascii="Times New Roman" w:hAnsi="Times New Roman" w:cs="Times New Roman"/>
                <w:color w:val="auto"/>
                <w:kern w:val="0"/>
                <w:sz w:val="24"/>
                <w:highlight w:val="none"/>
              </w:rPr>
              <w:t>贮存执行《危险废物贮存污染控制标准》（GB18597-2023）规定。</w:t>
            </w:r>
          </w:p>
        </w:tc>
      </w:tr>
      <w:tr w14:paraId="31BD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tcBorders>
              <w:top w:val="single" w:color="auto" w:sz="4" w:space="0"/>
              <w:left w:val="single" w:color="auto" w:sz="4" w:space="0"/>
              <w:bottom w:val="single" w:color="auto" w:sz="4" w:space="0"/>
              <w:right w:val="single" w:color="auto" w:sz="4" w:space="0"/>
            </w:tcBorders>
            <w:noWrap w:val="0"/>
            <w:vAlign w:val="center"/>
          </w:tcPr>
          <w:p w14:paraId="79A46B8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其他</w:t>
            </w:r>
          </w:p>
        </w:tc>
        <w:tc>
          <w:tcPr>
            <w:tcW w:w="8617" w:type="dxa"/>
            <w:tcBorders>
              <w:top w:val="single" w:color="auto" w:sz="4" w:space="0"/>
              <w:left w:val="single" w:color="auto" w:sz="4" w:space="0"/>
              <w:bottom w:val="single" w:color="auto" w:sz="4" w:space="0"/>
              <w:right w:val="single" w:color="auto" w:sz="4" w:space="0"/>
            </w:tcBorders>
            <w:noWrap w:val="0"/>
            <w:vAlign w:val="center"/>
          </w:tcPr>
          <w:p w14:paraId="13E81F1B">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Calibri" w:cs="Times New Roman"/>
                <w:color w:val="auto"/>
                <w:kern w:val="0"/>
                <w:sz w:val="24"/>
                <w:szCs w:val="24"/>
                <w:highlight w:val="none"/>
                <w:lang w:val="en-US" w:eastAsia="zh-CN" w:bidi="ar"/>
              </w:rPr>
              <w:t>本项目钻井属于气田开发的施工期，时间较短，项目不涉及运营期，污染物的排放随着施工期的结束而结束，在满足达标排放和环境功能区划达标的前提下，建议不核定总量指标，可以将钻井期间产生的污染物排放总量作为施工期环境管理的依据。</w:t>
            </w:r>
          </w:p>
        </w:tc>
      </w:tr>
    </w:tbl>
    <w:p w14:paraId="0816A127">
      <w:pPr>
        <w:keepNext w:val="0"/>
        <w:keepLines w:val="0"/>
        <w:widowControl w:val="0"/>
        <w:suppressLineNumbers w:val="0"/>
        <w:spacing w:before="0" w:beforeAutospacing="0" w:after="0" w:afterAutospacing="0"/>
        <w:ind w:left="0" w:right="0"/>
        <w:jc w:val="center"/>
        <w:outlineLvl w:val="1"/>
        <w:rPr>
          <w:rFonts w:hint="eastAsia" w:ascii="Times New Roman" w:hAnsi="Times New Roman" w:eastAsia="黑体" w:cs="Times New Roman"/>
          <w:color w:val="auto"/>
          <w:kern w:val="0"/>
          <w:sz w:val="28"/>
          <w:szCs w:val="28"/>
          <w:highlight w:val="none"/>
          <w:lang w:val="en-US" w:eastAsia="zh-CN" w:bidi="ar"/>
        </w:rPr>
      </w:pPr>
      <w:r>
        <w:rPr>
          <w:rFonts w:hint="default" w:ascii="Times New Roman" w:hAnsi="Times New Roman" w:eastAsia="黑体" w:cs="Times New Roman"/>
          <w:color w:val="auto"/>
          <w:sz w:val="28"/>
          <w:szCs w:val="28"/>
          <w:highlight w:val="none"/>
          <w:lang w:val="en-US" w:eastAsia="zh-CN" w:bidi="ar"/>
        </w:rPr>
        <w:br w:type="page"/>
      </w:r>
      <w:bookmarkStart w:id="4" w:name="_Toc6020"/>
      <w:r>
        <w:rPr>
          <w:rFonts w:hint="eastAsia" w:ascii="Times New Roman" w:hAnsi="Times New Roman" w:eastAsia="黑体" w:cs="Times New Roman"/>
          <w:color w:val="auto"/>
          <w:sz w:val="28"/>
          <w:szCs w:val="28"/>
          <w:highlight w:val="none"/>
          <w:lang w:val="en-US" w:eastAsia="zh-CN" w:bidi="ar"/>
        </w:rPr>
        <w:t>四</w:t>
      </w:r>
      <w:r>
        <w:rPr>
          <w:rFonts w:hint="default" w:ascii="Times New Roman" w:hAnsi="Times New Roman" w:eastAsia="黑体" w:cs="Times New Roman"/>
          <w:color w:val="auto"/>
          <w:kern w:val="0"/>
          <w:sz w:val="28"/>
          <w:szCs w:val="28"/>
          <w:highlight w:val="none"/>
          <w:lang w:val="en-US" w:eastAsia="zh-CN" w:bidi="ar"/>
        </w:rPr>
        <w:t>、生态环境</w:t>
      </w:r>
      <w:r>
        <w:rPr>
          <w:rFonts w:hint="eastAsia" w:ascii="Times New Roman" w:hAnsi="Times New Roman" w:eastAsia="黑体" w:cs="Times New Roman"/>
          <w:color w:val="auto"/>
          <w:kern w:val="0"/>
          <w:sz w:val="28"/>
          <w:szCs w:val="28"/>
          <w:highlight w:val="none"/>
          <w:lang w:val="en-US" w:eastAsia="zh-CN" w:bidi="ar"/>
        </w:rPr>
        <w:t>影响分析</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8602"/>
      </w:tblGrid>
      <w:tr w14:paraId="5112B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noWrap w:val="0"/>
            <w:vAlign w:val="center"/>
          </w:tcPr>
          <w:p w14:paraId="6AEFC6F4">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kern w:val="0"/>
                <w:sz w:val="28"/>
                <w:szCs w:val="28"/>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施工期生态环境影响分析</w:t>
            </w:r>
          </w:p>
        </w:tc>
        <w:tc>
          <w:tcPr>
            <w:tcW w:w="8602" w:type="dxa"/>
            <w:noWrap w:val="0"/>
            <w:vAlign w:val="top"/>
          </w:tcPr>
          <w:p w14:paraId="124A395E">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2" w:firstLineChars="200"/>
              <w:jc w:val="left"/>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一、施工期生态影响</w:t>
            </w:r>
          </w:p>
          <w:p w14:paraId="02737A32">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left"/>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本项目钻前工程施工时对井场、生活区场地进行平整、开挖、施工车辆碾压等活动会对活动范围内的土壤质地和性质以及地表植被造成影响，从而造成一定量的水土流失，随着施工的结束，影响也随之消失。</w:t>
            </w:r>
          </w:p>
          <w:p w14:paraId="4849DEEA">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left"/>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项目井场附近以草地、</w:t>
            </w:r>
            <w:r>
              <w:rPr>
                <w:rFonts w:hint="eastAsia" w:ascii="Times New Roman" w:hAnsi="Times New Roman" w:cs="Times New Roman"/>
                <w:color w:val="auto"/>
                <w:kern w:val="0"/>
                <w:sz w:val="24"/>
                <w:szCs w:val="24"/>
                <w:highlight w:val="none"/>
                <w:lang w:val="en-US" w:eastAsia="zh-CN" w:bidi="ar"/>
              </w:rPr>
              <w:t>种植园</w:t>
            </w:r>
            <w:r>
              <w:rPr>
                <w:rFonts w:hint="default" w:ascii="Times New Roman" w:hAnsi="Times New Roman" w:eastAsia="宋体" w:cs="Times New Roman"/>
                <w:color w:val="auto"/>
                <w:kern w:val="0"/>
                <w:sz w:val="24"/>
                <w:szCs w:val="24"/>
                <w:highlight w:val="none"/>
                <w:lang w:val="en-US" w:eastAsia="zh-CN" w:bidi="ar"/>
              </w:rPr>
              <w:t>用地为主，本项目工程占地改变了原有土地利用现状，土地利用功能也随之改变。项目临时占地结束后可对土地利用进行恢复，因此对周边生态环境影响不明显。</w:t>
            </w:r>
          </w:p>
          <w:p w14:paraId="79938808">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left"/>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项目施工期对生态环境的影响主要表现在以下几个方面：</w:t>
            </w:r>
          </w:p>
          <w:p w14:paraId="0595D02D">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2" w:firstLineChars="200"/>
              <w:jc w:val="both"/>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1、土地利用现状的改变</w:t>
            </w:r>
          </w:p>
          <w:p w14:paraId="14BF27A5">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val="0"/>
                <w:bCs w:val="0"/>
                <w:color w:val="auto"/>
                <w:sz w:val="24"/>
                <w:szCs w:val="24"/>
                <w:highlight w:val="none"/>
                <w:vertAlign w:val="baseline"/>
                <w:lang w:val="en-US" w:eastAsia="zh-CN"/>
              </w:rPr>
              <w:t>本项目全部为临时用地，</w:t>
            </w:r>
            <w:r>
              <w:rPr>
                <w:rFonts w:hint="eastAsia" w:ascii="Times New Roman" w:hAnsi="Times New Roman" w:eastAsia="宋体" w:cs="Times New Roman"/>
                <w:b w:val="0"/>
                <w:bCs w:val="0"/>
                <w:color w:val="auto"/>
                <w:sz w:val="24"/>
                <w:szCs w:val="24"/>
                <w:highlight w:val="none"/>
                <w:vertAlign w:val="baseline"/>
                <w:lang w:val="en-US" w:eastAsia="zh-CN"/>
              </w:rPr>
              <w:t>用地类型</w:t>
            </w:r>
            <w:r>
              <w:rPr>
                <w:rFonts w:hint="default" w:ascii="Times New Roman" w:hAnsi="Times New Roman" w:eastAsia="宋体" w:cs="Times New Roman"/>
                <w:color w:val="auto"/>
                <w:kern w:val="0"/>
                <w:sz w:val="24"/>
                <w:szCs w:val="24"/>
                <w:highlight w:val="none"/>
                <w:lang w:val="en-US" w:eastAsia="zh-CN" w:bidi="ar"/>
              </w:rPr>
              <w:t>以草地、</w:t>
            </w:r>
            <w:r>
              <w:rPr>
                <w:rFonts w:hint="eastAsia" w:ascii="Times New Roman" w:hAnsi="Times New Roman" w:cs="Times New Roman"/>
                <w:color w:val="auto"/>
                <w:kern w:val="0"/>
                <w:sz w:val="24"/>
                <w:szCs w:val="24"/>
                <w:highlight w:val="none"/>
                <w:lang w:val="en-US" w:eastAsia="zh-CN" w:bidi="ar"/>
              </w:rPr>
              <w:t>种植园</w:t>
            </w:r>
            <w:r>
              <w:rPr>
                <w:rFonts w:hint="default" w:ascii="Times New Roman" w:hAnsi="Times New Roman" w:eastAsia="宋体" w:cs="Times New Roman"/>
                <w:color w:val="auto"/>
                <w:kern w:val="0"/>
                <w:sz w:val="24"/>
                <w:szCs w:val="24"/>
                <w:highlight w:val="none"/>
                <w:lang w:val="en-US" w:eastAsia="zh-CN" w:bidi="ar"/>
              </w:rPr>
              <w:t>用地为主，</w:t>
            </w:r>
            <w:r>
              <w:rPr>
                <w:rFonts w:hint="eastAsia" w:ascii="Times New Roman" w:hAnsi="Times New Roman" w:eastAsia="宋体" w:cs="Times New Roman"/>
                <w:color w:val="auto"/>
                <w:kern w:val="0"/>
                <w:sz w:val="24"/>
                <w:szCs w:val="24"/>
                <w:highlight w:val="none"/>
                <w:lang w:val="en-US" w:eastAsia="zh-CN" w:bidi="ar"/>
              </w:rPr>
              <w:t>其中</w:t>
            </w:r>
            <w:r>
              <w:rPr>
                <w:rFonts w:hint="default" w:ascii="Times New Roman" w:hAnsi="Times New Roman" w:eastAsia="宋体" w:cs="Times New Roman"/>
                <w:b w:val="0"/>
                <w:bCs w:val="0"/>
                <w:color w:val="auto"/>
                <w:sz w:val="24"/>
                <w:szCs w:val="24"/>
                <w:highlight w:val="none"/>
                <w:vertAlign w:val="baseline"/>
                <w:lang w:val="en-US" w:eastAsia="zh-CN"/>
              </w:rPr>
              <w:t>草地</w:t>
            </w:r>
            <w:r>
              <w:rPr>
                <w:rFonts w:hint="eastAsia" w:ascii="Times New Roman" w:hAnsi="Times New Roman" w:eastAsia="宋体" w:cs="Times New Roman"/>
                <w:b w:val="0"/>
                <w:bCs w:val="0"/>
                <w:color w:val="auto"/>
                <w:sz w:val="24"/>
                <w:szCs w:val="24"/>
                <w:highlight w:val="none"/>
                <w:vertAlign w:val="baseline"/>
                <w:lang w:val="en-US" w:eastAsia="zh-CN"/>
              </w:rPr>
              <w:t>占</w:t>
            </w:r>
            <w:r>
              <w:rPr>
                <w:rFonts w:hint="default" w:ascii="Times New Roman" w:hAnsi="Times New Roman" w:eastAsia="宋体" w:cs="Times New Roman"/>
                <w:b w:val="0"/>
                <w:bCs w:val="0"/>
                <w:color w:val="auto"/>
                <w:sz w:val="24"/>
                <w:szCs w:val="24"/>
                <w:highlight w:val="none"/>
                <w:vertAlign w:val="baseline"/>
                <w:lang w:val="en-US" w:eastAsia="zh-CN"/>
              </w:rPr>
              <w:t>10212m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vertAlign w:val="baseline"/>
                <w:lang w:val="en-US" w:eastAsia="zh-CN"/>
              </w:rPr>
              <w:t>、种植园用地</w:t>
            </w:r>
            <w:r>
              <w:rPr>
                <w:rFonts w:hint="eastAsia" w:ascii="Times New Roman" w:hAnsi="Times New Roman" w:eastAsia="宋体" w:cs="Times New Roman"/>
                <w:b w:val="0"/>
                <w:bCs w:val="0"/>
                <w:color w:val="auto"/>
                <w:sz w:val="24"/>
                <w:szCs w:val="24"/>
                <w:highlight w:val="none"/>
                <w:vertAlign w:val="baseline"/>
                <w:lang w:val="en-US" w:eastAsia="zh-CN"/>
              </w:rPr>
              <w:t>占</w:t>
            </w:r>
            <w:r>
              <w:rPr>
                <w:rFonts w:hint="default" w:ascii="Times New Roman" w:hAnsi="Times New Roman" w:eastAsia="宋体" w:cs="Times New Roman"/>
                <w:b w:val="0"/>
                <w:bCs w:val="0"/>
                <w:color w:val="auto"/>
                <w:sz w:val="24"/>
                <w:szCs w:val="24"/>
                <w:highlight w:val="none"/>
                <w:vertAlign w:val="baseline"/>
                <w:lang w:val="en-US" w:eastAsia="zh-CN"/>
              </w:rPr>
              <w:t>6347m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不涉及永久占地。项目建设对生态环境的影响主要表现为项目占地使土地功能发生改变；临时占地会在一定程度上改变土地利用方式，临时性的减小</w:t>
            </w:r>
            <w:r>
              <w:rPr>
                <w:rFonts w:hint="eastAsia" w:ascii="Times New Roman" w:hAnsi="Times New Roman" w:eastAsia="宋体" w:cs="Times New Roman"/>
                <w:b w:val="0"/>
                <w:bCs w:val="0"/>
                <w:color w:val="auto"/>
                <w:sz w:val="24"/>
                <w:szCs w:val="24"/>
                <w:highlight w:val="none"/>
                <w:vertAlign w:val="baseline"/>
                <w:lang w:val="en-US" w:eastAsia="zh-CN"/>
              </w:rPr>
              <w:t>园地和林</w:t>
            </w:r>
            <w:r>
              <w:rPr>
                <w:rFonts w:hint="default" w:ascii="Times New Roman" w:hAnsi="Times New Roman" w:eastAsia="宋体" w:cs="Times New Roman"/>
                <w:b w:val="0"/>
                <w:bCs w:val="0"/>
                <w:color w:val="auto"/>
                <w:sz w:val="24"/>
                <w:szCs w:val="24"/>
                <w:highlight w:val="none"/>
                <w:vertAlign w:val="baseline"/>
                <w:lang w:val="en-US" w:eastAsia="zh-CN"/>
              </w:rPr>
              <w:t>地</w:t>
            </w:r>
            <w:r>
              <w:rPr>
                <w:rFonts w:hint="eastAsia" w:eastAsia="宋体"/>
                <w:color w:val="auto"/>
                <w:sz w:val="24"/>
                <w:szCs w:val="24"/>
                <w:highlight w:val="none"/>
                <w:lang w:val="en-US" w:eastAsia="zh-CN"/>
              </w:rPr>
              <w:t>等</w:t>
            </w:r>
            <w:r>
              <w:rPr>
                <w:rFonts w:hint="default" w:ascii="Times New Roman" w:hAnsi="Times New Roman" w:eastAsia="宋体" w:cs="Times New Roman"/>
                <w:b w:val="0"/>
                <w:bCs w:val="0"/>
                <w:color w:val="auto"/>
                <w:sz w:val="24"/>
                <w:szCs w:val="24"/>
                <w:highlight w:val="none"/>
                <w:vertAlign w:val="baseline"/>
                <w:lang w:val="en-US" w:eastAsia="zh-CN"/>
              </w:rPr>
              <w:t>的面积。工程利用挖方回填，同时对土地按照相关要求进行堆放并采取覆盖等措施，尽可能的减小对当地土地资源的影响；临时占地只在短期内改变土地利用性质，钻井工程完成后，若本井不产气，则对本项目钻井期间施工区域进行植被恢复，若本井产气则进行集输工程，征地工作根据集输工程要求进行。</w:t>
            </w:r>
          </w:p>
          <w:p w14:paraId="0C2427D2">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2" w:firstLineChars="200"/>
              <w:jc w:val="both"/>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2、水土流失影响分析</w:t>
            </w:r>
          </w:p>
          <w:p w14:paraId="25B9A8F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施工期将损坏施工区域范围原地貌，破坏原有植被，改变其水土保持状况，如遇大风或降雨天气将加剧水土流失。</w:t>
            </w:r>
          </w:p>
          <w:p w14:paraId="3A4859B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项目井场开发建设造成的水土流失主要在施工期，造成水土流失的主要因素有：新建井场、道路、生活区以及钻井及开挖、回填过程中，开挖作业造成土壤结构破坏、微地形改变和植被破坏，使土壤抗蚀性和抗冲性明显降低；工程施工将产生弃土弃渣，弃渣若分散堆置在坡面，极易被水流冲刷，引起水土流失；道路经过陡峻山坡，由于开挖，坡度变陡，失去稳定平衡，为崩塌、滑坡制造了条件，极易引起重力侵蚀。</w:t>
            </w:r>
          </w:p>
          <w:p w14:paraId="15CBF381">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本项目严格控制占地范围和施工范围，减少扰动面积；严格控制施工人员、车辆在规定的施工临时占地内活动、行驶，以减少对沿线植被的破坏，凡受到施工人员、车辆破坏的地方，施工结束后立即采取人工措施播撒草种，尽快降低土壤侵蚀，对裸露地表进行植被恢复，增强地表稳定性。</w:t>
            </w:r>
          </w:p>
          <w:p w14:paraId="32AC95BB">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2" w:firstLineChars="200"/>
              <w:jc w:val="both"/>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3、动物及植被影响分析</w:t>
            </w:r>
          </w:p>
          <w:p w14:paraId="4AAC76B3">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工程施工期对植被的影响主要为建设过程中的植被剥离、清理和占压，临时占地土方回填后，可以恢复原植被类型。对动物的影响主要为栖息地破坏引起的动物逃离、施工噪声对动物的干扰。</w:t>
            </w:r>
          </w:p>
          <w:p w14:paraId="7A8A3538">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（1）对植被的影响</w:t>
            </w:r>
          </w:p>
          <w:p w14:paraId="285F787E">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施工期对植被的影响主要有占地范围内原有植物的剥离、清理及占压。在施工过程中，土壤开挖区范围内植物的地上部分与根系均被清除，施工区的植被由于挖掘土石的堆放、人员的践踏、施工车辆和机具的碾压而受到不同程度的破坏，会造成植被破坏甚至死亡。</w:t>
            </w:r>
          </w:p>
          <w:p w14:paraId="0E955182">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工程填挖方均占压和清除一定数量的地表植物，使填挖区被生土覆盖或出露生土，植物恢复须经过较长时间。项目工期较短，建设完毕后即进行植被恢复，长期来看对植被的影响较小。</w:t>
            </w:r>
          </w:p>
          <w:p w14:paraId="4DBC6934">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（2）对动物的影响</w:t>
            </w:r>
          </w:p>
          <w:p w14:paraId="191924D8">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项目建设期对动物的影响，主要是运输、施工噪声和人为活动，迫使动物离开场站区域，大规模的建设活动，将使建设期内难以见到野生动物。但项目周边无自然保护区，无珍稀濒危动物，野生动物稀少，主要为鼠类和草兔等常见种。工程施工对野生动物的影响较小，随着施工结束这种影响亦结束。</w:t>
            </w:r>
          </w:p>
          <w:p w14:paraId="462BA93C">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2" w:firstLineChars="200"/>
              <w:jc w:val="both"/>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4、景观生态影响分析</w:t>
            </w:r>
          </w:p>
          <w:p w14:paraId="1CCBA0B9">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bidi="ar"/>
              </w:rPr>
              <w:t>工程建设期主要是对原有景观的破坏，井场建设破坏其所在地及其附近的原有景观，形成片状人工景观。由于建设期工程占地均为临时占地，施工完采取生态恢复措施后，评价认为项目对评价区景观格局影响有限</w:t>
            </w:r>
            <w:r>
              <w:rPr>
                <w:rFonts w:hint="default" w:ascii="Times New Roman" w:hAnsi="Times New Roman" w:eastAsia="宋体" w:cs="Times New Roman"/>
                <w:color w:val="auto"/>
                <w:kern w:val="0"/>
                <w:sz w:val="24"/>
                <w:szCs w:val="24"/>
                <w:highlight w:val="none"/>
                <w:lang w:val="en-US" w:eastAsia="zh-CN" w:bidi="ar"/>
              </w:rPr>
              <w:t>。</w:t>
            </w:r>
          </w:p>
          <w:p w14:paraId="23C1EEEA">
            <w:pPr>
              <w:pStyle w:val="9"/>
              <w:keepNext w:val="0"/>
              <w:keepLines w:val="0"/>
              <w:pageBreakBefore w:val="0"/>
              <w:widowControl/>
              <w:kinsoku/>
              <w:wordWrap/>
              <w:overflowPunct/>
              <w:topLinePunct w:val="0"/>
              <w:autoSpaceDE/>
              <w:autoSpaceDN/>
              <w:bidi w:val="0"/>
              <w:adjustRightInd/>
              <w:snapToGrid/>
              <w:spacing w:before="0" w:beforeAutospacing="0" w:after="0" w:afterLines="0"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5</w:t>
            </w:r>
            <w:r>
              <w:rPr>
                <w:rFonts w:hint="default" w:ascii="Times New Roman" w:hAnsi="Times New Roman" w:eastAsia="宋体" w:cs="Times New Roman"/>
                <w:b/>
                <w:bCs/>
                <w:color w:val="auto"/>
                <w:highlight w:val="none"/>
                <w:lang w:eastAsia="zh-CN"/>
              </w:rPr>
              <w:t>、对土壤沙化影响分析</w:t>
            </w:r>
          </w:p>
          <w:p w14:paraId="37FAD69C">
            <w:pPr>
              <w:pStyle w:val="20"/>
              <w:pageBreakBefore w:val="0"/>
              <w:widowControl/>
              <w:kinsoku/>
              <w:wordWrap/>
              <w:overflowPunct/>
              <w:topLinePunct w:val="0"/>
              <w:bidi w:val="0"/>
              <w:spacing w:before="0" w:after="0"/>
              <w:ind w:left="0" w:leftChars="0" w:right="0" w:rightChars="0" w:firstLine="480"/>
              <w:outlineLvl w:val="9"/>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根据《陕西省防沙治沙规划（2021-2030年）》，佳县属于黄土（丘陵）覆沙治理区</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不涉及沙化土地封禁保护区及沙地。由于施工中土体被剥离、扰动土壤以及破坏地表植物，可能会导致土地沙化。根据现场踏勘，本项目所处区域土地未完全沙化，生态功能较好，且通过采取限制施工作业范围、尽量减少临时占地、及时对植被进行恢复，并加强管理，避免施工乱砍滥</w:t>
            </w:r>
            <w:r>
              <w:rPr>
                <w:rFonts w:hint="eastAsia" w:ascii="Times New Roman" w:hAnsi="Times New Roman" w:cs="Times New Roman"/>
                <w:color w:val="auto"/>
                <w:highlight w:val="none"/>
                <w:lang w:val="en-US" w:eastAsia="zh-CN"/>
              </w:rPr>
              <w:t>伐</w:t>
            </w:r>
            <w:r>
              <w:rPr>
                <w:rFonts w:hint="default" w:ascii="Times New Roman" w:hAnsi="Times New Roman" w:cs="Times New Roman"/>
                <w:color w:val="auto"/>
                <w:highlight w:val="none"/>
                <w:lang w:val="en-US" w:eastAsia="zh-CN"/>
              </w:rPr>
              <w:t>植物资源、避免机械随意行驶等措施，防止因本项目建设导致土地沙化。</w:t>
            </w:r>
          </w:p>
          <w:p w14:paraId="7C203783">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2" w:firstLineChars="200"/>
              <w:jc w:val="both"/>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二、大气环境影响</w:t>
            </w:r>
          </w:p>
          <w:p w14:paraId="237D263E">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本项目为天然气勘探工程，不涉及运营期，本次评价仅对勘探过程中对环境的影响进行分析，不包括天然气开采、外输管道建设的评价，如需进行天然气开采、外输管道建设，需另行开展环境影响评价。</w:t>
            </w:r>
          </w:p>
          <w:p w14:paraId="25DE549D">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本项目施工期废气主要为施工扬尘、施工车辆尾气以及测试放喷和事故放喷天然气燃烧废气。项目施工期施工扬尘、施工车辆尾气产生大气污染物较小，施工期较短，加之当地扩散条件良好，经自然扩散后能达标排放，对周围环境影响较小。</w:t>
            </w:r>
          </w:p>
          <w:p w14:paraId="2368A525">
            <w:pPr>
              <w:keepNext w:val="0"/>
              <w:keepLines w:val="0"/>
              <w:pageBreakBefore w:val="0"/>
              <w:widowControl w:val="0"/>
              <w:numPr>
                <w:ilvl w:val="0"/>
                <w:numId w:val="3"/>
              </w:numPr>
              <w:suppressLineNumbers w:val="0"/>
              <w:kinsoku/>
              <w:wordWrap/>
              <w:overflowPunct/>
              <w:topLinePunct w:val="0"/>
              <w:bidi w:val="0"/>
              <w:spacing w:before="0" w:beforeAutospacing="0" w:after="0" w:afterAutospacing="0" w:line="360" w:lineRule="auto"/>
              <w:ind w:left="0" w:leftChars="0" w:right="0" w:rightChars="0" w:firstLine="482" w:firstLineChars="200"/>
              <w:jc w:val="both"/>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施工扬尘</w:t>
            </w:r>
          </w:p>
          <w:p w14:paraId="326B2A5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工扬尘主要来自场地平整与土方开挖、物料堆放及运输车辆行驶道路扬尘。场地整平过程扬尘的起尘量与许多因素有关，挖土机等在工作时的起尘量与挖坑深度、挖土机抓斗与地面的相对高度、风速、土壤的颗粒度、土壤含水量等有关。在不采取任何防治措施的情况下，不同的风速和稳定度下，挖土的扬尘对环境的浓度贡献都较大。</w:t>
            </w:r>
          </w:p>
          <w:p w14:paraId="24463AD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工程施工阶段土地平整、开挖、回填土方会形成大面积裸露地面，使各种沉降在地表上的气溶胶粒子等成为扬尘的天然来源。在施工过程中，如果管理措施不够完善，粗放式施工，工地料堆遮挡不够完善、严密，不能及时清理，在不利气候如大风（风速≥5m/s）条件下，这些颗粒物就会从地表进入空气中。在不利天气条件下，施工扬尘可在150m范围内超过</w:t>
            </w:r>
            <w:r>
              <w:rPr>
                <w:rFonts w:hint="default" w:ascii="Times New Roman" w:hAnsi="Times New Roman" w:cs="Times New Roman"/>
                <w:color w:val="auto"/>
                <w:sz w:val="24"/>
                <w:highlight w:val="none"/>
              </w:rPr>
              <w:t>《施工场界扬尘排放限值》（DB61/1078-2017）标准</w:t>
            </w:r>
            <w:r>
              <w:rPr>
                <w:rFonts w:hint="default" w:ascii="Times New Roman" w:hAnsi="Times New Roman" w:eastAsia="宋体" w:cs="Times New Roman"/>
                <w:b w:val="0"/>
                <w:bCs w:val="0"/>
                <w:color w:val="auto"/>
                <w:sz w:val="24"/>
                <w:szCs w:val="24"/>
                <w:highlight w:val="none"/>
                <w:vertAlign w:val="baseline"/>
                <w:lang w:val="en-US" w:eastAsia="zh-CN"/>
              </w:rPr>
              <w:t>，对大气环境可造成不利影响。</w:t>
            </w:r>
            <w:r>
              <w:rPr>
                <w:rFonts w:hint="eastAsia" w:ascii="Times New Roman" w:hAnsi="Times New Roman" w:eastAsia="宋体" w:cs="Times New Roman"/>
                <w:b w:val="0"/>
                <w:bCs w:val="0"/>
                <w:color w:val="auto"/>
                <w:sz w:val="24"/>
                <w:szCs w:val="24"/>
                <w:highlight w:val="none"/>
                <w:vertAlign w:val="baseline"/>
                <w:lang w:val="en-US" w:eastAsia="zh-CN"/>
              </w:rPr>
              <w:t>本项目150m范围内没有居民，</w:t>
            </w:r>
            <w:r>
              <w:rPr>
                <w:rFonts w:hint="default" w:ascii="Times New Roman" w:hAnsi="Times New Roman" w:eastAsia="宋体" w:cs="Times New Roman"/>
                <w:b w:val="0"/>
                <w:bCs w:val="0"/>
                <w:color w:val="auto"/>
                <w:sz w:val="24"/>
                <w:szCs w:val="24"/>
                <w:highlight w:val="none"/>
                <w:vertAlign w:val="baseline"/>
                <w:lang w:val="en-US" w:eastAsia="zh-CN"/>
              </w:rPr>
              <w:t>150m范围外一般不会有大的影响</w:t>
            </w:r>
            <w:r>
              <w:rPr>
                <w:rFonts w:hint="eastAsia" w:ascii="Times New Roman" w:hAnsi="Times New Roman" w:eastAsia="宋体" w:cs="Times New Roman"/>
                <w:b w:val="0"/>
                <w:bCs w:val="0"/>
                <w:color w:val="auto"/>
                <w:sz w:val="24"/>
                <w:szCs w:val="24"/>
                <w:highlight w:val="none"/>
                <w:vertAlign w:val="baseline"/>
                <w:lang w:val="en-US" w:eastAsia="zh-CN"/>
              </w:rPr>
              <w:t>。井场钻井过程中需增加洒水频次，通过增加洒水频次，大风天气停止作业等措施能够有效降低项目对周边环境的影响。</w:t>
            </w:r>
          </w:p>
          <w:p w14:paraId="7F19BA9C">
            <w:pPr>
              <w:pStyle w:val="20"/>
              <w:pageBreakBefore w:val="0"/>
              <w:widowControl/>
              <w:kinsoku/>
              <w:wordWrap/>
              <w:overflowPunct/>
              <w:topLinePunct w:val="0"/>
              <w:bidi w:val="0"/>
              <w:spacing w:before="0" w:after="0"/>
              <w:ind w:left="0" w:leftChars="0" w:right="0" w:rightChars="0" w:firstLine="482"/>
              <w:outlineLvl w:val="9"/>
              <w:rPr>
                <w:rFonts w:hint="default" w:ascii="Times New Roman" w:hAnsi="Times New Roman" w:eastAsia="宋体" w:cs="Times New Roman"/>
                <w:b/>
                <w:bCs/>
                <w:color w:val="auto"/>
                <w:szCs w:val="24"/>
                <w:highlight w:val="none"/>
                <w:lang w:val="en-US" w:eastAsia="zh-CN"/>
              </w:rPr>
            </w:pPr>
            <w:r>
              <w:rPr>
                <w:rFonts w:hint="default" w:ascii="Times New Roman" w:hAnsi="Times New Roman" w:eastAsia="宋体" w:cs="Times New Roman"/>
                <w:b/>
                <w:bCs/>
                <w:color w:val="auto"/>
                <w:szCs w:val="24"/>
                <w:highlight w:val="none"/>
                <w:lang w:val="en-US" w:eastAsia="zh-CN"/>
              </w:rPr>
              <w:t>2</w:t>
            </w:r>
            <w:r>
              <w:rPr>
                <w:rFonts w:hint="default" w:ascii="Times New Roman" w:hAnsi="Times New Roman" w:eastAsia="宋体" w:cs="Times New Roman"/>
                <w:b/>
                <w:bCs/>
                <w:color w:val="auto"/>
                <w:szCs w:val="24"/>
                <w:highlight w:val="none"/>
                <w:lang w:eastAsia="zh-CN"/>
              </w:rPr>
              <w:t>、机械废气</w:t>
            </w:r>
          </w:p>
          <w:p w14:paraId="6D50AB11">
            <w:pPr>
              <w:pStyle w:val="20"/>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机械废气包括施工机械废气和运输车辆废气，</w:t>
            </w:r>
            <w:r>
              <w:rPr>
                <w:rFonts w:hint="eastAsia" w:ascii="Times New Roman" w:hAnsi="Times New Roman" w:cs="Times New Roman"/>
                <w:color w:val="auto"/>
                <w:highlight w:val="none"/>
                <w:lang w:val="en-US" w:eastAsia="zh-CN"/>
              </w:rPr>
              <w:t>本项目各类施工机械均使用电驱动，不会产生废气。</w:t>
            </w:r>
          </w:p>
          <w:p w14:paraId="1D83A25B">
            <w:pPr>
              <w:pStyle w:val="20"/>
              <w:pageBreakBefore w:val="0"/>
              <w:widowControl/>
              <w:kinsoku/>
              <w:wordWrap/>
              <w:overflowPunct/>
              <w:topLinePunct w:val="0"/>
              <w:bidi w:val="0"/>
              <w:spacing w:before="0" w:after="0"/>
              <w:ind w:left="0" w:leftChars="0" w:right="0" w:rightChars="0" w:firstLine="480"/>
              <w:outlineLvl w:val="9"/>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本项目运输车辆使用低硫燃料（含硫量低于10ppm），定期对车辆维修保养，减少废气的排放量。由于本项目施工期较短，运输车辆产生的废气量较少，项目周边扩散条件较好，对周边环境影响较小。</w:t>
            </w:r>
          </w:p>
          <w:p w14:paraId="4BFD74D9">
            <w:pPr>
              <w:pStyle w:val="20"/>
              <w:pageBreakBefore w:val="0"/>
              <w:widowControl/>
              <w:kinsoku/>
              <w:wordWrap/>
              <w:overflowPunct/>
              <w:topLinePunct w:val="0"/>
              <w:bidi w:val="0"/>
              <w:spacing w:before="0" w:after="0"/>
              <w:ind w:left="0" w:leftChars="0" w:right="0" w:rightChars="0" w:firstLine="480"/>
              <w:outlineLvl w:val="9"/>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根据《榆林市人民政府关于禁止使用高排放非道路移动机械的通告》要求，项目施工现场禁止使用高排放非道路移动机械，禁止使用未编码登记挂牌及环保检测不达标的非道路移动机械</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施工期机械尾气达到</w:t>
            </w:r>
            <w:r>
              <w:rPr>
                <w:rFonts w:hint="default" w:ascii="Times New Roman" w:hAnsi="Times New Roman" w:eastAsia="宋体" w:cs="Times New Roman"/>
                <w:color w:val="auto"/>
                <w:kern w:val="0"/>
                <w:sz w:val="24"/>
                <w:szCs w:val="21"/>
                <w:highlight w:val="none"/>
                <w:lang w:val="en-US" w:eastAsia="zh-CN" w:bidi="ar"/>
              </w:rPr>
              <w:t>《非道路移动机械用柴油机排气污染物排放限值及测量方法（中国第三、四阶段）》及2020年修改单中第四阶段的标准限值</w:t>
            </w:r>
            <w:r>
              <w:rPr>
                <w:rFonts w:hint="default" w:ascii="Times New Roman" w:hAnsi="Times New Roman" w:eastAsia="宋体" w:cs="Times New Roman"/>
                <w:color w:val="auto"/>
                <w:highlight w:val="none"/>
                <w:lang w:val="en-US" w:eastAsia="zh-CN"/>
              </w:rPr>
              <w:t>。</w:t>
            </w:r>
          </w:p>
          <w:p w14:paraId="046ECE75">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2" w:firstLineChars="200"/>
              <w:jc w:val="both"/>
              <w:outlineLvl w:val="9"/>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3、测试放喷天然气燃烧废气</w:t>
            </w:r>
          </w:p>
          <w:p w14:paraId="151CBC6C">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为了准确了解和进一步核定气井的产气量，在完井后，通常需进行测试放喷，单井测试时间约1-2天，依据测试气量间歇放喷，每次持续时间约4～6h，属短时间歇排放，测试的天然气经气液分离后通过专用管线引至放喷罐进行点火放喷，废气产生量较小。</w:t>
            </w:r>
            <w:r>
              <w:rPr>
                <w:rFonts w:hint="default" w:ascii="Times New Roman" w:hAnsi="Times New Roman" w:cs="Times New Roman"/>
                <w:color w:val="auto"/>
                <w:highlight w:val="none"/>
                <w:lang w:val="en-US" w:eastAsia="zh-CN"/>
              </w:rPr>
              <w:t>类比周围</w:t>
            </w:r>
            <w:r>
              <w:rPr>
                <w:rFonts w:hint="eastAsia" w:ascii="Times New Roman" w:hAnsi="Times New Roman" w:cs="Times New Roman"/>
                <w:color w:val="auto"/>
                <w:highlight w:val="none"/>
                <w:lang w:val="en-US" w:eastAsia="zh-CN"/>
              </w:rPr>
              <w:t>相同层位评价井</w:t>
            </w:r>
            <w:r>
              <w:rPr>
                <w:rFonts w:hint="default" w:ascii="Times New Roman" w:hAnsi="Times New Roman" w:cs="Times New Roman"/>
                <w:color w:val="auto"/>
                <w:highlight w:val="none"/>
                <w:lang w:val="en-US" w:eastAsia="zh-CN"/>
              </w:rPr>
              <w:t>的天然气组分</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天然气中不含H</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lang w:val="en-US" w:eastAsia="zh-CN"/>
              </w:rPr>
              <w:t>S</w:t>
            </w:r>
            <w:r>
              <w:rPr>
                <w:rFonts w:hint="eastAsia" w:ascii="Times New Roman" w:hAnsi="Times New Roman" w:cs="Times New Roman"/>
                <w:color w:val="auto"/>
                <w:highlight w:val="none"/>
                <w:lang w:val="en-US" w:eastAsia="zh-CN"/>
              </w:rPr>
              <w:t>、SO</w:t>
            </w:r>
            <w:r>
              <w:rPr>
                <w:rFonts w:hint="eastAsia" w:ascii="Times New Roman" w:hAnsi="Times New Roman" w:cs="Times New Roman"/>
                <w:color w:val="auto"/>
                <w:highlight w:val="none"/>
                <w:vertAlign w:val="subscript"/>
                <w:lang w:val="en-US" w:eastAsia="zh-CN"/>
              </w:rPr>
              <w:t>2</w:t>
            </w:r>
            <w:r>
              <w:rPr>
                <w:rFonts w:hint="eastAsia" w:ascii="Times New Roman" w:hAnsi="Times New Roman" w:cs="Times New Roman"/>
                <w:color w:val="auto"/>
                <w:highlight w:val="none"/>
                <w:vertAlign w:val="baseline"/>
                <w:lang w:val="en-US" w:eastAsia="zh-CN"/>
              </w:rPr>
              <w:t>；且根据建设单位提供资料，相同层位探井勘探过程中采用便携式气体检测仪及固定式气体检测仪进行硫化氢测试时，气体检测仪无敏感反应。</w:t>
            </w:r>
            <w:r>
              <w:rPr>
                <w:rFonts w:hint="default" w:ascii="Times New Roman" w:hAnsi="Times New Roman" w:cs="Times New Roman"/>
                <w:color w:val="auto"/>
                <w:highlight w:val="none"/>
                <w:lang w:val="en-US" w:eastAsia="zh-CN"/>
              </w:rPr>
              <w:t>故排放的气体主要含颗粒物、H</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lang w:val="en-US" w:eastAsia="zh-CN"/>
              </w:rPr>
              <w:t>O、CO</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lang w:val="en-US" w:eastAsia="zh-CN"/>
              </w:rPr>
              <w:t>、NOx以及未完全燃烧的少量非甲烷总烃。</w:t>
            </w:r>
          </w:p>
          <w:p w14:paraId="7F3A5681">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根据</w:t>
            </w:r>
            <w:r>
              <w:rPr>
                <w:rFonts w:hint="eastAsia" w:ascii="Times New Roman" w:hAnsi="Times New Roman" w:cs="Times New Roman"/>
                <w:color w:val="auto"/>
                <w:kern w:val="0"/>
                <w:sz w:val="24"/>
                <w:szCs w:val="21"/>
                <w:highlight w:val="none"/>
                <w:lang w:val="en-US" w:eastAsia="zh-CN" w:bidi="ar"/>
              </w:rPr>
              <w:t>建设单位提供的</w:t>
            </w:r>
            <w:r>
              <w:rPr>
                <w:rFonts w:hint="default" w:ascii="Times New Roman" w:hAnsi="Times New Roman" w:eastAsia="宋体" w:cs="Times New Roman"/>
                <w:color w:val="auto"/>
                <w:kern w:val="0"/>
                <w:sz w:val="24"/>
                <w:szCs w:val="21"/>
                <w:highlight w:val="none"/>
                <w:lang w:val="en-US" w:eastAsia="zh-CN" w:bidi="ar"/>
              </w:rPr>
              <w:t>相关设计资料，钻井试压作业中约有1×10</w:t>
            </w:r>
            <w:r>
              <w:rPr>
                <w:rFonts w:hint="default" w:ascii="Times New Roman" w:hAnsi="Times New Roman" w:eastAsia="宋体" w:cs="Times New Roman"/>
                <w:color w:val="auto"/>
                <w:kern w:val="0"/>
                <w:sz w:val="24"/>
                <w:szCs w:val="21"/>
                <w:highlight w:val="none"/>
                <w:vertAlign w:val="superscript"/>
                <w:lang w:val="en-US" w:eastAsia="zh-CN" w:bidi="ar"/>
              </w:rPr>
              <w:t>4</w:t>
            </w:r>
            <w:r>
              <w:rPr>
                <w:rFonts w:hint="default" w:ascii="Times New Roman" w:hAnsi="Times New Roman" w:eastAsia="宋体" w:cs="Times New Roman"/>
                <w:color w:val="auto"/>
                <w:kern w:val="0"/>
                <w:sz w:val="24"/>
                <w:szCs w:val="21"/>
                <w:highlight w:val="none"/>
                <w:lang w:val="en-US" w:eastAsia="zh-CN" w:bidi="ar"/>
              </w:rPr>
              <w:t>m</w:t>
            </w:r>
            <w:r>
              <w:rPr>
                <w:rFonts w:hint="default" w:ascii="Times New Roman" w:hAnsi="Times New Roman" w:eastAsia="宋体" w:cs="Times New Roman"/>
                <w:color w:val="auto"/>
                <w:kern w:val="0"/>
                <w:sz w:val="24"/>
                <w:szCs w:val="21"/>
                <w:highlight w:val="none"/>
                <w:vertAlign w:val="superscript"/>
                <w:lang w:val="en-US" w:eastAsia="zh-CN" w:bidi="ar"/>
              </w:rPr>
              <w:t>3</w:t>
            </w:r>
            <w:r>
              <w:rPr>
                <w:rFonts w:hint="default" w:ascii="Times New Roman" w:hAnsi="Times New Roman" w:eastAsia="宋体" w:cs="Times New Roman"/>
                <w:color w:val="auto"/>
                <w:kern w:val="0"/>
                <w:sz w:val="24"/>
                <w:szCs w:val="21"/>
                <w:highlight w:val="none"/>
                <w:lang w:val="en-US" w:eastAsia="zh-CN" w:bidi="ar"/>
              </w:rPr>
              <w:t>的天然气通过井场放喷罐燃烧排放，废气中的主要污染物为颗粒物和NOx，以及未完全燃烧的少量非甲烷总烃。参照《排放源统计调查产排污核算方法和系数手册》（生态环境部办公厅2021年6月11日印发）中“4430工业锅炉（热力生产和供应行业）产污系数表-燃气工业锅炉”的排放系数进行源强估算，颗粒物排放系数为1.039kg/万m</w:t>
            </w:r>
            <w:r>
              <w:rPr>
                <w:rFonts w:hint="default" w:ascii="Times New Roman" w:hAnsi="Times New Roman" w:eastAsia="宋体" w:cs="Times New Roman"/>
                <w:color w:val="auto"/>
                <w:kern w:val="0"/>
                <w:sz w:val="24"/>
                <w:szCs w:val="21"/>
                <w:highlight w:val="none"/>
                <w:vertAlign w:val="superscript"/>
                <w:lang w:val="en-US" w:eastAsia="zh-CN" w:bidi="ar"/>
              </w:rPr>
              <w:t>3</w:t>
            </w:r>
            <w:r>
              <w:rPr>
                <w:rFonts w:hint="default" w:ascii="Times New Roman" w:hAnsi="Times New Roman" w:eastAsia="宋体" w:cs="Times New Roman"/>
                <w:color w:val="auto"/>
                <w:kern w:val="0"/>
                <w:sz w:val="24"/>
                <w:szCs w:val="21"/>
                <w:highlight w:val="none"/>
                <w:lang w:val="en-US" w:eastAsia="zh-CN" w:bidi="ar"/>
              </w:rPr>
              <w:t>天然气，NOx排放系数为18.71kg/万m</w:t>
            </w:r>
            <w:r>
              <w:rPr>
                <w:rFonts w:hint="default" w:ascii="Times New Roman" w:hAnsi="Times New Roman" w:eastAsia="宋体" w:cs="Times New Roman"/>
                <w:color w:val="auto"/>
                <w:kern w:val="0"/>
                <w:sz w:val="24"/>
                <w:szCs w:val="21"/>
                <w:highlight w:val="none"/>
                <w:vertAlign w:val="superscript"/>
                <w:lang w:val="en-US" w:eastAsia="zh-CN" w:bidi="ar"/>
              </w:rPr>
              <w:t>3</w:t>
            </w:r>
            <w:r>
              <w:rPr>
                <w:rFonts w:hint="default" w:ascii="Times New Roman" w:hAnsi="Times New Roman" w:eastAsia="宋体" w:cs="Times New Roman"/>
                <w:color w:val="auto"/>
                <w:kern w:val="0"/>
                <w:sz w:val="24"/>
                <w:szCs w:val="21"/>
                <w:highlight w:val="none"/>
                <w:lang w:val="en-US" w:eastAsia="zh-CN" w:bidi="ar"/>
              </w:rPr>
              <w:t>天然气，经计算，烟尘排放量为1.039kg，NOx排放量为18.71kg。排放废气中非甲烷总烃为不完全燃烧产生，其排放量非常少不再进行定量计算；由于本项目属于新层位勘探，因此暂无天然气成分表，无法确定天然气中硫含量，因此环评要求项目钻探期间发现天然气后立即进行成分分析并且对井场H</w:t>
            </w:r>
            <w:r>
              <w:rPr>
                <w:rFonts w:hint="default" w:ascii="Times New Roman" w:hAnsi="Times New Roman" w:eastAsia="宋体" w:cs="Times New Roman"/>
                <w:color w:val="auto"/>
                <w:kern w:val="0"/>
                <w:sz w:val="24"/>
                <w:szCs w:val="21"/>
                <w:highlight w:val="none"/>
                <w:vertAlign w:val="subscript"/>
                <w:lang w:val="en-US" w:eastAsia="zh-CN" w:bidi="ar"/>
              </w:rPr>
              <w:t>2</w:t>
            </w:r>
            <w:r>
              <w:rPr>
                <w:rFonts w:hint="default" w:ascii="Times New Roman" w:hAnsi="Times New Roman" w:eastAsia="宋体" w:cs="Times New Roman"/>
                <w:color w:val="auto"/>
                <w:kern w:val="0"/>
                <w:sz w:val="24"/>
                <w:szCs w:val="21"/>
                <w:highlight w:val="none"/>
                <w:lang w:val="en-US" w:eastAsia="zh-CN" w:bidi="ar"/>
              </w:rPr>
              <w:t>S含量进行监测，避免对钻井人员身体健康造成危害。</w:t>
            </w:r>
          </w:p>
          <w:p w14:paraId="276B16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本项目所在的井场各设置1座放喷罐，设置的放喷罐选址位于井场东北角（井口侧风向处），距离井口直线距离大于50m，且50m范围内无其他设施，井场所在地位于黄土梁峁，地势空旷便于废气扩散。</w:t>
            </w:r>
          </w:p>
          <w:p w14:paraId="6F73606F">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虽然产生的废气对环境影响微小，但为了最大程度降低测试放喷废气对环境的影响，测试放喷时，要选择合适的时间，在天气晴朗，且风较大的天气进行，便于废气扩散；加之测试放喷时间短，对大气环境的影响较短，测试完毕，影响很快消除，因此对环境影响较小。</w:t>
            </w:r>
          </w:p>
          <w:p w14:paraId="284319DA">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2" w:firstLineChars="200"/>
              <w:jc w:val="both"/>
              <w:outlineLvl w:val="9"/>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4、事故放喷天然气燃烧废气</w:t>
            </w:r>
          </w:p>
          <w:p w14:paraId="0E037A62">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事故放喷是由于地层高压异常导致的，在石油天然气行业是低概率事件。事故放喷时间持续较短，且通过专用的放喷管线将天然气引至放喷罐内进行点火放喷，事故放喷时间段属临时排放，放喷完毕，影响很快消除，环评要求建设单位在发生事故时对周边居民实施临时疏散，因此事故放喷对周边人群健康基本无影响，对环境影响也较小。</w:t>
            </w:r>
          </w:p>
          <w:p w14:paraId="73234B6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eastAsia" w:ascii="Times New Roman" w:hAnsi="Times New Roman" w:eastAsia="宋体" w:cs="Times New Roman"/>
                <w:b/>
                <w:bCs/>
                <w:color w:val="auto"/>
                <w:sz w:val="24"/>
                <w:szCs w:val="24"/>
                <w:highlight w:val="none"/>
                <w:vertAlign w:val="baseline"/>
                <w:lang w:val="en-US" w:eastAsia="zh-CN"/>
              </w:rPr>
              <w:t>5</w:t>
            </w:r>
            <w:r>
              <w:rPr>
                <w:rFonts w:hint="default" w:ascii="Times New Roman" w:hAnsi="Times New Roman" w:eastAsia="宋体" w:cs="Times New Roman"/>
                <w:b/>
                <w:bCs/>
                <w:color w:val="auto"/>
                <w:sz w:val="24"/>
                <w:szCs w:val="24"/>
                <w:highlight w:val="none"/>
                <w:vertAlign w:val="baseline"/>
                <w:lang w:val="en-US" w:eastAsia="zh-CN"/>
              </w:rPr>
              <w:t>、临时道路扬尘</w:t>
            </w:r>
          </w:p>
          <w:p w14:paraId="5F3D81F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项目组出入井场时，在临时道路行驶，应控制车速，以减少道路扬尘污染，临时道路两侧应根据情况设置排水渠，减少水土流失，施工结束后，根据需求，对临时道路进行生态恢复。</w:t>
            </w:r>
          </w:p>
          <w:p w14:paraId="1432EB5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综上所述，工程废气对周边大气环境和环境保护目标的影响可接受。</w:t>
            </w:r>
          </w:p>
          <w:p w14:paraId="1A5BA940">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2" w:firstLineChars="200"/>
              <w:jc w:val="both"/>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三、地表水环境影响</w:t>
            </w:r>
          </w:p>
          <w:p w14:paraId="2BA1EC30">
            <w:pPr>
              <w:pStyle w:val="20"/>
              <w:pageBreakBefore w:val="0"/>
              <w:widowControl/>
              <w:kinsoku/>
              <w:wordWrap/>
              <w:overflowPunct/>
              <w:topLinePunct w:val="0"/>
              <w:bidi w:val="0"/>
              <w:spacing w:before="0" w:after="0"/>
              <w:ind w:left="0" w:leftChars="0" w:right="0" w:rightChars="0" w:firstLine="480"/>
              <w:outlineLvl w:val="9"/>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项目用水主要为施工人员的生活用水和钻井生产用水，生产用水由水罐车运送，生活用水采用桶装水；废水主要为钻井废水、洗井废水、</w:t>
            </w:r>
            <w:r>
              <w:rPr>
                <w:rFonts w:hint="eastAsia" w:ascii="Times New Roman" w:hAnsi="Times New Roman" w:eastAsia="宋体" w:cs="Times New Roman"/>
                <w:b w:val="0"/>
                <w:bCs w:val="0"/>
                <w:color w:val="auto"/>
                <w:sz w:val="24"/>
                <w:szCs w:val="24"/>
                <w:highlight w:val="none"/>
                <w:vertAlign w:val="baseline"/>
                <w:lang w:val="en-US" w:eastAsia="zh-CN"/>
              </w:rPr>
              <w:t>压裂</w:t>
            </w:r>
            <w:r>
              <w:rPr>
                <w:rFonts w:hint="default" w:ascii="Times New Roman" w:hAnsi="Times New Roman" w:eastAsia="宋体" w:cs="Times New Roman"/>
                <w:b w:val="0"/>
                <w:bCs w:val="0"/>
                <w:color w:val="auto"/>
                <w:sz w:val="24"/>
                <w:szCs w:val="24"/>
                <w:highlight w:val="none"/>
                <w:vertAlign w:val="baseline"/>
                <w:lang w:val="en-US" w:eastAsia="zh-CN"/>
              </w:rPr>
              <w:t>返排液</w:t>
            </w:r>
            <w:r>
              <w:rPr>
                <w:rFonts w:hint="eastAsia" w:ascii="Times New Roman" w:hAnsi="Times New Roman" w:eastAsia="宋体" w:cs="Times New Roman"/>
                <w:b w:val="0"/>
                <w:bCs w:val="0"/>
                <w:color w:val="auto"/>
                <w:sz w:val="24"/>
                <w:szCs w:val="24"/>
                <w:highlight w:val="none"/>
                <w:vertAlign w:val="baseline"/>
                <w:lang w:val="en-US" w:eastAsia="zh-CN"/>
              </w:rPr>
              <w:t>、射孔废水、放喷罐降温废水、放喷废水</w:t>
            </w:r>
            <w:r>
              <w:rPr>
                <w:rFonts w:hint="default" w:ascii="Times New Roman" w:hAnsi="Times New Roman" w:eastAsia="宋体" w:cs="Times New Roman"/>
                <w:b w:val="0"/>
                <w:bCs w:val="0"/>
                <w:color w:val="auto"/>
                <w:sz w:val="24"/>
                <w:szCs w:val="24"/>
                <w:highlight w:val="none"/>
                <w:vertAlign w:val="baseline"/>
                <w:lang w:val="en-US" w:eastAsia="zh-CN"/>
              </w:rPr>
              <w:t>以及生活污水</w:t>
            </w:r>
            <w:r>
              <w:rPr>
                <w:rFonts w:hint="default" w:ascii="Times New Roman" w:hAnsi="Times New Roman" w:eastAsia="宋体" w:cs="Times New Roman"/>
                <w:color w:val="auto"/>
                <w:highlight w:val="none"/>
                <w:lang w:val="en-US" w:eastAsia="zh-CN"/>
              </w:rPr>
              <w:t>。</w:t>
            </w:r>
          </w:p>
          <w:p w14:paraId="5E2ED8A8">
            <w:pPr>
              <w:pStyle w:val="20"/>
              <w:pageBreakBefore w:val="0"/>
              <w:widowControl/>
              <w:kinsoku/>
              <w:wordWrap/>
              <w:overflowPunct/>
              <w:topLinePunct w:val="0"/>
              <w:bidi w:val="0"/>
              <w:spacing w:before="0" w:after="0"/>
              <w:ind w:left="0" w:leftChars="0" w:right="0" w:rightChars="0" w:firstLine="480"/>
              <w:outlineLvl w:val="9"/>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（1）钻井废水</w:t>
            </w:r>
          </w:p>
          <w:p w14:paraId="08A03B92">
            <w:pPr>
              <w:pStyle w:val="15"/>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本项目钻井废水经泥浆水循环系统处理后优先作为钻井液配水回用</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钻井结束</w:t>
            </w:r>
            <w:r>
              <w:rPr>
                <w:rFonts w:hint="eastAsia" w:ascii="Times New Roman" w:hAnsi="Times New Roman" w:cs="Times New Roman"/>
                <w:color w:val="auto"/>
                <w:highlight w:val="none"/>
                <w:lang w:val="en-US" w:eastAsia="zh-CN"/>
              </w:rPr>
              <w:t>后，可</w:t>
            </w:r>
            <w:r>
              <w:rPr>
                <w:rFonts w:hint="default" w:ascii="Times New Roman" w:hAnsi="Times New Roman" w:cs="Times New Roman"/>
                <w:color w:val="auto"/>
                <w:highlight w:val="none"/>
                <w:lang w:val="en-US" w:eastAsia="zh-CN"/>
              </w:rPr>
              <w:t>委托</w:t>
            </w:r>
            <w:r>
              <w:rPr>
                <w:rFonts w:hint="eastAsia" w:ascii="Times New Roman" w:hAnsi="Times New Roman" w:cs="Times New Roman"/>
                <w:color w:val="auto"/>
                <w:highlight w:val="none"/>
                <w:lang w:val="en-US" w:eastAsia="zh-CN"/>
              </w:rPr>
              <w:t>协议的有能力单位</w:t>
            </w:r>
            <w:r>
              <w:rPr>
                <w:rFonts w:hint="default" w:ascii="Times New Roman" w:hAnsi="Times New Roman" w:cs="Times New Roman"/>
                <w:color w:val="auto"/>
                <w:highlight w:val="none"/>
                <w:lang w:val="en-US" w:eastAsia="zh-CN"/>
              </w:rPr>
              <w:t>采用防渗漏、防溢流的罐车</w:t>
            </w:r>
            <w:r>
              <w:rPr>
                <w:rFonts w:hint="eastAsia" w:ascii="Times New Roman" w:hAnsi="Times New Roman" w:cs="Times New Roman"/>
                <w:color w:val="auto"/>
                <w:highlight w:val="none"/>
                <w:lang w:val="en-US" w:eastAsia="zh-CN"/>
              </w:rPr>
              <w:t>抽</w:t>
            </w:r>
            <w:r>
              <w:rPr>
                <w:rFonts w:hint="default" w:ascii="Times New Roman" w:hAnsi="Times New Roman" w:cs="Times New Roman"/>
                <w:color w:val="auto"/>
                <w:highlight w:val="none"/>
                <w:lang w:val="en-US" w:eastAsia="zh-CN"/>
              </w:rPr>
              <w:t>运处置</w:t>
            </w:r>
            <w:r>
              <w:rPr>
                <w:rFonts w:hint="eastAsia" w:ascii="Times New Roman" w:hAnsi="Times New Roman" w:cs="Times New Roman"/>
                <w:color w:val="auto"/>
                <w:highlight w:val="none"/>
                <w:lang w:val="en-US" w:eastAsia="zh-CN"/>
              </w:rPr>
              <w:t>或拉运至下一口井作为钻井用水使用</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根据</w:t>
            </w:r>
            <w:r>
              <w:rPr>
                <w:rFonts w:hint="eastAsia" w:ascii="Times New Roman" w:hAnsi="Times New Roman" w:eastAsia="Calibri" w:cs="Times New Roman"/>
                <w:color w:val="auto"/>
                <w:kern w:val="0"/>
                <w:sz w:val="24"/>
                <w:szCs w:val="21"/>
                <w:highlight w:val="none"/>
                <w:lang w:val="en-US" w:eastAsia="zh-CN" w:bidi="ar"/>
              </w:rPr>
              <w:t>《长庆油田分公司第二采气厂2025年产能建设工程环境影响报告书》中收集的2023年第二采气厂钻井废水实测数据，</w:t>
            </w:r>
            <w:r>
              <w:rPr>
                <w:rFonts w:hint="default" w:ascii="Times New Roman" w:hAnsi="Times New Roman" w:eastAsia="Calibri" w:cs="Times New Roman"/>
                <w:color w:val="auto"/>
                <w:kern w:val="0"/>
                <w:sz w:val="24"/>
                <w:szCs w:val="21"/>
                <w:highlight w:val="none"/>
                <w:lang w:val="en-US" w:eastAsia="zh-CN" w:bidi="ar"/>
              </w:rPr>
              <w:t>钻井废水主要水质指标见下表：</w:t>
            </w:r>
          </w:p>
          <w:p w14:paraId="106E7FDC">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kern w:val="0"/>
                <w:sz w:val="24"/>
                <w:szCs w:val="21"/>
                <w:highlight w:val="none"/>
                <w:lang w:val="en-US" w:eastAsia="zh-CN" w:bidi="ar"/>
              </w:rPr>
              <w:t>表4-1   钻井废水水质指标</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1116"/>
              <w:gridCol w:w="1136"/>
              <w:gridCol w:w="1136"/>
              <w:gridCol w:w="1256"/>
              <w:gridCol w:w="1374"/>
              <w:gridCol w:w="1256"/>
            </w:tblGrid>
            <w:tr w14:paraId="72DE9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pct"/>
                  <w:tcBorders>
                    <w:top w:val="single" w:color="auto" w:sz="4" w:space="0"/>
                    <w:left w:val="single" w:color="auto" w:sz="4" w:space="0"/>
                    <w:bottom w:val="single" w:color="auto" w:sz="4" w:space="0"/>
                    <w:right w:val="single" w:color="auto" w:sz="4" w:space="0"/>
                  </w:tcBorders>
                  <w:noWrap w:val="0"/>
                  <w:vAlign w:val="center"/>
                </w:tcPr>
                <w:p w14:paraId="72C2B155">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废液类型</w:t>
                  </w:r>
                </w:p>
              </w:tc>
              <w:tc>
                <w:tcPr>
                  <w:tcW w:w="666" w:type="pct"/>
                  <w:tcBorders>
                    <w:top w:val="single" w:color="auto" w:sz="4" w:space="0"/>
                    <w:left w:val="single" w:color="auto" w:sz="4" w:space="0"/>
                    <w:bottom w:val="single" w:color="auto" w:sz="4" w:space="0"/>
                    <w:right w:val="single" w:color="auto" w:sz="4" w:space="0"/>
                  </w:tcBorders>
                  <w:noWrap w:val="0"/>
                  <w:vAlign w:val="center"/>
                </w:tcPr>
                <w:p w14:paraId="5836655C">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pH</w:t>
                  </w:r>
                </w:p>
              </w:tc>
              <w:tc>
                <w:tcPr>
                  <w:tcW w:w="678" w:type="pct"/>
                  <w:tcBorders>
                    <w:top w:val="single" w:color="auto" w:sz="4" w:space="0"/>
                    <w:left w:val="single" w:color="auto" w:sz="4" w:space="0"/>
                    <w:bottom w:val="single" w:color="auto" w:sz="4" w:space="0"/>
                    <w:right w:val="single" w:color="auto" w:sz="4" w:space="0"/>
                  </w:tcBorders>
                  <w:noWrap w:val="0"/>
                  <w:vAlign w:val="center"/>
                </w:tcPr>
                <w:p w14:paraId="50F08019">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悬浮物（mg/L）</w:t>
                  </w:r>
                </w:p>
              </w:tc>
              <w:tc>
                <w:tcPr>
                  <w:tcW w:w="678" w:type="pct"/>
                  <w:tcBorders>
                    <w:top w:val="single" w:color="auto" w:sz="4" w:space="0"/>
                    <w:left w:val="single" w:color="auto" w:sz="4" w:space="0"/>
                    <w:bottom w:val="single" w:color="auto" w:sz="4" w:space="0"/>
                    <w:right w:val="single" w:color="auto" w:sz="4" w:space="0"/>
                  </w:tcBorders>
                  <w:noWrap w:val="0"/>
                  <w:vAlign w:val="center"/>
                </w:tcPr>
                <w:p w14:paraId="4399F367">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石油类（mg/L）</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252A3029">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COD（mg/L）</w:t>
                  </w:r>
                </w:p>
              </w:tc>
              <w:tc>
                <w:tcPr>
                  <w:tcW w:w="820" w:type="pct"/>
                  <w:tcBorders>
                    <w:top w:val="single" w:color="auto" w:sz="4" w:space="0"/>
                    <w:left w:val="single" w:color="auto" w:sz="4" w:space="0"/>
                    <w:bottom w:val="single" w:color="auto" w:sz="4" w:space="0"/>
                    <w:right w:val="single" w:color="auto" w:sz="4" w:space="0"/>
                  </w:tcBorders>
                  <w:noWrap w:val="0"/>
                  <w:vAlign w:val="center"/>
                </w:tcPr>
                <w:p w14:paraId="3E7AE408">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氯化物（mg/L）</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3AC9464B">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溶解性总固体（mg/L）</w:t>
                  </w:r>
                </w:p>
              </w:tc>
            </w:tr>
            <w:tr w14:paraId="2FC4F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pct"/>
                  <w:vMerge w:val="restart"/>
                  <w:tcBorders>
                    <w:top w:val="single" w:color="auto" w:sz="4" w:space="0"/>
                    <w:left w:val="single" w:color="auto" w:sz="4" w:space="0"/>
                    <w:right w:val="single" w:color="auto" w:sz="4" w:space="0"/>
                  </w:tcBorders>
                  <w:noWrap w:val="0"/>
                  <w:vAlign w:val="center"/>
                </w:tcPr>
                <w:p w14:paraId="104D987B">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钻井废水</w:t>
                  </w:r>
                </w:p>
              </w:tc>
              <w:tc>
                <w:tcPr>
                  <w:tcW w:w="666" w:type="pct"/>
                  <w:tcBorders>
                    <w:top w:val="single" w:color="auto" w:sz="4" w:space="0"/>
                    <w:left w:val="single" w:color="auto" w:sz="4" w:space="0"/>
                    <w:bottom w:val="single" w:color="auto" w:sz="4" w:space="0"/>
                    <w:right w:val="single" w:color="auto" w:sz="4" w:space="0"/>
                  </w:tcBorders>
                  <w:noWrap w:val="0"/>
                  <w:vAlign w:val="center"/>
                </w:tcPr>
                <w:p w14:paraId="263E4753">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7.8-8.1</w:t>
                  </w:r>
                </w:p>
              </w:tc>
              <w:tc>
                <w:tcPr>
                  <w:tcW w:w="678" w:type="pct"/>
                  <w:tcBorders>
                    <w:top w:val="single" w:color="auto" w:sz="4" w:space="0"/>
                    <w:left w:val="single" w:color="auto" w:sz="4" w:space="0"/>
                    <w:bottom w:val="single" w:color="auto" w:sz="4" w:space="0"/>
                    <w:right w:val="single" w:color="auto" w:sz="4" w:space="0"/>
                  </w:tcBorders>
                  <w:noWrap w:val="0"/>
                  <w:vAlign w:val="center"/>
                </w:tcPr>
                <w:p w14:paraId="2D47AFD6">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360-385</w:t>
                  </w:r>
                </w:p>
              </w:tc>
              <w:tc>
                <w:tcPr>
                  <w:tcW w:w="678" w:type="pct"/>
                  <w:tcBorders>
                    <w:top w:val="single" w:color="auto" w:sz="4" w:space="0"/>
                    <w:left w:val="single" w:color="auto" w:sz="4" w:space="0"/>
                    <w:bottom w:val="single" w:color="auto" w:sz="4" w:space="0"/>
                    <w:right w:val="single" w:color="auto" w:sz="4" w:space="0"/>
                  </w:tcBorders>
                  <w:noWrap w:val="0"/>
                  <w:vAlign w:val="center"/>
                </w:tcPr>
                <w:p w14:paraId="4ECB6815">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10.6-13.1</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37E87E8A">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2740-2820</w:t>
                  </w:r>
                </w:p>
              </w:tc>
              <w:tc>
                <w:tcPr>
                  <w:tcW w:w="820" w:type="pct"/>
                  <w:tcBorders>
                    <w:top w:val="single" w:color="auto" w:sz="4" w:space="0"/>
                    <w:left w:val="single" w:color="auto" w:sz="4" w:space="0"/>
                    <w:bottom w:val="single" w:color="auto" w:sz="4" w:space="0"/>
                    <w:right w:val="single" w:color="auto" w:sz="4" w:space="0"/>
                  </w:tcBorders>
                  <w:noWrap w:val="0"/>
                  <w:vAlign w:val="center"/>
                </w:tcPr>
                <w:p w14:paraId="2FECA447">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560-597</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182189A6">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2560-2950</w:t>
                  </w:r>
                </w:p>
              </w:tc>
            </w:tr>
            <w:tr w14:paraId="2B04A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5" w:type="pct"/>
                  <w:vMerge w:val="continue"/>
                  <w:tcBorders>
                    <w:left w:val="single" w:color="auto" w:sz="4" w:space="0"/>
                    <w:right w:val="single" w:color="auto" w:sz="4" w:space="0"/>
                  </w:tcBorders>
                  <w:noWrap w:val="0"/>
                  <w:vAlign w:val="center"/>
                </w:tcPr>
                <w:p w14:paraId="7E712C58">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p>
              </w:tc>
              <w:tc>
                <w:tcPr>
                  <w:tcW w:w="666" w:type="pct"/>
                  <w:tcBorders>
                    <w:top w:val="single" w:color="auto" w:sz="4" w:space="0"/>
                    <w:left w:val="single" w:color="auto" w:sz="4" w:space="0"/>
                    <w:bottom w:val="single" w:color="auto" w:sz="4" w:space="0"/>
                    <w:right w:val="single" w:color="auto" w:sz="4" w:space="0"/>
                  </w:tcBorders>
                  <w:noWrap w:val="0"/>
                  <w:vAlign w:val="center"/>
                </w:tcPr>
                <w:p w14:paraId="63AB35E7">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BOD</w:t>
                  </w:r>
                  <w:r>
                    <w:rPr>
                      <w:rFonts w:hint="default" w:ascii="Times New Roman" w:hAnsi="Times New Roman" w:eastAsia="宋体" w:cs="Times New Roman"/>
                      <w:b/>
                      <w:bCs/>
                      <w:color w:val="auto"/>
                      <w:kern w:val="0"/>
                      <w:sz w:val="21"/>
                      <w:szCs w:val="21"/>
                      <w:highlight w:val="none"/>
                      <w:vertAlign w:val="subscript"/>
                      <w:lang w:val="en-US" w:eastAsia="zh-CN" w:bidi="ar"/>
                    </w:rPr>
                    <w:t>5</w:t>
                  </w:r>
                  <w:r>
                    <w:rPr>
                      <w:rFonts w:hint="default" w:ascii="Times New Roman" w:hAnsi="Times New Roman" w:eastAsia="宋体" w:cs="Times New Roman"/>
                      <w:b/>
                      <w:bCs/>
                      <w:color w:val="auto"/>
                      <w:kern w:val="0"/>
                      <w:sz w:val="21"/>
                      <w:szCs w:val="21"/>
                      <w:highlight w:val="none"/>
                      <w:lang w:val="en-US" w:eastAsia="zh-CN" w:bidi="ar"/>
                    </w:rPr>
                    <w:t>（mg/L）</w:t>
                  </w:r>
                </w:p>
              </w:tc>
              <w:tc>
                <w:tcPr>
                  <w:tcW w:w="678" w:type="pct"/>
                  <w:tcBorders>
                    <w:top w:val="single" w:color="auto" w:sz="4" w:space="0"/>
                    <w:left w:val="single" w:color="auto" w:sz="4" w:space="0"/>
                    <w:bottom w:val="single" w:color="auto" w:sz="4" w:space="0"/>
                    <w:right w:val="single" w:color="auto" w:sz="4" w:space="0"/>
                  </w:tcBorders>
                  <w:noWrap w:val="0"/>
                  <w:vAlign w:val="center"/>
                </w:tcPr>
                <w:p w14:paraId="5CD43A69">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氨氮（mg/L）</w:t>
                  </w:r>
                </w:p>
              </w:tc>
              <w:tc>
                <w:tcPr>
                  <w:tcW w:w="678" w:type="pct"/>
                  <w:tcBorders>
                    <w:top w:val="single" w:color="auto" w:sz="4" w:space="0"/>
                    <w:left w:val="single" w:color="auto" w:sz="4" w:space="0"/>
                    <w:bottom w:val="single" w:color="auto" w:sz="4" w:space="0"/>
                    <w:right w:val="single" w:color="auto" w:sz="4" w:space="0"/>
                  </w:tcBorders>
                  <w:noWrap w:val="0"/>
                  <w:vAlign w:val="center"/>
                </w:tcPr>
                <w:p w14:paraId="599B0BEF">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氟化物（mg/L）</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60563D8E">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挥发酚（mg/L）</w:t>
                  </w:r>
                </w:p>
              </w:tc>
              <w:tc>
                <w:tcPr>
                  <w:tcW w:w="820" w:type="pct"/>
                  <w:tcBorders>
                    <w:top w:val="single" w:color="auto" w:sz="4" w:space="0"/>
                    <w:left w:val="single" w:color="auto" w:sz="4" w:space="0"/>
                    <w:bottom w:val="single" w:color="auto" w:sz="4" w:space="0"/>
                    <w:right w:val="single" w:color="auto" w:sz="4" w:space="0"/>
                  </w:tcBorders>
                  <w:noWrap w:val="0"/>
                  <w:vAlign w:val="center"/>
                </w:tcPr>
                <w:p w14:paraId="448B039A">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硫化物（mg/L）</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55CA39FD">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w:t>
                  </w:r>
                </w:p>
              </w:tc>
            </w:tr>
            <w:tr w14:paraId="74640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pct"/>
                  <w:vMerge w:val="continue"/>
                  <w:tcBorders>
                    <w:left w:val="single" w:color="auto" w:sz="4" w:space="0"/>
                    <w:bottom w:val="single" w:color="auto" w:sz="4" w:space="0"/>
                    <w:right w:val="single" w:color="auto" w:sz="4" w:space="0"/>
                  </w:tcBorders>
                  <w:noWrap w:val="0"/>
                  <w:vAlign w:val="center"/>
                </w:tcPr>
                <w:p w14:paraId="13E22AC4">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p>
              </w:tc>
              <w:tc>
                <w:tcPr>
                  <w:tcW w:w="666" w:type="pct"/>
                  <w:tcBorders>
                    <w:top w:val="single" w:color="auto" w:sz="4" w:space="0"/>
                    <w:left w:val="single" w:color="auto" w:sz="4" w:space="0"/>
                    <w:bottom w:val="single" w:color="auto" w:sz="4" w:space="0"/>
                    <w:right w:val="single" w:color="auto" w:sz="4" w:space="0"/>
                  </w:tcBorders>
                  <w:noWrap w:val="0"/>
                  <w:vAlign w:val="center"/>
                </w:tcPr>
                <w:p w14:paraId="04268C04">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687-706</w:t>
                  </w:r>
                </w:p>
              </w:tc>
              <w:tc>
                <w:tcPr>
                  <w:tcW w:w="678" w:type="pct"/>
                  <w:tcBorders>
                    <w:top w:val="single" w:color="auto" w:sz="4" w:space="0"/>
                    <w:left w:val="single" w:color="auto" w:sz="4" w:space="0"/>
                    <w:bottom w:val="single" w:color="auto" w:sz="4" w:space="0"/>
                    <w:right w:val="single" w:color="auto" w:sz="4" w:space="0"/>
                  </w:tcBorders>
                  <w:noWrap w:val="0"/>
                  <w:vAlign w:val="center"/>
                </w:tcPr>
                <w:p w14:paraId="51CDAA8F">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52.0-54.8</w:t>
                  </w:r>
                </w:p>
              </w:tc>
              <w:tc>
                <w:tcPr>
                  <w:tcW w:w="678" w:type="pct"/>
                  <w:tcBorders>
                    <w:top w:val="single" w:color="auto" w:sz="4" w:space="0"/>
                    <w:left w:val="single" w:color="auto" w:sz="4" w:space="0"/>
                    <w:bottom w:val="single" w:color="auto" w:sz="4" w:space="0"/>
                    <w:right w:val="single" w:color="auto" w:sz="4" w:space="0"/>
                  </w:tcBorders>
                  <w:noWrap w:val="0"/>
                  <w:vAlign w:val="center"/>
                </w:tcPr>
                <w:p w14:paraId="4FED758A">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0.50-0.58</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2717CE84">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0.0003ND</w:t>
                  </w:r>
                </w:p>
              </w:tc>
              <w:tc>
                <w:tcPr>
                  <w:tcW w:w="820" w:type="pct"/>
                  <w:tcBorders>
                    <w:top w:val="single" w:color="auto" w:sz="4" w:space="0"/>
                    <w:left w:val="single" w:color="auto" w:sz="4" w:space="0"/>
                    <w:bottom w:val="single" w:color="auto" w:sz="4" w:space="0"/>
                    <w:right w:val="single" w:color="auto" w:sz="4" w:space="0"/>
                  </w:tcBorders>
                  <w:noWrap w:val="0"/>
                  <w:vAlign w:val="center"/>
                </w:tcPr>
                <w:p w14:paraId="475E0710">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0.01ND</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6E4D1E44">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r>
          </w:tbl>
          <w:p w14:paraId="4283C21A">
            <w:pPr>
              <w:pStyle w:val="20"/>
              <w:pageBreakBefore w:val="0"/>
              <w:widowControl/>
              <w:kinsoku/>
              <w:wordWrap/>
              <w:overflowPunct/>
              <w:topLinePunct w:val="0"/>
              <w:bidi w:val="0"/>
              <w:spacing w:before="0" w:after="0"/>
              <w:ind w:left="0" w:leftChars="0" w:right="0" w:rightChars="0" w:firstLine="480"/>
              <w:outlineLvl w:val="9"/>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非正常状况下，应立即停止钻井减少钻井泥浆产生量，将钻井泥浆暂存至洗井废水罐，确保钻井废水在井场内不落地、不外排。因此，钻井废水不会对地表水体产生影响。</w:t>
            </w:r>
          </w:p>
          <w:p w14:paraId="4DC6D354">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2" w:firstLineChars="200"/>
              <w:jc w:val="both"/>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（2）洗井废水</w:t>
            </w:r>
          </w:p>
          <w:p w14:paraId="4F9B0138">
            <w:pPr>
              <w:pStyle w:val="20"/>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本项目施工期较短，洗井废水属于水基矿物质悬浊液，主要由清水、氯化钾、重晶石、碳酸钠、膨润土、盐、石灰、石膏、腐殖酸等多种物质组成，返回地面时携带大量来自地下的泥土、矿物等</w:t>
            </w:r>
            <w:r>
              <w:rPr>
                <w:rFonts w:hint="eastAsia" w:ascii="Times New Roman" w:hAnsi="Times New Roman" w:cs="Times New Roman"/>
                <w:color w:val="auto"/>
                <w:highlight w:val="none"/>
                <w:lang w:val="en-US" w:eastAsia="zh-CN"/>
              </w:rPr>
              <w:t>。</w:t>
            </w:r>
          </w:p>
          <w:p w14:paraId="2A3CAD1B">
            <w:pPr>
              <w:pStyle w:val="15"/>
              <w:keepNext w:val="0"/>
              <w:keepLines w:val="0"/>
              <w:widowControl w:val="0"/>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eastAsia"/>
                <w:color w:val="auto"/>
                <w:highlight w:val="none"/>
              </w:rPr>
              <w:t>洗井废水主要包括钻井过程中冲洗钻台、钻具和钻井井筒的清洗废水，污染物种类主要为</w:t>
            </w:r>
            <w:r>
              <w:rPr>
                <w:rFonts w:hint="default" w:ascii="Times New Roman" w:hAnsi="Times New Roman" w:cs="Times New Roman"/>
                <w:color w:val="auto"/>
                <w:highlight w:val="none"/>
              </w:rPr>
              <w:t>SS、COD</w:t>
            </w:r>
            <w:r>
              <w:rPr>
                <w:rFonts w:hint="eastAsia"/>
                <w:color w:val="auto"/>
                <w:highlight w:val="none"/>
              </w:rPr>
              <w:t>和石油类</w:t>
            </w:r>
            <w:r>
              <w:rPr>
                <w:rFonts w:hint="default" w:ascii="Times New Roman" w:hAnsi="Times New Roman" w:cs="Times New Roman"/>
                <w:color w:val="auto"/>
                <w:highlight w:val="none"/>
                <w:lang w:val="en-US" w:eastAsia="zh-CN"/>
              </w:rPr>
              <w:t>。根据</w:t>
            </w:r>
            <w:r>
              <w:rPr>
                <w:rFonts w:hint="eastAsia" w:ascii="Times New Roman" w:hAnsi="Times New Roman" w:cs="Times New Roman"/>
                <w:color w:val="auto"/>
                <w:highlight w:val="none"/>
                <w:lang w:val="en-US" w:eastAsia="zh-CN"/>
              </w:rPr>
              <w:t>前文水平衡分析</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本</w:t>
            </w:r>
            <w:r>
              <w:rPr>
                <w:rFonts w:hint="default" w:ascii="Times New Roman" w:hAnsi="Times New Roman" w:cs="Times New Roman"/>
                <w:color w:val="auto"/>
                <w:highlight w:val="none"/>
                <w:lang w:val="en-US" w:eastAsia="zh-CN"/>
              </w:rPr>
              <w:t>项目洗井废水产生</w:t>
            </w:r>
            <w:r>
              <w:rPr>
                <w:rFonts w:hint="eastAsia" w:ascii="Times New Roman" w:hAnsi="Times New Roman" w:cs="Times New Roman"/>
                <w:color w:val="auto"/>
                <w:highlight w:val="none"/>
                <w:lang w:val="en-US" w:eastAsia="zh-CN"/>
              </w:rPr>
              <w:t>总量约</w:t>
            </w:r>
            <w:r>
              <w:rPr>
                <w:rFonts w:hint="eastAsia" w:ascii="Times New Roman" w:hAnsi="Times New Roman" w:cs="Times New Roman"/>
                <w:color w:val="auto"/>
                <w:kern w:val="0"/>
                <w:sz w:val="24"/>
                <w:szCs w:val="24"/>
                <w:highlight w:val="none"/>
                <w:lang w:val="en-US" w:eastAsia="zh-CN" w:bidi="ar"/>
              </w:rPr>
              <w:t>305.9</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cs="Times New Roman"/>
                <w:color w:val="auto"/>
                <w:highlight w:val="none"/>
                <w:lang w:val="en-US" w:eastAsia="zh-CN"/>
              </w:rPr>
              <w:t>，单井场</w:t>
            </w:r>
            <w:r>
              <w:rPr>
                <w:rFonts w:hint="default" w:ascii="Times New Roman" w:hAnsi="Times New Roman" w:cs="Times New Roman"/>
                <w:color w:val="auto"/>
                <w:highlight w:val="none"/>
                <w:lang w:val="en-US" w:eastAsia="zh-CN"/>
              </w:rPr>
              <w:t>洗井废水</w:t>
            </w:r>
            <w:r>
              <w:rPr>
                <w:rFonts w:hint="eastAsia" w:ascii="Times New Roman" w:hAnsi="Times New Roman" w:cs="Times New Roman"/>
                <w:color w:val="auto"/>
                <w:highlight w:val="none"/>
                <w:lang w:val="en-US" w:eastAsia="zh-CN"/>
              </w:rPr>
              <w:t>最大</w:t>
            </w:r>
            <w:r>
              <w:rPr>
                <w:rFonts w:hint="default" w:ascii="Times New Roman" w:hAnsi="Times New Roman" w:cs="Times New Roman"/>
                <w:color w:val="auto"/>
                <w:highlight w:val="none"/>
                <w:lang w:val="en-US" w:eastAsia="zh-CN"/>
              </w:rPr>
              <w:t>产生</w:t>
            </w:r>
            <w:r>
              <w:rPr>
                <w:rFonts w:hint="eastAsia" w:ascii="Times New Roman" w:hAnsi="Times New Roman" w:cs="Times New Roman"/>
                <w:color w:val="auto"/>
                <w:highlight w:val="none"/>
                <w:lang w:val="en-US" w:eastAsia="zh-CN"/>
              </w:rPr>
              <w:t>量约156.78</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eastAsia" w:ascii="Times New Roman" w:hAnsi="Times New Roman" w:cs="Times New Roman"/>
                <w:color w:val="auto"/>
                <w:highlight w:val="none"/>
                <w:vertAlign w:val="baseline"/>
                <w:lang w:val="en-US" w:eastAsia="zh-CN"/>
              </w:rPr>
              <w:t>，</w:t>
            </w:r>
            <w:r>
              <w:rPr>
                <w:rFonts w:hint="default" w:ascii="Times New Roman" w:hAnsi="Times New Roman" w:cs="Times New Roman"/>
                <w:color w:val="auto"/>
                <w:highlight w:val="none"/>
                <w:lang w:val="en-US" w:eastAsia="zh-CN"/>
              </w:rPr>
              <w:t>井场设置专用收集罐</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个（单个容积为75m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可满足要求</w:t>
            </w:r>
            <w:r>
              <w:rPr>
                <w:rFonts w:hint="default" w:ascii="Times New Roman" w:hAnsi="Times New Roman" w:cs="Times New Roman"/>
                <w:color w:val="auto"/>
                <w:highlight w:val="none"/>
                <w:lang w:val="en-US" w:eastAsia="zh-CN"/>
              </w:rPr>
              <w:t>。由专用收集罐临时收集贮存后委托</w:t>
            </w:r>
            <w:r>
              <w:rPr>
                <w:rFonts w:hint="eastAsia" w:ascii="Times New Roman" w:hAnsi="Times New Roman" w:cs="Times New Roman"/>
                <w:color w:val="auto"/>
                <w:highlight w:val="none"/>
                <w:lang w:val="en-US" w:eastAsia="zh-CN"/>
              </w:rPr>
              <w:t>协议的有能力单位</w:t>
            </w:r>
            <w:r>
              <w:rPr>
                <w:rFonts w:hint="default" w:ascii="Times New Roman" w:hAnsi="Times New Roman" w:cs="Times New Roman"/>
                <w:color w:val="auto"/>
                <w:highlight w:val="none"/>
                <w:lang w:val="en-US" w:eastAsia="zh-CN"/>
              </w:rPr>
              <w:t>采用</w:t>
            </w:r>
            <w:r>
              <w:rPr>
                <w:rFonts w:hint="default" w:ascii="Times New Roman" w:hAnsi="Times New Roman" w:cs="Times New Roman"/>
                <w:color w:val="auto"/>
                <w:sz w:val="24"/>
                <w:highlight w:val="none"/>
              </w:rPr>
              <w:t>防渗漏、防溢流的罐车</w:t>
            </w:r>
            <w:r>
              <w:rPr>
                <w:rFonts w:hint="default" w:ascii="Times New Roman" w:hAnsi="Times New Roman" w:cs="Times New Roman"/>
                <w:color w:val="auto"/>
                <w:highlight w:val="none"/>
                <w:lang w:val="en-US" w:eastAsia="zh-CN"/>
              </w:rPr>
              <w:t>外运处理。洗井废水在井场内不落地、不外排</w:t>
            </w:r>
            <w:r>
              <w:rPr>
                <w:rFonts w:hint="eastAsia" w:ascii="Times New Roman" w:hAnsi="Times New Roman" w:cs="Times New Roman"/>
                <w:color w:val="auto"/>
                <w:highlight w:val="none"/>
                <w:lang w:val="en-US" w:eastAsia="zh-CN"/>
              </w:rPr>
              <w:t>。洗井废水主要污染物及浓度见下表。</w:t>
            </w:r>
          </w:p>
          <w:p w14:paraId="49F45685">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kern w:val="0"/>
                <w:sz w:val="24"/>
                <w:szCs w:val="21"/>
                <w:highlight w:val="none"/>
                <w:lang w:val="en-US" w:eastAsia="zh-CN" w:bidi="ar"/>
              </w:rPr>
              <w:t>表4-2   洗井废水水质指标</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1352"/>
              <w:gridCol w:w="1670"/>
              <w:gridCol w:w="1653"/>
              <w:gridCol w:w="1928"/>
            </w:tblGrid>
            <w:tr w14:paraId="0882D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pct"/>
                  <w:tcBorders>
                    <w:top w:val="single" w:color="auto" w:sz="4" w:space="0"/>
                    <w:left w:val="single" w:color="auto" w:sz="4" w:space="0"/>
                    <w:bottom w:val="single" w:color="auto" w:sz="4" w:space="0"/>
                    <w:right w:val="single" w:color="auto" w:sz="4" w:space="0"/>
                  </w:tcBorders>
                  <w:noWrap w:val="0"/>
                  <w:vAlign w:val="center"/>
                </w:tcPr>
                <w:p w14:paraId="1E93165C">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废液类型</w:t>
                  </w:r>
                </w:p>
              </w:tc>
              <w:tc>
                <w:tcPr>
                  <w:tcW w:w="807" w:type="pct"/>
                  <w:tcBorders>
                    <w:top w:val="single" w:color="auto" w:sz="4" w:space="0"/>
                    <w:left w:val="single" w:color="auto" w:sz="4" w:space="0"/>
                    <w:bottom w:val="single" w:color="auto" w:sz="4" w:space="0"/>
                    <w:right w:val="single" w:color="auto" w:sz="4" w:space="0"/>
                  </w:tcBorders>
                  <w:noWrap w:val="0"/>
                  <w:vAlign w:val="center"/>
                </w:tcPr>
                <w:p w14:paraId="24B4F38C">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pH</w:t>
                  </w:r>
                </w:p>
              </w:tc>
              <w:tc>
                <w:tcPr>
                  <w:tcW w:w="997" w:type="pct"/>
                  <w:tcBorders>
                    <w:top w:val="single" w:color="auto" w:sz="4" w:space="0"/>
                    <w:left w:val="single" w:color="auto" w:sz="4" w:space="0"/>
                    <w:bottom w:val="single" w:color="auto" w:sz="4" w:space="0"/>
                    <w:right w:val="single" w:color="auto" w:sz="4" w:space="0"/>
                  </w:tcBorders>
                  <w:noWrap w:val="0"/>
                  <w:vAlign w:val="center"/>
                </w:tcPr>
                <w:p w14:paraId="4ADC986D">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悬浮物（mg/L）</w:t>
                  </w:r>
                </w:p>
              </w:tc>
              <w:tc>
                <w:tcPr>
                  <w:tcW w:w="987" w:type="pct"/>
                  <w:tcBorders>
                    <w:top w:val="single" w:color="auto" w:sz="4" w:space="0"/>
                    <w:left w:val="single" w:color="auto" w:sz="4" w:space="0"/>
                    <w:bottom w:val="single" w:color="auto" w:sz="4" w:space="0"/>
                    <w:right w:val="single" w:color="auto" w:sz="4" w:space="0"/>
                  </w:tcBorders>
                  <w:noWrap w:val="0"/>
                  <w:vAlign w:val="center"/>
                </w:tcPr>
                <w:p w14:paraId="7CC55CFA">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石油类（mg/L）</w:t>
                  </w:r>
                </w:p>
              </w:tc>
              <w:tc>
                <w:tcPr>
                  <w:tcW w:w="1151" w:type="pct"/>
                  <w:tcBorders>
                    <w:top w:val="single" w:color="auto" w:sz="4" w:space="0"/>
                    <w:left w:val="single" w:color="auto" w:sz="4" w:space="0"/>
                    <w:bottom w:val="single" w:color="auto" w:sz="4" w:space="0"/>
                    <w:right w:val="single" w:color="auto" w:sz="4" w:space="0"/>
                  </w:tcBorders>
                  <w:noWrap w:val="0"/>
                  <w:vAlign w:val="center"/>
                </w:tcPr>
                <w:p w14:paraId="3AAE82DD">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COD（mg/L）</w:t>
                  </w:r>
                </w:p>
              </w:tc>
            </w:tr>
            <w:tr w14:paraId="0869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pct"/>
                  <w:tcBorders>
                    <w:top w:val="single" w:color="auto" w:sz="4" w:space="0"/>
                    <w:left w:val="single" w:color="auto" w:sz="4" w:space="0"/>
                    <w:bottom w:val="single" w:color="auto" w:sz="4" w:space="0"/>
                    <w:right w:val="single" w:color="auto" w:sz="4" w:space="0"/>
                  </w:tcBorders>
                  <w:noWrap w:val="0"/>
                  <w:vAlign w:val="center"/>
                </w:tcPr>
                <w:p w14:paraId="1EAA9DC8">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洗井废水</w:t>
                  </w:r>
                </w:p>
              </w:tc>
              <w:tc>
                <w:tcPr>
                  <w:tcW w:w="807" w:type="pct"/>
                  <w:tcBorders>
                    <w:top w:val="single" w:color="auto" w:sz="4" w:space="0"/>
                    <w:left w:val="single" w:color="auto" w:sz="4" w:space="0"/>
                    <w:bottom w:val="single" w:color="auto" w:sz="4" w:space="0"/>
                    <w:right w:val="single" w:color="auto" w:sz="4" w:space="0"/>
                  </w:tcBorders>
                  <w:noWrap w:val="0"/>
                  <w:vAlign w:val="center"/>
                </w:tcPr>
                <w:p w14:paraId="1AB3690F">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7-8</w:t>
                  </w:r>
                </w:p>
              </w:tc>
              <w:tc>
                <w:tcPr>
                  <w:tcW w:w="997" w:type="pct"/>
                  <w:tcBorders>
                    <w:top w:val="single" w:color="auto" w:sz="4" w:space="0"/>
                    <w:left w:val="single" w:color="auto" w:sz="4" w:space="0"/>
                    <w:bottom w:val="single" w:color="auto" w:sz="4" w:space="0"/>
                    <w:right w:val="single" w:color="auto" w:sz="4" w:space="0"/>
                  </w:tcBorders>
                  <w:noWrap w:val="0"/>
                  <w:vAlign w:val="center"/>
                </w:tcPr>
                <w:p w14:paraId="65F8AB6D">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≦2500</w:t>
                  </w:r>
                </w:p>
              </w:tc>
              <w:tc>
                <w:tcPr>
                  <w:tcW w:w="987" w:type="pct"/>
                  <w:tcBorders>
                    <w:top w:val="single" w:color="auto" w:sz="4" w:space="0"/>
                    <w:left w:val="single" w:color="auto" w:sz="4" w:space="0"/>
                    <w:bottom w:val="single" w:color="auto" w:sz="4" w:space="0"/>
                    <w:right w:val="single" w:color="auto" w:sz="4" w:space="0"/>
                  </w:tcBorders>
                  <w:noWrap w:val="0"/>
                  <w:vAlign w:val="center"/>
                </w:tcPr>
                <w:p w14:paraId="626B586A">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≦80</w:t>
                  </w:r>
                </w:p>
              </w:tc>
              <w:tc>
                <w:tcPr>
                  <w:tcW w:w="1151" w:type="pct"/>
                  <w:tcBorders>
                    <w:top w:val="single" w:color="auto" w:sz="4" w:space="0"/>
                    <w:left w:val="single" w:color="auto" w:sz="4" w:space="0"/>
                    <w:bottom w:val="single" w:color="auto" w:sz="4" w:space="0"/>
                    <w:right w:val="single" w:color="auto" w:sz="4" w:space="0"/>
                  </w:tcBorders>
                  <w:noWrap w:val="0"/>
                  <w:vAlign w:val="center"/>
                </w:tcPr>
                <w:p w14:paraId="3333AFC3">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≦4500</w:t>
                  </w:r>
                </w:p>
              </w:tc>
            </w:tr>
          </w:tbl>
          <w:p w14:paraId="07ADF185">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2" w:firstLineChars="200"/>
              <w:jc w:val="both"/>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（3）压裂返排液</w:t>
            </w:r>
            <w:r>
              <w:rPr>
                <w:rFonts w:hint="eastAsia" w:ascii="Times New Roman" w:hAnsi="Times New Roman" w:eastAsia="宋体" w:cs="Times New Roman"/>
                <w:b/>
                <w:bCs/>
                <w:color w:val="auto"/>
                <w:sz w:val="24"/>
                <w:szCs w:val="24"/>
                <w:highlight w:val="none"/>
                <w:vertAlign w:val="baseline"/>
                <w:lang w:val="en-US" w:eastAsia="zh-CN"/>
              </w:rPr>
              <w:t>、射孔废水</w:t>
            </w:r>
          </w:p>
          <w:p w14:paraId="1A1FBC95">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根据勘探项目组多年勘探经验，</w:t>
            </w:r>
            <w:r>
              <w:rPr>
                <w:rFonts w:hint="eastAsia" w:ascii="Times New Roman" w:hAnsi="Times New Roman" w:cs="Times New Roman"/>
                <w:color w:val="auto"/>
                <w:highlight w:val="none"/>
                <w:lang w:val="en-US" w:eastAsia="zh-CN"/>
              </w:rPr>
              <w:t>单井</w:t>
            </w:r>
            <w:r>
              <w:rPr>
                <w:rFonts w:hint="default" w:ascii="Times New Roman" w:hAnsi="Times New Roman" w:cs="Times New Roman"/>
                <w:color w:val="auto"/>
                <w:highlight w:val="none"/>
                <w:lang w:val="en-US" w:eastAsia="zh-CN"/>
              </w:rPr>
              <w:t>每次通过泵注入，每次注入时间约2-</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eastAsia="zh-CN"/>
              </w:rPr>
              <w:t>h，共注入</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eastAsia="zh-CN"/>
              </w:rPr>
              <w:t>次，</w:t>
            </w:r>
            <w:r>
              <w:rPr>
                <w:rFonts w:hint="eastAsia" w:ascii="Times New Roman" w:hAnsi="Times New Roman" w:eastAsia="宋体" w:cs="Times New Roman"/>
                <w:b w:val="0"/>
                <w:bCs w:val="0"/>
                <w:color w:val="auto"/>
                <w:sz w:val="24"/>
                <w:szCs w:val="24"/>
                <w:highlight w:val="none"/>
                <w:vertAlign w:val="baseline"/>
                <w:lang w:val="en-US" w:eastAsia="zh-CN"/>
              </w:rPr>
              <w:t>单口直井注入压裂液总量约10</w:t>
            </w:r>
            <w:r>
              <w:rPr>
                <w:rFonts w:hint="default" w:ascii="Times New Roman" w:hAnsi="Times New Roman" w:eastAsia="宋体" w:cs="Times New Roman"/>
                <w:b w:val="0"/>
                <w:bCs w:val="0"/>
                <w:color w:val="auto"/>
                <w:sz w:val="24"/>
                <w:szCs w:val="24"/>
                <w:highlight w:val="none"/>
                <w:vertAlign w:val="baseline"/>
                <w:lang w:val="en-US" w:eastAsia="zh-CN"/>
              </w:rPr>
              <w:t>00</w:t>
            </w:r>
            <w:r>
              <w:rPr>
                <w:rFonts w:hint="eastAsia" w:ascii="Times New Roman" w:hAnsi="Times New Roman" w:eastAsia="宋体" w:cs="Times New Roman"/>
                <w:b w:val="0"/>
                <w:bCs w:val="0"/>
                <w:color w:val="auto"/>
                <w:sz w:val="24"/>
                <w:szCs w:val="24"/>
                <w:highlight w:val="none"/>
                <w:vertAlign w:val="baseline"/>
                <w:lang w:val="en-US" w:eastAsia="zh-CN"/>
              </w:rPr>
              <w:t>m</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cs="Times New Roman"/>
                <w:color w:val="auto"/>
                <w:highlight w:val="none"/>
                <w:lang w:val="en-US" w:eastAsia="zh-CN"/>
              </w:rPr>
              <w:t>。受地层压力作用，压裂后会产生压裂返排液，返排时间约6-10天，每天返排压裂废水量约</w:t>
            </w:r>
            <w:r>
              <w:rPr>
                <w:rFonts w:hint="eastAsia" w:ascii="Times New Roman" w:hAnsi="Times New Roman" w:cs="Times New Roman"/>
                <w:color w:val="auto"/>
                <w:highlight w:val="none"/>
                <w:lang w:val="en-US" w:eastAsia="zh-CN"/>
              </w:rPr>
              <w:t>75</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85</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单口直井</w:t>
            </w:r>
            <w:r>
              <w:rPr>
                <w:rFonts w:hint="default" w:ascii="Times New Roman" w:hAnsi="Times New Roman" w:cs="Times New Roman"/>
                <w:color w:val="auto"/>
                <w:highlight w:val="none"/>
                <w:lang w:val="en-US" w:eastAsia="zh-CN"/>
              </w:rPr>
              <w:t>压裂废水产生量约</w:t>
            </w:r>
            <w:r>
              <w:rPr>
                <w:rFonts w:hint="eastAsia" w:ascii="Times New Roman" w:hAnsi="Times New Roman" w:cs="Times New Roman"/>
                <w:color w:val="auto"/>
                <w:highlight w:val="none"/>
                <w:lang w:val="en-US" w:eastAsia="zh-CN"/>
              </w:rPr>
              <w:t>800</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eastAsia" w:ascii="Times New Roman" w:hAnsi="Times New Roman" w:cs="Times New Roman"/>
                <w:color w:val="auto"/>
                <w:highlight w:val="none"/>
                <w:vertAlign w:val="baseline"/>
                <w:lang w:val="en-US" w:eastAsia="zh-CN"/>
              </w:rPr>
              <w:t>，</w:t>
            </w:r>
            <w:r>
              <w:rPr>
                <w:rFonts w:hint="default" w:ascii="Times New Roman" w:hAnsi="Times New Roman" w:cs="Times New Roman"/>
                <w:color w:val="auto"/>
                <w:highlight w:val="none"/>
                <w:lang w:val="en-US" w:eastAsia="zh-CN"/>
              </w:rPr>
              <w:t>其余压裂液在压裂过程中进入</w:t>
            </w:r>
            <w:r>
              <w:rPr>
                <w:rFonts w:hint="eastAsia" w:ascii="Times New Roman" w:hAnsi="Times New Roman" w:cs="Times New Roman"/>
                <w:color w:val="auto"/>
                <w:highlight w:val="none"/>
                <w:lang w:val="en-US" w:eastAsia="zh-CN"/>
              </w:rPr>
              <w:t>压裂</w:t>
            </w:r>
            <w:r>
              <w:rPr>
                <w:rFonts w:hint="default" w:ascii="Times New Roman" w:hAnsi="Times New Roman" w:cs="Times New Roman"/>
                <w:color w:val="auto"/>
                <w:highlight w:val="none"/>
                <w:lang w:val="en-US" w:eastAsia="zh-CN"/>
              </w:rPr>
              <w:t>层</w:t>
            </w:r>
            <w:r>
              <w:rPr>
                <w:rFonts w:hint="eastAsia" w:ascii="Times New Roman" w:hAnsi="Times New Roman" w:cs="Times New Roman"/>
                <w:color w:val="auto"/>
                <w:highlight w:val="none"/>
                <w:lang w:val="en-US" w:eastAsia="zh-CN"/>
              </w:rPr>
              <w:t>，射孔产生的废水伴随压裂返排液一同返出</w:t>
            </w:r>
            <w:r>
              <w:rPr>
                <w:rFonts w:hint="default" w:ascii="Times New Roman" w:hAnsi="Times New Roman" w:cs="Times New Roman"/>
                <w:color w:val="auto"/>
                <w:highlight w:val="none"/>
                <w:lang w:val="en-US" w:eastAsia="zh-CN"/>
              </w:rPr>
              <w:t>。</w:t>
            </w:r>
          </w:p>
          <w:p w14:paraId="0BE90404">
            <w:pPr>
              <w:pStyle w:val="20"/>
              <w:pageBreakBefore w:val="0"/>
              <w:widowControl/>
              <w:kinsoku/>
              <w:wordWrap/>
              <w:overflowPunct/>
              <w:topLinePunct w:val="0"/>
              <w:bidi w:val="0"/>
              <w:adjustRightInd/>
              <w:snapToGrid/>
              <w:spacing w:before="0" w:after="0"/>
              <w:ind w:left="0" w:leftChars="0" w:right="0" w:rightChars="0" w:firstLine="480"/>
              <w:outlineLvl w:val="9"/>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本次新建天然气评价井1口，本项目</w:t>
            </w:r>
            <w:r>
              <w:rPr>
                <w:rFonts w:hint="default" w:ascii="Times New Roman" w:hAnsi="Times New Roman" w:cs="Times New Roman"/>
                <w:color w:val="auto"/>
                <w:highlight w:val="none"/>
                <w:lang w:val="en-US" w:eastAsia="zh-CN"/>
              </w:rPr>
              <w:t>注入压裂液总量</w:t>
            </w:r>
            <w:r>
              <w:rPr>
                <w:rFonts w:hint="eastAsia" w:ascii="Times New Roman" w:hAnsi="Times New Roman" w:cs="Times New Roman"/>
                <w:color w:val="auto"/>
                <w:highlight w:val="none"/>
                <w:lang w:val="en-US" w:eastAsia="zh-CN"/>
              </w:rPr>
              <w:t>共计1000</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压裂废水产生总量</w:t>
            </w:r>
            <w:r>
              <w:rPr>
                <w:rFonts w:hint="eastAsia" w:ascii="Times New Roman" w:hAnsi="Times New Roman" w:cs="Times New Roman"/>
                <w:color w:val="auto"/>
                <w:highlight w:val="none"/>
                <w:lang w:val="en-US" w:eastAsia="zh-CN"/>
              </w:rPr>
              <w:t>共800</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eastAsia" w:ascii="Times New Roman" w:hAnsi="Times New Roman" w:cs="Times New Roman"/>
                <w:color w:val="auto"/>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项目射孔液消耗量约</w:t>
            </w:r>
            <w:r>
              <w:rPr>
                <w:rFonts w:hint="eastAsia" w:ascii="Times New Roman" w:hAnsi="Times New Roman" w:cs="Times New Roman"/>
                <w:color w:val="auto"/>
                <w:sz w:val="24"/>
                <w:highlight w:val="none"/>
                <w:vertAlign w:val="baseline"/>
                <w:lang w:val="en-US" w:eastAsia="zh-CN"/>
              </w:rPr>
              <w:t>116.15</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射孔废水产生量约</w:t>
            </w:r>
            <w:r>
              <w:rPr>
                <w:rFonts w:hint="eastAsia" w:ascii="Times New Roman" w:hAnsi="Times New Roman" w:cs="Times New Roman"/>
                <w:color w:val="auto"/>
                <w:sz w:val="24"/>
                <w:szCs w:val="32"/>
                <w:highlight w:val="none"/>
                <w:lang w:val="en-US" w:eastAsia="zh-CN"/>
              </w:rPr>
              <w:t>104.5</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本项目设置13个75m</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压裂返排液罐</w:t>
            </w:r>
            <w:r>
              <w:rPr>
                <w:rFonts w:hint="eastAsia" w:ascii="Times New Roman" w:hAnsi="Times New Roman" w:eastAsia="宋体" w:cs="Times New Roman"/>
                <w:b w:val="0"/>
                <w:bCs w:val="0"/>
                <w:color w:val="auto"/>
                <w:sz w:val="24"/>
                <w:szCs w:val="24"/>
                <w:highlight w:val="none"/>
                <w:vertAlign w:val="baseline"/>
                <w:lang w:val="en-US" w:eastAsia="zh-CN"/>
              </w:rPr>
              <w:t>，总容积975m</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b w:val="0"/>
                <w:bCs w:val="0"/>
                <w:color w:val="auto"/>
                <w:sz w:val="24"/>
                <w:szCs w:val="24"/>
                <w:highlight w:val="none"/>
                <w:vertAlign w:val="baseline"/>
                <w:lang w:val="en-US" w:eastAsia="zh-CN"/>
              </w:rPr>
              <w:t>，可满足本项目</w:t>
            </w:r>
            <w:r>
              <w:rPr>
                <w:rFonts w:hint="default" w:ascii="Times New Roman" w:hAnsi="Times New Roman" w:cs="Times New Roman"/>
                <w:color w:val="auto"/>
                <w:highlight w:val="none"/>
                <w:lang w:val="en-US" w:eastAsia="zh-CN"/>
              </w:rPr>
              <w:t>压裂废水</w:t>
            </w:r>
            <w:r>
              <w:rPr>
                <w:rFonts w:hint="eastAsia" w:ascii="Times New Roman" w:hAnsi="Times New Roman" w:cs="Times New Roman"/>
                <w:color w:val="auto"/>
                <w:highlight w:val="none"/>
                <w:lang w:val="en-US" w:eastAsia="zh-CN"/>
              </w:rPr>
              <w:t>和</w:t>
            </w:r>
            <w:r>
              <w:rPr>
                <w:rFonts w:hint="default" w:ascii="Times New Roman" w:hAnsi="Times New Roman" w:eastAsia="宋体" w:cs="Times New Roman"/>
                <w:b w:val="0"/>
                <w:bCs w:val="0"/>
                <w:color w:val="auto"/>
                <w:sz w:val="24"/>
                <w:szCs w:val="24"/>
                <w:highlight w:val="none"/>
                <w:vertAlign w:val="baseline"/>
                <w:lang w:val="en-US" w:eastAsia="zh-CN"/>
              </w:rPr>
              <w:t>射孔废水</w:t>
            </w:r>
            <w:r>
              <w:rPr>
                <w:rFonts w:hint="eastAsia" w:ascii="Times New Roman" w:hAnsi="Times New Roman" w:eastAsia="宋体" w:cs="Times New Roman"/>
                <w:b w:val="0"/>
                <w:bCs w:val="0"/>
                <w:color w:val="auto"/>
                <w:sz w:val="24"/>
                <w:szCs w:val="24"/>
                <w:highlight w:val="none"/>
                <w:vertAlign w:val="baseline"/>
                <w:lang w:val="en-US" w:eastAsia="zh-CN"/>
              </w:rPr>
              <w:t>暂存要求。</w:t>
            </w:r>
          </w:p>
          <w:p w14:paraId="55C9A128">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根据榆林市生态环境局《关于印发榆林市油气开发压裂反排液处置管理规定的通知》（榆政环发</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2023</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71号）规定：油（气）井场要在压裂及其它井下作业前配备废水地上收集罐，对压裂返排液及其它废水进行统一收集；未配备废水收集罐的井场不得开展相关作业。本项目压裂返排液临时收集贮存于专用收集罐，委托</w:t>
            </w:r>
            <w:r>
              <w:rPr>
                <w:rFonts w:hint="eastAsia" w:ascii="Times New Roman" w:hAnsi="Times New Roman" w:cs="Times New Roman"/>
                <w:color w:val="auto"/>
                <w:highlight w:val="none"/>
                <w:lang w:val="en-US" w:eastAsia="zh-CN"/>
              </w:rPr>
              <w:t>协议的有能力单位</w:t>
            </w:r>
            <w:r>
              <w:rPr>
                <w:rFonts w:hint="default" w:ascii="Times New Roman" w:hAnsi="Times New Roman" w:cs="Times New Roman"/>
                <w:color w:val="auto"/>
                <w:highlight w:val="none"/>
                <w:lang w:val="en-US" w:eastAsia="zh-CN"/>
              </w:rPr>
              <w:t>采用</w:t>
            </w:r>
            <w:r>
              <w:rPr>
                <w:rFonts w:hint="default" w:ascii="Times New Roman" w:hAnsi="Times New Roman" w:cs="Times New Roman"/>
                <w:color w:val="auto"/>
                <w:sz w:val="24"/>
                <w:highlight w:val="none"/>
              </w:rPr>
              <w:t>防渗漏、防溢流的罐车</w:t>
            </w:r>
            <w:r>
              <w:rPr>
                <w:rFonts w:hint="default" w:ascii="Times New Roman" w:hAnsi="Times New Roman" w:cs="Times New Roman"/>
                <w:color w:val="auto"/>
                <w:sz w:val="24"/>
                <w:highlight w:val="none"/>
                <w:lang w:val="en-US" w:eastAsia="zh-CN"/>
              </w:rPr>
              <w:t>外运</w:t>
            </w:r>
            <w:r>
              <w:rPr>
                <w:rFonts w:hint="default" w:ascii="Times New Roman" w:hAnsi="Times New Roman" w:cs="Times New Roman"/>
                <w:color w:val="auto"/>
                <w:highlight w:val="none"/>
                <w:lang w:val="en-US" w:eastAsia="zh-CN"/>
              </w:rPr>
              <w:t>处置。符合《榆林市油气开采废弃物不落地集中处置推广项目建设管理指南（试行）》的管理规定。</w:t>
            </w:r>
          </w:p>
          <w:p w14:paraId="05BE1ADA">
            <w:pPr>
              <w:pStyle w:val="15"/>
              <w:keepNext w:val="0"/>
              <w:keepLines w:val="0"/>
              <w:widowControl w:val="0"/>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color w:val="auto"/>
                <w:highlight w:val="none"/>
                <w:lang w:val="en-US" w:eastAsia="zh-CN"/>
              </w:rPr>
            </w:pPr>
            <w:r>
              <w:rPr>
                <w:rFonts w:hint="eastAsia" w:ascii="Times New Roman" w:hAnsi="Times New Roman" w:eastAsia="Calibri" w:cs="Times New Roman"/>
                <w:color w:val="auto"/>
                <w:kern w:val="0"/>
                <w:sz w:val="24"/>
                <w:szCs w:val="21"/>
                <w:highlight w:val="none"/>
                <w:lang w:val="en-US" w:eastAsia="zh-CN" w:bidi="ar"/>
              </w:rPr>
              <w:t>根据《长庆油田分公司第二采气厂2025年产能建设工程环境影响报告书》中收集的陕西环保集团朗新环境服务有限公司对第二采气厂双37-59C7井的压裂返排液实测数据（采样时间2024年9月24日），压裂返排液</w:t>
            </w:r>
            <w:r>
              <w:rPr>
                <w:rFonts w:hint="default" w:ascii="Times New Roman" w:hAnsi="Times New Roman" w:eastAsia="Calibri" w:cs="Times New Roman"/>
                <w:color w:val="auto"/>
                <w:kern w:val="0"/>
                <w:sz w:val="24"/>
                <w:szCs w:val="21"/>
                <w:highlight w:val="none"/>
                <w:lang w:val="en-US" w:eastAsia="zh-CN" w:bidi="ar"/>
              </w:rPr>
              <w:t>水质指标见下表：</w:t>
            </w:r>
          </w:p>
          <w:p w14:paraId="1E253639">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highlight w:val="none"/>
                <w:lang w:val="en-US" w:eastAsia="zh-CN"/>
              </w:rPr>
            </w:pPr>
            <w:r>
              <w:rPr>
                <w:rFonts w:hint="default" w:ascii="Times New Roman" w:hAnsi="Times New Roman" w:eastAsia="Calibri" w:cs="Times New Roman"/>
                <w:b/>
                <w:bCs/>
                <w:color w:val="auto"/>
                <w:kern w:val="0"/>
                <w:sz w:val="24"/>
                <w:szCs w:val="21"/>
                <w:highlight w:val="none"/>
                <w:lang w:val="en-US" w:eastAsia="zh-CN" w:bidi="ar"/>
              </w:rPr>
              <w:t>表4-3  压裂返排液水质指标</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1116"/>
              <w:gridCol w:w="1116"/>
              <w:gridCol w:w="1116"/>
              <w:gridCol w:w="1317"/>
              <w:gridCol w:w="1451"/>
              <w:gridCol w:w="1131"/>
            </w:tblGrid>
            <w:tr w14:paraId="004DB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pct"/>
                  <w:tcBorders>
                    <w:top w:val="single" w:color="auto" w:sz="4" w:space="0"/>
                    <w:left w:val="single" w:color="auto" w:sz="4" w:space="0"/>
                    <w:bottom w:val="single" w:color="auto" w:sz="4" w:space="0"/>
                    <w:right w:val="single" w:color="auto" w:sz="4" w:space="0"/>
                  </w:tcBorders>
                  <w:noWrap w:val="0"/>
                  <w:vAlign w:val="center"/>
                </w:tcPr>
                <w:p w14:paraId="78E850C9">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eastAsia="Calibri" w:cs="Times New Roman"/>
                      <w:b/>
                      <w:bCs/>
                      <w:color w:val="auto"/>
                      <w:kern w:val="0"/>
                      <w:sz w:val="21"/>
                      <w:szCs w:val="21"/>
                      <w:highlight w:val="none"/>
                      <w:lang w:val="en-US" w:eastAsia="zh-CN" w:bidi="ar"/>
                    </w:rPr>
                    <w:t>废液类型</w:t>
                  </w:r>
                </w:p>
              </w:tc>
              <w:tc>
                <w:tcPr>
                  <w:tcW w:w="666" w:type="pct"/>
                  <w:tcBorders>
                    <w:top w:val="single" w:color="auto" w:sz="4" w:space="0"/>
                    <w:left w:val="single" w:color="auto" w:sz="4" w:space="0"/>
                    <w:bottom w:val="single" w:color="auto" w:sz="4" w:space="0"/>
                    <w:right w:val="single" w:color="auto" w:sz="4" w:space="0"/>
                  </w:tcBorders>
                  <w:noWrap w:val="0"/>
                  <w:vAlign w:val="center"/>
                </w:tcPr>
                <w:p w14:paraId="77350A5C">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eastAsia="Calibri" w:cs="Times New Roman"/>
                      <w:b/>
                      <w:bCs/>
                      <w:color w:val="auto"/>
                      <w:kern w:val="0"/>
                      <w:sz w:val="21"/>
                      <w:szCs w:val="21"/>
                      <w:highlight w:val="none"/>
                      <w:lang w:val="en-US" w:eastAsia="zh-CN" w:bidi="ar"/>
                    </w:rPr>
                    <w:t>pH</w:t>
                  </w:r>
                </w:p>
              </w:tc>
              <w:tc>
                <w:tcPr>
                  <w:tcW w:w="666" w:type="pct"/>
                  <w:tcBorders>
                    <w:top w:val="single" w:color="auto" w:sz="4" w:space="0"/>
                    <w:left w:val="single" w:color="auto" w:sz="4" w:space="0"/>
                    <w:bottom w:val="single" w:color="auto" w:sz="4" w:space="0"/>
                    <w:right w:val="single" w:color="auto" w:sz="4" w:space="0"/>
                  </w:tcBorders>
                  <w:noWrap w:val="0"/>
                  <w:vAlign w:val="center"/>
                </w:tcPr>
                <w:p w14:paraId="6FEA9160">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eastAsia="Calibri" w:cs="Times New Roman"/>
                      <w:b/>
                      <w:bCs/>
                      <w:color w:val="auto"/>
                      <w:kern w:val="0"/>
                      <w:sz w:val="21"/>
                      <w:szCs w:val="21"/>
                      <w:highlight w:val="none"/>
                      <w:lang w:val="en-US" w:eastAsia="zh-CN" w:bidi="ar"/>
                    </w:rPr>
                    <w:t>COD</w:t>
                  </w:r>
                  <w:r>
                    <w:rPr>
                      <w:rFonts w:hint="default" w:ascii="Times New Roman" w:hAnsi="Times New Roman" w:eastAsia="Calibri" w:cs="Times New Roman"/>
                      <w:b/>
                      <w:bCs/>
                      <w:color w:val="auto"/>
                      <w:kern w:val="0"/>
                      <w:sz w:val="21"/>
                      <w:szCs w:val="21"/>
                      <w:highlight w:val="none"/>
                      <w:lang w:val="en-US" w:eastAsia="zh-CN" w:bidi="ar"/>
                    </w:rPr>
                    <w:t>（mg/L）</w:t>
                  </w:r>
                </w:p>
              </w:tc>
              <w:tc>
                <w:tcPr>
                  <w:tcW w:w="666" w:type="pct"/>
                  <w:tcBorders>
                    <w:top w:val="single" w:color="auto" w:sz="4" w:space="0"/>
                    <w:left w:val="single" w:color="auto" w:sz="4" w:space="0"/>
                    <w:bottom w:val="single" w:color="auto" w:sz="4" w:space="0"/>
                    <w:right w:val="single" w:color="auto" w:sz="4" w:space="0"/>
                  </w:tcBorders>
                  <w:noWrap w:val="0"/>
                  <w:vAlign w:val="center"/>
                </w:tcPr>
                <w:p w14:paraId="34415E7F">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eastAsia="Calibri" w:cs="Times New Roman"/>
                      <w:b/>
                      <w:bCs/>
                      <w:color w:val="auto"/>
                      <w:kern w:val="0"/>
                      <w:sz w:val="21"/>
                      <w:szCs w:val="21"/>
                      <w:highlight w:val="none"/>
                      <w:lang w:val="en-US" w:eastAsia="zh-CN" w:bidi="ar"/>
                    </w:rPr>
                    <w:t>BOD</w:t>
                  </w:r>
                  <w:r>
                    <w:rPr>
                      <w:rFonts w:hint="eastAsia" w:ascii="Times New Roman" w:hAnsi="Times New Roman" w:eastAsia="Calibri" w:cs="Times New Roman"/>
                      <w:b/>
                      <w:bCs/>
                      <w:color w:val="auto"/>
                      <w:kern w:val="0"/>
                      <w:sz w:val="21"/>
                      <w:szCs w:val="21"/>
                      <w:highlight w:val="none"/>
                      <w:vertAlign w:val="subscript"/>
                      <w:lang w:val="en-US" w:eastAsia="zh-CN" w:bidi="ar"/>
                    </w:rPr>
                    <w:t>5</w:t>
                  </w:r>
                  <w:r>
                    <w:rPr>
                      <w:rFonts w:hint="default" w:ascii="Times New Roman" w:hAnsi="Times New Roman" w:eastAsia="Calibri" w:cs="Times New Roman"/>
                      <w:b/>
                      <w:bCs/>
                      <w:color w:val="auto"/>
                      <w:kern w:val="0"/>
                      <w:sz w:val="21"/>
                      <w:szCs w:val="21"/>
                      <w:highlight w:val="none"/>
                      <w:lang w:val="en-US" w:eastAsia="zh-CN" w:bidi="ar"/>
                    </w:rPr>
                    <w:t>（mg/L）</w:t>
                  </w:r>
                </w:p>
              </w:tc>
              <w:tc>
                <w:tcPr>
                  <w:tcW w:w="786" w:type="pct"/>
                  <w:tcBorders>
                    <w:top w:val="single" w:color="auto" w:sz="4" w:space="0"/>
                    <w:left w:val="single" w:color="auto" w:sz="4" w:space="0"/>
                    <w:bottom w:val="single" w:color="auto" w:sz="4" w:space="0"/>
                    <w:right w:val="single" w:color="auto" w:sz="4" w:space="0"/>
                  </w:tcBorders>
                  <w:noWrap w:val="0"/>
                  <w:vAlign w:val="center"/>
                </w:tcPr>
                <w:p w14:paraId="54503731">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eastAsia="Calibri" w:cs="Times New Roman"/>
                      <w:b/>
                      <w:bCs/>
                      <w:color w:val="auto"/>
                      <w:kern w:val="0"/>
                      <w:sz w:val="21"/>
                      <w:szCs w:val="21"/>
                      <w:highlight w:val="none"/>
                      <w:lang w:val="en-US" w:eastAsia="zh-CN" w:bidi="ar"/>
                    </w:rPr>
                    <w:t>石油类</w:t>
                  </w:r>
                  <w:r>
                    <w:rPr>
                      <w:rFonts w:hint="default" w:ascii="Times New Roman" w:hAnsi="Times New Roman" w:eastAsia="Calibri" w:cs="Times New Roman"/>
                      <w:b/>
                      <w:bCs/>
                      <w:color w:val="auto"/>
                      <w:kern w:val="0"/>
                      <w:sz w:val="21"/>
                      <w:szCs w:val="21"/>
                      <w:highlight w:val="none"/>
                      <w:lang w:val="en-US" w:eastAsia="zh-CN" w:bidi="ar"/>
                    </w:rPr>
                    <w:t>（mg/L）</w:t>
                  </w:r>
                </w:p>
              </w:tc>
              <w:tc>
                <w:tcPr>
                  <w:tcW w:w="866" w:type="pct"/>
                  <w:tcBorders>
                    <w:top w:val="single" w:color="auto" w:sz="4" w:space="0"/>
                    <w:left w:val="single" w:color="auto" w:sz="4" w:space="0"/>
                    <w:bottom w:val="single" w:color="auto" w:sz="4" w:space="0"/>
                    <w:right w:val="single" w:color="auto" w:sz="4" w:space="0"/>
                  </w:tcBorders>
                  <w:noWrap w:val="0"/>
                  <w:vAlign w:val="center"/>
                </w:tcPr>
                <w:p w14:paraId="5FE5EA6B">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eastAsia="Calibri" w:cs="Times New Roman"/>
                      <w:b/>
                      <w:bCs/>
                      <w:color w:val="auto"/>
                      <w:kern w:val="0"/>
                      <w:sz w:val="21"/>
                      <w:szCs w:val="21"/>
                      <w:highlight w:val="none"/>
                      <w:lang w:val="en-US" w:eastAsia="zh-CN" w:bidi="ar"/>
                    </w:rPr>
                    <w:t>总硬度（mg/L）</w:t>
                  </w:r>
                </w:p>
              </w:tc>
              <w:tc>
                <w:tcPr>
                  <w:tcW w:w="675" w:type="pct"/>
                  <w:tcBorders>
                    <w:top w:val="single" w:color="auto" w:sz="4" w:space="0"/>
                    <w:left w:val="single" w:color="auto" w:sz="4" w:space="0"/>
                    <w:bottom w:val="single" w:color="auto" w:sz="4" w:space="0"/>
                    <w:right w:val="single" w:color="auto" w:sz="4" w:space="0"/>
                  </w:tcBorders>
                  <w:noWrap w:val="0"/>
                  <w:vAlign w:val="center"/>
                </w:tcPr>
                <w:p w14:paraId="2D1E78F4">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eastAsia="Calibri" w:cs="Times New Roman"/>
                      <w:b/>
                      <w:bCs/>
                      <w:color w:val="auto"/>
                      <w:kern w:val="0"/>
                      <w:sz w:val="21"/>
                      <w:szCs w:val="21"/>
                      <w:highlight w:val="none"/>
                      <w:lang w:val="en-US" w:eastAsia="zh-CN" w:bidi="ar"/>
                    </w:rPr>
                    <w:t>浊度</w:t>
                  </w:r>
                  <w:r>
                    <w:rPr>
                      <w:rFonts w:hint="default" w:ascii="Times New Roman" w:hAnsi="Times New Roman" w:eastAsia="Calibri" w:cs="Times New Roman"/>
                      <w:b/>
                      <w:bCs/>
                      <w:color w:val="auto"/>
                      <w:kern w:val="0"/>
                      <w:sz w:val="21"/>
                      <w:szCs w:val="21"/>
                      <w:highlight w:val="none"/>
                      <w:lang w:val="en-US" w:eastAsia="zh-CN" w:bidi="ar"/>
                    </w:rPr>
                    <w:t>（</w:t>
                  </w:r>
                  <w:r>
                    <w:rPr>
                      <w:rFonts w:hint="eastAsia" w:ascii="Times New Roman" w:hAnsi="Times New Roman" w:eastAsia="Calibri" w:cs="Times New Roman"/>
                      <w:b/>
                      <w:bCs/>
                      <w:color w:val="auto"/>
                      <w:kern w:val="0"/>
                      <w:sz w:val="21"/>
                      <w:szCs w:val="21"/>
                      <w:highlight w:val="none"/>
                      <w:lang w:val="en-US" w:eastAsia="zh-CN" w:bidi="ar"/>
                    </w:rPr>
                    <w:t>NTU</w:t>
                  </w:r>
                  <w:r>
                    <w:rPr>
                      <w:rFonts w:hint="default" w:ascii="Times New Roman" w:hAnsi="Times New Roman" w:eastAsia="Calibri" w:cs="Times New Roman"/>
                      <w:b/>
                      <w:bCs/>
                      <w:color w:val="auto"/>
                      <w:kern w:val="0"/>
                      <w:sz w:val="21"/>
                      <w:szCs w:val="21"/>
                      <w:highlight w:val="none"/>
                      <w:lang w:val="en-US" w:eastAsia="zh-CN" w:bidi="ar"/>
                    </w:rPr>
                    <w:t>）</w:t>
                  </w:r>
                </w:p>
              </w:tc>
            </w:tr>
            <w:tr w14:paraId="693E9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pct"/>
                  <w:vMerge w:val="restart"/>
                  <w:tcBorders>
                    <w:top w:val="single" w:color="auto" w:sz="4" w:space="0"/>
                    <w:left w:val="single" w:color="auto" w:sz="4" w:space="0"/>
                    <w:right w:val="single" w:color="auto" w:sz="4" w:space="0"/>
                  </w:tcBorders>
                  <w:noWrap w:val="0"/>
                  <w:vAlign w:val="center"/>
                </w:tcPr>
                <w:p w14:paraId="40851715">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Calibri" w:cs="Times New Roman"/>
                      <w:color w:val="auto"/>
                      <w:kern w:val="0"/>
                      <w:sz w:val="21"/>
                      <w:szCs w:val="21"/>
                      <w:highlight w:val="none"/>
                      <w:lang w:val="en-US" w:eastAsia="zh-CN" w:bidi="ar"/>
                    </w:rPr>
                    <w:t>压裂返排液</w:t>
                  </w:r>
                  <w:r>
                    <w:rPr>
                      <w:rFonts w:hint="eastAsia" w:ascii="Times New Roman" w:hAnsi="Times New Roman" w:eastAsia="Calibri" w:cs="Times New Roman"/>
                      <w:color w:val="auto"/>
                      <w:kern w:val="0"/>
                      <w:sz w:val="21"/>
                      <w:szCs w:val="21"/>
                      <w:highlight w:val="none"/>
                      <w:lang w:val="en-US" w:eastAsia="zh-CN" w:bidi="ar"/>
                    </w:rPr>
                    <w:t>（含射孔和放喷废水）</w:t>
                  </w:r>
                </w:p>
              </w:tc>
              <w:tc>
                <w:tcPr>
                  <w:tcW w:w="666" w:type="pct"/>
                  <w:tcBorders>
                    <w:top w:val="single" w:color="auto" w:sz="4" w:space="0"/>
                    <w:left w:val="single" w:color="auto" w:sz="4" w:space="0"/>
                    <w:bottom w:val="single" w:color="auto" w:sz="4" w:space="0"/>
                    <w:right w:val="single" w:color="auto" w:sz="4" w:space="0"/>
                  </w:tcBorders>
                  <w:noWrap w:val="0"/>
                  <w:vAlign w:val="center"/>
                </w:tcPr>
                <w:p w14:paraId="2F0C9A7E">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Calibri" w:cs="Times New Roman"/>
                      <w:color w:val="auto"/>
                      <w:kern w:val="0"/>
                      <w:sz w:val="21"/>
                      <w:szCs w:val="21"/>
                      <w:highlight w:val="none"/>
                      <w:lang w:val="en-US" w:eastAsia="zh-CN" w:bidi="ar"/>
                    </w:rPr>
                    <w:t>7.0</w:t>
                  </w:r>
                </w:p>
              </w:tc>
              <w:tc>
                <w:tcPr>
                  <w:tcW w:w="666" w:type="pct"/>
                  <w:tcBorders>
                    <w:top w:val="single" w:color="auto" w:sz="4" w:space="0"/>
                    <w:left w:val="single" w:color="auto" w:sz="4" w:space="0"/>
                    <w:bottom w:val="single" w:color="auto" w:sz="4" w:space="0"/>
                    <w:right w:val="single" w:color="auto" w:sz="4" w:space="0"/>
                  </w:tcBorders>
                  <w:noWrap w:val="0"/>
                  <w:vAlign w:val="center"/>
                </w:tcPr>
                <w:p w14:paraId="4BBC6839">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4230</w:t>
                  </w:r>
                </w:p>
              </w:tc>
              <w:tc>
                <w:tcPr>
                  <w:tcW w:w="666" w:type="pct"/>
                  <w:tcBorders>
                    <w:top w:val="single" w:color="auto" w:sz="4" w:space="0"/>
                    <w:left w:val="single" w:color="auto" w:sz="4" w:space="0"/>
                    <w:bottom w:val="single" w:color="auto" w:sz="4" w:space="0"/>
                    <w:right w:val="single" w:color="auto" w:sz="4" w:space="0"/>
                  </w:tcBorders>
                  <w:noWrap w:val="0"/>
                  <w:vAlign w:val="center"/>
                </w:tcPr>
                <w:p w14:paraId="46EC1EB1">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2500</w:t>
                  </w:r>
                </w:p>
              </w:tc>
              <w:tc>
                <w:tcPr>
                  <w:tcW w:w="786" w:type="pct"/>
                  <w:tcBorders>
                    <w:top w:val="single" w:color="auto" w:sz="4" w:space="0"/>
                    <w:left w:val="single" w:color="auto" w:sz="4" w:space="0"/>
                    <w:bottom w:val="single" w:color="auto" w:sz="4" w:space="0"/>
                    <w:right w:val="single" w:color="auto" w:sz="4" w:space="0"/>
                  </w:tcBorders>
                  <w:noWrap w:val="0"/>
                  <w:vAlign w:val="center"/>
                </w:tcPr>
                <w:p w14:paraId="2D41D28C">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1.23</w:t>
                  </w:r>
                </w:p>
              </w:tc>
              <w:tc>
                <w:tcPr>
                  <w:tcW w:w="866" w:type="pct"/>
                  <w:tcBorders>
                    <w:top w:val="single" w:color="auto" w:sz="4" w:space="0"/>
                    <w:left w:val="single" w:color="auto" w:sz="4" w:space="0"/>
                    <w:bottom w:val="single" w:color="auto" w:sz="4" w:space="0"/>
                    <w:right w:val="single" w:color="auto" w:sz="4" w:space="0"/>
                  </w:tcBorders>
                  <w:noWrap w:val="0"/>
                  <w:vAlign w:val="center"/>
                </w:tcPr>
                <w:p w14:paraId="2A136CF5">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23800</w:t>
                  </w:r>
                </w:p>
              </w:tc>
              <w:tc>
                <w:tcPr>
                  <w:tcW w:w="675" w:type="pct"/>
                  <w:tcBorders>
                    <w:top w:val="single" w:color="auto" w:sz="4" w:space="0"/>
                    <w:left w:val="single" w:color="auto" w:sz="4" w:space="0"/>
                    <w:bottom w:val="single" w:color="auto" w:sz="4" w:space="0"/>
                    <w:right w:val="single" w:color="auto" w:sz="4" w:space="0"/>
                  </w:tcBorders>
                  <w:noWrap w:val="0"/>
                  <w:vAlign w:val="center"/>
                </w:tcPr>
                <w:p w14:paraId="6158BEF8">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＞800</w:t>
                  </w:r>
                </w:p>
              </w:tc>
            </w:tr>
            <w:tr w14:paraId="36589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pct"/>
                  <w:vMerge w:val="continue"/>
                  <w:tcBorders>
                    <w:left w:val="single" w:color="auto" w:sz="4" w:space="0"/>
                    <w:right w:val="single" w:color="auto" w:sz="4" w:space="0"/>
                  </w:tcBorders>
                  <w:noWrap w:val="0"/>
                  <w:vAlign w:val="center"/>
                </w:tcPr>
                <w:p w14:paraId="19AE5865">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Calibri" w:cs="Times New Roman"/>
                      <w:color w:val="auto"/>
                      <w:kern w:val="0"/>
                      <w:sz w:val="21"/>
                      <w:szCs w:val="21"/>
                      <w:highlight w:val="none"/>
                      <w:lang w:val="en-US" w:eastAsia="zh-CN" w:bidi="ar"/>
                    </w:rPr>
                  </w:pPr>
                </w:p>
              </w:tc>
              <w:tc>
                <w:tcPr>
                  <w:tcW w:w="666" w:type="pct"/>
                  <w:tcBorders>
                    <w:top w:val="single" w:color="auto" w:sz="4" w:space="0"/>
                    <w:left w:val="single" w:color="auto" w:sz="4" w:space="0"/>
                    <w:bottom w:val="single" w:color="auto" w:sz="4" w:space="0"/>
                    <w:right w:val="single" w:color="auto" w:sz="4" w:space="0"/>
                  </w:tcBorders>
                  <w:noWrap w:val="0"/>
                  <w:vAlign w:val="center"/>
                </w:tcPr>
                <w:p w14:paraId="53A6BA48">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Calibri" w:cs="Times New Roman"/>
                      <w:b/>
                      <w:bCs/>
                      <w:color w:val="auto"/>
                      <w:kern w:val="0"/>
                      <w:sz w:val="21"/>
                      <w:szCs w:val="21"/>
                      <w:highlight w:val="none"/>
                      <w:lang w:val="en-US" w:eastAsia="zh-CN" w:bidi="ar"/>
                    </w:rPr>
                  </w:pPr>
                  <w:r>
                    <w:rPr>
                      <w:rFonts w:hint="eastAsia" w:ascii="Times New Roman" w:hAnsi="Times New Roman" w:eastAsia="Calibri" w:cs="Times New Roman"/>
                      <w:b/>
                      <w:bCs/>
                      <w:color w:val="auto"/>
                      <w:kern w:val="0"/>
                      <w:sz w:val="21"/>
                      <w:szCs w:val="21"/>
                      <w:highlight w:val="none"/>
                      <w:lang w:val="en-US" w:eastAsia="zh-CN" w:bidi="ar"/>
                    </w:rPr>
                    <w:t>色度（倍）</w:t>
                  </w:r>
                </w:p>
              </w:tc>
              <w:tc>
                <w:tcPr>
                  <w:tcW w:w="666" w:type="pct"/>
                  <w:tcBorders>
                    <w:top w:val="single" w:color="auto" w:sz="4" w:space="0"/>
                    <w:left w:val="single" w:color="auto" w:sz="4" w:space="0"/>
                    <w:bottom w:val="single" w:color="auto" w:sz="4" w:space="0"/>
                    <w:right w:val="single" w:color="auto" w:sz="4" w:space="0"/>
                  </w:tcBorders>
                  <w:noWrap w:val="0"/>
                  <w:vAlign w:val="center"/>
                </w:tcPr>
                <w:p w14:paraId="41F98884">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铁</w:t>
                  </w:r>
                </w:p>
                <w:p w14:paraId="79D77A66">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（mg/L）</w:t>
                  </w:r>
                </w:p>
              </w:tc>
              <w:tc>
                <w:tcPr>
                  <w:tcW w:w="666" w:type="pct"/>
                  <w:tcBorders>
                    <w:top w:val="single" w:color="auto" w:sz="4" w:space="0"/>
                    <w:left w:val="single" w:color="auto" w:sz="4" w:space="0"/>
                    <w:bottom w:val="single" w:color="auto" w:sz="4" w:space="0"/>
                    <w:right w:val="single" w:color="auto" w:sz="4" w:space="0"/>
                  </w:tcBorders>
                  <w:noWrap w:val="0"/>
                  <w:vAlign w:val="center"/>
                </w:tcPr>
                <w:p w14:paraId="46911AA6">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锰</w:t>
                  </w:r>
                </w:p>
                <w:p w14:paraId="0663C4E3">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（mg/L）</w:t>
                  </w:r>
                </w:p>
              </w:tc>
              <w:tc>
                <w:tcPr>
                  <w:tcW w:w="786" w:type="pct"/>
                  <w:tcBorders>
                    <w:top w:val="single" w:color="auto" w:sz="4" w:space="0"/>
                    <w:left w:val="single" w:color="auto" w:sz="4" w:space="0"/>
                    <w:bottom w:val="single" w:color="auto" w:sz="4" w:space="0"/>
                    <w:right w:val="single" w:color="auto" w:sz="4" w:space="0"/>
                  </w:tcBorders>
                  <w:noWrap w:val="0"/>
                  <w:vAlign w:val="center"/>
                </w:tcPr>
                <w:p w14:paraId="257271CE">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LAS（mg/L）</w:t>
                  </w:r>
                </w:p>
              </w:tc>
              <w:tc>
                <w:tcPr>
                  <w:tcW w:w="866" w:type="pct"/>
                  <w:tcBorders>
                    <w:top w:val="single" w:color="auto" w:sz="4" w:space="0"/>
                    <w:left w:val="single" w:color="auto" w:sz="4" w:space="0"/>
                    <w:bottom w:val="single" w:color="auto" w:sz="4" w:space="0"/>
                    <w:right w:val="single" w:color="auto" w:sz="4" w:space="0"/>
                  </w:tcBorders>
                  <w:noWrap w:val="0"/>
                  <w:vAlign w:val="center"/>
                </w:tcPr>
                <w:p w14:paraId="75668F5A">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总氮（mg/L）</w:t>
                  </w:r>
                </w:p>
              </w:tc>
              <w:tc>
                <w:tcPr>
                  <w:tcW w:w="675" w:type="pct"/>
                  <w:tcBorders>
                    <w:top w:val="single" w:color="auto" w:sz="4" w:space="0"/>
                    <w:left w:val="single" w:color="auto" w:sz="4" w:space="0"/>
                    <w:bottom w:val="single" w:color="auto" w:sz="4" w:space="0"/>
                    <w:right w:val="single" w:color="auto" w:sz="4" w:space="0"/>
                  </w:tcBorders>
                  <w:noWrap w:val="0"/>
                  <w:vAlign w:val="center"/>
                </w:tcPr>
                <w:p w14:paraId="2115454F">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总磷（mg/L）</w:t>
                  </w:r>
                </w:p>
              </w:tc>
            </w:tr>
            <w:tr w14:paraId="5B9EB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pct"/>
                  <w:vMerge w:val="continue"/>
                  <w:tcBorders>
                    <w:left w:val="single" w:color="auto" w:sz="4" w:space="0"/>
                    <w:right w:val="single" w:color="auto" w:sz="4" w:space="0"/>
                  </w:tcBorders>
                  <w:noWrap w:val="0"/>
                  <w:vAlign w:val="center"/>
                </w:tcPr>
                <w:p w14:paraId="41849F63">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Calibri" w:cs="Times New Roman"/>
                      <w:color w:val="auto"/>
                      <w:kern w:val="0"/>
                      <w:sz w:val="21"/>
                      <w:szCs w:val="21"/>
                      <w:highlight w:val="none"/>
                      <w:lang w:val="en-US" w:eastAsia="zh-CN" w:bidi="ar"/>
                    </w:rPr>
                  </w:pPr>
                </w:p>
              </w:tc>
              <w:tc>
                <w:tcPr>
                  <w:tcW w:w="666" w:type="pct"/>
                  <w:tcBorders>
                    <w:top w:val="single" w:color="auto" w:sz="4" w:space="0"/>
                    <w:left w:val="single" w:color="auto" w:sz="4" w:space="0"/>
                    <w:bottom w:val="single" w:color="auto" w:sz="4" w:space="0"/>
                    <w:right w:val="single" w:color="auto" w:sz="4" w:space="0"/>
                  </w:tcBorders>
                  <w:noWrap w:val="0"/>
                  <w:vAlign w:val="center"/>
                </w:tcPr>
                <w:p w14:paraId="15C26424">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Calibri" w:cs="Times New Roman"/>
                      <w:color w:val="auto"/>
                      <w:kern w:val="0"/>
                      <w:sz w:val="21"/>
                      <w:szCs w:val="21"/>
                      <w:highlight w:val="none"/>
                      <w:lang w:val="en-US" w:eastAsia="zh-CN" w:bidi="ar"/>
                    </w:rPr>
                  </w:pPr>
                  <w:r>
                    <w:rPr>
                      <w:rFonts w:hint="eastAsia" w:ascii="Times New Roman" w:hAnsi="Times New Roman" w:eastAsia="Calibri" w:cs="Times New Roman"/>
                      <w:color w:val="auto"/>
                      <w:kern w:val="0"/>
                      <w:sz w:val="21"/>
                      <w:szCs w:val="21"/>
                      <w:highlight w:val="none"/>
                      <w:lang w:val="en-US" w:eastAsia="zh-CN" w:bidi="ar"/>
                    </w:rPr>
                    <w:t>400</w:t>
                  </w:r>
                </w:p>
              </w:tc>
              <w:tc>
                <w:tcPr>
                  <w:tcW w:w="666" w:type="pct"/>
                  <w:tcBorders>
                    <w:top w:val="single" w:color="auto" w:sz="4" w:space="0"/>
                    <w:left w:val="single" w:color="auto" w:sz="4" w:space="0"/>
                    <w:bottom w:val="single" w:color="auto" w:sz="4" w:space="0"/>
                    <w:right w:val="single" w:color="auto" w:sz="4" w:space="0"/>
                  </w:tcBorders>
                  <w:noWrap w:val="0"/>
                  <w:vAlign w:val="center"/>
                </w:tcPr>
                <w:p w14:paraId="753C7C26">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0.14</w:t>
                  </w:r>
                </w:p>
              </w:tc>
              <w:tc>
                <w:tcPr>
                  <w:tcW w:w="666" w:type="pct"/>
                  <w:tcBorders>
                    <w:top w:val="single" w:color="auto" w:sz="4" w:space="0"/>
                    <w:left w:val="single" w:color="auto" w:sz="4" w:space="0"/>
                    <w:bottom w:val="single" w:color="auto" w:sz="4" w:space="0"/>
                    <w:right w:val="single" w:color="auto" w:sz="4" w:space="0"/>
                  </w:tcBorders>
                  <w:noWrap w:val="0"/>
                  <w:vAlign w:val="center"/>
                </w:tcPr>
                <w:p w14:paraId="3DD57BE1">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0.17</w:t>
                  </w:r>
                </w:p>
              </w:tc>
              <w:tc>
                <w:tcPr>
                  <w:tcW w:w="786" w:type="pct"/>
                  <w:tcBorders>
                    <w:top w:val="single" w:color="auto" w:sz="4" w:space="0"/>
                    <w:left w:val="single" w:color="auto" w:sz="4" w:space="0"/>
                    <w:bottom w:val="single" w:color="auto" w:sz="4" w:space="0"/>
                    <w:right w:val="single" w:color="auto" w:sz="4" w:space="0"/>
                  </w:tcBorders>
                  <w:noWrap w:val="0"/>
                  <w:vAlign w:val="center"/>
                </w:tcPr>
                <w:p w14:paraId="6ECC9F3A">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2.00</w:t>
                  </w:r>
                </w:p>
              </w:tc>
              <w:tc>
                <w:tcPr>
                  <w:tcW w:w="866" w:type="pct"/>
                  <w:tcBorders>
                    <w:top w:val="single" w:color="auto" w:sz="4" w:space="0"/>
                    <w:left w:val="single" w:color="auto" w:sz="4" w:space="0"/>
                    <w:bottom w:val="single" w:color="auto" w:sz="4" w:space="0"/>
                    <w:right w:val="single" w:color="auto" w:sz="4" w:space="0"/>
                  </w:tcBorders>
                  <w:noWrap w:val="0"/>
                  <w:vAlign w:val="center"/>
                </w:tcPr>
                <w:p w14:paraId="13346BF0">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758</w:t>
                  </w:r>
                </w:p>
              </w:tc>
              <w:tc>
                <w:tcPr>
                  <w:tcW w:w="675" w:type="pct"/>
                  <w:tcBorders>
                    <w:top w:val="single" w:color="auto" w:sz="4" w:space="0"/>
                    <w:left w:val="single" w:color="auto" w:sz="4" w:space="0"/>
                    <w:bottom w:val="single" w:color="auto" w:sz="4" w:space="0"/>
                    <w:right w:val="single" w:color="auto" w:sz="4" w:space="0"/>
                  </w:tcBorders>
                  <w:noWrap w:val="0"/>
                  <w:vAlign w:val="center"/>
                </w:tcPr>
                <w:p w14:paraId="4B5BA339">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3.94</w:t>
                  </w:r>
                </w:p>
              </w:tc>
            </w:tr>
            <w:tr w14:paraId="0900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pct"/>
                  <w:vMerge w:val="continue"/>
                  <w:tcBorders>
                    <w:left w:val="single" w:color="auto" w:sz="4" w:space="0"/>
                    <w:right w:val="single" w:color="auto" w:sz="4" w:space="0"/>
                  </w:tcBorders>
                  <w:noWrap w:val="0"/>
                  <w:vAlign w:val="center"/>
                </w:tcPr>
                <w:p w14:paraId="2B814950">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Calibri" w:cs="Times New Roman"/>
                      <w:color w:val="auto"/>
                      <w:kern w:val="0"/>
                      <w:sz w:val="21"/>
                      <w:szCs w:val="21"/>
                      <w:highlight w:val="none"/>
                      <w:lang w:val="en-US" w:eastAsia="zh-CN" w:bidi="ar"/>
                    </w:rPr>
                  </w:pPr>
                </w:p>
              </w:tc>
              <w:tc>
                <w:tcPr>
                  <w:tcW w:w="666" w:type="pct"/>
                  <w:tcBorders>
                    <w:top w:val="single" w:color="auto" w:sz="4" w:space="0"/>
                    <w:left w:val="single" w:color="auto" w:sz="4" w:space="0"/>
                    <w:bottom w:val="single" w:color="auto" w:sz="4" w:space="0"/>
                    <w:right w:val="single" w:color="auto" w:sz="4" w:space="0"/>
                  </w:tcBorders>
                  <w:noWrap w:val="0"/>
                  <w:vAlign w:val="center"/>
                </w:tcPr>
                <w:p w14:paraId="171D3D60">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Calibri" w:cs="Times New Roman"/>
                      <w:b/>
                      <w:bCs/>
                      <w:color w:val="auto"/>
                      <w:kern w:val="0"/>
                      <w:sz w:val="21"/>
                      <w:szCs w:val="21"/>
                      <w:highlight w:val="none"/>
                      <w:lang w:val="en-US" w:eastAsia="zh-CN" w:bidi="ar"/>
                    </w:rPr>
                  </w:pPr>
                  <w:r>
                    <w:rPr>
                      <w:rFonts w:hint="eastAsia" w:ascii="Times New Roman" w:hAnsi="Times New Roman" w:eastAsia="Calibri" w:cs="Times New Roman"/>
                      <w:b/>
                      <w:bCs/>
                      <w:color w:val="auto"/>
                      <w:kern w:val="0"/>
                      <w:sz w:val="21"/>
                      <w:szCs w:val="21"/>
                      <w:highlight w:val="none"/>
                      <w:lang w:val="en-US" w:eastAsia="zh-CN" w:bidi="ar"/>
                    </w:rPr>
                    <w:t>氯化物（mg/L）</w:t>
                  </w:r>
                </w:p>
              </w:tc>
              <w:tc>
                <w:tcPr>
                  <w:tcW w:w="666" w:type="pct"/>
                  <w:tcBorders>
                    <w:top w:val="single" w:color="auto" w:sz="4" w:space="0"/>
                    <w:left w:val="single" w:color="auto" w:sz="4" w:space="0"/>
                    <w:bottom w:val="single" w:color="auto" w:sz="4" w:space="0"/>
                    <w:right w:val="single" w:color="auto" w:sz="4" w:space="0"/>
                  </w:tcBorders>
                  <w:noWrap w:val="0"/>
                  <w:vAlign w:val="center"/>
                </w:tcPr>
                <w:p w14:paraId="7E4734BA">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硫酸盐（mg/L）</w:t>
                  </w:r>
                </w:p>
              </w:tc>
              <w:tc>
                <w:tcPr>
                  <w:tcW w:w="666" w:type="pct"/>
                  <w:tcBorders>
                    <w:top w:val="single" w:color="auto" w:sz="4" w:space="0"/>
                    <w:left w:val="single" w:color="auto" w:sz="4" w:space="0"/>
                    <w:bottom w:val="single" w:color="auto" w:sz="4" w:space="0"/>
                    <w:right w:val="single" w:color="auto" w:sz="4" w:space="0"/>
                  </w:tcBorders>
                  <w:noWrap w:val="0"/>
                  <w:vAlign w:val="center"/>
                </w:tcPr>
                <w:p w14:paraId="33014ADF">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总碱度（mg/L）</w:t>
                  </w:r>
                </w:p>
              </w:tc>
              <w:tc>
                <w:tcPr>
                  <w:tcW w:w="786" w:type="pct"/>
                  <w:tcBorders>
                    <w:top w:val="single" w:color="auto" w:sz="4" w:space="0"/>
                    <w:left w:val="single" w:color="auto" w:sz="4" w:space="0"/>
                    <w:bottom w:val="single" w:color="auto" w:sz="4" w:space="0"/>
                    <w:right w:val="single" w:color="auto" w:sz="4" w:space="0"/>
                  </w:tcBorders>
                  <w:noWrap w:val="0"/>
                  <w:vAlign w:val="center"/>
                </w:tcPr>
                <w:p w14:paraId="4FDD7011">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二氧化硅（mg/L）</w:t>
                  </w:r>
                </w:p>
              </w:tc>
              <w:tc>
                <w:tcPr>
                  <w:tcW w:w="866" w:type="pct"/>
                  <w:tcBorders>
                    <w:top w:val="single" w:color="auto" w:sz="4" w:space="0"/>
                    <w:left w:val="single" w:color="auto" w:sz="4" w:space="0"/>
                    <w:bottom w:val="single" w:color="auto" w:sz="4" w:space="0"/>
                    <w:right w:val="single" w:color="auto" w:sz="4" w:space="0"/>
                  </w:tcBorders>
                  <w:noWrap w:val="0"/>
                  <w:vAlign w:val="center"/>
                </w:tcPr>
                <w:p w14:paraId="7CE85D32">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溶解性总固体（mg/L）</w:t>
                  </w:r>
                </w:p>
              </w:tc>
              <w:tc>
                <w:tcPr>
                  <w:tcW w:w="675" w:type="pct"/>
                  <w:tcBorders>
                    <w:top w:val="single" w:color="auto" w:sz="4" w:space="0"/>
                    <w:left w:val="single" w:color="auto" w:sz="4" w:space="0"/>
                    <w:bottom w:val="single" w:color="auto" w:sz="4" w:space="0"/>
                    <w:right w:val="single" w:color="auto" w:sz="4" w:space="0"/>
                  </w:tcBorders>
                  <w:noWrap w:val="0"/>
                  <w:vAlign w:val="center"/>
                </w:tcPr>
                <w:p w14:paraId="5A4D8198">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w:t>
                  </w:r>
                </w:p>
              </w:tc>
            </w:tr>
            <w:tr w14:paraId="1C1F0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pct"/>
                  <w:vMerge w:val="continue"/>
                  <w:tcBorders>
                    <w:left w:val="single" w:color="auto" w:sz="4" w:space="0"/>
                    <w:bottom w:val="single" w:color="auto" w:sz="4" w:space="0"/>
                    <w:right w:val="single" w:color="auto" w:sz="4" w:space="0"/>
                  </w:tcBorders>
                  <w:noWrap w:val="0"/>
                  <w:vAlign w:val="center"/>
                </w:tcPr>
                <w:p w14:paraId="52190DB0">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Calibri" w:cs="Times New Roman"/>
                      <w:color w:val="auto"/>
                      <w:kern w:val="0"/>
                      <w:sz w:val="21"/>
                      <w:szCs w:val="21"/>
                      <w:highlight w:val="none"/>
                      <w:lang w:val="en-US" w:eastAsia="zh-CN" w:bidi="ar"/>
                    </w:rPr>
                  </w:pPr>
                </w:p>
              </w:tc>
              <w:tc>
                <w:tcPr>
                  <w:tcW w:w="666" w:type="pct"/>
                  <w:tcBorders>
                    <w:top w:val="single" w:color="auto" w:sz="4" w:space="0"/>
                    <w:left w:val="single" w:color="auto" w:sz="4" w:space="0"/>
                    <w:bottom w:val="single" w:color="auto" w:sz="4" w:space="0"/>
                    <w:right w:val="single" w:color="auto" w:sz="4" w:space="0"/>
                  </w:tcBorders>
                  <w:noWrap w:val="0"/>
                  <w:vAlign w:val="center"/>
                </w:tcPr>
                <w:p w14:paraId="64F1FB72">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Calibri" w:cs="Times New Roman"/>
                      <w:color w:val="auto"/>
                      <w:kern w:val="0"/>
                      <w:sz w:val="21"/>
                      <w:szCs w:val="21"/>
                      <w:highlight w:val="none"/>
                      <w:lang w:val="en-US" w:eastAsia="zh-CN" w:bidi="ar"/>
                    </w:rPr>
                  </w:pPr>
                  <w:r>
                    <w:rPr>
                      <w:rFonts w:hint="eastAsia" w:ascii="Times New Roman" w:hAnsi="Times New Roman" w:eastAsia="Calibri" w:cs="Times New Roman"/>
                      <w:color w:val="auto"/>
                      <w:kern w:val="0"/>
                      <w:sz w:val="21"/>
                      <w:szCs w:val="21"/>
                      <w:highlight w:val="none"/>
                      <w:lang w:val="en-US" w:eastAsia="zh-CN" w:bidi="ar"/>
                    </w:rPr>
                    <w:t>34600</w:t>
                  </w:r>
                </w:p>
              </w:tc>
              <w:tc>
                <w:tcPr>
                  <w:tcW w:w="666" w:type="pct"/>
                  <w:tcBorders>
                    <w:top w:val="single" w:color="auto" w:sz="4" w:space="0"/>
                    <w:left w:val="single" w:color="auto" w:sz="4" w:space="0"/>
                    <w:bottom w:val="single" w:color="auto" w:sz="4" w:space="0"/>
                    <w:right w:val="single" w:color="auto" w:sz="4" w:space="0"/>
                  </w:tcBorders>
                  <w:noWrap w:val="0"/>
                  <w:vAlign w:val="center"/>
                </w:tcPr>
                <w:p w14:paraId="6BC71234">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2870</w:t>
                  </w:r>
                </w:p>
              </w:tc>
              <w:tc>
                <w:tcPr>
                  <w:tcW w:w="666" w:type="pct"/>
                  <w:tcBorders>
                    <w:top w:val="single" w:color="auto" w:sz="4" w:space="0"/>
                    <w:left w:val="single" w:color="auto" w:sz="4" w:space="0"/>
                    <w:bottom w:val="single" w:color="auto" w:sz="4" w:space="0"/>
                    <w:right w:val="single" w:color="auto" w:sz="4" w:space="0"/>
                  </w:tcBorders>
                  <w:noWrap w:val="0"/>
                  <w:vAlign w:val="center"/>
                </w:tcPr>
                <w:p w14:paraId="6094289C">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779</w:t>
                  </w:r>
                </w:p>
              </w:tc>
              <w:tc>
                <w:tcPr>
                  <w:tcW w:w="786" w:type="pct"/>
                  <w:tcBorders>
                    <w:top w:val="single" w:color="auto" w:sz="4" w:space="0"/>
                    <w:left w:val="single" w:color="auto" w:sz="4" w:space="0"/>
                    <w:bottom w:val="single" w:color="auto" w:sz="4" w:space="0"/>
                    <w:right w:val="single" w:color="auto" w:sz="4" w:space="0"/>
                  </w:tcBorders>
                  <w:noWrap w:val="0"/>
                  <w:vAlign w:val="center"/>
                </w:tcPr>
                <w:p w14:paraId="33E55BAE">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25.5</w:t>
                  </w:r>
                </w:p>
              </w:tc>
              <w:tc>
                <w:tcPr>
                  <w:tcW w:w="866" w:type="pct"/>
                  <w:tcBorders>
                    <w:top w:val="single" w:color="auto" w:sz="4" w:space="0"/>
                    <w:left w:val="single" w:color="auto" w:sz="4" w:space="0"/>
                    <w:bottom w:val="single" w:color="auto" w:sz="4" w:space="0"/>
                    <w:right w:val="single" w:color="auto" w:sz="4" w:space="0"/>
                  </w:tcBorders>
                  <w:noWrap w:val="0"/>
                  <w:vAlign w:val="center"/>
                </w:tcPr>
                <w:p w14:paraId="7161958D">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62825</w:t>
                  </w:r>
                </w:p>
              </w:tc>
              <w:tc>
                <w:tcPr>
                  <w:tcW w:w="675" w:type="pct"/>
                  <w:tcBorders>
                    <w:top w:val="single" w:color="auto" w:sz="4" w:space="0"/>
                    <w:left w:val="single" w:color="auto" w:sz="4" w:space="0"/>
                    <w:bottom w:val="single" w:color="auto" w:sz="4" w:space="0"/>
                    <w:right w:val="single" w:color="auto" w:sz="4" w:space="0"/>
                  </w:tcBorders>
                  <w:noWrap w:val="0"/>
                  <w:vAlign w:val="center"/>
                </w:tcPr>
                <w:p w14:paraId="4D8FB9F5">
                  <w:pPr>
                    <w:pStyle w:val="15"/>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r>
          </w:tbl>
          <w:p w14:paraId="2568C124">
            <w:pPr>
              <w:pStyle w:val="20"/>
              <w:pageBreakBefore w:val="0"/>
              <w:widowControl/>
              <w:kinsoku/>
              <w:wordWrap/>
              <w:overflowPunct/>
              <w:topLinePunct w:val="0"/>
              <w:bidi w:val="0"/>
              <w:adjustRightInd/>
              <w:snapToGrid/>
              <w:spacing w:before="0" w:after="0"/>
              <w:ind w:left="0" w:leftChars="0" w:right="0" w:rightChars="0" w:firstLine="480"/>
              <w:outlineLvl w:val="9"/>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榆林市生态环境局《关于印发榆林市油气开发压裂反排液处置管理规定的通知》（榆政环发〔2023〕71号）规定：油（气）井场要在压裂及其它井下作业前配备废水地上收集罐，对压裂返排液及其它废水进行统一收集；未配备废水收集罐的井场不得开展相关作业。本项目压裂返排液临时收集贮存于专用收集罐，委托</w:t>
            </w:r>
            <w:r>
              <w:rPr>
                <w:rFonts w:hint="eastAsia" w:ascii="Times New Roman" w:hAnsi="Times New Roman" w:eastAsia="宋体" w:cs="Times New Roman"/>
                <w:color w:val="auto"/>
                <w:highlight w:val="none"/>
                <w:lang w:val="en-US" w:eastAsia="zh-CN"/>
              </w:rPr>
              <w:t>协议的有能力单位</w:t>
            </w:r>
            <w:r>
              <w:rPr>
                <w:rFonts w:hint="default" w:ascii="Times New Roman" w:hAnsi="Times New Roman" w:eastAsia="宋体" w:cs="Times New Roman"/>
                <w:color w:val="auto"/>
                <w:highlight w:val="none"/>
                <w:lang w:val="en-US" w:eastAsia="zh-CN"/>
              </w:rPr>
              <w:t>采用防渗漏、防溢流的罐车外运处置。符合《关于印发榆林市油气开发压裂反排液处置管理规定的通知》的管理规定</w:t>
            </w:r>
            <w:r>
              <w:rPr>
                <w:rFonts w:hint="default" w:ascii="Times New Roman" w:hAnsi="Times New Roman" w:eastAsia="宋体" w:cs="Times New Roman"/>
                <w:color w:val="auto"/>
                <w:highlight w:val="none"/>
                <w:lang w:eastAsia="zh-CN"/>
              </w:rPr>
              <w:t>。</w:t>
            </w:r>
          </w:p>
          <w:p w14:paraId="0F0328B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（4）气液分离器废水</w:t>
            </w:r>
          </w:p>
          <w:p w14:paraId="7AC44218">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试气过程中，天然气通过井场放喷罐燃烧排放，天然气进入放喷罐前经过气液分离器分离出气井中带出的采出水，单井采出水量约为5m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，主要污染物为悬浮物（约200mg/L）、石油类（约10mg/L），该部分废水收集后交长庆油田分公司第二采气厂米7天然气采出水处理及储存站处理。</w:t>
            </w:r>
          </w:p>
          <w:p w14:paraId="15096F4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（5）放喷冷却水</w:t>
            </w:r>
          </w:p>
          <w:p w14:paraId="48346C7A">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天然气燃烧放喷过程中采用清水对放喷罐进行降温，采用清水冷却，该部分清水经自然冷却降温后用于场地洒水降尘，不外排。</w:t>
            </w:r>
          </w:p>
          <w:p w14:paraId="31836CD7">
            <w:pPr>
              <w:pStyle w:val="20"/>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kern w:val="0"/>
                <w:sz w:val="24"/>
                <w:szCs w:val="21"/>
                <w:highlight w:val="none"/>
                <w:lang w:val="en-US" w:eastAsia="zh-CN" w:bidi="ar-SA"/>
              </w:rPr>
              <w:t>（6）</w:t>
            </w:r>
            <w:r>
              <w:rPr>
                <w:rFonts w:hint="default" w:ascii="Times New Roman" w:hAnsi="Times New Roman" w:eastAsia="宋体" w:cs="Times New Roman"/>
                <w:b/>
                <w:bCs/>
                <w:color w:val="auto"/>
                <w:highlight w:val="none"/>
                <w:lang w:val="en-US" w:eastAsia="zh-CN"/>
              </w:rPr>
              <w:t>放喷废水</w:t>
            </w:r>
          </w:p>
          <w:p w14:paraId="4786498D">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试气过程中，天然气通过井场放喷罐燃烧排放，燃烧产生水蒸气，冷却后形成冷凝水，收集至井场放喷罐内暂存。根据同类型项目资料显示，单井产生放喷废水的量约为2m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。待钻井结束后，委托</w:t>
            </w:r>
            <w:r>
              <w:rPr>
                <w:rFonts w:hint="eastAsia" w:ascii="Times New Roman" w:hAnsi="Times New Roman" w:eastAsia="宋体" w:cs="Times New Roman"/>
                <w:color w:val="auto"/>
                <w:highlight w:val="none"/>
                <w:lang w:val="en-US" w:eastAsia="zh-CN"/>
              </w:rPr>
              <w:t>协议的有能力单位</w:t>
            </w:r>
            <w:r>
              <w:rPr>
                <w:rFonts w:hint="default" w:ascii="Times New Roman" w:hAnsi="Times New Roman" w:eastAsia="宋体" w:cs="Times New Roman"/>
                <w:color w:val="auto"/>
                <w:highlight w:val="none"/>
                <w:lang w:val="en-US" w:eastAsia="zh-CN"/>
              </w:rPr>
              <w:t>外运处理。放喷废水在井场内不落地、不外排。</w:t>
            </w:r>
          </w:p>
          <w:p w14:paraId="1A6D7F5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w:t>
            </w:r>
            <w:r>
              <w:rPr>
                <w:rFonts w:hint="eastAsia" w:ascii="Times New Roman" w:hAnsi="Times New Roman" w:eastAsia="宋体" w:cs="Times New Roman"/>
                <w:b/>
                <w:bCs/>
                <w:color w:val="auto"/>
                <w:sz w:val="24"/>
                <w:szCs w:val="24"/>
                <w:highlight w:val="none"/>
                <w:vertAlign w:val="baseline"/>
                <w:lang w:val="en-US" w:eastAsia="zh-CN"/>
              </w:rPr>
              <w:t>7</w:t>
            </w:r>
            <w:r>
              <w:rPr>
                <w:rFonts w:hint="default" w:ascii="Times New Roman" w:hAnsi="Times New Roman" w:eastAsia="宋体" w:cs="Times New Roman"/>
                <w:b/>
                <w:bCs/>
                <w:color w:val="auto"/>
                <w:sz w:val="24"/>
                <w:szCs w:val="24"/>
                <w:highlight w:val="none"/>
                <w:vertAlign w:val="baseline"/>
                <w:lang w:val="en-US" w:eastAsia="zh-CN"/>
              </w:rPr>
              <w:t>）生活污水</w:t>
            </w:r>
          </w:p>
          <w:p w14:paraId="657C213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本项目生活污水产生量为</w:t>
            </w:r>
            <w:r>
              <w:rPr>
                <w:rFonts w:hint="eastAsia" w:ascii="Times New Roman" w:hAnsi="Times New Roman" w:cs="Times New Roman"/>
                <w:color w:val="auto"/>
                <w:kern w:val="0"/>
                <w:sz w:val="24"/>
                <w:szCs w:val="24"/>
                <w:highlight w:val="none"/>
                <w:lang w:val="en-US" w:eastAsia="zh-CN" w:bidi="ar"/>
              </w:rPr>
              <w:t>91</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单井</w:t>
            </w:r>
            <w:r>
              <w:rPr>
                <w:rFonts w:hint="default" w:ascii="Times New Roman" w:hAnsi="Times New Roman" w:eastAsia="宋体" w:cs="Times New Roman"/>
                <w:b w:val="0"/>
                <w:bCs w:val="0"/>
                <w:color w:val="auto"/>
                <w:sz w:val="24"/>
                <w:szCs w:val="24"/>
                <w:highlight w:val="none"/>
                <w:vertAlign w:val="baseline"/>
                <w:lang w:val="en-US" w:eastAsia="zh-CN"/>
              </w:rPr>
              <w:t>井场区设置</w:t>
            </w:r>
            <w:r>
              <w:rPr>
                <w:rFonts w:hint="eastAsia" w:ascii="Times New Roman" w:hAnsi="Times New Roman" w:eastAsia="宋体" w:cs="Times New Roman"/>
                <w:b w:val="0"/>
                <w:bCs w:val="0"/>
                <w:color w:val="auto"/>
                <w:sz w:val="24"/>
                <w:szCs w:val="24"/>
                <w:highlight w:val="none"/>
                <w:vertAlign w:val="baseline"/>
                <w:lang w:val="en-US" w:eastAsia="zh-CN"/>
              </w:rPr>
              <w:t>卫生</w:t>
            </w:r>
            <w:r>
              <w:rPr>
                <w:rFonts w:hint="default" w:ascii="Times New Roman" w:hAnsi="Times New Roman" w:eastAsia="宋体" w:cs="Times New Roman"/>
                <w:b w:val="0"/>
                <w:bCs w:val="0"/>
                <w:color w:val="auto"/>
                <w:sz w:val="24"/>
                <w:szCs w:val="24"/>
                <w:highlight w:val="none"/>
                <w:vertAlign w:val="baseline"/>
                <w:lang w:val="en-US" w:eastAsia="zh-CN"/>
              </w:rPr>
              <w:t>旱厕1座，旱厕定期清掏用于施肥。部分盥洗废水用于井场洒水抑尘</w:t>
            </w:r>
            <w:r>
              <w:rPr>
                <w:rFonts w:hint="eastAsia" w:ascii="Times New Roman" w:hAnsi="Times New Roman" w:eastAsia="宋体" w:cs="Times New Roman"/>
                <w:b w:val="0"/>
                <w:bCs w:val="0"/>
                <w:color w:val="auto"/>
                <w:sz w:val="24"/>
                <w:szCs w:val="24"/>
                <w:highlight w:val="none"/>
                <w:vertAlign w:val="baseline"/>
                <w:lang w:val="en-US" w:eastAsia="zh-CN"/>
              </w:rPr>
              <w:t>，不外排</w:t>
            </w:r>
            <w:r>
              <w:rPr>
                <w:rFonts w:hint="default" w:ascii="Times New Roman" w:hAnsi="Times New Roman" w:eastAsia="宋体" w:cs="Times New Roman"/>
                <w:b w:val="0"/>
                <w:bCs w:val="0"/>
                <w:color w:val="auto"/>
                <w:sz w:val="24"/>
                <w:szCs w:val="24"/>
                <w:highlight w:val="none"/>
                <w:vertAlign w:val="baseline"/>
                <w:lang w:val="en-US" w:eastAsia="zh-CN"/>
              </w:rPr>
              <w:t>。</w:t>
            </w:r>
          </w:p>
          <w:p w14:paraId="2BEF638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此外，井场采用雨污分流制。在暴雨季节，加强对井场内废水储存设施巡查，防止场地内废水溢出井场污染环境。</w:t>
            </w:r>
          </w:p>
          <w:p w14:paraId="33BF9F1E">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综上所述，本项目钻井废水、洗井废水、压裂返排液</w:t>
            </w:r>
            <w:r>
              <w:rPr>
                <w:rFonts w:hint="eastAsia" w:ascii="Times New Roman" w:hAnsi="Times New Roman" w:eastAsia="宋体" w:cs="Times New Roman"/>
                <w:b w:val="0"/>
                <w:bCs w:val="0"/>
                <w:color w:val="auto"/>
                <w:sz w:val="24"/>
                <w:szCs w:val="24"/>
                <w:highlight w:val="none"/>
                <w:vertAlign w:val="baseline"/>
                <w:lang w:val="en-US" w:eastAsia="zh-CN"/>
              </w:rPr>
              <w:t>、射孔废水、放喷废水、放喷冷却水</w:t>
            </w:r>
            <w:r>
              <w:rPr>
                <w:rFonts w:hint="default" w:ascii="Times New Roman" w:hAnsi="Times New Roman" w:eastAsia="宋体" w:cs="Times New Roman"/>
                <w:b w:val="0"/>
                <w:bCs w:val="0"/>
                <w:color w:val="auto"/>
                <w:sz w:val="24"/>
                <w:szCs w:val="24"/>
                <w:highlight w:val="none"/>
                <w:vertAlign w:val="baseline"/>
                <w:lang w:val="en-US" w:eastAsia="zh-CN"/>
              </w:rPr>
              <w:t>及生活污水采取的水污染控制和水环境影响减缓措施有效，能够确保废水不外排，因此对地表水环境影响可以接受。</w:t>
            </w:r>
          </w:p>
          <w:p w14:paraId="0A915CB9">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2" w:firstLineChars="200"/>
              <w:jc w:val="both"/>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四、地下水</w:t>
            </w:r>
          </w:p>
          <w:p w14:paraId="23632DE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eastAsia" w:ascii="Times New Roman" w:hAnsi="Times New Roman" w:eastAsia="宋体" w:cs="Times New Roman"/>
                <w:b/>
                <w:bCs/>
                <w:color w:val="auto"/>
                <w:sz w:val="24"/>
                <w:szCs w:val="24"/>
                <w:highlight w:val="none"/>
                <w:vertAlign w:val="baseline"/>
                <w:lang w:val="en-US" w:eastAsia="zh-CN"/>
              </w:rPr>
              <w:t>1、区域水文地质条件</w:t>
            </w:r>
          </w:p>
          <w:p w14:paraId="62AF85F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米脂县境内地下水潜水和承压水都有。其中含水介质</w:t>
            </w:r>
            <w:r>
              <w:rPr>
                <w:rFonts w:hint="eastAsia" w:ascii="Times New Roman" w:hAnsi="Times New Roman" w:eastAsia="宋体" w:cs="Times New Roman"/>
                <w:b w:val="0"/>
                <w:bCs w:val="0"/>
                <w:color w:val="auto"/>
                <w:sz w:val="24"/>
                <w:szCs w:val="24"/>
                <w:highlight w:val="none"/>
                <w:vertAlign w:val="baseline"/>
                <w:lang w:val="en-US" w:eastAsia="zh-CN"/>
              </w:rPr>
              <w:t>可划分为</w:t>
            </w:r>
            <w:r>
              <w:rPr>
                <w:rFonts w:hint="default" w:ascii="Times New Roman" w:hAnsi="Times New Roman" w:eastAsia="宋体" w:cs="Times New Roman"/>
                <w:b w:val="0"/>
                <w:bCs w:val="0"/>
                <w:color w:val="auto"/>
                <w:sz w:val="24"/>
                <w:szCs w:val="24"/>
                <w:highlight w:val="none"/>
                <w:vertAlign w:val="baseline"/>
                <w:lang w:val="en-US" w:eastAsia="zh-CN"/>
              </w:rPr>
              <w:t>第四系松散层潜水和基岩裂隙孔隙潜水两种类型。</w:t>
            </w:r>
          </w:p>
          <w:p w14:paraId="4AECAEC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b w:val="0"/>
                <w:bCs w:val="0"/>
                <w:color w:val="auto"/>
                <w:sz w:val="24"/>
                <w:szCs w:val="24"/>
                <w:highlight w:val="none"/>
                <w:vertAlign w:val="baseline"/>
                <w:lang w:val="en-US" w:eastAsia="zh-CN"/>
              </w:rPr>
              <w:t>（1）</w:t>
            </w:r>
            <w:r>
              <w:rPr>
                <w:rFonts w:hint="default" w:ascii="Times New Roman" w:hAnsi="Times New Roman" w:eastAsia="宋体" w:cs="Times New Roman"/>
                <w:b w:val="0"/>
                <w:bCs w:val="0"/>
                <w:color w:val="auto"/>
                <w:sz w:val="24"/>
                <w:szCs w:val="24"/>
                <w:highlight w:val="none"/>
                <w:vertAlign w:val="baseline"/>
                <w:lang w:val="en-US" w:eastAsia="zh-CN"/>
              </w:rPr>
              <w:t>潜水</w:t>
            </w:r>
          </w:p>
          <w:p w14:paraId="51636CB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潜水包括河谷冲积、洪积层潜水及黄土层裂隙孔洞潜水等。前者分布于无定河河谷，为二元结构砂砾含水层，厚4-10m，水位埋深3-10m，最深不大于17m，补给条件好，富水性好。后者分布于黄土梁峁区，含水层为冲更新统夹古壤层黄土，埋深30-100m。由于地形破碎，黄土厚度小，下缺良好隔水层，不利于贮存，含水贫乏或零星含水，泉涌量在0.01-1m</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h。</w:t>
            </w:r>
          </w:p>
          <w:p w14:paraId="6C028EB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根据调查，本项目</w:t>
            </w:r>
            <w:r>
              <w:rPr>
                <w:rFonts w:hint="eastAsia" w:ascii="Times New Roman" w:hAnsi="Times New Roman" w:eastAsia="宋体" w:cs="Times New Roman"/>
                <w:b w:val="0"/>
                <w:bCs w:val="0"/>
                <w:color w:val="auto"/>
                <w:sz w:val="24"/>
                <w:szCs w:val="24"/>
                <w:highlight w:val="none"/>
                <w:vertAlign w:val="baseline"/>
                <w:lang w:val="en-US" w:eastAsia="zh-CN"/>
              </w:rPr>
              <w:t>1</w:t>
            </w:r>
            <w:r>
              <w:rPr>
                <w:rFonts w:hint="default" w:ascii="Times New Roman" w:hAnsi="Times New Roman" w:eastAsia="宋体" w:cs="Times New Roman"/>
                <w:b w:val="0"/>
                <w:bCs w:val="0"/>
                <w:color w:val="auto"/>
                <w:sz w:val="24"/>
                <w:szCs w:val="24"/>
                <w:highlight w:val="none"/>
                <w:vertAlign w:val="baseline"/>
                <w:lang w:val="en-US" w:eastAsia="zh-CN"/>
              </w:rPr>
              <w:t>口天然气评价井均位于黄土梁峁区。本次环评建议建设单位在</w:t>
            </w:r>
            <w:r>
              <w:rPr>
                <w:rFonts w:hint="eastAsia" w:ascii="Times New Roman" w:hAnsi="Times New Roman" w:eastAsia="宋体" w:cs="Times New Roman"/>
                <w:b w:val="0"/>
                <w:bCs w:val="0"/>
                <w:color w:val="auto"/>
                <w:sz w:val="24"/>
                <w:szCs w:val="24"/>
                <w:highlight w:val="none"/>
                <w:vertAlign w:val="baseline"/>
                <w:lang w:val="en-US" w:eastAsia="zh-CN"/>
              </w:rPr>
              <w:t>评价井</w:t>
            </w:r>
            <w:r>
              <w:rPr>
                <w:rFonts w:hint="default" w:ascii="Times New Roman" w:hAnsi="Times New Roman" w:eastAsia="宋体" w:cs="Times New Roman"/>
                <w:b w:val="0"/>
                <w:bCs w:val="0"/>
                <w:color w:val="auto"/>
                <w:sz w:val="24"/>
                <w:szCs w:val="24"/>
                <w:highlight w:val="none"/>
                <w:vertAlign w:val="baseline"/>
                <w:lang w:val="en-US" w:eastAsia="zh-CN"/>
              </w:rPr>
              <w:t>钻进过程中，根据实际钻孔资料与水文地质勘探数据，绘制区域勘探水文地质柱状图，为后续区块开发中的水资源评价、地下水环境影响预测与防治措施制定提供可靠的地质依据与技术支撑。</w:t>
            </w:r>
          </w:p>
          <w:p w14:paraId="4F304E1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b w:val="0"/>
                <w:bCs w:val="0"/>
                <w:color w:val="auto"/>
                <w:sz w:val="24"/>
                <w:szCs w:val="24"/>
                <w:highlight w:val="none"/>
                <w:vertAlign w:val="baseline"/>
                <w:lang w:val="en-US" w:eastAsia="zh-CN"/>
              </w:rPr>
              <w:t>（2）</w:t>
            </w:r>
            <w:r>
              <w:rPr>
                <w:rFonts w:hint="default" w:ascii="Times New Roman" w:hAnsi="Times New Roman" w:eastAsia="宋体" w:cs="Times New Roman"/>
                <w:b w:val="0"/>
                <w:bCs w:val="0"/>
                <w:color w:val="auto"/>
                <w:sz w:val="24"/>
                <w:szCs w:val="24"/>
                <w:highlight w:val="none"/>
                <w:vertAlign w:val="baseline"/>
                <w:lang w:val="en-US" w:eastAsia="zh-CN"/>
              </w:rPr>
              <w:t>基岩裂隙空隙潜水</w:t>
            </w:r>
          </w:p>
          <w:p w14:paraId="1B5D6F7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含于三叠系上统河湖相碎屑岩层，埋深在无定河中段5-17m地下，蓄水性好。县城至班佳沟一带，地质构造为米脂背斜轴部，地层裂隙发育，形成中等富水区，经钻探，深度18.6-21.15m，出水量61-389t</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d。地处杨家沟向斜轴部的李家寺地段，裂隙发育含富水层，钻孔4.38m，出水量82t/d，单井涌水量342.856t</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d。</w:t>
            </w:r>
          </w:p>
          <w:p w14:paraId="3EFB27F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b w:val="0"/>
                <w:bCs w:val="0"/>
                <w:color w:val="auto"/>
                <w:sz w:val="24"/>
                <w:szCs w:val="24"/>
                <w:highlight w:val="none"/>
                <w:vertAlign w:val="baseline"/>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承压水</w:t>
            </w:r>
          </w:p>
          <w:p w14:paraId="07C2570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属碎屑岩类裂隙空隙承压水，以三叠系各组砂岩为主，分布散，不连续，富水性弱和中等。具裂隙相对成层性或多层性。河谷区埋深20-80m，梁峁区可达100m以上，与潜水存在水力联系，可相互转换。</w:t>
            </w:r>
          </w:p>
          <w:p w14:paraId="3EB0222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境内潜水主要靠降水补给，补给量与降水量、降水强度、水文地质、地貌及气温等因素有关，河川、溪谷地带有河水、灌溉水渗水补给。承压水的补给源一是潜水，一是邻压承压水的侧向补充。富水性以河谷区最好，梁峁区差;河漫滩及1级阶好，分水岭地带差。</w:t>
            </w:r>
          </w:p>
          <w:p w14:paraId="276A387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境内地下水径流方向，深层由西北而东南，浅层与河谷水系流向相同</w:t>
            </w:r>
            <w:r>
              <w:rPr>
                <w:rFonts w:hint="eastAsia" w:ascii="Times New Roman" w:hAnsi="Times New Roman" w:eastAsia="宋体" w:cs="Times New Roman"/>
                <w:b w:val="0"/>
                <w:bCs w:val="0"/>
                <w:color w:val="auto"/>
                <w:sz w:val="24"/>
                <w:szCs w:val="24"/>
                <w:highlight w:val="none"/>
                <w:vertAlign w:val="baseline"/>
                <w:lang w:val="en-US" w:eastAsia="zh-CN"/>
              </w:rPr>
              <w:t>。</w:t>
            </w:r>
          </w:p>
          <w:p w14:paraId="518A008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eastAsia" w:ascii="Times New Roman" w:hAnsi="Times New Roman" w:eastAsia="宋体" w:cs="Times New Roman"/>
                <w:b/>
                <w:bCs/>
                <w:color w:val="auto"/>
                <w:sz w:val="24"/>
                <w:szCs w:val="24"/>
                <w:highlight w:val="none"/>
                <w:vertAlign w:val="baseline"/>
                <w:lang w:val="en-US" w:eastAsia="zh-CN"/>
              </w:rPr>
              <w:t>2、含（隔）水层水文地质特征</w:t>
            </w:r>
          </w:p>
          <w:p w14:paraId="14CFAC1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b w:val="0"/>
                <w:bCs w:val="0"/>
                <w:color w:val="auto"/>
                <w:sz w:val="24"/>
                <w:szCs w:val="24"/>
                <w:highlight w:val="none"/>
                <w:vertAlign w:val="baseline"/>
                <w:lang w:val="en-US" w:eastAsia="zh-CN"/>
              </w:rPr>
              <w:t>A、第四系松散层潜水</w:t>
            </w:r>
          </w:p>
          <w:p w14:paraId="3CFC94B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b w:val="0"/>
                <w:bCs w:val="0"/>
                <w:color w:val="auto"/>
                <w:sz w:val="24"/>
                <w:szCs w:val="24"/>
                <w:highlight w:val="none"/>
                <w:vertAlign w:val="baseline"/>
                <w:lang w:val="en-US" w:eastAsia="zh-CN"/>
              </w:rPr>
              <w:t>全新统冲积、冲洪积层空隙潜水，主要分布在无定河的堆积漫滩和一级堆积余地，含水层为砂、砂卵石，泥质含量少，厚度4-6m，展布面积大，补给条件好，一般富水性较好，与下伏二、三叠系基岩裂隙水之间无隔水层存在。实际上为透水性不同的统-含水岩体，抽水试验日产水15.898t/d-654.91t/d，矿化度0.72-1.938gL。</w:t>
            </w:r>
          </w:p>
          <w:p w14:paraId="0A00726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b w:val="0"/>
                <w:bCs w:val="0"/>
                <w:color w:val="auto"/>
                <w:sz w:val="24"/>
                <w:szCs w:val="24"/>
                <w:highlight w:val="none"/>
                <w:vertAlign w:val="baseline"/>
                <w:lang w:val="en-US" w:eastAsia="zh-CN"/>
              </w:rPr>
              <w:t>第四系松散层潜水自西北向东南方向径流，主要受大气降水补给。地下水位年变化幅度1.0-2.0m。</w:t>
            </w:r>
          </w:p>
          <w:p w14:paraId="7B21D33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b w:val="0"/>
                <w:bCs w:val="0"/>
                <w:color w:val="auto"/>
                <w:sz w:val="24"/>
                <w:szCs w:val="24"/>
                <w:highlight w:val="none"/>
                <w:vertAlign w:val="baseline"/>
                <w:lang w:val="en-US" w:eastAsia="zh-CN"/>
              </w:rPr>
              <w:t>B、三叠系延长组基岩裂隙含水层</w:t>
            </w:r>
          </w:p>
          <w:p w14:paraId="3F6A574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b w:val="0"/>
                <w:bCs w:val="0"/>
                <w:color w:val="auto"/>
                <w:sz w:val="24"/>
                <w:szCs w:val="24"/>
                <w:highlight w:val="none"/>
                <w:vertAlign w:val="baseline"/>
                <w:lang w:val="en-US" w:eastAsia="zh-CN"/>
              </w:rPr>
              <w:t>三叠系延长组基岩裂隙潜水分布较广，基岩裂隙潜水的赋存特征主要决定于裂隙的发育程度。由于裂隙在水平方向上分布具有疏密性，使富水性各地差异较大。河谷区的断层带附近，背、向斜轴部裂隙发育地段及裂隙密集带，因补给条件较好，富水性就好，形成相对富水地段。</w:t>
            </w:r>
          </w:p>
          <w:p w14:paraId="7D1292E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b w:val="0"/>
                <w:bCs w:val="0"/>
                <w:color w:val="auto"/>
                <w:sz w:val="24"/>
                <w:szCs w:val="24"/>
                <w:highlight w:val="none"/>
                <w:vertAlign w:val="baseline"/>
                <w:lang w:val="en-US" w:eastAsia="zh-CN"/>
              </w:rPr>
              <w:t>在无定河及其支流及冲沟交汇处，河流凸岸等裂隙发育地段，含水层为延长组第四段巨厚层砂岩，局部地段展布有裂隙密集带，风化带厚30-45m，地下水埋深4-11m，泉流量一般为0.5-2.5t/h，单井出水量为100t/d左右，局部地段可达400t/d以上，而其他地段裂隙不发育，虽补给条件较好，其富水性仍较差，单井涌水量仅7.2-27.7t/d。</w:t>
            </w:r>
          </w:p>
          <w:p w14:paraId="64F5ED7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C</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二叠系石千峰组含水层</w:t>
            </w:r>
          </w:p>
          <w:p w14:paraId="24F956A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石千峰组地层深埋地下1000多</w:t>
            </w:r>
            <w:r>
              <w:rPr>
                <w:rFonts w:hint="eastAsia" w:ascii="Times New Roman" w:hAnsi="Times New Roman" w:eastAsia="宋体" w:cs="Times New Roman"/>
                <w:b w:val="0"/>
                <w:bCs w:val="0"/>
                <w:color w:val="auto"/>
                <w:sz w:val="24"/>
                <w:szCs w:val="24"/>
                <w:highlight w:val="none"/>
                <w:vertAlign w:val="baseline"/>
                <w:lang w:val="en-US" w:eastAsia="zh-CN"/>
              </w:rPr>
              <w:t>米</w:t>
            </w:r>
            <w:r>
              <w:rPr>
                <w:rFonts w:hint="default" w:ascii="Times New Roman" w:hAnsi="Times New Roman" w:eastAsia="宋体" w:cs="Times New Roman"/>
                <w:b w:val="0"/>
                <w:bCs w:val="0"/>
                <w:color w:val="auto"/>
                <w:sz w:val="24"/>
                <w:szCs w:val="24"/>
                <w:highlight w:val="none"/>
                <w:vertAlign w:val="baseline"/>
                <w:lang w:val="en-US" w:eastAsia="zh-CN"/>
              </w:rPr>
              <w:t>，受黄河附近断层阻隔，该套水层处于封闭状态地层水与地表水不互相交换，地层水矿化度一般在50g以上，水型CaC</w:t>
            </w:r>
            <w:r>
              <w:rPr>
                <w:rFonts w:hint="eastAsia" w:ascii="Times New Roman" w:hAnsi="Times New Roman" w:eastAsia="宋体" w:cs="Times New Roman"/>
                <w:b w:val="0"/>
                <w:bCs w:val="0"/>
                <w:color w:val="auto"/>
                <w:sz w:val="24"/>
                <w:szCs w:val="24"/>
                <w:highlight w:val="none"/>
                <w:vertAlign w:val="baseline"/>
                <w:lang w:val="en-US" w:eastAsia="zh-CN"/>
              </w:rPr>
              <w:t>l</w:t>
            </w:r>
            <w:r>
              <w:rPr>
                <w:rFonts w:hint="eastAsia" w:ascii="Times New Roman" w:hAnsi="Times New Roman" w:eastAsia="宋体" w:cs="Times New Roman"/>
                <w:b w:val="0"/>
                <w:bCs w:val="0"/>
                <w:color w:val="auto"/>
                <w:sz w:val="24"/>
                <w:szCs w:val="24"/>
                <w:highlight w:val="none"/>
                <w:vertAlign w:val="subscript"/>
                <w:lang w:val="en-US" w:eastAsia="zh-CN"/>
              </w:rPr>
              <w:t>2</w:t>
            </w:r>
            <w:r>
              <w:rPr>
                <w:rFonts w:hint="default" w:ascii="Times New Roman" w:hAnsi="Times New Roman" w:eastAsia="宋体" w:cs="Times New Roman"/>
                <w:b w:val="0"/>
                <w:bCs w:val="0"/>
                <w:color w:val="auto"/>
                <w:sz w:val="24"/>
                <w:szCs w:val="24"/>
                <w:highlight w:val="none"/>
                <w:vertAlign w:val="baseline"/>
                <w:lang w:val="en-US" w:eastAsia="zh-CN"/>
              </w:rPr>
              <w:t>型。</w:t>
            </w:r>
          </w:p>
          <w:p w14:paraId="6DF005D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eastAsia" w:ascii="Times New Roman" w:hAnsi="Times New Roman" w:eastAsia="宋体" w:cs="Times New Roman"/>
                <w:b/>
                <w:bCs/>
                <w:color w:val="auto"/>
                <w:sz w:val="24"/>
                <w:szCs w:val="24"/>
                <w:highlight w:val="none"/>
                <w:vertAlign w:val="baseline"/>
                <w:lang w:val="en-US" w:eastAsia="zh-CN"/>
              </w:rPr>
              <w:t>3、主要隔水层</w:t>
            </w:r>
          </w:p>
          <w:p w14:paraId="7044E45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A</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第三系上新统红色粘土、亚粘土隔水层</w:t>
            </w:r>
          </w:p>
          <w:p w14:paraId="5814082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第三系上新统红色粘土、亚粘土隔水层分布较为普遍，埋伏于黄土层之下，仅于沟谷中有所出露。其红土层本身基本不含水或属零星含水，主要起隔水作用。这在广大的黄土地区，对土壤的黄土层的水存在与否及其富水性有重要影响。在其他条件相似的情况下，有连续存在的、厚度较大的红土分布地段，上覆的黄土层潜水的富水性往往较其他地段为好。</w:t>
            </w:r>
          </w:p>
          <w:p w14:paraId="6F1FFA4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B</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三叠系中下统隔水层</w:t>
            </w:r>
          </w:p>
          <w:p w14:paraId="07C9D14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三叠系中下统为大套砂泥岩互层，深埋地下近千米，受多重成岩作用影响，砂岩异常致密，与数百米稳定分布的泥岩一起构成探区的主要隔水层，基本上隔断了探区表层与地层深部水的交换途径。</w:t>
            </w:r>
          </w:p>
          <w:p w14:paraId="653BEE6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C</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二叠系、石炭系隔水层</w:t>
            </w:r>
          </w:p>
          <w:p w14:paraId="7D84A32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二叠系上下石盒子组、山西组及石炭系太原组、本溪组均以致密泥岩为主夹砂岩透镜体和煤层。由于其岩性致密、厚度巨大、分布广泛，是全盆地所有流体的区域遮挡层。虽然二叠系下石盒子组、山西组也发育一些储集物性较好的砂岩</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但</w:t>
            </w:r>
            <w:r>
              <w:rPr>
                <w:rFonts w:hint="eastAsia" w:ascii="Times New Roman" w:hAnsi="Times New Roman" w:eastAsia="宋体" w:cs="Times New Roman"/>
                <w:b w:val="0"/>
                <w:bCs w:val="0"/>
                <w:color w:val="auto"/>
                <w:sz w:val="24"/>
                <w:szCs w:val="24"/>
                <w:highlight w:val="none"/>
                <w:vertAlign w:val="baseline"/>
                <w:lang w:val="en-US" w:eastAsia="zh-CN"/>
              </w:rPr>
              <w:t>一</w:t>
            </w:r>
            <w:r>
              <w:rPr>
                <w:rFonts w:hint="default" w:ascii="Times New Roman" w:hAnsi="Times New Roman" w:eastAsia="宋体" w:cs="Times New Roman"/>
                <w:b w:val="0"/>
                <w:bCs w:val="0"/>
                <w:color w:val="auto"/>
                <w:sz w:val="24"/>
                <w:szCs w:val="24"/>
                <w:highlight w:val="none"/>
                <w:vertAlign w:val="baseline"/>
                <w:lang w:val="en-US" w:eastAsia="zh-CN"/>
              </w:rPr>
              <w:t>般都是油气储层。即使含水也因砂体规模较小和缺乏补给水源，产水量甚微，一般为5t</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d以下，水型为CaCl</w:t>
            </w:r>
            <w:r>
              <w:rPr>
                <w:rFonts w:hint="eastAsia" w:ascii="Times New Roman" w:hAnsi="Times New Roman" w:eastAsia="宋体" w:cs="Times New Roman"/>
                <w:b w:val="0"/>
                <w:bCs w:val="0"/>
                <w:color w:val="auto"/>
                <w:sz w:val="24"/>
                <w:szCs w:val="24"/>
                <w:highlight w:val="none"/>
                <w:vertAlign w:val="subscript"/>
                <w:lang w:val="en-US" w:eastAsia="zh-CN"/>
              </w:rPr>
              <w:t>2</w:t>
            </w:r>
            <w:r>
              <w:rPr>
                <w:rFonts w:hint="default" w:ascii="Times New Roman" w:hAnsi="Times New Roman" w:eastAsia="宋体" w:cs="Times New Roman"/>
                <w:b w:val="0"/>
                <w:bCs w:val="0"/>
                <w:color w:val="auto"/>
                <w:sz w:val="24"/>
                <w:szCs w:val="24"/>
                <w:highlight w:val="none"/>
                <w:vertAlign w:val="baseline"/>
                <w:lang w:val="en-US" w:eastAsia="zh-CN"/>
              </w:rPr>
              <w:t>型封闭水。</w:t>
            </w:r>
          </w:p>
          <w:p w14:paraId="3D9F4B7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D</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奥陶系马家沟组第五段上不隔水层</w:t>
            </w:r>
          </w:p>
          <w:p w14:paraId="0E662CD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马五段上部第三亚段及第四亚段上部为泥质白云岩、白云质硬石膏岩，下部为白云质硬石膏岩或岩盐</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第五亚段为块状致密泥晶石灰岩，其渗透率均在10</w:t>
            </w:r>
            <w:r>
              <w:rPr>
                <w:rFonts w:hint="default" w:ascii="Arial" w:hAnsi="Arial" w:eastAsia="宋体" w:cs="Arial"/>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10</w:t>
            </w:r>
            <w:r>
              <w:rPr>
                <w:rFonts w:hint="eastAsia" w:ascii="Times New Roman" w:hAnsi="Times New Roman" w:eastAsia="宋体" w:cs="Times New Roman"/>
                <w:b w:val="0"/>
                <w:bCs w:val="0"/>
                <w:color w:val="auto"/>
                <w:sz w:val="24"/>
                <w:szCs w:val="24"/>
                <w:highlight w:val="none"/>
                <w:vertAlign w:val="superscript"/>
                <w:lang w:val="en-US" w:eastAsia="zh-CN"/>
              </w:rPr>
              <w:t>-6</w:t>
            </w:r>
            <w:r>
              <w:rPr>
                <w:rFonts w:hint="default" w:ascii="Times New Roman" w:hAnsi="Times New Roman" w:eastAsia="宋体" w:cs="Times New Roman"/>
                <w:b w:val="0"/>
                <w:bCs w:val="0"/>
                <w:color w:val="auto"/>
                <w:sz w:val="24"/>
                <w:szCs w:val="24"/>
                <w:highlight w:val="none"/>
                <w:vertAlign w:val="baseline"/>
                <w:lang w:val="en-US" w:eastAsia="zh-CN"/>
              </w:rPr>
              <w:t>μm</w:t>
            </w:r>
            <w:r>
              <w:rPr>
                <w:rFonts w:hint="eastAsia"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vertAlign w:val="baseline"/>
                <w:lang w:val="en-US" w:eastAsia="zh-CN"/>
              </w:rPr>
              <w:t>以下，是岩层以上非常好的隔水层。</w:t>
            </w:r>
          </w:p>
          <w:p w14:paraId="1FCD66F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总之，奥陶系马家沟组盐系地层埋深地下2000m以下，含水层与隔水层相间出现。由于上覆石炭系、二叠系等一系列巨厚的隔水盐系，盐系地层的地下水与地表水失去了水力联系，而处于封闭的还原环境之中。含水层内或含水层与隔水层之间，只有弱的水交换。经长期的地球化学作用，马家沟组含水岩系的地下水，溶解了部分蒸发岩，或许也混入了蒸发岩形成后的参与卤水、品间卤水，使其具有较高的含盐量。</w:t>
            </w:r>
          </w:p>
          <w:p w14:paraId="7915E569">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both"/>
              <w:outlineLvl w:val="9"/>
              <w:rPr>
                <w:rFonts w:hint="eastAsia"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陕北盐田马家沟组盐层在其他延伸方向上，由于都深埋地下，而且与地表水完全隔离，没有被溶蚀破坏的可能，保存条件良好</w:t>
            </w:r>
            <w:r>
              <w:rPr>
                <w:rFonts w:hint="eastAsia" w:ascii="Times New Roman" w:hAnsi="Times New Roman" w:eastAsia="宋体" w:cs="Times New Roman"/>
                <w:b w:val="0"/>
                <w:bCs w:val="0"/>
                <w:color w:val="auto"/>
                <w:sz w:val="24"/>
                <w:szCs w:val="24"/>
                <w:highlight w:val="none"/>
                <w:vertAlign w:val="baseline"/>
                <w:lang w:val="en-US" w:eastAsia="zh-CN"/>
              </w:rPr>
              <w:t>。</w:t>
            </w:r>
          </w:p>
          <w:p w14:paraId="0C06139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eastAsia" w:ascii="Times New Roman" w:hAnsi="Times New Roman" w:eastAsia="宋体" w:cs="Times New Roman"/>
                <w:b/>
                <w:bCs/>
                <w:color w:val="auto"/>
                <w:sz w:val="24"/>
                <w:szCs w:val="24"/>
                <w:highlight w:val="none"/>
                <w:vertAlign w:val="baseline"/>
                <w:lang w:val="en-US" w:eastAsia="zh-CN"/>
              </w:rPr>
              <w:t>4、影响分析</w:t>
            </w:r>
          </w:p>
          <w:p w14:paraId="62BED712">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2" w:firstLineChars="200"/>
              <w:jc w:val="both"/>
              <w:outlineLvl w:val="9"/>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（1）钻井过程对地下水的影响</w:t>
            </w:r>
          </w:p>
          <w:p w14:paraId="47BFDDD4">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由于各地层岩性、孔隙度不同，对于孔隙度大的地层，在钻井过程中可能会发生钻井液漏失的现象，若漏失地层与含水层之间存在较多的断裂或裂隙，漏失的钻井液就有可能顺着岩层断裂、裂隙进入地下水，造成地下水污染。另外，固井过程中固井液的漏失对地下水也有一定的影响。</w:t>
            </w:r>
          </w:p>
          <w:p w14:paraId="67483AFC">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整个钻井作业按照规章操作，尽量避免因压力激增和开泵过猛使泥浆泵入地层污染地下水；钻井过程中采取泥浆监测，一旦发现漏失采取及时堵漏等措施，既能满足工程要求，又可减少对地下水的影响。项目钻井时采用膨润土浆钻井，固井技术完善，在套管的保护下能有效地保护浅层地下水，对地下水影响较小。</w:t>
            </w:r>
          </w:p>
          <w:p w14:paraId="458E3D82">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2" w:firstLineChars="200"/>
              <w:jc w:val="both"/>
              <w:outlineLvl w:val="9"/>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（2）井场污染物入渗对地下水的影响</w:t>
            </w:r>
          </w:p>
          <w:p w14:paraId="26A57274">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井场污染物收集、存储措施不到位，容易造成地表污染物入渗，对浅层地下水造成一定的污染。造成地表污染物入渗的主要因素有：洗井废水罐和压裂返排液罐基础防渗措施不到位，运行中出现渗漏；井口作业区、泥浆循环系统区散落的泥浆、废水渗入地下。本项目对洗井废水罐、压裂返排液罐、放喷罐、泥浆循环罐区、岩屑收集罐等位置进行地面防渗和设置围堰，可有效阻断井场污染物入渗地下。</w:t>
            </w:r>
          </w:p>
          <w:p w14:paraId="70844BBB">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2" w:firstLineChars="200"/>
              <w:jc w:val="both"/>
              <w:outlineLvl w:val="9"/>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（3）地下水串层影响</w:t>
            </w:r>
          </w:p>
          <w:p w14:paraId="566615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在自然状态下，由于存在隔水层，浅层水与深层水很难相互沟通混合。如果隔水层被人为破坏形成孔洞，浅层污染水就会下渗污染深层水，造成地下水串层污染。</w:t>
            </w:r>
          </w:p>
          <w:p w14:paraId="3CD0F4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bidi="ar"/>
              </w:rPr>
              <w:t>本项目评价井位于石炭—侏罗系碎屑岩裂隙与上覆松散层孔隙含水层系统内，钻井过程钻遇含水层包括第四系黄土裂隙孔隙含水层、石炭系-侏罗系碎屑岩裂隙含水层</w:t>
            </w:r>
            <w:r>
              <w:rPr>
                <w:rFonts w:hint="default" w:ascii="Times New Roman" w:hAnsi="Times New Roman" w:eastAsia="宋体" w:cs="Times New Roman"/>
                <w:color w:val="auto"/>
                <w:kern w:val="0"/>
                <w:sz w:val="24"/>
                <w:szCs w:val="24"/>
                <w:highlight w:val="none"/>
                <w:lang w:val="en-US" w:eastAsia="zh-CN" w:bidi="ar"/>
              </w:rPr>
              <w:t>，不会发生串层污染；</w:t>
            </w:r>
            <w:r>
              <w:rPr>
                <w:rFonts w:hint="default" w:ascii="Times New Roman" w:hAnsi="Times New Roman" w:eastAsia="宋体" w:cs="Times New Roman"/>
                <w:color w:val="auto"/>
                <w:sz w:val="24"/>
                <w:szCs w:val="24"/>
                <w:highlight w:val="none"/>
                <w:lang w:val="en-US" w:eastAsia="zh-CN" w:bidi="ar"/>
              </w:rPr>
              <w:t>项目如果钻至隔水层，采用速凝水泥迅速封堵隔水层孔洞，有效阻止不同含水层间的物质流动，防止地下水串层污染</w:t>
            </w:r>
            <w:r>
              <w:rPr>
                <w:rFonts w:hint="default" w:ascii="Times New Roman" w:hAnsi="Times New Roman" w:eastAsia="宋体" w:cs="Times New Roman"/>
                <w:color w:val="auto"/>
                <w:kern w:val="0"/>
                <w:sz w:val="24"/>
                <w:szCs w:val="24"/>
                <w:highlight w:val="none"/>
                <w:lang w:val="en-US" w:eastAsia="zh-CN" w:bidi="ar"/>
              </w:rPr>
              <w:t>。</w:t>
            </w:r>
          </w:p>
          <w:p w14:paraId="7459CBC6">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综上，废水/液储存罐渗滤液下渗污染地下水的可能性较小；钻井滤失泥浆污染地下水可以及时发现并采取堵漏措施，污染排放量较小；总体来讲，项目建设对地下水的影响较小。</w:t>
            </w:r>
          </w:p>
          <w:p w14:paraId="530F36C7">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2" w:firstLineChars="200"/>
              <w:jc w:val="both"/>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五、声环境影响</w:t>
            </w:r>
          </w:p>
          <w:p w14:paraId="679FA2AA">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2" w:firstLineChars="200"/>
              <w:jc w:val="both"/>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1、噪声源</w:t>
            </w:r>
          </w:p>
          <w:p w14:paraId="6904948B">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由于本项目钻井过程为24小时连续运行，对声环境影响大的主要为钻井过程中钻机、泵类等设备运行产生的连续性噪声。拟建工程钻井工程主要噪声源及源强见表4-4，主要施工机械噪声不同距离处的噪声级见表4-5。</w:t>
            </w:r>
          </w:p>
          <w:p w14:paraId="6D05C8B4">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表4-4 拟建工程钻井工程主要噪声源统计表</w:t>
            </w:r>
            <w:r>
              <w:rPr>
                <w:rFonts w:hint="default" w:ascii="Times New Roman" w:hAnsi="Times New Roman" w:eastAsia="宋体" w:cs="Times New Roman"/>
                <w:b/>
                <w:bCs/>
                <w:color w:val="auto"/>
                <w:sz w:val="24"/>
                <w:szCs w:val="24"/>
                <w:highlight w:val="none"/>
                <w:lang w:val="en-US" w:eastAsia="zh-CN" w:bidi="ar"/>
              </w:rPr>
              <w:t>（室外声源）</w:t>
            </w:r>
            <w:r>
              <w:rPr>
                <w:rFonts w:hint="default" w:ascii="Times New Roman" w:hAnsi="Times New Roman" w:eastAsia="宋体" w:cs="Times New Roman"/>
                <w:b/>
                <w:bCs/>
                <w:color w:val="auto"/>
                <w:kern w:val="0"/>
                <w:sz w:val="24"/>
                <w:szCs w:val="24"/>
                <w:highlight w:val="none"/>
                <w:lang w:val="en-US" w:eastAsia="zh-CN" w:bidi="ar"/>
              </w:rPr>
              <w:t xml:space="preserve">  单位：dB（A）</w:t>
            </w:r>
          </w:p>
          <w:tbl>
            <w:tblPr>
              <w:tblStyle w:val="16"/>
              <w:tblW w:w="4995"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427"/>
              <w:gridCol w:w="1351"/>
              <w:gridCol w:w="733"/>
              <w:gridCol w:w="952"/>
              <w:gridCol w:w="886"/>
              <w:gridCol w:w="741"/>
              <w:gridCol w:w="1167"/>
              <w:gridCol w:w="1270"/>
              <w:gridCol w:w="836"/>
            </w:tblGrid>
            <w:tr w14:paraId="3F2B5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trPr>
              <w:tc>
                <w:tcPr>
                  <w:tcW w:w="255" w:type="pct"/>
                  <w:vMerge w:val="restart"/>
                  <w:tcBorders>
                    <w:top w:val="single" w:color="000000" w:sz="6" w:space="0"/>
                    <w:left w:val="single" w:color="000000" w:sz="6" w:space="0"/>
                    <w:bottom w:val="single" w:color="000000" w:sz="6" w:space="0"/>
                    <w:right w:val="single" w:color="000000" w:sz="6" w:space="0"/>
                  </w:tcBorders>
                  <w:noWrap w:val="0"/>
                  <w:vAlign w:val="center"/>
                </w:tcPr>
                <w:p w14:paraId="725EC8F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rPr>
                  </w:pPr>
                  <w:r>
                    <w:rPr>
                      <w:rFonts w:hint="default" w:ascii="Times New Roman" w:hAnsi="Times New Roman" w:eastAsia="宋体" w:cs="Times New Roman"/>
                      <w:b/>
                      <w:bCs/>
                      <w:color w:val="auto"/>
                      <w:kern w:val="0"/>
                      <w:sz w:val="21"/>
                      <w:szCs w:val="21"/>
                      <w:highlight w:val="none"/>
                      <w:lang w:val="en-US" w:eastAsia="zh-CN" w:bidi="ar"/>
                    </w:rPr>
                    <w:t>序号</w:t>
                  </w:r>
                </w:p>
              </w:tc>
              <w:tc>
                <w:tcPr>
                  <w:tcW w:w="808" w:type="pct"/>
                  <w:vMerge w:val="restart"/>
                  <w:tcBorders>
                    <w:top w:val="single" w:color="000000" w:sz="6" w:space="0"/>
                    <w:left w:val="single" w:color="000000" w:sz="6" w:space="0"/>
                    <w:bottom w:val="single" w:color="000000" w:sz="6" w:space="0"/>
                    <w:right w:val="single" w:color="000000" w:sz="6" w:space="0"/>
                  </w:tcBorders>
                  <w:noWrap w:val="0"/>
                  <w:vAlign w:val="center"/>
                </w:tcPr>
                <w:p w14:paraId="6DB66AD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rPr>
                  </w:pPr>
                  <w:r>
                    <w:rPr>
                      <w:rFonts w:hint="default" w:ascii="Times New Roman" w:hAnsi="Times New Roman" w:eastAsia="宋体" w:cs="Times New Roman"/>
                      <w:b/>
                      <w:bCs/>
                      <w:color w:val="auto"/>
                      <w:kern w:val="0"/>
                      <w:sz w:val="21"/>
                      <w:szCs w:val="21"/>
                      <w:highlight w:val="none"/>
                      <w:lang w:val="en-US" w:eastAsia="zh-CN" w:bidi="ar"/>
                    </w:rPr>
                    <w:t>声源名称</w:t>
                  </w:r>
                </w:p>
              </w:tc>
              <w:tc>
                <w:tcPr>
                  <w:tcW w:w="438" w:type="pct"/>
                  <w:vMerge w:val="restart"/>
                  <w:tcBorders>
                    <w:top w:val="single" w:color="000000" w:sz="6" w:space="0"/>
                    <w:left w:val="single" w:color="000000" w:sz="6" w:space="0"/>
                    <w:bottom w:val="single" w:color="000000" w:sz="6" w:space="0"/>
                    <w:right w:val="single" w:color="000000" w:sz="6" w:space="0"/>
                  </w:tcBorders>
                  <w:noWrap w:val="0"/>
                  <w:vAlign w:val="center"/>
                </w:tcPr>
                <w:p w14:paraId="7FF0D39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rPr>
                  </w:pPr>
                  <w:r>
                    <w:rPr>
                      <w:rFonts w:hint="default" w:ascii="Times New Roman" w:hAnsi="Times New Roman" w:eastAsia="宋体" w:cs="Times New Roman"/>
                      <w:b/>
                      <w:bCs/>
                      <w:color w:val="auto"/>
                      <w:kern w:val="0"/>
                      <w:sz w:val="21"/>
                      <w:szCs w:val="21"/>
                      <w:highlight w:val="none"/>
                      <w:lang w:val="en-US" w:eastAsia="zh-CN" w:bidi="ar"/>
                    </w:rPr>
                    <w:t>型号</w:t>
                  </w:r>
                </w:p>
              </w:tc>
              <w:tc>
                <w:tcPr>
                  <w:tcW w:w="1542" w:type="pct"/>
                  <w:gridSpan w:val="3"/>
                  <w:tcBorders>
                    <w:top w:val="single" w:color="000000" w:sz="6" w:space="0"/>
                    <w:left w:val="single" w:color="000000" w:sz="6" w:space="0"/>
                    <w:bottom w:val="single" w:color="000000" w:sz="6" w:space="0"/>
                    <w:right w:val="single" w:color="000000" w:sz="6" w:space="0"/>
                  </w:tcBorders>
                  <w:noWrap w:val="0"/>
                  <w:vAlign w:val="center"/>
                </w:tcPr>
                <w:p w14:paraId="770CFEB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rPr>
                  </w:pPr>
                  <w:r>
                    <w:rPr>
                      <w:rFonts w:hint="default" w:ascii="Times New Roman" w:hAnsi="Times New Roman" w:eastAsia="宋体" w:cs="Times New Roman"/>
                      <w:b/>
                      <w:bCs/>
                      <w:color w:val="auto"/>
                      <w:kern w:val="0"/>
                      <w:sz w:val="21"/>
                      <w:szCs w:val="21"/>
                      <w:highlight w:val="none"/>
                      <w:lang w:val="en-US" w:eastAsia="zh-CN" w:bidi="ar"/>
                    </w:rPr>
                    <w:t>空间相对位置/m</w:t>
                  </w:r>
                </w:p>
              </w:tc>
              <w:tc>
                <w:tcPr>
                  <w:tcW w:w="698" w:type="pct"/>
                  <w:tcBorders>
                    <w:top w:val="single" w:color="000000" w:sz="6" w:space="0"/>
                    <w:left w:val="single" w:color="000000" w:sz="6" w:space="0"/>
                    <w:bottom w:val="single" w:color="000000" w:sz="6" w:space="0"/>
                    <w:right w:val="single" w:color="000000" w:sz="6" w:space="0"/>
                  </w:tcBorders>
                  <w:noWrap w:val="0"/>
                  <w:vAlign w:val="center"/>
                </w:tcPr>
                <w:p w14:paraId="7ED49CD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rPr>
                  </w:pPr>
                  <w:r>
                    <w:rPr>
                      <w:rFonts w:hint="default" w:ascii="Times New Roman" w:hAnsi="Times New Roman" w:eastAsia="宋体" w:cs="Times New Roman"/>
                      <w:b/>
                      <w:bCs/>
                      <w:color w:val="auto"/>
                      <w:kern w:val="0"/>
                      <w:sz w:val="21"/>
                      <w:szCs w:val="21"/>
                      <w:highlight w:val="none"/>
                      <w:lang w:val="en-US" w:eastAsia="zh-CN" w:bidi="ar"/>
                    </w:rPr>
                    <w:t>声源源强</w:t>
                  </w:r>
                </w:p>
              </w:tc>
              <w:tc>
                <w:tcPr>
                  <w:tcW w:w="759" w:type="pct"/>
                  <w:vMerge w:val="restart"/>
                  <w:tcBorders>
                    <w:top w:val="single" w:color="000000" w:sz="6" w:space="0"/>
                    <w:left w:val="single" w:color="000000" w:sz="6" w:space="0"/>
                    <w:bottom w:val="single" w:color="000000" w:sz="6" w:space="0"/>
                    <w:right w:val="single" w:color="000000" w:sz="6" w:space="0"/>
                  </w:tcBorders>
                  <w:noWrap w:val="0"/>
                  <w:vAlign w:val="center"/>
                </w:tcPr>
                <w:p w14:paraId="78B0A96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rPr>
                  </w:pPr>
                  <w:r>
                    <w:rPr>
                      <w:rFonts w:hint="default" w:ascii="Times New Roman" w:hAnsi="Times New Roman" w:eastAsia="宋体" w:cs="Times New Roman"/>
                      <w:b/>
                      <w:bCs/>
                      <w:color w:val="auto"/>
                      <w:kern w:val="0"/>
                      <w:sz w:val="21"/>
                      <w:szCs w:val="21"/>
                      <w:highlight w:val="none"/>
                      <w:lang w:val="en-US" w:eastAsia="zh-CN" w:bidi="ar"/>
                    </w:rPr>
                    <w:t>声源控制措施</w:t>
                  </w:r>
                </w:p>
              </w:tc>
              <w:tc>
                <w:tcPr>
                  <w:tcW w:w="496" w:type="pct"/>
                  <w:vMerge w:val="restart"/>
                  <w:tcBorders>
                    <w:top w:val="single" w:color="000000" w:sz="6" w:space="0"/>
                    <w:left w:val="single" w:color="000000" w:sz="6" w:space="0"/>
                    <w:bottom w:val="single" w:color="000000" w:sz="6" w:space="0"/>
                    <w:right w:val="single" w:color="000000" w:sz="6" w:space="0"/>
                  </w:tcBorders>
                  <w:noWrap w:val="0"/>
                  <w:vAlign w:val="center"/>
                </w:tcPr>
                <w:p w14:paraId="42C29E0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rPr>
                  </w:pPr>
                  <w:r>
                    <w:rPr>
                      <w:rFonts w:hint="default" w:ascii="Times New Roman" w:hAnsi="Times New Roman" w:eastAsia="宋体" w:cs="Times New Roman"/>
                      <w:b/>
                      <w:bCs/>
                      <w:color w:val="auto"/>
                      <w:kern w:val="0"/>
                      <w:sz w:val="21"/>
                      <w:szCs w:val="21"/>
                      <w:highlight w:val="none"/>
                      <w:lang w:val="en-US" w:eastAsia="zh-CN" w:bidi="ar"/>
                    </w:rPr>
                    <w:t>运行时段</w:t>
                  </w:r>
                </w:p>
              </w:tc>
            </w:tr>
            <w:tr w14:paraId="0DFE9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2" w:hRule="atLeast"/>
              </w:trPr>
              <w:tc>
                <w:tcPr>
                  <w:tcW w:w="255" w:type="pct"/>
                  <w:vMerge w:val="continue"/>
                  <w:tcBorders>
                    <w:top w:val="single" w:color="000000" w:sz="6" w:space="0"/>
                    <w:left w:val="single" w:color="000000" w:sz="6" w:space="0"/>
                    <w:bottom w:val="single" w:color="000000" w:sz="6" w:space="0"/>
                    <w:right w:val="single" w:color="000000" w:sz="6" w:space="0"/>
                  </w:tcBorders>
                  <w:noWrap w:val="0"/>
                  <w:vAlign w:val="center"/>
                </w:tcPr>
                <w:p w14:paraId="5FD47F2B">
                  <w:pPr>
                    <w:rPr>
                      <w:rFonts w:hint="default" w:ascii="Times New Roman" w:hAnsi="Times New Roman" w:eastAsia="宋体" w:cs="Times New Roman"/>
                      <w:color w:val="auto"/>
                      <w:sz w:val="21"/>
                      <w:szCs w:val="21"/>
                      <w:highlight w:val="none"/>
                    </w:rPr>
                  </w:pPr>
                </w:p>
              </w:tc>
              <w:tc>
                <w:tcPr>
                  <w:tcW w:w="808" w:type="pct"/>
                  <w:vMerge w:val="continue"/>
                  <w:tcBorders>
                    <w:top w:val="single" w:color="000000" w:sz="6" w:space="0"/>
                    <w:left w:val="single" w:color="000000" w:sz="6" w:space="0"/>
                    <w:bottom w:val="single" w:color="000000" w:sz="6" w:space="0"/>
                    <w:right w:val="single" w:color="000000" w:sz="6" w:space="0"/>
                  </w:tcBorders>
                  <w:noWrap w:val="0"/>
                  <w:vAlign w:val="center"/>
                </w:tcPr>
                <w:p w14:paraId="5390BDB2">
                  <w:pPr>
                    <w:rPr>
                      <w:rFonts w:hint="default" w:ascii="Times New Roman" w:hAnsi="Times New Roman" w:eastAsia="宋体" w:cs="Times New Roman"/>
                      <w:color w:val="auto"/>
                      <w:sz w:val="21"/>
                      <w:szCs w:val="21"/>
                      <w:highlight w:val="none"/>
                    </w:rPr>
                  </w:pPr>
                </w:p>
              </w:tc>
              <w:tc>
                <w:tcPr>
                  <w:tcW w:w="438" w:type="pct"/>
                  <w:vMerge w:val="continue"/>
                  <w:tcBorders>
                    <w:top w:val="single" w:color="000000" w:sz="6" w:space="0"/>
                    <w:left w:val="single" w:color="000000" w:sz="6" w:space="0"/>
                    <w:bottom w:val="single" w:color="000000" w:sz="6" w:space="0"/>
                    <w:right w:val="single" w:color="000000" w:sz="6" w:space="0"/>
                  </w:tcBorders>
                  <w:noWrap w:val="0"/>
                  <w:vAlign w:val="center"/>
                </w:tcPr>
                <w:p w14:paraId="5CCBDF00">
                  <w:pPr>
                    <w:rPr>
                      <w:rFonts w:hint="default" w:ascii="Times New Roman" w:hAnsi="Times New Roman" w:eastAsia="宋体" w:cs="Times New Roman"/>
                      <w:color w:val="auto"/>
                      <w:sz w:val="21"/>
                      <w:szCs w:val="21"/>
                      <w:highlight w:val="none"/>
                    </w:rPr>
                  </w:pPr>
                </w:p>
              </w:tc>
              <w:tc>
                <w:tcPr>
                  <w:tcW w:w="569" w:type="pct"/>
                  <w:tcBorders>
                    <w:top w:val="single" w:color="000000" w:sz="6" w:space="0"/>
                    <w:left w:val="single" w:color="000000" w:sz="6" w:space="0"/>
                    <w:bottom w:val="single" w:color="000000" w:sz="6" w:space="0"/>
                    <w:right w:val="single" w:color="000000" w:sz="6" w:space="0"/>
                  </w:tcBorders>
                  <w:noWrap w:val="0"/>
                  <w:vAlign w:val="center"/>
                </w:tcPr>
                <w:p w14:paraId="36EE9B1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rPr>
                  </w:pPr>
                  <w:r>
                    <w:rPr>
                      <w:rFonts w:hint="default" w:ascii="Times New Roman" w:hAnsi="Times New Roman" w:eastAsia="宋体" w:cs="Times New Roman"/>
                      <w:b/>
                      <w:bCs/>
                      <w:color w:val="auto"/>
                      <w:kern w:val="0"/>
                      <w:sz w:val="21"/>
                      <w:szCs w:val="21"/>
                      <w:highlight w:val="none"/>
                      <w:lang w:val="en-US" w:eastAsia="zh-CN" w:bidi="ar"/>
                    </w:rPr>
                    <w:t>X</w:t>
                  </w:r>
                </w:p>
              </w:tc>
              <w:tc>
                <w:tcPr>
                  <w:tcW w:w="530" w:type="pct"/>
                  <w:tcBorders>
                    <w:top w:val="single" w:color="000000" w:sz="6" w:space="0"/>
                    <w:left w:val="single" w:color="000000" w:sz="6" w:space="0"/>
                    <w:bottom w:val="single" w:color="000000" w:sz="6" w:space="0"/>
                    <w:right w:val="single" w:color="000000" w:sz="6" w:space="0"/>
                  </w:tcBorders>
                  <w:noWrap w:val="0"/>
                  <w:vAlign w:val="center"/>
                </w:tcPr>
                <w:p w14:paraId="6BEB93A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rPr>
                  </w:pPr>
                  <w:r>
                    <w:rPr>
                      <w:rFonts w:hint="default" w:ascii="Times New Roman" w:hAnsi="Times New Roman" w:eastAsia="宋体" w:cs="Times New Roman"/>
                      <w:b/>
                      <w:bCs/>
                      <w:color w:val="auto"/>
                      <w:kern w:val="0"/>
                      <w:sz w:val="21"/>
                      <w:szCs w:val="21"/>
                      <w:highlight w:val="none"/>
                      <w:lang w:val="en-US" w:eastAsia="zh-CN" w:bidi="ar"/>
                    </w:rPr>
                    <w:t>Y</w:t>
                  </w:r>
                </w:p>
              </w:tc>
              <w:tc>
                <w:tcPr>
                  <w:tcW w:w="442" w:type="pct"/>
                  <w:tcBorders>
                    <w:top w:val="single" w:color="000000" w:sz="6" w:space="0"/>
                    <w:left w:val="single" w:color="000000" w:sz="6" w:space="0"/>
                    <w:bottom w:val="single" w:color="000000" w:sz="6" w:space="0"/>
                    <w:right w:val="single" w:color="000000" w:sz="6" w:space="0"/>
                  </w:tcBorders>
                  <w:noWrap w:val="0"/>
                  <w:vAlign w:val="center"/>
                </w:tcPr>
                <w:p w14:paraId="1535997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rPr>
                  </w:pPr>
                  <w:r>
                    <w:rPr>
                      <w:rFonts w:hint="default" w:ascii="Times New Roman" w:hAnsi="Times New Roman" w:eastAsia="宋体" w:cs="Times New Roman"/>
                      <w:b/>
                      <w:bCs/>
                      <w:color w:val="auto"/>
                      <w:kern w:val="0"/>
                      <w:sz w:val="21"/>
                      <w:szCs w:val="21"/>
                      <w:highlight w:val="none"/>
                      <w:lang w:val="en-US" w:eastAsia="zh-CN" w:bidi="ar"/>
                    </w:rPr>
                    <w:t>Z</w:t>
                  </w:r>
                </w:p>
              </w:tc>
              <w:tc>
                <w:tcPr>
                  <w:tcW w:w="698" w:type="pct"/>
                  <w:tcBorders>
                    <w:top w:val="single" w:color="000000" w:sz="6" w:space="0"/>
                    <w:left w:val="single" w:color="000000" w:sz="6" w:space="0"/>
                    <w:bottom w:val="single" w:color="000000" w:sz="6" w:space="0"/>
                    <w:right w:val="single" w:color="000000" w:sz="6" w:space="0"/>
                  </w:tcBorders>
                  <w:noWrap w:val="0"/>
                  <w:vAlign w:val="center"/>
                </w:tcPr>
                <w:p w14:paraId="27DC7D6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rPr>
                  </w:pPr>
                  <w:r>
                    <w:rPr>
                      <w:rFonts w:hint="default" w:ascii="Times New Roman" w:hAnsi="Times New Roman" w:eastAsia="宋体" w:cs="Times New Roman"/>
                      <w:b/>
                      <w:bCs/>
                      <w:color w:val="auto"/>
                      <w:kern w:val="0"/>
                      <w:sz w:val="21"/>
                      <w:szCs w:val="21"/>
                      <w:highlight w:val="none"/>
                      <w:lang w:val="en-US" w:eastAsia="zh-CN" w:bidi="ar"/>
                    </w:rPr>
                    <w:t>声功率级dB（A）</w:t>
                  </w:r>
                </w:p>
              </w:tc>
              <w:tc>
                <w:tcPr>
                  <w:tcW w:w="759" w:type="pct"/>
                  <w:vMerge w:val="continue"/>
                  <w:tcBorders>
                    <w:top w:val="single" w:color="000000" w:sz="6" w:space="0"/>
                    <w:left w:val="single" w:color="000000" w:sz="6" w:space="0"/>
                    <w:bottom w:val="single" w:color="000000" w:sz="6" w:space="0"/>
                    <w:right w:val="single" w:color="000000" w:sz="6" w:space="0"/>
                  </w:tcBorders>
                  <w:noWrap w:val="0"/>
                  <w:vAlign w:val="center"/>
                </w:tcPr>
                <w:p w14:paraId="3436D0BC">
                  <w:pPr>
                    <w:rPr>
                      <w:rFonts w:hint="default" w:ascii="Times New Roman" w:hAnsi="Times New Roman" w:eastAsia="宋体" w:cs="Times New Roman"/>
                      <w:color w:val="auto"/>
                      <w:sz w:val="21"/>
                      <w:szCs w:val="21"/>
                      <w:highlight w:val="none"/>
                    </w:rPr>
                  </w:pPr>
                </w:p>
              </w:tc>
              <w:tc>
                <w:tcPr>
                  <w:tcW w:w="496" w:type="pct"/>
                  <w:vMerge w:val="continue"/>
                  <w:tcBorders>
                    <w:top w:val="single" w:color="000000" w:sz="6" w:space="0"/>
                    <w:left w:val="single" w:color="000000" w:sz="6" w:space="0"/>
                    <w:bottom w:val="single" w:color="000000" w:sz="6" w:space="0"/>
                    <w:right w:val="single" w:color="000000" w:sz="6" w:space="0"/>
                  </w:tcBorders>
                  <w:noWrap w:val="0"/>
                  <w:vAlign w:val="center"/>
                </w:tcPr>
                <w:p w14:paraId="5405CA0B">
                  <w:pPr>
                    <w:rPr>
                      <w:rFonts w:hint="default" w:ascii="Times New Roman" w:hAnsi="Times New Roman" w:eastAsia="宋体" w:cs="Times New Roman"/>
                      <w:color w:val="auto"/>
                      <w:sz w:val="21"/>
                      <w:szCs w:val="21"/>
                      <w:highlight w:val="none"/>
                    </w:rPr>
                  </w:pPr>
                </w:p>
              </w:tc>
            </w:tr>
            <w:tr w14:paraId="5760BA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9"/>
                  <w:tcBorders>
                    <w:top w:val="single" w:color="000000" w:sz="6" w:space="0"/>
                    <w:left w:val="single" w:color="000000" w:sz="6" w:space="0"/>
                    <w:bottom w:val="single" w:color="000000" w:sz="6" w:space="0"/>
                    <w:right w:val="single" w:color="000000" w:sz="6" w:space="0"/>
                  </w:tcBorders>
                  <w:noWrap w:val="0"/>
                  <w:vAlign w:val="center"/>
                </w:tcPr>
                <w:p w14:paraId="2184584E">
                  <w:pPr>
                    <w:pStyle w:val="8"/>
                    <w:widowControl/>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米75-3M</w:t>
                  </w:r>
                </w:p>
              </w:tc>
            </w:tr>
            <w:tr w14:paraId="43518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55" w:type="pct"/>
                  <w:tcBorders>
                    <w:top w:val="single" w:color="000000" w:sz="6" w:space="0"/>
                    <w:left w:val="single" w:color="000000" w:sz="6" w:space="0"/>
                    <w:bottom w:val="single" w:color="000000" w:sz="6" w:space="0"/>
                    <w:right w:val="single" w:color="000000" w:sz="6" w:space="0"/>
                  </w:tcBorders>
                  <w:noWrap w:val="0"/>
                  <w:vAlign w:val="center"/>
                </w:tcPr>
                <w:p w14:paraId="061CF124">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
                    </w:rPr>
                    <w:t>1</w:t>
                  </w:r>
                </w:p>
              </w:tc>
              <w:tc>
                <w:tcPr>
                  <w:tcW w:w="808" w:type="pct"/>
                  <w:tcBorders>
                    <w:top w:val="single" w:color="000000" w:sz="6" w:space="0"/>
                    <w:left w:val="single" w:color="000000" w:sz="6" w:space="0"/>
                    <w:bottom w:val="single" w:color="000000" w:sz="6" w:space="0"/>
                    <w:right w:val="single" w:color="000000" w:sz="6" w:space="0"/>
                  </w:tcBorders>
                  <w:noWrap w:val="0"/>
                  <w:vAlign w:val="center"/>
                </w:tcPr>
                <w:p w14:paraId="3DA0EF03">
                  <w:pPr>
                    <w:keepNext w:val="0"/>
                    <w:keepLines w:val="0"/>
                    <w:widowControl w:val="0"/>
                    <w:suppressLineNumbers w:val="0"/>
                    <w:tabs>
                      <w:tab w:val="left" w:pos="600"/>
                    </w:tabs>
                    <w:adjustRightInd w:val="0"/>
                    <w:snapToGrid w:val="0"/>
                    <w:spacing w:before="0" w:beforeAutospacing="0" w:after="0" w:afterAutospacing="0" w:line="240" w:lineRule="exact"/>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钻机</w:t>
                  </w:r>
                </w:p>
              </w:tc>
              <w:tc>
                <w:tcPr>
                  <w:tcW w:w="438" w:type="pct"/>
                  <w:tcBorders>
                    <w:top w:val="single" w:color="000000" w:sz="6" w:space="0"/>
                    <w:left w:val="single" w:color="000000" w:sz="6" w:space="0"/>
                    <w:bottom w:val="single" w:color="000000" w:sz="6" w:space="0"/>
                    <w:right w:val="single" w:color="000000" w:sz="6" w:space="0"/>
                  </w:tcBorders>
                  <w:noWrap w:val="0"/>
                  <w:vAlign w:val="center"/>
                </w:tcPr>
                <w:p w14:paraId="0723D0E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w:t>
                  </w:r>
                </w:p>
              </w:tc>
              <w:tc>
                <w:tcPr>
                  <w:tcW w:w="569" w:type="pct"/>
                  <w:tcBorders>
                    <w:top w:val="single" w:color="000000" w:sz="6" w:space="0"/>
                    <w:left w:val="single" w:color="000000" w:sz="6" w:space="0"/>
                    <w:bottom w:val="single" w:color="000000" w:sz="6" w:space="0"/>
                    <w:right w:val="single" w:color="000000" w:sz="6" w:space="0"/>
                  </w:tcBorders>
                  <w:noWrap w:val="0"/>
                  <w:vAlign w:val="center"/>
                </w:tcPr>
                <w:p w14:paraId="25626E27">
                  <w:pPr>
                    <w:pStyle w:val="15"/>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84.5</w:t>
                  </w:r>
                </w:p>
              </w:tc>
              <w:tc>
                <w:tcPr>
                  <w:tcW w:w="530" w:type="pct"/>
                  <w:tcBorders>
                    <w:top w:val="single" w:color="000000" w:sz="6" w:space="0"/>
                    <w:left w:val="single" w:color="000000" w:sz="6" w:space="0"/>
                    <w:bottom w:val="single" w:color="000000" w:sz="6" w:space="0"/>
                    <w:right w:val="single" w:color="000000" w:sz="6" w:space="0"/>
                  </w:tcBorders>
                  <w:noWrap w:val="0"/>
                  <w:vAlign w:val="center"/>
                </w:tcPr>
                <w:p w14:paraId="37FEE911">
                  <w:pPr>
                    <w:pStyle w:val="15"/>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kern w:val="0"/>
                      <w:sz w:val="21"/>
                      <w:szCs w:val="21"/>
                      <w:highlight w:val="none"/>
                      <w:lang w:val="en-US" w:eastAsia="zh-CN" w:bidi="ar"/>
                    </w:rPr>
                    <w:t>114.64</w:t>
                  </w:r>
                </w:p>
              </w:tc>
              <w:tc>
                <w:tcPr>
                  <w:tcW w:w="442" w:type="pct"/>
                  <w:tcBorders>
                    <w:top w:val="single" w:color="000000" w:sz="6" w:space="0"/>
                    <w:left w:val="single" w:color="000000" w:sz="6" w:space="0"/>
                    <w:bottom w:val="single" w:color="000000" w:sz="6" w:space="0"/>
                    <w:right w:val="single" w:color="000000" w:sz="6" w:space="0"/>
                  </w:tcBorders>
                  <w:noWrap w:val="0"/>
                  <w:vAlign w:val="center"/>
                </w:tcPr>
                <w:p w14:paraId="507770B2">
                  <w:pPr>
                    <w:pStyle w:val="15"/>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0</w:t>
                  </w:r>
                </w:p>
              </w:tc>
              <w:tc>
                <w:tcPr>
                  <w:tcW w:w="698" w:type="pct"/>
                  <w:tcBorders>
                    <w:top w:val="single" w:color="000000" w:sz="6" w:space="0"/>
                    <w:left w:val="single" w:color="000000" w:sz="6" w:space="0"/>
                    <w:bottom w:val="single" w:color="000000" w:sz="6" w:space="0"/>
                    <w:right w:val="single" w:color="000000" w:sz="6" w:space="0"/>
                  </w:tcBorders>
                  <w:noWrap w:val="0"/>
                  <w:vAlign w:val="center"/>
                </w:tcPr>
                <w:p w14:paraId="3ADAD5DF">
                  <w:pPr>
                    <w:pStyle w:val="15"/>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kern w:val="0"/>
                      <w:sz w:val="21"/>
                      <w:szCs w:val="21"/>
                      <w:highlight w:val="none"/>
                      <w:lang w:val="en-US" w:eastAsia="zh-CN" w:bidi="ar"/>
                    </w:rPr>
                    <w:t>95</w:t>
                  </w:r>
                </w:p>
              </w:tc>
              <w:tc>
                <w:tcPr>
                  <w:tcW w:w="759" w:type="pct"/>
                  <w:vMerge w:val="restart"/>
                  <w:tcBorders>
                    <w:top w:val="single" w:color="000000" w:sz="6" w:space="0"/>
                    <w:left w:val="single" w:color="000000" w:sz="6" w:space="0"/>
                    <w:bottom w:val="single" w:color="000000" w:sz="6" w:space="0"/>
                    <w:right w:val="single" w:color="000000" w:sz="6" w:space="0"/>
                  </w:tcBorders>
                  <w:noWrap w:val="0"/>
                  <w:vAlign w:val="center"/>
                </w:tcPr>
                <w:p w14:paraId="32E3A1A5">
                  <w:pPr>
                    <w:pStyle w:val="8"/>
                    <w:widowControl/>
                    <w:spacing w:before="0" w:beforeAutospacing="0" w:after="0" w:afterAutospacing="0" w:line="240" w:lineRule="auto"/>
                    <w:ind w:left="0" w:leftChars="0" w:right="0" w:right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szCs w:val="21"/>
                      <w:highlight w:val="none"/>
                      <w:lang w:eastAsia="zh-CN"/>
                    </w:rPr>
                    <w:t>选用低噪声型号设备、基础减振、管道软连接等降噪</w:t>
                  </w:r>
                </w:p>
              </w:tc>
              <w:tc>
                <w:tcPr>
                  <w:tcW w:w="496" w:type="pct"/>
                  <w:vMerge w:val="restart"/>
                  <w:tcBorders>
                    <w:top w:val="single" w:color="000000" w:sz="6" w:space="0"/>
                    <w:left w:val="single" w:color="000000" w:sz="6" w:space="0"/>
                    <w:right w:val="single" w:color="000000" w:sz="6" w:space="0"/>
                  </w:tcBorders>
                  <w:noWrap w:val="0"/>
                  <w:vAlign w:val="center"/>
                </w:tcPr>
                <w:p w14:paraId="4F99CB59">
                  <w:pPr>
                    <w:pStyle w:val="8"/>
                    <w:widowControl/>
                    <w:spacing w:before="0" w:beforeAutospacing="0" w:after="0" w:afterAutospacing="0" w:line="240" w:lineRule="auto"/>
                    <w:ind w:left="0" w:leftChars="0" w:right="0" w:right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szCs w:val="21"/>
                      <w:highlight w:val="none"/>
                      <w:lang w:val="en-US"/>
                    </w:rPr>
                    <w:t>昼间、夜间</w:t>
                  </w:r>
                </w:p>
              </w:tc>
            </w:tr>
            <w:tr w14:paraId="022D5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55" w:type="pct"/>
                  <w:tcBorders>
                    <w:top w:val="single" w:color="000000" w:sz="6" w:space="0"/>
                    <w:left w:val="single" w:color="000000" w:sz="6" w:space="0"/>
                    <w:bottom w:val="single" w:color="000000" w:sz="6" w:space="0"/>
                    <w:right w:val="single" w:color="000000" w:sz="6" w:space="0"/>
                  </w:tcBorders>
                  <w:noWrap w:val="0"/>
                  <w:vAlign w:val="center"/>
                </w:tcPr>
                <w:p w14:paraId="0E24198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
                    </w:rPr>
                    <w:t>2</w:t>
                  </w:r>
                </w:p>
              </w:tc>
              <w:tc>
                <w:tcPr>
                  <w:tcW w:w="808" w:type="pct"/>
                  <w:tcBorders>
                    <w:top w:val="single" w:color="000000" w:sz="6" w:space="0"/>
                    <w:left w:val="single" w:color="000000" w:sz="6" w:space="0"/>
                    <w:bottom w:val="single" w:color="000000" w:sz="6" w:space="0"/>
                    <w:right w:val="single" w:color="000000" w:sz="6" w:space="0"/>
                  </w:tcBorders>
                  <w:noWrap w:val="0"/>
                  <w:vAlign w:val="center"/>
                </w:tcPr>
                <w:p w14:paraId="6E253A05">
                  <w:pPr>
                    <w:keepNext w:val="0"/>
                    <w:keepLines w:val="0"/>
                    <w:widowControl w:val="0"/>
                    <w:suppressLineNumbers w:val="0"/>
                    <w:tabs>
                      <w:tab w:val="left" w:pos="600"/>
                    </w:tabs>
                    <w:adjustRightInd w:val="0"/>
                    <w:snapToGrid w:val="0"/>
                    <w:spacing w:before="0" w:beforeAutospacing="0" w:after="0" w:afterAutospacing="0" w:line="240" w:lineRule="exact"/>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泥浆泵（2台）</w:t>
                  </w:r>
                </w:p>
              </w:tc>
              <w:tc>
                <w:tcPr>
                  <w:tcW w:w="438" w:type="pct"/>
                  <w:tcBorders>
                    <w:top w:val="single" w:color="000000" w:sz="6" w:space="0"/>
                    <w:left w:val="single" w:color="000000" w:sz="6" w:space="0"/>
                    <w:bottom w:val="single" w:color="000000" w:sz="6" w:space="0"/>
                    <w:right w:val="single" w:color="000000" w:sz="6" w:space="0"/>
                  </w:tcBorders>
                  <w:noWrap w:val="0"/>
                  <w:vAlign w:val="center"/>
                </w:tcPr>
                <w:p w14:paraId="6B78B7F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w:t>
                  </w:r>
                </w:p>
              </w:tc>
              <w:tc>
                <w:tcPr>
                  <w:tcW w:w="569" w:type="pct"/>
                  <w:tcBorders>
                    <w:top w:val="single" w:color="000000" w:sz="6" w:space="0"/>
                    <w:left w:val="single" w:color="000000" w:sz="6" w:space="0"/>
                    <w:bottom w:val="single" w:color="000000" w:sz="6" w:space="0"/>
                    <w:right w:val="single" w:color="000000" w:sz="6" w:space="0"/>
                  </w:tcBorders>
                  <w:noWrap w:val="0"/>
                  <w:vAlign w:val="center"/>
                </w:tcPr>
                <w:p w14:paraId="5698358E">
                  <w:pPr>
                    <w:pStyle w:val="8"/>
                    <w:spacing w:after="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82.21</w:t>
                  </w:r>
                </w:p>
              </w:tc>
              <w:tc>
                <w:tcPr>
                  <w:tcW w:w="530" w:type="pct"/>
                  <w:tcBorders>
                    <w:top w:val="single" w:color="000000" w:sz="6" w:space="0"/>
                    <w:left w:val="single" w:color="000000" w:sz="6" w:space="0"/>
                    <w:bottom w:val="single" w:color="000000" w:sz="6" w:space="0"/>
                    <w:right w:val="single" w:color="000000" w:sz="6" w:space="0"/>
                  </w:tcBorders>
                  <w:noWrap w:val="0"/>
                  <w:vAlign w:val="center"/>
                </w:tcPr>
                <w:p w14:paraId="7CCBE84B">
                  <w:pPr>
                    <w:pStyle w:val="8"/>
                    <w:spacing w:after="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113.75</w:t>
                  </w:r>
                </w:p>
              </w:tc>
              <w:tc>
                <w:tcPr>
                  <w:tcW w:w="442" w:type="pct"/>
                  <w:tcBorders>
                    <w:top w:val="single" w:color="000000" w:sz="6" w:space="0"/>
                    <w:left w:val="single" w:color="000000" w:sz="6" w:space="0"/>
                    <w:bottom w:val="single" w:color="000000" w:sz="6" w:space="0"/>
                    <w:right w:val="single" w:color="000000" w:sz="6" w:space="0"/>
                  </w:tcBorders>
                  <w:noWrap w:val="0"/>
                  <w:vAlign w:val="center"/>
                </w:tcPr>
                <w:p w14:paraId="7977A2E4">
                  <w:pPr>
                    <w:pStyle w:val="15"/>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0.5</w:t>
                  </w:r>
                </w:p>
              </w:tc>
              <w:tc>
                <w:tcPr>
                  <w:tcW w:w="698" w:type="pct"/>
                  <w:tcBorders>
                    <w:top w:val="single" w:color="000000" w:sz="6" w:space="0"/>
                    <w:left w:val="single" w:color="000000" w:sz="6" w:space="0"/>
                    <w:bottom w:val="single" w:color="000000" w:sz="6" w:space="0"/>
                    <w:right w:val="single" w:color="000000" w:sz="6" w:space="0"/>
                  </w:tcBorders>
                  <w:noWrap w:val="0"/>
                  <w:vAlign w:val="center"/>
                </w:tcPr>
                <w:p w14:paraId="01345538">
                  <w:pPr>
                    <w:pStyle w:val="15"/>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73</w:t>
                  </w:r>
                </w:p>
              </w:tc>
              <w:tc>
                <w:tcPr>
                  <w:tcW w:w="759" w:type="pct"/>
                  <w:vMerge w:val="continue"/>
                  <w:tcBorders>
                    <w:top w:val="single" w:color="000000" w:sz="6" w:space="0"/>
                    <w:left w:val="single" w:color="000000" w:sz="6" w:space="0"/>
                    <w:bottom w:val="single" w:color="000000" w:sz="6" w:space="0"/>
                    <w:right w:val="single" w:color="000000" w:sz="6" w:space="0"/>
                  </w:tcBorders>
                  <w:noWrap w:val="0"/>
                  <w:vAlign w:val="center"/>
                </w:tcPr>
                <w:p w14:paraId="01295B7C">
                  <w:pPr>
                    <w:rPr>
                      <w:rFonts w:hint="default" w:ascii="Times New Roman" w:hAnsi="Times New Roman" w:eastAsia="宋体" w:cs="Times New Roman"/>
                      <w:color w:val="auto"/>
                      <w:highlight w:val="none"/>
                    </w:rPr>
                  </w:pPr>
                </w:p>
              </w:tc>
              <w:tc>
                <w:tcPr>
                  <w:tcW w:w="496" w:type="pct"/>
                  <w:vMerge w:val="continue"/>
                  <w:tcBorders>
                    <w:left w:val="single" w:color="000000" w:sz="6" w:space="0"/>
                    <w:right w:val="single" w:color="000000" w:sz="6" w:space="0"/>
                  </w:tcBorders>
                  <w:noWrap w:val="0"/>
                  <w:vAlign w:val="center"/>
                </w:tcPr>
                <w:p w14:paraId="3DF4A4AA">
                  <w:pPr>
                    <w:rPr>
                      <w:rFonts w:hint="default" w:ascii="Times New Roman" w:hAnsi="Times New Roman" w:eastAsia="宋体" w:cs="Times New Roman"/>
                      <w:color w:val="auto"/>
                      <w:highlight w:val="none"/>
                    </w:rPr>
                  </w:pPr>
                </w:p>
              </w:tc>
            </w:tr>
            <w:tr w14:paraId="39E27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55" w:type="pct"/>
                  <w:tcBorders>
                    <w:top w:val="single" w:color="000000" w:sz="6" w:space="0"/>
                    <w:left w:val="single" w:color="000000" w:sz="6" w:space="0"/>
                    <w:bottom w:val="single" w:color="000000" w:sz="6" w:space="0"/>
                    <w:right w:val="single" w:color="000000" w:sz="6" w:space="0"/>
                  </w:tcBorders>
                  <w:noWrap w:val="0"/>
                  <w:vAlign w:val="center"/>
                </w:tcPr>
                <w:p w14:paraId="1D6D4F48">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
                    </w:rPr>
                    <w:t>3</w:t>
                  </w:r>
                </w:p>
              </w:tc>
              <w:tc>
                <w:tcPr>
                  <w:tcW w:w="808" w:type="pct"/>
                  <w:tcBorders>
                    <w:top w:val="single" w:color="000000" w:sz="6" w:space="0"/>
                    <w:left w:val="single" w:color="000000" w:sz="6" w:space="0"/>
                    <w:bottom w:val="single" w:color="000000" w:sz="6" w:space="0"/>
                    <w:right w:val="single" w:color="000000" w:sz="6" w:space="0"/>
                  </w:tcBorders>
                  <w:noWrap w:val="0"/>
                  <w:vAlign w:val="center"/>
                </w:tcPr>
                <w:p w14:paraId="7CB352D0">
                  <w:pPr>
                    <w:keepNext w:val="0"/>
                    <w:keepLines w:val="0"/>
                    <w:widowControl w:val="0"/>
                    <w:suppressLineNumbers w:val="0"/>
                    <w:tabs>
                      <w:tab w:val="left" w:pos="600"/>
                    </w:tabs>
                    <w:adjustRightInd w:val="0"/>
                    <w:snapToGrid w:val="0"/>
                    <w:spacing w:before="0" w:beforeAutospacing="0" w:after="0" w:afterAutospacing="0" w:line="240" w:lineRule="exact"/>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除泥器</w:t>
                  </w:r>
                </w:p>
              </w:tc>
              <w:tc>
                <w:tcPr>
                  <w:tcW w:w="438" w:type="pct"/>
                  <w:tcBorders>
                    <w:top w:val="single" w:color="000000" w:sz="6" w:space="0"/>
                    <w:left w:val="single" w:color="000000" w:sz="6" w:space="0"/>
                    <w:bottom w:val="single" w:color="000000" w:sz="6" w:space="0"/>
                    <w:right w:val="single" w:color="000000" w:sz="6" w:space="0"/>
                  </w:tcBorders>
                  <w:noWrap w:val="0"/>
                  <w:vAlign w:val="center"/>
                </w:tcPr>
                <w:p w14:paraId="4126C90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w:t>
                  </w:r>
                </w:p>
              </w:tc>
              <w:tc>
                <w:tcPr>
                  <w:tcW w:w="569" w:type="pct"/>
                  <w:tcBorders>
                    <w:top w:val="single" w:color="000000" w:sz="6" w:space="0"/>
                    <w:left w:val="single" w:color="000000" w:sz="6" w:space="0"/>
                    <w:bottom w:val="single" w:color="000000" w:sz="6" w:space="0"/>
                    <w:right w:val="single" w:color="000000" w:sz="6" w:space="0"/>
                  </w:tcBorders>
                  <w:noWrap w:val="0"/>
                  <w:vAlign w:val="center"/>
                </w:tcPr>
                <w:p w14:paraId="2E0CD6CD">
                  <w:pPr>
                    <w:pStyle w:val="8"/>
                    <w:spacing w:after="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86.26</w:t>
                  </w:r>
                </w:p>
              </w:tc>
              <w:tc>
                <w:tcPr>
                  <w:tcW w:w="530" w:type="pct"/>
                  <w:tcBorders>
                    <w:top w:val="single" w:color="000000" w:sz="6" w:space="0"/>
                    <w:left w:val="single" w:color="000000" w:sz="6" w:space="0"/>
                    <w:bottom w:val="single" w:color="000000" w:sz="6" w:space="0"/>
                    <w:right w:val="single" w:color="000000" w:sz="6" w:space="0"/>
                  </w:tcBorders>
                  <w:noWrap w:val="0"/>
                  <w:vAlign w:val="center"/>
                </w:tcPr>
                <w:p w14:paraId="1F3AE8FD">
                  <w:pPr>
                    <w:pStyle w:val="8"/>
                    <w:spacing w:after="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78.94</w:t>
                  </w:r>
                </w:p>
              </w:tc>
              <w:tc>
                <w:tcPr>
                  <w:tcW w:w="442" w:type="pct"/>
                  <w:tcBorders>
                    <w:top w:val="single" w:color="000000" w:sz="6" w:space="0"/>
                    <w:left w:val="single" w:color="000000" w:sz="6" w:space="0"/>
                    <w:bottom w:val="single" w:color="000000" w:sz="6" w:space="0"/>
                    <w:right w:val="single" w:color="000000" w:sz="6" w:space="0"/>
                  </w:tcBorders>
                  <w:noWrap w:val="0"/>
                  <w:vAlign w:val="center"/>
                </w:tcPr>
                <w:p w14:paraId="53D02D41">
                  <w:pPr>
                    <w:pStyle w:val="15"/>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0.5</w:t>
                  </w:r>
                </w:p>
              </w:tc>
              <w:tc>
                <w:tcPr>
                  <w:tcW w:w="698" w:type="pct"/>
                  <w:tcBorders>
                    <w:top w:val="single" w:color="000000" w:sz="6" w:space="0"/>
                    <w:left w:val="single" w:color="000000" w:sz="6" w:space="0"/>
                    <w:bottom w:val="single" w:color="000000" w:sz="6" w:space="0"/>
                    <w:right w:val="single" w:color="000000" w:sz="6" w:space="0"/>
                  </w:tcBorders>
                  <w:noWrap w:val="0"/>
                  <w:vAlign w:val="center"/>
                </w:tcPr>
                <w:p w14:paraId="3815939A">
                  <w:pPr>
                    <w:pStyle w:val="15"/>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65</w:t>
                  </w:r>
                </w:p>
              </w:tc>
              <w:tc>
                <w:tcPr>
                  <w:tcW w:w="759" w:type="pct"/>
                  <w:vMerge w:val="continue"/>
                  <w:tcBorders>
                    <w:top w:val="single" w:color="000000" w:sz="6" w:space="0"/>
                    <w:left w:val="single" w:color="000000" w:sz="6" w:space="0"/>
                    <w:bottom w:val="single" w:color="000000" w:sz="6" w:space="0"/>
                    <w:right w:val="single" w:color="000000" w:sz="6" w:space="0"/>
                  </w:tcBorders>
                  <w:noWrap w:val="0"/>
                  <w:vAlign w:val="center"/>
                </w:tcPr>
                <w:p w14:paraId="277A002B">
                  <w:pPr>
                    <w:rPr>
                      <w:rFonts w:hint="default" w:ascii="Times New Roman" w:hAnsi="Times New Roman" w:eastAsia="宋体" w:cs="Times New Roman"/>
                      <w:color w:val="auto"/>
                      <w:highlight w:val="none"/>
                    </w:rPr>
                  </w:pPr>
                </w:p>
              </w:tc>
              <w:tc>
                <w:tcPr>
                  <w:tcW w:w="496" w:type="pct"/>
                  <w:vMerge w:val="continue"/>
                  <w:tcBorders>
                    <w:left w:val="single" w:color="000000" w:sz="6" w:space="0"/>
                    <w:right w:val="single" w:color="000000" w:sz="6" w:space="0"/>
                  </w:tcBorders>
                  <w:noWrap w:val="0"/>
                  <w:vAlign w:val="center"/>
                </w:tcPr>
                <w:p w14:paraId="0670E9DE">
                  <w:pPr>
                    <w:rPr>
                      <w:rFonts w:hint="default" w:ascii="Times New Roman" w:hAnsi="Times New Roman" w:eastAsia="宋体" w:cs="Times New Roman"/>
                      <w:color w:val="auto"/>
                      <w:highlight w:val="none"/>
                    </w:rPr>
                  </w:pPr>
                </w:p>
              </w:tc>
            </w:tr>
            <w:tr w14:paraId="68E4D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55" w:type="pct"/>
                  <w:tcBorders>
                    <w:top w:val="single" w:color="000000" w:sz="6" w:space="0"/>
                    <w:left w:val="single" w:color="000000" w:sz="6" w:space="0"/>
                    <w:bottom w:val="single" w:color="000000" w:sz="6" w:space="0"/>
                    <w:right w:val="single" w:color="000000" w:sz="6" w:space="0"/>
                  </w:tcBorders>
                  <w:noWrap w:val="0"/>
                  <w:vAlign w:val="center"/>
                </w:tcPr>
                <w:p w14:paraId="2EAF676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
                    </w:rPr>
                    <w:t>4</w:t>
                  </w:r>
                </w:p>
              </w:tc>
              <w:tc>
                <w:tcPr>
                  <w:tcW w:w="808" w:type="pct"/>
                  <w:tcBorders>
                    <w:top w:val="single" w:color="000000" w:sz="6" w:space="0"/>
                    <w:left w:val="single" w:color="000000" w:sz="6" w:space="0"/>
                    <w:bottom w:val="single" w:color="000000" w:sz="6" w:space="0"/>
                    <w:right w:val="single" w:color="000000" w:sz="6" w:space="0"/>
                  </w:tcBorders>
                  <w:noWrap w:val="0"/>
                  <w:vAlign w:val="center"/>
                </w:tcPr>
                <w:p w14:paraId="64EFF53B">
                  <w:pPr>
                    <w:keepNext w:val="0"/>
                    <w:keepLines w:val="0"/>
                    <w:widowControl w:val="0"/>
                    <w:suppressLineNumbers w:val="0"/>
                    <w:tabs>
                      <w:tab w:val="left" w:pos="600"/>
                    </w:tabs>
                    <w:adjustRightInd w:val="0"/>
                    <w:snapToGrid w:val="0"/>
                    <w:spacing w:before="0" w:beforeAutospacing="0" w:after="0" w:afterAutospacing="0" w:line="240" w:lineRule="exact"/>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除砂器</w:t>
                  </w:r>
                </w:p>
              </w:tc>
              <w:tc>
                <w:tcPr>
                  <w:tcW w:w="438" w:type="pct"/>
                  <w:tcBorders>
                    <w:top w:val="single" w:color="000000" w:sz="6" w:space="0"/>
                    <w:left w:val="single" w:color="000000" w:sz="6" w:space="0"/>
                    <w:bottom w:val="single" w:color="000000" w:sz="6" w:space="0"/>
                    <w:right w:val="single" w:color="000000" w:sz="6" w:space="0"/>
                  </w:tcBorders>
                  <w:noWrap w:val="0"/>
                  <w:vAlign w:val="center"/>
                </w:tcPr>
                <w:p w14:paraId="605662C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w:t>
                  </w:r>
                </w:p>
              </w:tc>
              <w:tc>
                <w:tcPr>
                  <w:tcW w:w="569" w:type="pct"/>
                  <w:tcBorders>
                    <w:top w:val="single" w:color="000000" w:sz="6" w:space="0"/>
                    <w:left w:val="single" w:color="000000" w:sz="6" w:space="0"/>
                    <w:bottom w:val="single" w:color="000000" w:sz="6" w:space="0"/>
                    <w:right w:val="single" w:color="000000" w:sz="6" w:space="0"/>
                  </w:tcBorders>
                  <w:noWrap w:val="0"/>
                  <w:vAlign w:val="center"/>
                </w:tcPr>
                <w:p w14:paraId="4A02F417">
                  <w:pPr>
                    <w:pStyle w:val="8"/>
                    <w:spacing w:after="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71.24</w:t>
                  </w:r>
                </w:p>
              </w:tc>
              <w:tc>
                <w:tcPr>
                  <w:tcW w:w="530" w:type="pct"/>
                  <w:tcBorders>
                    <w:top w:val="single" w:color="000000" w:sz="6" w:space="0"/>
                    <w:left w:val="single" w:color="000000" w:sz="6" w:space="0"/>
                    <w:bottom w:val="single" w:color="000000" w:sz="6" w:space="0"/>
                    <w:right w:val="single" w:color="000000" w:sz="6" w:space="0"/>
                  </w:tcBorders>
                  <w:noWrap w:val="0"/>
                  <w:vAlign w:val="center"/>
                </w:tcPr>
                <w:p w14:paraId="4B7F7FB4">
                  <w:pPr>
                    <w:pStyle w:val="8"/>
                    <w:spacing w:after="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65.37</w:t>
                  </w:r>
                </w:p>
              </w:tc>
              <w:tc>
                <w:tcPr>
                  <w:tcW w:w="442" w:type="pct"/>
                  <w:tcBorders>
                    <w:top w:val="single" w:color="000000" w:sz="6" w:space="0"/>
                    <w:left w:val="single" w:color="000000" w:sz="6" w:space="0"/>
                    <w:bottom w:val="single" w:color="000000" w:sz="6" w:space="0"/>
                    <w:right w:val="single" w:color="000000" w:sz="6" w:space="0"/>
                  </w:tcBorders>
                  <w:noWrap w:val="0"/>
                  <w:vAlign w:val="center"/>
                </w:tcPr>
                <w:p w14:paraId="7A94049F">
                  <w:pPr>
                    <w:pStyle w:val="15"/>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0.5</w:t>
                  </w:r>
                </w:p>
              </w:tc>
              <w:tc>
                <w:tcPr>
                  <w:tcW w:w="698" w:type="pct"/>
                  <w:tcBorders>
                    <w:top w:val="single" w:color="000000" w:sz="6" w:space="0"/>
                    <w:left w:val="single" w:color="000000" w:sz="6" w:space="0"/>
                    <w:bottom w:val="single" w:color="000000" w:sz="6" w:space="0"/>
                    <w:right w:val="single" w:color="000000" w:sz="6" w:space="0"/>
                  </w:tcBorders>
                  <w:noWrap w:val="0"/>
                  <w:vAlign w:val="center"/>
                </w:tcPr>
                <w:p w14:paraId="5B7BA405">
                  <w:pPr>
                    <w:pStyle w:val="15"/>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65</w:t>
                  </w:r>
                </w:p>
              </w:tc>
              <w:tc>
                <w:tcPr>
                  <w:tcW w:w="759" w:type="pct"/>
                  <w:vMerge w:val="continue"/>
                  <w:tcBorders>
                    <w:top w:val="single" w:color="000000" w:sz="6" w:space="0"/>
                    <w:left w:val="single" w:color="000000" w:sz="6" w:space="0"/>
                    <w:bottom w:val="single" w:color="000000" w:sz="6" w:space="0"/>
                    <w:right w:val="single" w:color="000000" w:sz="6" w:space="0"/>
                  </w:tcBorders>
                  <w:noWrap w:val="0"/>
                  <w:vAlign w:val="center"/>
                </w:tcPr>
                <w:p w14:paraId="327403DC">
                  <w:pPr>
                    <w:rPr>
                      <w:rFonts w:hint="default" w:ascii="Times New Roman" w:hAnsi="Times New Roman" w:eastAsia="宋体" w:cs="Times New Roman"/>
                      <w:color w:val="auto"/>
                      <w:highlight w:val="none"/>
                    </w:rPr>
                  </w:pPr>
                </w:p>
              </w:tc>
              <w:tc>
                <w:tcPr>
                  <w:tcW w:w="496" w:type="pct"/>
                  <w:vMerge w:val="continue"/>
                  <w:tcBorders>
                    <w:left w:val="single" w:color="000000" w:sz="6" w:space="0"/>
                    <w:right w:val="single" w:color="000000" w:sz="6" w:space="0"/>
                  </w:tcBorders>
                  <w:noWrap w:val="0"/>
                  <w:vAlign w:val="center"/>
                </w:tcPr>
                <w:p w14:paraId="4013AB25">
                  <w:pPr>
                    <w:rPr>
                      <w:rFonts w:hint="default" w:ascii="Times New Roman" w:hAnsi="Times New Roman" w:eastAsia="宋体" w:cs="Times New Roman"/>
                      <w:color w:val="auto"/>
                      <w:highlight w:val="none"/>
                    </w:rPr>
                  </w:pPr>
                </w:p>
              </w:tc>
            </w:tr>
            <w:tr w14:paraId="18D10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55" w:type="pct"/>
                  <w:tcBorders>
                    <w:top w:val="single" w:color="000000" w:sz="6" w:space="0"/>
                    <w:left w:val="single" w:color="000000" w:sz="6" w:space="0"/>
                    <w:bottom w:val="single" w:color="000000" w:sz="6" w:space="0"/>
                    <w:right w:val="single" w:color="000000" w:sz="6" w:space="0"/>
                  </w:tcBorders>
                  <w:noWrap w:val="0"/>
                  <w:vAlign w:val="center"/>
                </w:tcPr>
                <w:p w14:paraId="5E8A033F">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
                    </w:rPr>
                    <w:t>5</w:t>
                  </w:r>
                </w:p>
              </w:tc>
              <w:tc>
                <w:tcPr>
                  <w:tcW w:w="808" w:type="pct"/>
                  <w:tcBorders>
                    <w:top w:val="single" w:color="000000" w:sz="6" w:space="0"/>
                    <w:left w:val="single" w:color="000000" w:sz="6" w:space="0"/>
                    <w:bottom w:val="single" w:color="000000" w:sz="6" w:space="0"/>
                    <w:right w:val="single" w:color="000000" w:sz="6" w:space="0"/>
                  </w:tcBorders>
                  <w:noWrap w:val="0"/>
                  <w:vAlign w:val="center"/>
                </w:tcPr>
                <w:p w14:paraId="4D94EFDC">
                  <w:pPr>
                    <w:keepNext w:val="0"/>
                    <w:keepLines w:val="0"/>
                    <w:widowControl w:val="0"/>
                    <w:suppressLineNumbers w:val="0"/>
                    <w:tabs>
                      <w:tab w:val="left" w:pos="600"/>
                    </w:tabs>
                    <w:adjustRightInd w:val="0"/>
                    <w:snapToGrid w:val="0"/>
                    <w:spacing w:before="0" w:beforeAutospacing="0" w:after="0" w:afterAutospacing="0" w:line="240" w:lineRule="exact"/>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振动筛（3台）</w:t>
                  </w:r>
                </w:p>
              </w:tc>
              <w:tc>
                <w:tcPr>
                  <w:tcW w:w="438" w:type="pct"/>
                  <w:tcBorders>
                    <w:top w:val="single" w:color="000000" w:sz="6" w:space="0"/>
                    <w:left w:val="single" w:color="000000" w:sz="6" w:space="0"/>
                    <w:bottom w:val="single" w:color="000000" w:sz="6" w:space="0"/>
                    <w:right w:val="single" w:color="000000" w:sz="6" w:space="0"/>
                  </w:tcBorders>
                  <w:noWrap w:val="0"/>
                  <w:vAlign w:val="center"/>
                </w:tcPr>
                <w:p w14:paraId="0115D0FF">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w:t>
                  </w:r>
                </w:p>
              </w:tc>
              <w:tc>
                <w:tcPr>
                  <w:tcW w:w="569" w:type="pct"/>
                  <w:tcBorders>
                    <w:top w:val="single" w:color="000000" w:sz="6" w:space="0"/>
                    <w:left w:val="single" w:color="000000" w:sz="6" w:space="0"/>
                    <w:bottom w:val="single" w:color="000000" w:sz="6" w:space="0"/>
                    <w:right w:val="single" w:color="000000" w:sz="6" w:space="0"/>
                  </w:tcBorders>
                  <w:noWrap w:val="0"/>
                  <w:vAlign w:val="center"/>
                </w:tcPr>
                <w:p w14:paraId="407B2698">
                  <w:pPr>
                    <w:pStyle w:val="8"/>
                    <w:spacing w:after="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59.53</w:t>
                  </w:r>
                </w:p>
              </w:tc>
              <w:tc>
                <w:tcPr>
                  <w:tcW w:w="530" w:type="pct"/>
                  <w:tcBorders>
                    <w:top w:val="single" w:color="000000" w:sz="6" w:space="0"/>
                    <w:left w:val="single" w:color="000000" w:sz="6" w:space="0"/>
                    <w:bottom w:val="single" w:color="000000" w:sz="6" w:space="0"/>
                    <w:right w:val="single" w:color="000000" w:sz="6" w:space="0"/>
                  </w:tcBorders>
                  <w:noWrap w:val="0"/>
                  <w:vAlign w:val="center"/>
                </w:tcPr>
                <w:p w14:paraId="3FCB3B52">
                  <w:pPr>
                    <w:pStyle w:val="8"/>
                    <w:spacing w:after="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56.53</w:t>
                  </w:r>
                </w:p>
              </w:tc>
              <w:tc>
                <w:tcPr>
                  <w:tcW w:w="442" w:type="pct"/>
                  <w:tcBorders>
                    <w:top w:val="single" w:color="000000" w:sz="6" w:space="0"/>
                    <w:left w:val="single" w:color="000000" w:sz="6" w:space="0"/>
                    <w:bottom w:val="single" w:color="000000" w:sz="6" w:space="0"/>
                    <w:right w:val="single" w:color="000000" w:sz="6" w:space="0"/>
                  </w:tcBorders>
                  <w:noWrap w:val="0"/>
                  <w:vAlign w:val="center"/>
                </w:tcPr>
                <w:p w14:paraId="2059CC52">
                  <w:pPr>
                    <w:pStyle w:val="15"/>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0.5</w:t>
                  </w:r>
                </w:p>
              </w:tc>
              <w:tc>
                <w:tcPr>
                  <w:tcW w:w="698" w:type="pct"/>
                  <w:tcBorders>
                    <w:top w:val="single" w:color="000000" w:sz="6" w:space="0"/>
                    <w:left w:val="single" w:color="000000" w:sz="6" w:space="0"/>
                    <w:bottom w:val="single" w:color="000000" w:sz="6" w:space="0"/>
                    <w:right w:val="single" w:color="000000" w:sz="6" w:space="0"/>
                  </w:tcBorders>
                  <w:noWrap w:val="0"/>
                  <w:vAlign w:val="center"/>
                </w:tcPr>
                <w:p w14:paraId="0031BA26">
                  <w:pPr>
                    <w:pStyle w:val="15"/>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69.7</w:t>
                  </w:r>
                </w:p>
              </w:tc>
              <w:tc>
                <w:tcPr>
                  <w:tcW w:w="759" w:type="pct"/>
                  <w:vMerge w:val="continue"/>
                  <w:tcBorders>
                    <w:top w:val="single" w:color="000000" w:sz="6" w:space="0"/>
                    <w:left w:val="single" w:color="000000" w:sz="6" w:space="0"/>
                    <w:bottom w:val="single" w:color="000000" w:sz="6" w:space="0"/>
                    <w:right w:val="single" w:color="000000" w:sz="6" w:space="0"/>
                  </w:tcBorders>
                  <w:noWrap w:val="0"/>
                  <w:vAlign w:val="center"/>
                </w:tcPr>
                <w:p w14:paraId="656D370D">
                  <w:pPr>
                    <w:rPr>
                      <w:rFonts w:hint="default" w:ascii="Times New Roman" w:hAnsi="Times New Roman" w:eastAsia="宋体" w:cs="Times New Roman"/>
                      <w:color w:val="auto"/>
                      <w:highlight w:val="none"/>
                    </w:rPr>
                  </w:pPr>
                </w:p>
              </w:tc>
              <w:tc>
                <w:tcPr>
                  <w:tcW w:w="496" w:type="pct"/>
                  <w:vMerge w:val="continue"/>
                  <w:tcBorders>
                    <w:left w:val="single" w:color="000000" w:sz="6" w:space="0"/>
                    <w:right w:val="single" w:color="000000" w:sz="6" w:space="0"/>
                  </w:tcBorders>
                  <w:noWrap w:val="0"/>
                  <w:vAlign w:val="center"/>
                </w:tcPr>
                <w:p w14:paraId="2F9D6504">
                  <w:pPr>
                    <w:rPr>
                      <w:rFonts w:hint="default" w:ascii="Times New Roman" w:hAnsi="Times New Roman" w:eastAsia="宋体" w:cs="Times New Roman"/>
                      <w:color w:val="auto"/>
                      <w:highlight w:val="none"/>
                    </w:rPr>
                  </w:pPr>
                </w:p>
              </w:tc>
            </w:tr>
            <w:tr w14:paraId="26684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55" w:type="pct"/>
                  <w:tcBorders>
                    <w:top w:val="single" w:color="000000" w:sz="6" w:space="0"/>
                    <w:left w:val="single" w:color="000000" w:sz="6" w:space="0"/>
                    <w:bottom w:val="single" w:color="000000" w:sz="6" w:space="0"/>
                    <w:right w:val="single" w:color="000000" w:sz="6" w:space="0"/>
                  </w:tcBorders>
                  <w:noWrap w:val="0"/>
                  <w:vAlign w:val="center"/>
                </w:tcPr>
                <w:p w14:paraId="282806D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
                    </w:rPr>
                    <w:t>6</w:t>
                  </w:r>
                </w:p>
              </w:tc>
              <w:tc>
                <w:tcPr>
                  <w:tcW w:w="808" w:type="pct"/>
                  <w:tcBorders>
                    <w:top w:val="single" w:color="000000" w:sz="6" w:space="0"/>
                    <w:left w:val="single" w:color="000000" w:sz="6" w:space="0"/>
                    <w:bottom w:val="single" w:color="000000" w:sz="6" w:space="0"/>
                    <w:right w:val="single" w:color="000000" w:sz="6" w:space="0"/>
                  </w:tcBorders>
                  <w:noWrap w:val="0"/>
                  <w:vAlign w:val="center"/>
                </w:tcPr>
                <w:p w14:paraId="22185F20">
                  <w:pPr>
                    <w:keepNext w:val="0"/>
                    <w:keepLines w:val="0"/>
                    <w:widowControl w:val="0"/>
                    <w:suppressLineNumbers w:val="0"/>
                    <w:tabs>
                      <w:tab w:val="left" w:pos="600"/>
                    </w:tabs>
                    <w:adjustRightInd w:val="0"/>
                    <w:snapToGrid w:val="0"/>
                    <w:spacing w:before="0" w:beforeAutospacing="0" w:after="0" w:afterAutospacing="0" w:line="240" w:lineRule="exact"/>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离心机（2台）</w:t>
                  </w:r>
                </w:p>
              </w:tc>
              <w:tc>
                <w:tcPr>
                  <w:tcW w:w="438" w:type="pct"/>
                  <w:tcBorders>
                    <w:top w:val="single" w:color="000000" w:sz="6" w:space="0"/>
                    <w:left w:val="single" w:color="000000" w:sz="6" w:space="0"/>
                    <w:bottom w:val="single" w:color="000000" w:sz="6" w:space="0"/>
                    <w:right w:val="single" w:color="000000" w:sz="6" w:space="0"/>
                  </w:tcBorders>
                  <w:noWrap w:val="0"/>
                  <w:vAlign w:val="center"/>
                </w:tcPr>
                <w:p w14:paraId="0E59093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w:t>
                  </w:r>
                </w:p>
              </w:tc>
              <w:tc>
                <w:tcPr>
                  <w:tcW w:w="569" w:type="pct"/>
                  <w:tcBorders>
                    <w:top w:val="single" w:color="000000" w:sz="6" w:space="0"/>
                    <w:left w:val="single" w:color="000000" w:sz="6" w:space="0"/>
                    <w:bottom w:val="single" w:color="000000" w:sz="6" w:space="0"/>
                    <w:right w:val="single" w:color="000000" w:sz="6" w:space="0"/>
                  </w:tcBorders>
                  <w:noWrap w:val="0"/>
                  <w:vAlign w:val="center"/>
                </w:tcPr>
                <w:p w14:paraId="7D69EF76">
                  <w:pPr>
                    <w:pStyle w:val="8"/>
                    <w:spacing w:after="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60.67</w:t>
                  </w:r>
                </w:p>
              </w:tc>
              <w:tc>
                <w:tcPr>
                  <w:tcW w:w="530" w:type="pct"/>
                  <w:tcBorders>
                    <w:top w:val="single" w:color="000000" w:sz="6" w:space="0"/>
                    <w:left w:val="single" w:color="000000" w:sz="6" w:space="0"/>
                    <w:bottom w:val="single" w:color="000000" w:sz="6" w:space="0"/>
                    <w:right w:val="single" w:color="000000" w:sz="6" w:space="0"/>
                  </w:tcBorders>
                  <w:noWrap w:val="0"/>
                  <w:vAlign w:val="center"/>
                </w:tcPr>
                <w:p w14:paraId="301C3C53">
                  <w:pPr>
                    <w:pStyle w:val="8"/>
                    <w:spacing w:after="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66.67</w:t>
                  </w:r>
                </w:p>
              </w:tc>
              <w:tc>
                <w:tcPr>
                  <w:tcW w:w="442" w:type="pct"/>
                  <w:tcBorders>
                    <w:top w:val="single" w:color="000000" w:sz="6" w:space="0"/>
                    <w:left w:val="single" w:color="000000" w:sz="6" w:space="0"/>
                    <w:bottom w:val="single" w:color="000000" w:sz="6" w:space="0"/>
                    <w:right w:val="single" w:color="000000" w:sz="6" w:space="0"/>
                  </w:tcBorders>
                  <w:noWrap w:val="0"/>
                  <w:vAlign w:val="center"/>
                </w:tcPr>
                <w:p w14:paraId="2604B174">
                  <w:pPr>
                    <w:pStyle w:val="15"/>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0.5</w:t>
                  </w:r>
                </w:p>
              </w:tc>
              <w:tc>
                <w:tcPr>
                  <w:tcW w:w="698" w:type="pct"/>
                  <w:tcBorders>
                    <w:top w:val="single" w:color="000000" w:sz="6" w:space="0"/>
                    <w:left w:val="single" w:color="000000" w:sz="6" w:space="0"/>
                    <w:bottom w:val="single" w:color="000000" w:sz="6" w:space="0"/>
                    <w:right w:val="single" w:color="000000" w:sz="6" w:space="0"/>
                  </w:tcBorders>
                  <w:noWrap w:val="0"/>
                  <w:vAlign w:val="center"/>
                </w:tcPr>
                <w:p w14:paraId="23F42B91">
                  <w:pPr>
                    <w:pStyle w:val="15"/>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73</w:t>
                  </w:r>
                </w:p>
              </w:tc>
              <w:tc>
                <w:tcPr>
                  <w:tcW w:w="759" w:type="pct"/>
                  <w:vMerge w:val="continue"/>
                  <w:tcBorders>
                    <w:top w:val="single" w:color="000000" w:sz="6" w:space="0"/>
                    <w:left w:val="single" w:color="000000" w:sz="6" w:space="0"/>
                    <w:bottom w:val="single" w:color="000000" w:sz="6" w:space="0"/>
                    <w:right w:val="single" w:color="000000" w:sz="6" w:space="0"/>
                  </w:tcBorders>
                  <w:noWrap w:val="0"/>
                  <w:vAlign w:val="center"/>
                </w:tcPr>
                <w:p w14:paraId="6B421136">
                  <w:pPr>
                    <w:rPr>
                      <w:rFonts w:hint="default" w:ascii="Times New Roman" w:hAnsi="Times New Roman" w:eastAsia="宋体" w:cs="Times New Roman"/>
                      <w:color w:val="auto"/>
                      <w:highlight w:val="none"/>
                    </w:rPr>
                  </w:pPr>
                </w:p>
              </w:tc>
              <w:tc>
                <w:tcPr>
                  <w:tcW w:w="496" w:type="pct"/>
                  <w:vMerge w:val="continue"/>
                  <w:tcBorders>
                    <w:left w:val="single" w:color="000000" w:sz="6" w:space="0"/>
                    <w:right w:val="single" w:color="000000" w:sz="6" w:space="0"/>
                  </w:tcBorders>
                  <w:noWrap w:val="0"/>
                  <w:vAlign w:val="center"/>
                </w:tcPr>
                <w:p w14:paraId="4282F3B4">
                  <w:pPr>
                    <w:rPr>
                      <w:rFonts w:hint="default" w:ascii="Times New Roman" w:hAnsi="Times New Roman" w:eastAsia="宋体" w:cs="Times New Roman"/>
                      <w:color w:val="auto"/>
                      <w:highlight w:val="none"/>
                    </w:rPr>
                  </w:pPr>
                </w:p>
              </w:tc>
            </w:tr>
            <w:tr w14:paraId="29532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55" w:type="pct"/>
                  <w:tcBorders>
                    <w:top w:val="single" w:color="000000" w:sz="6" w:space="0"/>
                    <w:left w:val="single" w:color="000000" w:sz="6" w:space="0"/>
                    <w:bottom w:val="single" w:color="000000" w:sz="6" w:space="0"/>
                    <w:right w:val="single" w:color="000000" w:sz="6" w:space="0"/>
                  </w:tcBorders>
                  <w:noWrap w:val="0"/>
                  <w:vAlign w:val="center"/>
                </w:tcPr>
                <w:p w14:paraId="2A140E7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
                    </w:rPr>
                    <w:t>7</w:t>
                  </w:r>
                </w:p>
              </w:tc>
              <w:tc>
                <w:tcPr>
                  <w:tcW w:w="808" w:type="pct"/>
                  <w:tcBorders>
                    <w:top w:val="single" w:color="000000" w:sz="6" w:space="0"/>
                    <w:left w:val="single" w:color="000000" w:sz="6" w:space="0"/>
                    <w:bottom w:val="single" w:color="000000" w:sz="6" w:space="0"/>
                    <w:right w:val="single" w:color="000000" w:sz="6" w:space="0"/>
                  </w:tcBorders>
                  <w:noWrap w:val="0"/>
                  <w:vAlign w:val="center"/>
                </w:tcPr>
                <w:p w14:paraId="228C33F5">
                  <w:pPr>
                    <w:keepNext w:val="0"/>
                    <w:keepLines w:val="0"/>
                    <w:widowControl w:val="0"/>
                    <w:suppressLineNumbers w:val="0"/>
                    <w:tabs>
                      <w:tab w:val="left" w:pos="600"/>
                    </w:tabs>
                    <w:adjustRightInd w:val="0"/>
                    <w:snapToGrid w:val="0"/>
                    <w:spacing w:before="0" w:beforeAutospacing="0" w:after="0" w:afterAutospacing="0" w:line="240" w:lineRule="exact"/>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自动压风机</w:t>
                  </w:r>
                </w:p>
              </w:tc>
              <w:tc>
                <w:tcPr>
                  <w:tcW w:w="438" w:type="pct"/>
                  <w:tcBorders>
                    <w:top w:val="single" w:color="000000" w:sz="6" w:space="0"/>
                    <w:left w:val="single" w:color="000000" w:sz="6" w:space="0"/>
                    <w:bottom w:val="single" w:color="000000" w:sz="6" w:space="0"/>
                    <w:right w:val="single" w:color="000000" w:sz="6" w:space="0"/>
                  </w:tcBorders>
                  <w:noWrap w:val="0"/>
                  <w:vAlign w:val="center"/>
                </w:tcPr>
                <w:p w14:paraId="6ED4CDA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w:t>
                  </w:r>
                </w:p>
              </w:tc>
              <w:tc>
                <w:tcPr>
                  <w:tcW w:w="569" w:type="pct"/>
                  <w:tcBorders>
                    <w:top w:val="single" w:color="000000" w:sz="6" w:space="0"/>
                    <w:left w:val="single" w:color="000000" w:sz="6" w:space="0"/>
                    <w:bottom w:val="single" w:color="000000" w:sz="6" w:space="0"/>
                    <w:right w:val="single" w:color="000000" w:sz="6" w:space="0"/>
                  </w:tcBorders>
                  <w:noWrap w:val="0"/>
                  <w:vAlign w:val="center"/>
                </w:tcPr>
                <w:p w14:paraId="2C78850B">
                  <w:pPr>
                    <w:pStyle w:val="8"/>
                    <w:spacing w:after="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80.56</w:t>
                  </w:r>
                </w:p>
              </w:tc>
              <w:tc>
                <w:tcPr>
                  <w:tcW w:w="530" w:type="pct"/>
                  <w:tcBorders>
                    <w:top w:val="single" w:color="000000" w:sz="6" w:space="0"/>
                    <w:left w:val="single" w:color="000000" w:sz="6" w:space="0"/>
                    <w:bottom w:val="single" w:color="000000" w:sz="6" w:space="0"/>
                    <w:right w:val="single" w:color="000000" w:sz="6" w:space="0"/>
                  </w:tcBorders>
                  <w:noWrap w:val="0"/>
                  <w:vAlign w:val="center"/>
                </w:tcPr>
                <w:p w14:paraId="553A9D4F">
                  <w:pPr>
                    <w:pStyle w:val="8"/>
                    <w:spacing w:after="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110.33</w:t>
                  </w:r>
                </w:p>
              </w:tc>
              <w:tc>
                <w:tcPr>
                  <w:tcW w:w="442" w:type="pct"/>
                  <w:tcBorders>
                    <w:top w:val="single" w:color="000000" w:sz="6" w:space="0"/>
                    <w:left w:val="single" w:color="000000" w:sz="6" w:space="0"/>
                    <w:bottom w:val="single" w:color="000000" w:sz="6" w:space="0"/>
                    <w:right w:val="single" w:color="000000" w:sz="6" w:space="0"/>
                  </w:tcBorders>
                  <w:noWrap w:val="0"/>
                  <w:vAlign w:val="center"/>
                </w:tcPr>
                <w:p w14:paraId="31FBDDF0">
                  <w:pPr>
                    <w:pStyle w:val="15"/>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0.5</w:t>
                  </w:r>
                </w:p>
              </w:tc>
              <w:tc>
                <w:tcPr>
                  <w:tcW w:w="698" w:type="pct"/>
                  <w:tcBorders>
                    <w:top w:val="single" w:color="000000" w:sz="6" w:space="0"/>
                    <w:left w:val="single" w:color="000000" w:sz="6" w:space="0"/>
                    <w:bottom w:val="single" w:color="000000" w:sz="6" w:space="0"/>
                    <w:right w:val="single" w:color="000000" w:sz="6" w:space="0"/>
                  </w:tcBorders>
                  <w:noWrap w:val="0"/>
                  <w:vAlign w:val="center"/>
                </w:tcPr>
                <w:p w14:paraId="7684C56B">
                  <w:pPr>
                    <w:pStyle w:val="15"/>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kern w:val="0"/>
                      <w:sz w:val="21"/>
                      <w:szCs w:val="21"/>
                      <w:highlight w:val="none"/>
                      <w:lang w:val="en-US" w:eastAsia="zh-CN" w:bidi="ar"/>
                    </w:rPr>
                    <w:t>70</w:t>
                  </w:r>
                </w:p>
              </w:tc>
              <w:tc>
                <w:tcPr>
                  <w:tcW w:w="759" w:type="pct"/>
                  <w:vMerge w:val="continue"/>
                  <w:tcBorders>
                    <w:top w:val="single" w:color="000000" w:sz="6" w:space="0"/>
                    <w:left w:val="single" w:color="000000" w:sz="6" w:space="0"/>
                    <w:bottom w:val="single" w:color="000000" w:sz="6" w:space="0"/>
                    <w:right w:val="single" w:color="000000" w:sz="6" w:space="0"/>
                  </w:tcBorders>
                  <w:noWrap w:val="0"/>
                  <w:vAlign w:val="center"/>
                </w:tcPr>
                <w:p w14:paraId="2CD41210">
                  <w:pPr>
                    <w:rPr>
                      <w:rFonts w:hint="default" w:ascii="Times New Roman" w:hAnsi="Times New Roman" w:eastAsia="宋体" w:cs="Times New Roman"/>
                      <w:color w:val="auto"/>
                      <w:highlight w:val="none"/>
                    </w:rPr>
                  </w:pPr>
                </w:p>
              </w:tc>
              <w:tc>
                <w:tcPr>
                  <w:tcW w:w="496" w:type="pct"/>
                  <w:vMerge w:val="continue"/>
                  <w:tcBorders>
                    <w:left w:val="single" w:color="000000" w:sz="6" w:space="0"/>
                    <w:right w:val="single" w:color="000000" w:sz="6" w:space="0"/>
                  </w:tcBorders>
                  <w:noWrap w:val="0"/>
                  <w:vAlign w:val="center"/>
                </w:tcPr>
                <w:p w14:paraId="2CF2DC12">
                  <w:pPr>
                    <w:rPr>
                      <w:rFonts w:hint="default" w:ascii="Times New Roman" w:hAnsi="Times New Roman" w:eastAsia="宋体" w:cs="Times New Roman"/>
                      <w:color w:val="auto"/>
                      <w:highlight w:val="none"/>
                    </w:rPr>
                  </w:pPr>
                </w:p>
              </w:tc>
            </w:tr>
            <w:tr w14:paraId="30A81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55" w:type="pct"/>
                  <w:tcBorders>
                    <w:top w:val="single" w:color="000000" w:sz="6" w:space="0"/>
                    <w:left w:val="single" w:color="000000" w:sz="6" w:space="0"/>
                    <w:bottom w:val="single" w:color="000000" w:sz="6" w:space="0"/>
                    <w:right w:val="single" w:color="000000" w:sz="6" w:space="0"/>
                  </w:tcBorders>
                  <w:noWrap w:val="0"/>
                  <w:vAlign w:val="center"/>
                </w:tcPr>
                <w:p w14:paraId="6B4E094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
                    </w:rPr>
                    <w:t>8</w:t>
                  </w:r>
                </w:p>
              </w:tc>
              <w:tc>
                <w:tcPr>
                  <w:tcW w:w="808" w:type="pct"/>
                  <w:tcBorders>
                    <w:top w:val="single" w:color="000000" w:sz="6" w:space="0"/>
                    <w:left w:val="single" w:color="000000" w:sz="6" w:space="0"/>
                    <w:bottom w:val="single" w:color="000000" w:sz="6" w:space="0"/>
                    <w:right w:val="single" w:color="000000" w:sz="6" w:space="0"/>
                  </w:tcBorders>
                  <w:noWrap w:val="0"/>
                  <w:vAlign w:val="center"/>
                </w:tcPr>
                <w:p w14:paraId="797DB1DD">
                  <w:pPr>
                    <w:keepNext w:val="0"/>
                    <w:keepLines w:val="0"/>
                    <w:widowControl w:val="0"/>
                    <w:suppressLineNumbers w:val="0"/>
                    <w:tabs>
                      <w:tab w:val="left" w:pos="600"/>
                    </w:tabs>
                    <w:adjustRightInd w:val="0"/>
                    <w:snapToGrid w:val="0"/>
                    <w:spacing w:before="0" w:beforeAutospacing="0" w:after="0" w:afterAutospacing="0" w:line="240" w:lineRule="exact"/>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电动压风机</w:t>
                  </w:r>
                </w:p>
              </w:tc>
              <w:tc>
                <w:tcPr>
                  <w:tcW w:w="438" w:type="pct"/>
                  <w:tcBorders>
                    <w:top w:val="single" w:color="000000" w:sz="6" w:space="0"/>
                    <w:left w:val="single" w:color="000000" w:sz="6" w:space="0"/>
                    <w:bottom w:val="single" w:color="000000" w:sz="6" w:space="0"/>
                    <w:right w:val="single" w:color="000000" w:sz="6" w:space="0"/>
                  </w:tcBorders>
                  <w:noWrap w:val="0"/>
                  <w:vAlign w:val="center"/>
                </w:tcPr>
                <w:p w14:paraId="10B26066">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w:t>
                  </w:r>
                </w:p>
              </w:tc>
              <w:tc>
                <w:tcPr>
                  <w:tcW w:w="569" w:type="pct"/>
                  <w:tcBorders>
                    <w:top w:val="single" w:color="000000" w:sz="6" w:space="0"/>
                    <w:left w:val="single" w:color="000000" w:sz="6" w:space="0"/>
                    <w:bottom w:val="single" w:color="000000" w:sz="6" w:space="0"/>
                    <w:right w:val="single" w:color="000000" w:sz="6" w:space="0"/>
                  </w:tcBorders>
                  <w:noWrap w:val="0"/>
                  <w:vAlign w:val="center"/>
                </w:tcPr>
                <w:p w14:paraId="7B0E6052">
                  <w:pPr>
                    <w:pStyle w:val="8"/>
                    <w:spacing w:after="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81.38</w:t>
                  </w:r>
                </w:p>
              </w:tc>
              <w:tc>
                <w:tcPr>
                  <w:tcW w:w="530" w:type="pct"/>
                  <w:tcBorders>
                    <w:top w:val="single" w:color="000000" w:sz="6" w:space="0"/>
                    <w:left w:val="single" w:color="000000" w:sz="6" w:space="0"/>
                    <w:bottom w:val="single" w:color="000000" w:sz="6" w:space="0"/>
                    <w:right w:val="single" w:color="000000" w:sz="6" w:space="0"/>
                  </w:tcBorders>
                  <w:noWrap w:val="0"/>
                  <w:vAlign w:val="center"/>
                </w:tcPr>
                <w:p w14:paraId="580DA9BE">
                  <w:pPr>
                    <w:pStyle w:val="8"/>
                    <w:spacing w:after="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112.12</w:t>
                  </w:r>
                </w:p>
              </w:tc>
              <w:tc>
                <w:tcPr>
                  <w:tcW w:w="442" w:type="pct"/>
                  <w:tcBorders>
                    <w:top w:val="single" w:color="000000" w:sz="6" w:space="0"/>
                    <w:left w:val="single" w:color="000000" w:sz="6" w:space="0"/>
                    <w:bottom w:val="single" w:color="000000" w:sz="6" w:space="0"/>
                    <w:right w:val="single" w:color="000000" w:sz="6" w:space="0"/>
                  </w:tcBorders>
                  <w:noWrap w:val="0"/>
                  <w:vAlign w:val="center"/>
                </w:tcPr>
                <w:p w14:paraId="6DDC2DD8">
                  <w:pPr>
                    <w:pStyle w:val="15"/>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0.5</w:t>
                  </w:r>
                </w:p>
              </w:tc>
              <w:tc>
                <w:tcPr>
                  <w:tcW w:w="698" w:type="pct"/>
                  <w:tcBorders>
                    <w:top w:val="single" w:color="000000" w:sz="6" w:space="0"/>
                    <w:left w:val="single" w:color="000000" w:sz="6" w:space="0"/>
                    <w:bottom w:val="single" w:color="000000" w:sz="6" w:space="0"/>
                    <w:right w:val="single" w:color="000000" w:sz="6" w:space="0"/>
                  </w:tcBorders>
                  <w:noWrap w:val="0"/>
                  <w:vAlign w:val="center"/>
                </w:tcPr>
                <w:p w14:paraId="6AFD5952">
                  <w:pPr>
                    <w:pStyle w:val="15"/>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70</w:t>
                  </w:r>
                </w:p>
              </w:tc>
              <w:tc>
                <w:tcPr>
                  <w:tcW w:w="759" w:type="pct"/>
                  <w:vMerge w:val="continue"/>
                  <w:tcBorders>
                    <w:top w:val="single" w:color="000000" w:sz="6" w:space="0"/>
                    <w:left w:val="single" w:color="000000" w:sz="6" w:space="0"/>
                    <w:bottom w:val="single" w:color="000000" w:sz="6" w:space="0"/>
                    <w:right w:val="single" w:color="000000" w:sz="6" w:space="0"/>
                  </w:tcBorders>
                  <w:noWrap w:val="0"/>
                  <w:vAlign w:val="center"/>
                </w:tcPr>
                <w:p w14:paraId="7EBFD076">
                  <w:pPr>
                    <w:rPr>
                      <w:rFonts w:hint="default" w:ascii="Times New Roman" w:hAnsi="Times New Roman" w:eastAsia="宋体" w:cs="Times New Roman"/>
                      <w:color w:val="auto"/>
                      <w:highlight w:val="none"/>
                    </w:rPr>
                  </w:pPr>
                </w:p>
              </w:tc>
              <w:tc>
                <w:tcPr>
                  <w:tcW w:w="496" w:type="pct"/>
                  <w:vMerge w:val="continue"/>
                  <w:tcBorders>
                    <w:left w:val="single" w:color="000000" w:sz="6" w:space="0"/>
                    <w:right w:val="single" w:color="000000" w:sz="6" w:space="0"/>
                  </w:tcBorders>
                  <w:noWrap w:val="0"/>
                  <w:vAlign w:val="center"/>
                </w:tcPr>
                <w:p w14:paraId="482DA16F">
                  <w:pPr>
                    <w:rPr>
                      <w:rFonts w:hint="default" w:ascii="Times New Roman" w:hAnsi="Times New Roman" w:eastAsia="宋体" w:cs="Times New Roman"/>
                      <w:color w:val="auto"/>
                      <w:highlight w:val="none"/>
                    </w:rPr>
                  </w:pPr>
                </w:p>
              </w:tc>
            </w:tr>
            <w:tr w14:paraId="32196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55" w:type="pct"/>
                  <w:tcBorders>
                    <w:top w:val="single" w:color="000000" w:sz="6" w:space="0"/>
                    <w:left w:val="single" w:color="000000" w:sz="6" w:space="0"/>
                    <w:bottom w:val="single" w:color="000000" w:sz="6" w:space="0"/>
                    <w:right w:val="single" w:color="000000" w:sz="6" w:space="0"/>
                  </w:tcBorders>
                  <w:noWrap w:val="0"/>
                  <w:vAlign w:val="center"/>
                </w:tcPr>
                <w:p w14:paraId="5788CDC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
                    </w:rPr>
                    <w:t>9</w:t>
                  </w:r>
                </w:p>
              </w:tc>
              <w:tc>
                <w:tcPr>
                  <w:tcW w:w="808" w:type="pct"/>
                  <w:tcBorders>
                    <w:top w:val="single" w:color="000000" w:sz="6" w:space="0"/>
                    <w:left w:val="single" w:color="000000" w:sz="6" w:space="0"/>
                    <w:bottom w:val="single" w:color="000000" w:sz="6" w:space="0"/>
                    <w:right w:val="single" w:color="000000" w:sz="6" w:space="0"/>
                  </w:tcBorders>
                  <w:noWrap w:val="0"/>
                  <w:vAlign w:val="center"/>
                </w:tcPr>
                <w:p w14:paraId="5C0C214F">
                  <w:pPr>
                    <w:keepNext w:val="0"/>
                    <w:keepLines w:val="0"/>
                    <w:widowControl w:val="0"/>
                    <w:suppressLineNumbers w:val="0"/>
                    <w:tabs>
                      <w:tab w:val="left" w:pos="600"/>
                    </w:tabs>
                    <w:adjustRightInd w:val="0"/>
                    <w:snapToGrid w:val="0"/>
                    <w:spacing w:before="0" w:beforeAutospacing="0" w:after="0" w:afterAutospacing="0" w:line="240" w:lineRule="exact"/>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钻井泵（2台）</w:t>
                  </w:r>
                </w:p>
              </w:tc>
              <w:tc>
                <w:tcPr>
                  <w:tcW w:w="438" w:type="pct"/>
                  <w:tcBorders>
                    <w:top w:val="single" w:color="000000" w:sz="6" w:space="0"/>
                    <w:left w:val="single" w:color="000000" w:sz="6" w:space="0"/>
                    <w:bottom w:val="single" w:color="000000" w:sz="6" w:space="0"/>
                    <w:right w:val="single" w:color="000000" w:sz="6" w:space="0"/>
                  </w:tcBorders>
                  <w:noWrap w:val="0"/>
                  <w:vAlign w:val="center"/>
                </w:tcPr>
                <w:p w14:paraId="25001C18">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w:t>
                  </w:r>
                </w:p>
              </w:tc>
              <w:tc>
                <w:tcPr>
                  <w:tcW w:w="569" w:type="pct"/>
                  <w:tcBorders>
                    <w:top w:val="single" w:color="000000" w:sz="6" w:space="0"/>
                    <w:left w:val="single" w:color="000000" w:sz="6" w:space="0"/>
                    <w:bottom w:val="single" w:color="000000" w:sz="6" w:space="0"/>
                    <w:right w:val="single" w:color="000000" w:sz="6" w:space="0"/>
                  </w:tcBorders>
                  <w:noWrap w:val="0"/>
                  <w:vAlign w:val="center"/>
                </w:tcPr>
                <w:p w14:paraId="35DEB271">
                  <w:pPr>
                    <w:pStyle w:val="8"/>
                    <w:spacing w:after="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84.26</w:t>
                  </w:r>
                </w:p>
              </w:tc>
              <w:tc>
                <w:tcPr>
                  <w:tcW w:w="530" w:type="pct"/>
                  <w:tcBorders>
                    <w:top w:val="single" w:color="000000" w:sz="6" w:space="0"/>
                    <w:left w:val="single" w:color="000000" w:sz="6" w:space="0"/>
                    <w:bottom w:val="single" w:color="000000" w:sz="6" w:space="0"/>
                    <w:right w:val="single" w:color="000000" w:sz="6" w:space="0"/>
                  </w:tcBorders>
                  <w:noWrap w:val="0"/>
                  <w:vAlign w:val="center"/>
                </w:tcPr>
                <w:p w14:paraId="223A8195">
                  <w:pPr>
                    <w:pStyle w:val="8"/>
                    <w:spacing w:after="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114.42</w:t>
                  </w:r>
                </w:p>
              </w:tc>
              <w:tc>
                <w:tcPr>
                  <w:tcW w:w="442" w:type="pct"/>
                  <w:tcBorders>
                    <w:top w:val="single" w:color="000000" w:sz="6" w:space="0"/>
                    <w:left w:val="single" w:color="000000" w:sz="6" w:space="0"/>
                    <w:bottom w:val="single" w:color="000000" w:sz="6" w:space="0"/>
                    <w:right w:val="single" w:color="000000" w:sz="6" w:space="0"/>
                  </w:tcBorders>
                  <w:noWrap w:val="0"/>
                  <w:vAlign w:val="center"/>
                </w:tcPr>
                <w:p w14:paraId="31C5597F">
                  <w:pPr>
                    <w:pStyle w:val="15"/>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0.5</w:t>
                  </w:r>
                </w:p>
              </w:tc>
              <w:tc>
                <w:tcPr>
                  <w:tcW w:w="698" w:type="pct"/>
                  <w:tcBorders>
                    <w:top w:val="single" w:color="000000" w:sz="6" w:space="0"/>
                    <w:left w:val="single" w:color="000000" w:sz="6" w:space="0"/>
                    <w:bottom w:val="single" w:color="000000" w:sz="6" w:space="0"/>
                    <w:right w:val="single" w:color="000000" w:sz="6" w:space="0"/>
                  </w:tcBorders>
                  <w:noWrap w:val="0"/>
                  <w:vAlign w:val="center"/>
                </w:tcPr>
                <w:p w14:paraId="364C5622">
                  <w:pPr>
                    <w:pStyle w:val="15"/>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73</w:t>
                  </w:r>
                </w:p>
              </w:tc>
              <w:tc>
                <w:tcPr>
                  <w:tcW w:w="759" w:type="pct"/>
                  <w:vMerge w:val="continue"/>
                  <w:tcBorders>
                    <w:top w:val="single" w:color="000000" w:sz="6" w:space="0"/>
                    <w:left w:val="single" w:color="000000" w:sz="6" w:space="0"/>
                    <w:bottom w:val="single" w:color="000000" w:sz="6" w:space="0"/>
                    <w:right w:val="single" w:color="000000" w:sz="6" w:space="0"/>
                  </w:tcBorders>
                  <w:noWrap w:val="0"/>
                  <w:vAlign w:val="center"/>
                </w:tcPr>
                <w:p w14:paraId="5DC64B16">
                  <w:pPr>
                    <w:rPr>
                      <w:rFonts w:hint="default" w:ascii="Times New Roman" w:hAnsi="Times New Roman" w:eastAsia="宋体" w:cs="Times New Roman"/>
                      <w:color w:val="auto"/>
                      <w:highlight w:val="none"/>
                    </w:rPr>
                  </w:pPr>
                </w:p>
              </w:tc>
              <w:tc>
                <w:tcPr>
                  <w:tcW w:w="496" w:type="pct"/>
                  <w:vMerge w:val="continue"/>
                  <w:tcBorders>
                    <w:left w:val="single" w:color="000000" w:sz="6" w:space="0"/>
                    <w:right w:val="single" w:color="000000" w:sz="6" w:space="0"/>
                  </w:tcBorders>
                  <w:noWrap w:val="0"/>
                  <w:vAlign w:val="center"/>
                </w:tcPr>
                <w:p w14:paraId="5C316D65">
                  <w:pPr>
                    <w:rPr>
                      <w:rFonts w:hint="default" w:ascii="Times New Roman" w:hAnsi="Times New Roman" w:eastAsia="宋体" w:cs="Times New Roman"/>
                      <w:color w:val="auto"/>
                      <w:highlight w:val="none"/>
                    </w:rPr>
                  </w:pPr>
                </w:p>
              </w:tc>
            </w:tr>
            <w:tr w14:paraId="3349A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55" w:type="pct"/>
                  <w:tcBorders>
                    <w:top w:val="single" w:color="000000" w:sz="6" w:space="0"/>
                    <w:left w:val="single" w:color="000000" w:sz="6" w:space="0"/>
                    <w:bottom w:val="single" w:color="000000" w:sz="6" w:space="0"/>
                    <w:right w:val="single" w:color="000000" w:sz="6" w:space="0"/>
                  </w:tcBorders>
                  <w:noWrap w:val="0"/>
                  <w:vAlign w:val="center"/>
                </w:tcPr>
                <w:p w14:paraId="674D77A2">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
                    </w:rPr>
                    <w:t>10</w:t>
                  </w:r>
                </w:p>
              </w:tc>
              <w:tc>
                <w:tcPr>
                  <w:tcW w:w="808" w:type="pct"/>
                  <w:tcBorders>
                    <w:top w:val="single" w:color="000000" w:sz="6" w:space="0"/>
                    <w:left w:val="single" w:color="000000" w:sz="6" w:space="0"/>
                    <w:bottom w:val="single" w:color="000000" w:sz="6" w:space="0"/>
                    <w:right w:val="single" w:color="000000" w:sz="6" w:space="0"/>
                  </w:tcBorders>
                  <w:noWrap w:val="0"/>
                  <w:vAlign w:val="center"/>
                </w:tcPr>
                <w:p w14:paraId="0227406A">
                  <w:pPr>
                    <w:keepNext w:val="0"/>
                    <w:keepLines w:val="0"/>
                    <w:widowControl w:val="0"/>
                    <w:suppressLineNumbers w:val="0"/>
                    <w:tabs>
                      <w:tab w:val="left" w:pos="600"/>
                    </w:tabs>
                    <w:adjustRightInd w:val="0"/>
                    <w:snapToGrid w:val="0"/>
                    <w:spacing w:before="0" w:beforeAutospacing="0" w:after="0" w:afterAutospacing="0" w:line="240" w:lineRule="exact"/>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加重泵（2台）</w:t>
                  </w:r>
                </w:p>
              </w:tc>
              <w:tc>
                <w:tcPr>
                  <w:tcW w:w="438" w:type="pct"/>
                  <w:tcBorders>
                    <w:top w:val="single" w:color="000000" w:sz="6" w:space="0"/>
                    <w:left w:val="single" w:color="000000" w:sz="6" w:space="0"/>
                    <w:bottom w:val="single" w:color="000000" w:sz="6" w:space="0"/>
                    <w:right w:val="single" w:color="000000" w:sz="6" w:space="0"/>
                  </w:tcBorders>
                  <w:noWrap w:val="0"/>
                  <w:vAlign w:val="center"/>
                </w:tcPr>
                <w:p w14:paraId="1C41EA1A">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w:t>
                  </w:r>
                </w:p>
              </w:tc>
              <w:tc>
                <w:tcPr>
                  <w:tcW w:w="569" w:type="pct"/>
                  <w:tcBorders>
                    <w:top w:val="single" w:color="000000" w:sz="6" w:space="0"/>
                    <w:left w:val="single" w:color="000000" w:sz="6" w:space="0"/>
                    <w:bottom w:val="single" w:color="000000" w:sz="6" w:space="0"/>
                    <w:right w:val="single" w:color="000000" w:sz="6" w:space="0"/>
                  </w:tcBorders>
                  <w:noWrap w:val="0"/>
                  <w:vAlign w:val="center"/>
                </w:tcPr>
                <w:p w14:paraId="2D7A4E55">
                  <w:pPr>
                    <w:pStyle w:val="8"/>
                    <w:spacing w:after="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42.62</w:t>
                  </w:r>
                </w:p>
              </w:tc>
              <w:tc>
                <w:tcPr>
                  <w:tcW w:w="530" w:type="pct"/>
                  <w:tcBorders>
                    <w:top w:val="single" w:color="000000" w:sz="6" w:space="0"/>
                    <w:left w:val="single" w:color="000000" w:sz="6" w:space="0"/>
                    <w:bottom w:val="single" w:color="000000" w:sz="6" w:space="0"/>
                    <w:right w:val="single" w:color="000000" w:sz="6" w:space="0"/>
                  </w:tcBorders>
                  <w:noWrap w:val="0"/>
                  <w:vAlign w:val="center"/>
                </w:tcPr>
                <w:p w14:paraId="7021B779">
                  <w:pPr>
                    <w:pStyle w:val="8"/>
                    <w:spacing w:after="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130.63</w:t>
                  </w:r>
                </w:p>
              </w:tc>
              <w:tc>
                <w:tcPr>
                  <w:tcW w:w="442" w:type="pct"/>
                  <w:tcBorders>
                    <w:top w:val="single" w:color="000000" w:sz="6" w:space="0"/>
                    <w:left w:val="single" w:color="000000" w:sz="6" w:space="0"/>
                    <w:bottom w:val="single" w:color="000000" w:sz="6" w:space="0"/>
                    <w:right w:val="single" w:color="000000" w:sz="6" w:space="0"/>
                  </w:tcBorders>
                  <w:noWrap w:val="0"/>
                  <w:vAlign w:val="center"/>
                </w:tcPr>
                <w:p w14:paraId="278E0D90">
                  <w:pPr>
                    <w:pStyle w:val="15"/>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0.5</w:t>
                  </w:r>
                </w:p>
              </w:tc>
              <w:tc>
                <w:tcPr>
                  <w:tcW w:w="698" w:type="pct"/>
                  <w:tcBorders>
                    <w:top w:val="single" w:color="000000" w:sz="6" w:space="0"/>
                    <w:left w:val="single" w:color="000000" w:sz="6" w:space="0"/>
                    <w:bottom w:val="single" w:color="000000" w:sz="6" w:space="0"/>
                    <w:right w:val="single" w:color="000000" w:sz="6" w:space="0"/>
                  </w:tcBorders>
                  <w:noWrap w:val="0"/>
                  <w:vAlign w:val="center"/>
                </w:tcPr>
                <w:p w14:paraId="619E1F93">
                  <w:pPr>
                    <w:pStyle w:val="15"/>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73</w:t>
                  </w:r>
                </w:p>
              </w:tc>
              <w:tc>
                <w:tcPr>
                  <w:tcW w:w="759" w:type="pct"/>
                  <w:vMerge w:val="continue"/>
                  <w:tcBorders>
                    <w:top w:val="single" w:color="000000" w:sz="6" w:space="0"/>
                    <w:left w:val="single" w:color="000000" w:sz="6" w:space="0"/>
                    <w:bottom w:val="single" w:color="000000" w:sz="6" w:space="0"/>
                    <w:right w:val="single" w:color="000000" w:sz="6" w:space="0"/>
                  </w:tcBorders>
                  <w:noWrap w:val="0"/>
                  <w:vAlign w:val="center"/>
                </w:tcPr>
                <w:p w14:paraId="21373AA9">
                  <w:pPr>
                    <w:rPr>
                      <w:rFonts w:hint="default" w:ascii="Times New Roman" w:hAnsi="Times New Roman" w:eastAsia="宋体" w:cs="Times New Roman"/>
                      <w:color w:val="auto"/>
                      <w:highlight w:val="none"/>
                    </w:rPr>
                  </w:pPr>
                </w:p>
              </w:tc>
              <w:tc>
                <w:tcPr>
                  <w:tcW w:w="496" w:type="pct"/>
                  <w:vMerge w:val="continue"/>
                  <w:tcBorders>
                    <w:left w:val="single" w:color="000000" w:sz="6" w:space="0"/>
                    <w:right w:val="single" w:color="000000" w:sz="6" w:space="0"/>
                  </w:tcBorders>
                  <w:noWrap w:val="0"/>
                  <w:vAlign w:val="center"/>
                </w:tcPr>
                <w:p w14:paraId="53E57B1F">
                  <w:pPr>
                    <w:rPr>
                      <w:rFonts w:hint="default" w:ascii="Times New Roman" w:hAnsi="Times New Roman" w:eastAsia="宋体" w:cs="Times New Roman"/>
                      <w:color w:val="auto"/>
                      <w:highlight w:val="none"/>
                    </w:rPr>
                  </w:pPr>
                </w:p>
              </w:tc>
            </w:tr>
            <w:tr w14:paraId="011E0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55" w:type="pct"/>
                  <w:tcBorders>
                    <w:top w:val="single" w:color="000000" w:sz="6" w:space="0"/>
                    <w:left w:val="single" w:color="000000" w:sz="6" w:space="0"/>
                    <w:bottom w:val="single" w:color="000000" w:sz="6" w:space="0"/>
                    <w:right w:val="single" w:color="000000" w:sz="6" w:space="0"/>
                  </w:tcBorders>
                  <w:noWrap w:val="0"/>
                  <w:vAlign w:val="center"/>
                </w:tcPr>
                <w:p w14:paraId="347C81E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
                    </w:rPr>
                    <w:t>11</w:t>
                  </w:r>
                </w:p>
              </w:tc>
              <w:tc>
                <w:tcPr>
                  <w:tcW w:w="808" w:type="pct"/>
                  <w:tcBorders>
                    <w:top w:val="single" w:color="000000" w:sz="6" w:space="0"/>
                    <w:left w:val="single" w:color="000000" w:sz="6" w:space="0"/>
                    <w:bottom w:val="single" w:color="000000" w:sz="6" w:space="0"/>
                    <w:right w:val="single" w:color="000000" w:sz="6" w:space="0"/>
                  </w:tcBorders>
                  <w:noWrap w:val="0"/>
                  <w:vAlign w:val="center"/>
                </w:tcPr>
                <w:p w14:paraId="4ACF49BA">
                  <w:pPr>
                    <w:keepNext w:val="0"/>
                    <w:keepLines w:val="0"/>
                    <w:widowControl w:val="0"/>
                    <w:suppressLineNumbers w:val="0"/>
                    <w:tabs>
                      <w:tab w:val="left" w:pos="600"/>
                    </w:tabs>
                    <w:adjustRightInd w:val="0"/>
                    <w:snapToGrid w:val="0"/>
                    <w:spacing w:before="0" w:beforeAutospacing="0" w:after="0" w:afterAutospacing="0" w:line="240" w:lineRule="exact"/>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压滤机</w:t>
                  </w:r>
                </w:p>
              </w:tc>
              <w:tc>
                <w:tcPr>
                  <w:tcW w:w="438" w:type="pct"/>
                  <w:tcBorders>
                    <w:top w:val="single" w:color="000000" w:sz="6" w:space="0"/>
                    <w:left w:val="single" w:color="000000" w:sz="6" w:space="0"/>
                    <w:bottom w:val="single" w:color="000000" w:sz="6" w:space="0"/>
                    <w:right w:val="single" w:color="000000" w:sz="6" w:space="0"/>
                  </w:tcBorders>
                  <w:noWrap w:val="0"/>
                  <w:vAlign w:val="center"/>
                </w:tcPr>
                <w:p w14:paraId="21A41A9F">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w:t>
                  </w:r>
                </w:p>
              </w:tc>
              <w:tc>
                <w:tcPr>
                  <w:tcW w:w="569" w:type="pct"/>
                  <w:tcBorders>
                    <w:top w:val="single" w:color="000000" w:sz="6" w:space="0"/>
                    <w:left w:val="single" w:color="000000" w:sz="6" w:space="0"/>
                    <w:bottom w:val="single" w:color="000000" w:sz="6" w:space="0"/>
                    <w:right w:val="single" w:color="000000" w:sz="6" w:space="0"/>
                  </w:tcBorders>
                  <w:noWrap w:val="0"/>
                  <w:vAlign w:val="center"/>
                </w:tcPr>
                <w:p w14:paraId="61FC2384">
                  <w:pPr>
                    <w:pStyle w:val="8"/>
                    <w:spacing w:after="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45.41</w:t>
                  </w:r>
                </w:p>
              </w:tc>
              <w:tc>
                <w:tcPr>
                  <w:tcW w:w="530" w:type="pct"/>
                  <w:tcBorders>
                    <w:top w:val="single" w:color="000000" w:sz="6" w:space="0"/>
                    <w:left w:val="single" w:color="000000" w:sz="6" w:space="0"/>
                    <w:bottom w:val="single" w:color="000000" w:sz="6" w:space="0"/>
                    <w:right w:val="single" w:color="000000" w:sz="6" w:space="0"/>
                  </w:tcBorders>
                  <w:noWrap w:val="0"/>
                  <w:vAlign w:val="center"/>
                </w:tcPr>
                <w:p w14:paraId="36273FC1">
                  <w:pPr>
                    <w:pStyle w:val="8"/>
                    <w:spacing w:after="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69.81</w:t>
                  </w:r>
                </w:p>
              </w:tc>
              <w:tc>
                <w:tcPr>
                  <w:tcW w:w="442" w:type="pct"/>
                  <w:tcBorders>
                    <w:top w:val="single" w:color="000000" w:sz="6" w:space="0"/>
                    <w:left w:val="single" w:color="000000" w:sz="6" w:space="0"/>
                    <w:bottom w:val="single" w:color="000000" w:sz="6" w:space="0"/>
                    <w:right w:val="single" w:color="000000" w:sz="6" w:space="0"/>
                  </w:tcBorders>
                  <w:noWrap w:val="0"/>
                  <w:vAlign w:val="center"/>
                </w:tcPr>
                <w:p w14:paraId="1A8D0A4F">
                  <w:pPr>
                    <w:pStyle w:val="15"/>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0.5</w:t>
                  </w:r>
                </w:p>
              </w:tc>
              <w:tc>
                <w:tcPr>
                  <w:tcW w:w="698" w:type="pct"/>
                  <w:tcBorders>
                    <w:top w:val="single" w:color="000000" w:sz="6" w:space="0"/>
                    <w:left w:val="single" w:color="000000" w:sz="6" w:space="0"/>
                    <w:bottom w:val="single" w:color="000000" w:sz="6" w:space="0"/>
                    <w:right w:val="single" w:color="000000" w:sz="6" w:space="0"/>
                  </w:tcBorders>
                  <w:noWrap w:val="0"/>
                  <w:vAlign w:val="center"/>
                </w:tcPr>
                <w:p w14:paraId="26B88AE4">
                  <w:pPr>
                    <w:pStyle w:val="8"/>
                    <w:widowControl/>
                    <w:spacing w:before="0" w:beforeAutospacing="0" w:after="0" w:afterAutospacing="0" w:line="240" w:lineRule="auto"/>
                    <w:ind w:left="0" w:leftChars="0" w:right="0" w:rightChars="0"/>
                    <w:jc w:val="center"/>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kern w:val="0"/>
                      <w:sz w:val="21"/>
                      <w:szCs w:val="21"/>
                      <w:highlight w:val="none"/>
                      <w:lang w:val="en-US" w:eastAsia="zh-CN" w:bidi="ar"/>
                    </w:rPr>
                    <w:t>75</w:t>
                  </w:r>
                </w:p>
              </w:tc>
              <w:tc>
                <w:tcPr>
                  <w:tcW w:w="759" w:type="pct"/>
                  <w:vMerge w:val="continue"/>
                  <w:tcBorders>
                    <w:top w:val="single" w:color="000000" w:sz="6" w:space="0"/>
                    <w:left w:val="single" w:color="000000" w:sz="6" w:space="0"/>
                    <w:bottom w:val="single" w:color="000000" w:sz="6" w:space="0"/>
                    <w:right w:val="single" w:color="000000" w:sz="6" w:space="0"/>
                  </w:tcBorders>
                  <w:noWrap w:val="0"/>
                  <w:vAlign w:val="center"/>
                </w:tcPr>
                <w:p w14:paraId="6C256868">
                  <w:pPr>
                    <w:rPr>
                      <w:rFonts w:hint="default" w:ascii="Times New Roman" w:hAnsi="Times New Roman" w:eastAsia="宋体" w:cs="Times New Roman"/>
                      <w:color w:val="auto"/>
                      <w:highlight w:val="none"/>
                    </w:rPr>
                  </w:pPr>
                </w:p>
              </w:tc>
              <w:tc>
                <w:tcPr>
                  <w:tcW w:w="496" w:type="pct"/>
                  <w:vMerge w:val="continue"/>
                  <w:tcBorders>
                    <w:left w:val="single" w:color="000000" w:sz="6" w:space="0"/>
                    <w:bottom w:val="single" w:color="000000" w:sz="6" w:space="0"/>
                    <w:right w:val="single" w:color="000000" w:sz="6" w:space="0"/>
                  </w:tcBorders>
                  <w:noWrap w:val="0"/>
                  <w:vAlign w:val="center"/>
                </w:tcPr>
                <w:p w14:paraId="76CE40B3">
                  <w:pPr>
                    <w:rPr>
                      <w:rFonts w:hint="default" w:ascii="Times New Roman" w:hAnsi="Times New Roman" w:eastAsia="宋体" w:cs="Times New Roman"/>
                      <w:color w:val="auto"/>
                      <w:highlight w:val="none"/>
                    </w:rPr>
                  </w:pPr>
                </w:p>
              </w:tc>
            </w:tr>
            <w:tr w14:paraId="2D330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9"/>
                  <w:tcBorders>
                    <w:top w:val="single" w:color="000000" w:sz="6" w:space="0"/>
                    <w:left w:val="single" w:color="000000" w:sz="6" w:space="0"/>
                    <w:bottom w:val="single" w:color="000000" w:sz="6" w:space="0"/>
                    <w:right w:val="single" w:color="000000" w:sz="6" w:space="0"/>
                  </w:tcBorders>
                  <w:noWrap w:val="0"/>
                  <w:vAlign w:val="center"/>
                </w:tcPr>
                <w:p w14:paraId="5D913B69">
                  <w:pPr>
                    <w:pStyle w:val="8"/>
                    <w:widowControl/>
                    <w:spacing w:before="0" w:beforeAutospacing="0" w:after="0" w:afterAutospacing="0" w:line="240" w:lineRule="auto"/>
                    <w:ind w:left="0" w:leftChars="0" w:right="0" w:rightChars="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备注：基准点选取为</w:t>
                  </w:r>
                  <w:r>
                    <w:rPr>
                      <w:rFonts w:hint="default" w:ascii="Times New Roman" w:hAnsi="Times New Roman" w:eastAsia="宋体" w:cs="Times New Roman"/>
                      <w:color w:val="auto"/>
                      <w:sz w:val="21"/>
                      <w:szCs w:val="21"/>
                      <w:highlight w:val="none"/>
                      <w:lang w:val="en-US" w:eastAsia="zh-CN"/>
                    </w:rPr>
                    <w:t>井场西南角边界点</w:t>
                  </w:r>
                  <w:r>
                    <w:rPr>
                      <w:rFonts w:hint="default" w:ascii="Times New Roman" w:hAnsi="Times New Roman" w:eastAsia="宋体" w:cs="Times New Roman"/>
                      <w:color w:val="auto"/>
                      <w:sz w:val="21"/>
                      <w:szCs w:val="21"/>
                      <w:highlight w:val="none"/>
                      <w:lang w:eastAsia="zh-CN"/>
                    </w:rPr>
                    <w:t>。</w:t>
                  </w:r>
                </w:p>
              </w:tc>
            </w:tr>
          </w:tbl>
          <w:p w14:paraId="734DC534">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在不考虑声传播过程中屏障隔声、空气吸收、地面效应的前提下，利用点声源衰减模式，对噪声影响的范围进行计算。</w:t>
            </w:r>
          </w:p>
          <w:p w14:paraId="3029499B">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根据本项目施工期间主要噪声源的特征，可采用点声源距离衰减公式对主要声源产生声环境质量影响进行预测，具体公式如下：</w:t>
            </w:r>
          </w:p>
          <w:p w14:paraId="06A398BB">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（1）点声源衰减</w:t>
            </w:r>
          </w:p>
          <w:p w14:paraId="23A241F8">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jc w:val="center"/>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L</w:t>
            </w:r>
            <w:r>
              <w:rPr>
                <w:rFonts w:hint="default" w:ascii="Times New Roman" w:hAnsi="Times New Roman" w:eastAsia="宋体" w:cs="Times New Roman"/>
                <w:color w:val="auto"/>
                <w:kern w:val="0"/>
                <w:sz w:val="24"/>
                <w:szCs w:val="24"/>
                <w:highlight w:val="none"/>
                <w:vertAlign w:val="subscript"/>
                <w:lang w:val="en-US" w:eastAsia="zh-CN" w:bidi="ar"/>
              </w:rPr>
              <w:t>A</w:t>
            </w:r>
            <w:r>
              <w:rPr>
                <w:rFonts w:hint="default" w:ascii="Times New Roman" w:hAnsi="Times New Roman" w:eastAsia="宋体" w:cs="Times New Roman"/>
                <w:color w:val="auto"/>
                <w:kern w:val="0"/>
                <w:sz w:val="24"/>
                <w:szCs w:val="24"/>
                <w:highlight w:val="none"/>
                <w:lang w:val="en-US" w:eastAsia="zh-CN" w:bidi="ar"/>
              </w:rPr>
              <w:t>（r）=L</w:t>
            </w:r>
            <w:r>
              <w:rPr>
                <w:rFonts w:hint="default" w:ascii="Times New Roman" w:hAnsi="Times New Roman" w:eastAsia="宋体" w:cs="Times New Roman"/>
                <w:color w:val="auto"/>
                <w:kern w:val="0"/>
                <w:sz w:val="24"/>
                <w:szCs w:val="24"/>
                <w:highlight w:val="none"/>
                <w:vertAlign w:val="subscript"/>
                <w:lang w:val="en-US" w:eastAsia="zh-CN" w:bidi="ar"/>
              </w:rPr>
              <w:t>A</w:t>
            </w:r>
            <w:r>
              <w:rPr>
                <w:rFonts w:hint="default" w:ascii="Times New Roman" w:hAnsi="Times New Roman" w:eastAsia="宋体" w:cs="Times New Roman"/>
                <w:color w:val="auto"/>
                <w:kern w:val="0"/>
                <w:sz w:val="24"/>
                <w:szCs w:val="24"/>
                <w:highlight w:val="none"/>
                <w:lang w:val="en-US" w:eastAsia="zh-CN" w:bidi="ar"/>
              </w:rPr>
              <w:t>（r</w:t>
            </w:r>
            <w:r>
              <w:rPr>
                <w:rFonts w:hint="default" w:ascii="Times New Roman" w:hAnsi="Times New Roman" w:eastAsia="宋体" w:cs="Times New Roman"/>
                <w:color w:val="auto"/>
                <w:kern w:val="0"/>
                <w:sz w:val="24"/>
                <w:szCs w:val="24"/>
                <w:highlight w:val="none"/>
                <w:vertAlign w:val="subscript"/>
                <w:lang w:val="en-US" w:eastAsia="zh-CN" w:bidi="ar"/>
              </w:rPr>
              <w:t>0</w:t>
            </w:r>
            <w:r>
              <w:rPr>
                <w:rFonts w:hint="default" w:ascii="Times New Roman" w:hAnsi="Times New Roman" w:eastAsia="宋体" w:cs="Times New Roman"/>
                <w:color w:val="auto"/>
                <w:kern w:val="0"/>
                <w:sz w:val="24"/>
                <w:szCs w:val="24"/>
                <w:highlight w:val="none"/>
                <w:lang w:val="en-US" w:eastAsia="zh-CN" w:bidi="ar"/>
              </w:rPr>
              <w:t>）-20lg（r/r</w:t>
            </w:r>
            <w:r>
              <w:rPr>
                <w:rFonts w:hint="default" w:ascii="Times New Roman" w:hAnsi="Times New Roman" w:eastAsia="宋体" w:cs="Times New Roman"/>
                <w:color w:val="auto"/>
                <w:kern w:val="0"/>
                <w:sz w:val="24"/>
                <w:szCs w:val="24"/>
                <w:highlight w:val="none"/>
                <w:vertAlign w:val="subscript"/>
                <w:lang w:val="en-US" w:eastAsia="zh-CN" w:bidi="ar"/>
              </w:rPr>
              <w:t>0</w:t>
            </w:r>
            <w:r>
              <w:rPr>
                <w:rFonts w:hint="default" w:ascii="Times New Roman" w:hAnsi="Times New Roman" w:eastAsia="宋体" w:cs="Times New Roman"/>
                <w:color w:val="auto"/>
                <w:kern w:val="0"/>
                <w:sz w:val="24"/>
                <w:szCs w:val="24"/>
                <w:highlight w:val="none"/>
                <w:lang w:val="en-US" w:eastAsia="zh-CN" w:bidi="ar"/>
              </w:rPr>
              <w:t>）</w:t>
            </w:r>
          </w:p>
          <w:p w14:paraId="6D2DA1E8">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式中：L</w:t>
            </w:r>
            <w:r>
              <w:rPr>
                <w:rFonts w:hint="default" w:ascii="Times New Roman" w:hAnsi="Times New Roman" w:eastAsia="宋体" w:cs="Times New Roman"/>
                <w:color w:val="auto"/>
                <w:kern w:val="0"/>
                <w:sz w:val="24"/>
                <w:szCs w:val="24"/>
                <w:highlight w:val="none"/>
                <w:vertAlign w:val="subscript"/>
                <w:lang w:val="en-US" w:eastAsia="zh-CN" w:bidi="ar"/>
              </w:rPr>
              <w:t>A</w:t>
            </w:r>
            <w:r>
              <w:rPr>
                <w:rFonts w:hint="default" w:ascii="Times New Roman" w:hAnsi="Times New Roman" w:eastAsia="宋体" w:cs="Times New Roman"/>
                <w:color w:val="auto"/>
                <w:kern w:val="0"/>
                <w:sz w:val="24"/>
                <w:szCs w:val="24"/>
                <w:highlight w:val="none"/>
                <w:lang w:val="en-US" w:eastAsia="zh-CN" w:bidi="ar"/>
              </w:rPr>
              <w:t>（r）——距声源r处的A声级，dB（A）；</w:t>
            </w:r>
          </w:p>
          <w:p w14:paraId="74CD40CB">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L</w:t>
            </w:r>
            <w:r>
              <w:rPr>
                <w:rFonts w:hint="default" w:ascii="Times New Roman" w:hAnsi="Times New Roman" w:eastAsia="宋体" w:cs="Times New Roman"/>
                <w:color w:val="auto"/>
                <w:kern w:val="0"/>
                <w:sz w:val="24"/>
                <w:szCs w:val="24"/>
                <w:highlight w:val="none"/>
                <w:vertAlign w:val="subscript"/>
                <w:lang w:val="en-US" w:eastAsia="zh-CN" w:bidi="ar"/>
              </w:rPr>
              <w:t>A</w:t>
            </w:r>
            <w:r>
              <w:rPr>
                <w:rFonts w:hint="default" w:ascii="Times New Roman" w:hAnsi="Times New Roman" w:eastAsia="宋体" w:cs="Times New Roman"/>
                <w:color w:val="auto"/>
                <w:kern w:val="0"/>
                <w:sz w:val="24"/>
                <w:szCs w:val="24"/>
                <w:highlight w:val="none"/>
                <w:lang w:val="en-US" w:eastAsia="zh-CN" w:bidi="ar"/>
              </w:rPr>
              <w:t>（r）——参考位置r</w:t>
            </w:r>
            <w:r>
              <w:rPr>
                <w:rFonts w:hint="default" w:ascii="Times New Roman" w:hAnsi="Times New Roman" w:eastAsia="宋体" w:cs="Times New Roman"/>
                <w:color w:val="auto"/>
                <w:kern w:val="0"/>
                <w:sz w:val="24"/>
                <w:szCs w:val="24"/>
                <w:highlight w:val="none"/>
                <w:vertAlign w:val="subscript"/>
                <w:lang w:val="en-US" w:eastAsia="zh-CN" w:bidi="ar"/>
              </w:rPr>
              <w:t>0</w:t>
            </w:r>
            <w:r>
              <w:rPr>
                <w:rFonts w:hint="default" w:ascii="Times New Roman" w:hAnsi="Times New Roman" w:eastAsia="宋体" w:cs="Times New Roman"/>
                <w:color w:val="auto"/>
                <w:kern w:val="0"/>
                <w:sz w:val="24"/>
                <w:szCs w:val="24"/>
                <w:highlight w:val="none"/>
                <w:lang w:val="en-US" w:eastAsia="zh-CN" w:bidi="ar"/>
              </w:rPr>
              <w:t>处的A声级，dB（A）；</w:t>
            </w:r>
          </w:p>
          <w:p w14:paraId="3DB1C145">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r——参考点距离声源的距离，m；</w:t>
            </w:r>
          </w:p>
          <w:p w14:paraId="4D0271AF">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r</w:t>
            </w:r>
            <w:r>
              <w:rPr>
                <w:rFonts w:hint="default" w:ascii="Times New Roman" w:hAnsi="Times New Roman" w:eastAsia="宋体" w:cs="Times New Roman"/>
                <w:color w:val="auto"/>
                <w:kern w:val="0"/>
                <w:sz w:val="24"/>
                <w:szCs w:val="24"/>
                <w:highlight w:val="none"/>
                <w:vertAlign w:val="subscript"/>
                <w:lang w:val="en-US" w:eastAsia="zh-CN" w:bidi="ar"/>
              </w:rPr>
              <w:t>0</w:t>
            </w:r>
            <w:r>
              <w:rPr>
                <w:rFonts w:hint="default" w:ascii="Times New Roman" w:hAnsi="Times New Roman" w:eastAsia="宋体" w:cs="Times New Roman"/>
                <w:color w:val="auto"/>
                <w:kern w:val="0"/>
                <w:sz w:val="24"/>
                <w:szCs w:val="24"/>
                <w:highlight w:val="none"/>
                <w:lang w:val="en-US" w:eastAsia="zh-CN" w:bidi="ar"/>
              </w:rPr>
              <w:t>——参考位置距离衰减情况见表4-5。</w:t>
            </w:r>
          </w:p>
          <w:p w14:paraId="6B2EAB57">
            <w:pPr>
              <w:pStyle w:val="15"/>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eastAsia="zh-CN"/>
              </w:rPr>
              <w:t>）总声级</w:t>
            </w:r>
          </w:p>
          <w:p w14:paraId="1CA50A16">
            <w:pPr>
              <w:pStyle w:val="15"/>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设第i个室外声源在预测点产生的A声级为LA</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i，在T时间内该声源工作时间为ti；第j个等效室外声源在预测点产生的A声级为LAj，在T时间内该声源工作时间为t</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j，则工程声源对预测点产生的贡献值（Leqg）</w:t>
            </w:r>
          </w:p>
          <w:p w14:paraId="206C3688">
            <w:pPr>
              <w:pStyle w:val="15"/>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2590800" cy="485140"/>
                  <wp:effectExtent l="0" t="0" r="0" b="10795"/>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20"/>
                          <a:stretch>
                            <a:fillRect/>
                          </a:stretch>
                        </pic:blipFill>
                        <pic:spPr>
                          <a:xfrm>
                            <a:off x="0" y="0"/>
                            <a:ext cx="2590800" cy="485140"/>
                          </a:xfrm>
                          <a:prstGeom prst="rect">
                            <a:avLst/>
                          </a:prstGeom>
                          <a:noFill/>
                          <a:ln>
                            <a:noFill/>
                          </a:ln>
                        </pic:spPr>
                      </pic:pic>
                    </a:graphicData>
                  </a:graphic>
                </wp:inline>
              </w:drawing>
            </w:r>
          </w:p>
          <w:p w14:paraId="1DD75A25">
            <w:pPr>
              <w:pStyle w:val="15"/>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式中：</w:t>
            </w:r>
          </w:p>
          <w:p w14:paraId="2591A0F9">
            <w:pPr>
              <w:pStyle w:val="15"/>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tj：在T时间内j声源工作时间，s；</w:t>
            </w:r>
          </w:p>
          <w:p w14:paraId="21FBB172">
            <w:pPr>
              <w:pStyle w:val="15"/>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ti：在T时间内i声源工作时间，s；</w:t>
            </w:r>
          </w:p>
          <w:p w14:paraId="64BBC509">
            <w:pPr>
              <w:pStyle w:val="15"/>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T：用于计算等效声级的时间，s；</w:t>
            </w:r>
          </w:p>
          <w:p w14:paraId="0166C49E">
            <w:pPr>
              <w:pStyle w:val="15"/>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N；室外声源个数；</w:t>
            </w:r>
          </w:p>
          <w:p w14:paraId="504946DE">
            <w:pPr>
              <w:pStyle w:val="15"/>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highlight w:val="none"/>
              </w:rPr>
              <w:t>M：等效室外声源个数。</w:t>
            </w:r>
          </w:p>
          <w:p w14:paraId="3064BD7D">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表4-5 施工设备噪声衰减结果表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791"/>
              <w:gridCol w:w="553"/>
              <w:gridCol w:w="791"/>
              <w:gridCol w:w="657"/>
              <w:gridCol w:w="657"/>
              <w:gridCol w:w="722"/>
              <w:gridCol w:w="722"/>
              <w:gridCol w:w="722"/>
              <w:gridCol w:w="723"/>
              <w:gridCol w:w="765"/>
            </w:tblGrid>
            <w:tr w14:paraId="72C1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Merge w:val="restart"/>
                  <w:tcBorders>
                    <w:top w:val="single" w:color="auto" w:sz="4" w:space="0"/>
                    <w:left w:val="single" w:color="auto" w:sz="4" w:space="0"/>
                    <w:bottom w:val="single" w:color="auto" w:sz="4" w:space="0"/>
                    <w:right w:val="single" w:color="auto" w:sz="4" w:space="0"/>
                  </w:tcBorders>
                  <w:noWrap w:val="0"/>
                  <w:vAlign w:val="center"/>
                </w:tcPr>
                <w:p w14:paraId="0BBAAD6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设备</w:t>
                  </w:r>
                </w:p>
              </w:tc>
              <w:tc>
                <w:tcPr>
                  <w:tcW w:w="472" w:type="pct"/>
                  <w:vMerge w:val="restart"/>
                  <w:tcBorders>
                    <w:top w:val="single" w:color="auto" w:sz="4" w:space="0"/>
                    <w:left w:val="single" w:color="auto" w:sz="4" w:space="0"/>
                    <w:bottom w:val="single" w:color="auto" w:sz="4" w:space="0"/>
                    <w:right w:val="single" w:color="auto" w:sz="4" w:space="0"/>
                  </w:tcBorders>
                  <w:noWrap w:val="0"/>
                  <w:vAlign w:val="center"/>
                </w:tcPr>
                <w:p w14:paraId="25B7E36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降噪后声级dB（A）</w:t>
                  </w:r>
                </w:p>
              </w:tc>
              <w:tc>
                <w:tcPr>
                  <w:tcW w:w="330" w:type="pct"/>
                  <w:vMerge w:val="restart"/>
                  <w:tcBorders>
                    <w:top w:val="single" w:color="auto" w:sz="4" w:space="0"/>
                    <w:left w:val="single" w:color="auto" w:sz="4" w:space="0"/>
                    <w:bottom w:val="single" w:color="auto" w:sz="4" w:space="0"/>
                    <w:right w:val="single" w:color="auto" w:sz="4" w:space="0"/>
                  </w:tcBorders>
                  <w:noWrap w:val="0"/>
                  <w:vAlign w:val="center"/>
                </w:tcPr>
                <w:p w14:paraId="2EF44DC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运行数量</w:t>
                  </w:r>
                </w:p>
              </w:tc>
              <w:tc>
                <w:tcPr>
                  <w:tcW w:w="472" w:type="pct"/>
                  <w:vMerge w:val="restart"/>
                  <w:tcBorders>
                    <w:top w:val="single" w:color="auto" w:sz="4" w:space="0"/>
                    <w:left w:val="single" w:color="auto" w:sz="4" w:space="0"/>
                    <w:bottom w:val="single" w:color="auto" w:sz="4" w:space="0"/>
                    <w:right w:val="single" w:color="auto" w:sz="4" w:space="0"/>
                  </w:tcBorders>
                  <w:noWrap w:val="0"/>
                  <w:vAlign w:val="center"/>
                </w:tcPr>
                <w:p w14:paraId="510D872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合成声压级dB（A）</w:t>
                  </w:r>
                </w:p>
              </w:tc>
              <w:tc>
                <w:tcPr>
                  <w:tcW w:w="2964" w:type="pct"/>
                  <w:gridSpan w:val="7"/>
                  <w:tcBorders>
                    <w:top w:val="single" w:color="auto" w:sz="4" w:space="0"/>
                    <w:left w:val="single" w:color="auto" w:sz="4" w:space="0"/>
                    <w:bottom w:val="single" w:color="auto" w:sz="4" w:space="0"/>
                    <w:right w:val="single" w:color="auto" w:sz="4" w:space="0"/>
                  </w:tcBorders>
                  <w:noWrap w:val="0"/>
                  <w:vAlign w:val="center"/>
                </w:tcPr>
                <w:p w14:paraId="2E94B2F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受声点不同距离处噪声衰减值/dB（A）</w:t>
                  </w:r>
                </w:p>
              </w:tc>
            </w:tr>
            <w:tr w14:paraId="1A9B1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Merge w:val="continue"/>
                  <w:tcBorders>
                    <w:top w:val="single" w:color="auto" w:sz="4" w:space="0"/>
                    <w:left w:val="single" w:color="auto" w:sz="4" w:space="0"/>
                    <w:bottom w:val="single" w:color="auto" w:sz="4" w:space="0"/>
                    <w:right w:val="single" w:color="auto" w:sz="4" w:space="0"/>
                  </w:tcBorders>
                  <w:noWrap w:val="0"/>
                  <w:vAlign w:val="center"/>
                </w:tcPr>
                <w:p w14:paraId="0CC498E1">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472" w:type="pct"/>
                  <w:vMerge w:val="continue"/>
                  <w:tcBorders>
                    <w:top w:val="single" w:color="auto" w:sz="4" w:space="0"/>
                    <w:left w:val="single" w:color="auto" w:sz="4" w:space="0"/>
                    <w:bottom w:val="single" w:color="auto" w:sz="4" w:space="0"/>
                    <w:right w:val="single" w:color="auto" w:sz="4" w:space="0"/>
                  </w:tcBorders>
                  <w:noWrap w:val="0"/>
                  <w:vAlign w:val="center"/>
                </w:tcPr>
                <w:p w14:paraId="04B745D6">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330" w:type="pct"/>
                  <w:vMerge w:val="continue"/>
                  <w:tcBorders>
                    <w:top w:val="single" w:color="auto" w:sz="4" w:space="0"/>
                    <w:left w:val="single" w:color="auto" w:sz="4" w:space="0"/>
                    <w:bottom w:val="single" w:color="auto" w:sz="4" w:space="0"/>
                    <w:right w:val="single" w:color="auto" w:sz="4" w:space="0"/>
                  </w:tcBorders>
                  <w:noWrap w:val="0"/>
                  <w:vAlign w:val="center"/>
                </w:tcPr>
                <w:p w14:paraId="12D991C4">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472" w:type="pct"/>
                  <w:vMerge w:val="continue"/>
                  <w:tcBorders>
                    <w:top w:val="single" w:color="auto" w:sz="4" w:space="0"/>
                    <w:left w:val="single" w:color="auto" w:sz="4" w:space="0"/>
                    <w:bottom w:val="single" w:color="auto" w:sz="4" w:space="0"/>
                    <w:right w:val="single" w:color="auto" w:sz="4" w:space="0"/>
                  </w:tcBorders>
                  <w:noWrap w:val="0"/>
                  <w:vAlign w:val="center"/>
                </w:tcPr>
                <w:p w14:paraId="559C9438">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0"/>
                      <w:szCs w:val="20"/>
                      <w:highlight w:val="none"/>
                    </w:rPr>
                  </w:pPr>
                </w:p>
              </w:tc>
              <w:tc>
                <w:tcPr>
                  <w:tcW w:w="392" w:type="pct"/>
                  <w:tcBorders>
                    <w:top w:val="single" w:color="auto" w:sz="4" w:space="0"/>
                    <w:left w:val="single" w:color="auto" w:sz="4" w:space="0"/>
                    <w:bottom w:val="single" w:color="auto" w:sz="4" w:space="0"/>
                    <w:right w:val="single" w:color="auto" w:sz="4" w:space="0"/>
                  </w:tcBorders>
                  <w:noWrap w:val="0"/>
                  <w:vAlign w:val="center"/>
                </w:tcPr>
                <w:p w14:paraId="1B01134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10m</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2083F8D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50m</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17F25E3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100m</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3690E35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150m</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3473B33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200m</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78ABED4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250m</w:t>
                  </w:r>
                </w:p>
              </w:tc>
              <w:tc>
                <w:tcPr>
                  <w:tcW w:w="455" w:type="pct"/>
                  <w:tcBorders>
                    <w:top w:val="single" w:color="auto" w:sz="4" w:space="0"/>
                    <w:left w:val="single" w:color="auto" w:sz="4" w:space="0"/>
                    <w:bottom w:val="single" w:color="auto" w:sz="4" w:space="0"/>
                    <w:right w:val="single" w:color="auto" w:sz="4" w:space="0"/>
                  </w:tcBorders>
                  <w:noWrap w:val="0"/>
                  <w:vAlign w:val="center"/>
                </w:tcPr>
                <w:p w14:paraId="2D4BFCF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300m</w:t>
                  </w:r>
                </w:p>
              </w:tc>
            </w:tr>
            <w:tr w14:paraId="6C184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tcBorders>
                    <w:top w:val="single" w:color="auto" w:sz="4" w:space="0"/>
                    <w:left w:val="single" w:color="auto" w:sz="4" w:space="0"/>
                    <w:bottom w:val="single" w:color="auto" w:sz="4" w:space="0"/>
                    <w:right w:val="single" w:color="auto" w:sz="4" w:space="0"/>
                  </w:tcBorders>
                  <w:noWrap w:val="0"/>
                  <w:vAlign w:val="center"/>
                </w:tcPr>
                <w:p w14:paraId="2AC46C3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钻机</w:t>
                  </w:r>
                </w:p>
              </w:tc>
              <w:tc>
                <w:tcPr>
                  <w:tcW w:w="472" w:type="pct"/>
                  <w:tcBorders>
                    <w:top w:val="single" w:color="auto" w:sz="4" w:space="0"/>
                    <w:left w:val="single" w:color="auto" w:sz="4" w:space="0"/>
                    <w:bottom w:val="single" w:color="auto" w:sz="4" w:space="0"/>
                    <w:right w:val="single" w:color="auto" w:sz="4" w:space="0"/>
                  </w:tcBorders>
                  <w:noWrap w:val="0"/>
                  <w:vAlign w:val="center"/>
                </w:tcPr>
                <w:p w14:paraId="4C0DEFB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95</w:t>
                  </w:r>
                </w:p>
              </w:tc>
              <w:tc>
                <w:tcPr>
                  <w:tcW w:w="330" w:type="pct"/>
                  <w:tcBorders>
                    <w:top w:val="single" w:color="auto" w:sz="4" w:space="0"/>
                    <w:left w:val="single" w:color="auto" w:sz="4" w:space="0"/>
                    <w:bottom w:val="single" w:color="auto" w:sz="4" w:space="0"/>
                    <w:right w:val="single" w:color="auto" w:sz="4" w:space="0"/>
                  </w:tcBorders>
                  <w:noWrap w:val="0"/>
                  <w:vAlign w:val="center"/>
                </w:tcPr>
                <w:p w14:paraId="70E39F6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w:t>
                  </w:r>
                </w:p>
              </w:tc>
              <w:tc>
                <w:tcPr>
                  <w:tcW w:w="472" w:type="pct"/>
                  <w:tcBorders>
                    <w:top w:val="single" w:color="auto" w:sz="4" w:space="0"/>
                    <w:left w:val="single" w:color="auto" w:sz="4" w:space="0"/>
                    <w:bottom w:val="single" w:color="auto" w:sz="4" w:space="0"/>
                    <w:right w:val="single" w:color="auto" w:sz="4" w:space="0"/>
                  </w:tcBorders>
                  <w:noWrap w:val="0"/>
                  <w:vAlign w:val="center"/>
                </w:tcPr>
                <w:p w14:paraId="767C32A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95</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1C0D416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75</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7522C87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61</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4BA41CA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55</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417D53D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51</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0E8DC72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49</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1C9097E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47</w:t>
                  </w:r>
                </w:p>
              </w:tc>
              <w:tc>
                <w:tcPr>
                  <w:tcW w:w="455" w:type="pct"/>
                  <w:tcBorders>
                    <w:top w:val="single" w:color="auto" w:sz="4" w:space="0"/>
                    <w:left w:val="single" w:color="auto" w:sz="4" w:space="0"/>
                    <w:bottom w:val="single" w:color="auto" w:sz="4" w:space="0"/>
                    <w:right w:val="single" w:color="auto" w:sz="4" w:space="0"/>
                  </w:tcBorders>
                  <w:noWrap w:val="0"/>
                  <w:vAlign w:val="center"/>
                </w:tcPr>
                <w:p w14:paraId="2EA49E6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45</w:t>
                  </w:r>
                </w:p>
              </w:tc>
            </w:tr>
            <w:tr w14:paraId="07118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tcBorders>
                    <w:top w:val="single" w:color="auto" w:sz="4" w:space="0"/>
                    <w:left w:val="single" w:color="auto" w:sz="4" w:space="0"/>
                    <w:bottom w:val="single" w:color="auto" w:sz="4" w:space="0"/>
                    <w:right w:val="single" w:color="auto" w:sz="4" w:space="0"/>
                  </w:tcBorders>
                  <w:noWrap w:val="0"/>
                  <w:vAlign w:val="center"/>
                </w:tcPr>
                <w:p w14:paraId="4A98101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泥浆泵</w:t>
                  </w:r>
                </w:p>
              </w:tc>
              <w:tc>
                <w:tcPr>
                  <w:tcW w:w="472" w:type="pct"/>
                  <w:tcBorders>
                    <w:top w:val="single" w:color="auto" w:sz="4" w:space="0"/>
                    <w:left w:val="single" w:color="auto" w:sz="4" w:space="0"/>
                    <w:bottom w:val="single" w:color="auto" w:sz="4" w:space="0"/>
                    <w:right w:val="single" w:color="auto" w:sz="4" w:space="0"/>
                  </w:tcBorders>
                  <w:noWrap w:val="0"/>
                  <w:vAlign w:val="center"/>
                </w:tcPr>
                <w:p w14:paraId="4C69EFA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70</w:t>
                  </w:r>
                </w:p>
              </w:tc>
              <w:tc>
                <w:tcPr>
                  <w:tcW w:w="330" w:type="pct"/>
                  <w:tcBorders>
                    <w:top w:val="single" w:color="auto" w:sz="4" w:space="0"/>
                    <w:left w:val="single" w:color="auto" w:sz="4" w:space="0"/>
                    <w:bottom w:val="single" w:color="auto" w:sz="4" w:space="0"/>
                    <w:right w:val="single" w:color="auto" w:sz="4" w:space="0"/>
                  </w:tcBorders>
                  <w:noWrap w:val="0"/>
                  <w:vAlign w:val="center"/>
                </w:tcPr>
                <w:p w14:paraId="6224406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w:t>
                  </w:r>
                </w:p>
              </w:tc>
              <w:tc>
                <w:tcPr>
                  <w:tcW w:w="472" w:type="pct"/>
                  <w:tcBorders>
                    <w:top w:val="single" w:color="auto" w:sz="4" w:space="0"/>
                    <w:left w:val="single" w:color="auto" w:sz="4" w:space="0"/>
                    <w:bottom w:val="single" w:color="auto" w:sz="4" w:space="0"/>
                    <w:right w:val="single" w:color="auto" w:sz="4" w:space="0"/>
                  </w:tcBorders>
                  <w:noWrap w:val="0"/>
                  <w:vAlign w:val="top"/>
                </w:tcPr>
                <w:p w14:paraId="7483ACB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73</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0218909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53</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3FCEE86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39</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1653BA4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33</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4554CDE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29.5</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287E5EC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27</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640FD68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25</w:t>
                  </w:r>
                </w:p>
              </w:tc>
              <w:tc>
                <w:tcPr>
                  <w:tcW w:w="455" w:type="pct"/>
                  <w:tcBorders>
                    <w:top w:val="single" w:color="auto" w:sz="4" w:space="0"/>
                    <w:left w:val="single" w:color="auto" w:sz="4" w:space="0"/>
                    <w:bottom w:val="single" w:color="auto" w:sz="4" w:space="0"/>
                    <w:right w:val="single" w:color="auto" w:sz="4" w:space="0"/>
                  </w:tcBorders>
                  <w:noWrap w:val="0"/>
                  <w:vAlign w:val="center"/>
                </w:tcPr>
                <w:p w14:paraId="14FC660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23.5</w:t>
                  </w:r>
                </w:p>
              </w:tc>
            </w:tr>
            <w:tr w14:paraId="3A4C1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tcBorders>
                    <w:top w:val="single" w:color="auto" w:sz="4" w:space="0"/>
                    <w:left w:val="single" w:color="auto" w:sz="4" w:space="0"/>
                    <w:bottom w:val="single" w:color="auto" w:sz="4" w:space="0"/>
                    <w:right w:val="single" w:color="auto" w:sz="4" w:space="0"/>
                  </w:tcBorders>
                  <w:noWrap w:val="0"/>
                  <w:vAlign w:val="center"/>
                </w:tcPr>
                <w:p w14:paraId="4DF919C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除砂器</w:t>
                  </w:r>
                </w:p>
              </w:tc>
              <w:tc>
                <w:tcPr>
                  <w:tcW w:w="472" w:type="pct"/>
                  <w:tcBorders>
                    <w:top w:val="single" w:color="auto" w:sz="4" w:space="0"/>
                    <w:left w:val="single" w:color="auto" w:sz="4" w:space="0"/>
                    <w:bottom w:val="single" w:color="auto" w:sz="4" w:space="0"/>
                    <w:right w:val="single" w:color="auto" w:sz="4" w:space="0"/>
                  </w:tcBorders>
                  <w:noWrap w:val="0"/>
                  <w:vAlign w:val="center"/>
                </w:tcPr>
                <w:p w14:paraId="2F6D65A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65</w:t>
                  </w:r>
                </w:p>
              </w:tc>
              <w:tc>
                <w:tcPr>
                  <w:tcW w:w="330" w:type="pct"/>
                  <w:tcBorders>
                    <w:top w:val="single" w:color="auto" w:sz="4" w:space="0"/>
                    <w:left w:val="single" w:color="auto" w:sz="4" w:space="0"/>
                    <w:bottom w:val="single" w:color="auto" w:sz="4" w:space="0"/>
                    <w:right w:val="single" w:color="auto" w:sz="4" w:space="0"/>
                  </w:tcBorders>
                  <w:noWrap w:val="0"/>
                  <w:vAlign w:val="center"/>
                </w:tcPr>
                <w:p w14:paraId="2AFB8E2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w:t>
                  </w:r>
                </w:p>
              </w:tc>
              <w:tc>
                <w:tcPr>
                  <w:tcW w:w="472" w:type="pct"/>
                  <w:tcBorders>
                    <w:top w:val="single" w:color="auto" w:sz="4" w:space="0"/>
                    <w:left w:val="single" w:color="auto" w:sz="4" w:space="0"/>
                    <w:bottom w:val="single" w:color="auto" w:sz="4" w:space="0"/>
                    <w:right w:val="single" w:color="auto" w:sz="4" w:space="0"/>
                  </w:tcBorders>
                  <w:noWrap w:val="0"/>
                  <w:vAlign w:val="center"/>
                </w:tcPr>
                <w:p w14:paraId="5F6864A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65</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05BF512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45</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4BD9B7C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31</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2ED462F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25</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7B31B3B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21.5</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134A237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19</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68697D5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17</w:t>
                  </w:r>
                </w:p>
              </w:tc>
              <w:tc>
                <w:tcPr>
                  <w:tcW w:w="455" w:type="pct"/>
                  <w:tcBorders>
                    <w:top w:val="single" w:color="auto" w:sz="4" w:space="0"/>
                    <w:left w:val="single" w:color="auto" w:sz="4" w:space="0"/>
                    <w:bottom w:val="single" w:color="auto" w:sz="4" w:space="0"/>
                    <w:right w:val="single" w:color="auto" w:sz="4" w:space="0"/>
                  </w:tcBorders>
                  <w:noWrap w:val="0"/>
                  <w:vAlign w:val="center"/>
                </w:tcPr>
                <w:p w14:paraId="18008BC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15.5</w:t>
                  </w:r>
                </w:p>
              </w:tc>
            </w:tr>
            <w:tr w14:paraId="60DDA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tcBorders>
                    <w:top w:val="single" w:color="auto" w:sz="4" w:space="0"/>
                    <w:left w:val="single" w:color="auto" w:sz="4" w:space="0"/>
                    <w:bottom w:val="single" w:color="auto" w:sz="4" w:space="0"/>
                    <w:right w:val="single" w:color="auto" w:sz="4" w:space="0"/>
                  </w:tcBorders>
                  <w:noWrap w:val="0"/>
                  <w:vAlign w:val="center"/>
                </w:tcPr>
                <w:p w14:paraId="5E20F8F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除泥器</w:t>
                  </w:r>
                </w:p>
              </w:tc>
              <w:tc>
                <w:tcPr>
                  <w:tcW w:w="472" w:type="pct"/>
                  <w:tcBorders>
                    <w:top w:val="single" w:color="auto" w:sz="4" w:space="0"/>
                    <w:left w:val="single" w:color="auto" w:sz="4" w:space="0"/>
                    <w:bottom w:val="single" w:color="auto" w:sz="4" w:space="0"/>
                    <w:right w:val="single" w:color="auto" w:sz="4" w:space="0"/>
                  </w:tcBorders>
                  <w:noWrap w:val="0"/>
                  <w:vAlign w:val="center"/>
                </w:tcPr>
                <w:p w14:paraId="4FDC0BC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65</w:t>
                  </w:r>
                </w:p>
              </w:tc>
              <w:tc>
                <w:tcPr>
                  <w:tcW w:w="330" w:type="pct"/>
                  <w:tcBorders>
                    <w:top w:val="single" w:color="auto" w:sz="4" w:space="0"/>
                    <w:left w:val="single" w:color="auto" w:sz="4" w:space="0"/>
                    <w:bottom w:val="single" w:color="auto" w:sz="4" w:space="0"/>
                    <w:right w:val="single" w:color="auto" w:sz="4" w:space="0"/>
                  </w:tcBorders>
                  <w:noWrap w:val="0"/>
                  <w:vAlign w:val="center"/>
                </w:tcPr>
                <w:p w14:paraId="253C2E0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w:t>
                  </w:r>
                </w:p>
              </w:tc>
              <w:tc>
                <w:tcPr>
                  <w:tcW w:w="472" w:type="pct"/>
                  <w:tcBorders>
                    <w:top w:val="single" w:color="auto" w:sz="4" w:space="0"/>
                    <w:left w:val="single" w:color="auto" w:sz="4" w:space="0"/>
                    <w:bottom w:val="single" w:color="auto" w:sz="4" w:space="0"/>
                    <w:right w:val="single" w:color="auto" w:sz="4" w:space="0"/>
                  </w:tcBorders>
                  <w:noWrap w:val="0"/>
                  <w:vAlign w:val="center"/>
                </w:tcPr>
                <w:p w14:paraId="201776B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65</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163F146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45</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2AC8CB0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31</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3992AAF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25</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2493A94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21.5</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2925AFC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19</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23D5625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17</w:t>
                  </w:r>
                </w:p>
              </w:tc>
              <w:tc>
                <w:tcPr>
                  <w:tcW w:w="455" w:type="pct"/>
                  <w:tcBorders>
                    <w:top w:val="single" w:color="auto" w:sz="4" w:space="0"/>
                    <w:left w:val="single" w:color="auto" w:sz="4" w:space="0"/>
                    <w:bottom w:val="single" w:color="auto" w:sz="4" w:space="0"/>
                    <w:right w:val="single" w:color="auto" w:sz="4" w:space="0"/>
                  </w:tcBorders>
                  <w:noWrap w:val="0"/>
                  <w:vAlign w:val="center"/>
                </w:tcPr>
                <w:p w14:paraId="235BC22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15.5</w:t>
                  </w:r>
                </w:p>
              </w:tc>
            </w:tr>
            <w:tr w14:paraId="4E171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tcBorders>
                    <w:top w:val="single" w:color="auto" w:sz="4" w:space="0"/>
                    <w:left w:val="single" w:color="auto" w:sz="4" w:space="0"/>
                    <w:bottom w:val="single" w:color="auto" w:sz="4" w:space="0"/>
                    <w:right w:val="single" w:color="auto" w:sz="4" w:space="0"/>
                  </w:tcBorders>
                  <w:noWrap w:val="0"/>
                  <w:vAlign w:val="center"/>
                </w:tcPr>
                <w:p w14:paraId="4154EE0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离心机</w:t>
                  </w:r>
                </w:p>
              </w:tc>
              <w:tc>
                <w:tcPr>
                  <w:tcW w:w="472" w:type="pct"/>
                  <w:tcBorders>
                    <w:top w:val="single" w:color="auto" w:sz="4" w:space="0"/>
                    <w:left w:val="single" w:color="auto" w:sz="4" w:space="0"/>
                    <w:bottom w:val="single" w:color="auto" w:sz="4" w:space="0"/>
                    <w:right w:val="single" w:color="auto" w:sz="4" w:space="0"/>
                  </w:tcBorders>
                  <w:noWrap w:val="0"/>
                  <w:vAlign w:val="center"/>
                </w:tcPr>
                <w:p w14:paraId="0290E19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70</w:t>
                  </w:r>
                </w:p>
              </w:tc>
              <w:tc>
                <w:tcPr>
                  <w:tcW w:w="330" w:type="pct"/>
                  <w:tcBorders>
                    <w:top w:val="single" w:color="auto" w:sz="4" w:space="0"/>
                    <w:left w:val="single" w:color="auto" w:sz="4" w:space="0"/>
                    <w:bottom w:val="single" w:color="auto" w:sz="4" w:space="0"/>
                    <w:right w:val="single" w:color="auto" w:sz="4" w:space="0"/>
                  </w:tcBorders>
                  <w:noWrap w:val="0"/>
                  <w:vAlign w:val="center"/>
                </w:tcPr>
                <w:p w14:paraId="54D3036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w:t>
                  </w:r>
                </w:p>
              </w:tc>
              <w:tc>
                <w:tcPr>
                  <w:tcW w:w="472" w:type="pct"/>
                  <w:tcBorders>
                    <w:top w:val="single" w:color="auto" w:sz="4" w:space="0"/>
                    <w:left w:val="single" w:color="auto" w:sz="4" w:space="0"/>
                    <w:bottom w:val="single" w:color="auto" w:sz="4" w:space="0"/>
                    <w:right w:val="single" w:color="auto" w:sz="4" w:space="0"/>
                  </w:tcBorders>
                  <w:noWrap w:val="0"/>
                  <w:vAlign w:val="center"/>
                </w:tcPr>
                <w:p w14:paraId="77DB983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73</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0570447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53</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5FCC385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39</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1B89B84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33</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0B7B29D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29.5</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382A702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27</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2A62AFE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25</w:t>
                  </w:r>
                </w:p>
              </w:tc>
              <w:tc>
                <w:tcPr>
                  <w:tcW w:w="455" w:type="pct"/>
                  <w:tcBorders>
                    <w:top w:val="single" w:color="auto" w:sz="4" w:space="0"/>
                    <w:left w:val="single" w:color="auto" w:sz="4" w:space="0"/>
                    <w:bottom w:val="single" w:color="auto" w:sz="4" w:space="0"/>
                    <w:right w:val="single" w:color="auto" w:sz="4" w:space="0"/>
                  </w:tcBorders>
                  <w:noWrap w:val="0"/>
                  <w:vAlign w:val="center"/>
                </w:tcPr>
                <w:p w14:paraId="4747132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23.5</w:t>
                  </w:r>
                </w:p>
              </w:tc>
            </w:tr>
            <w:tr w14:paraId="7C272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tcBorders>
                    <w:top w:val="single" w:color="auto" w:sz="4" w:space="0"/>
                    <w:left w:val="single" w:color="auto" w:sz="4" w:space="0"/>
                    <w:bottom w:val="single" w:color="auto" w:sz="4" w:space="0"/>
                    <w:right w:val="single" w:color="auto" w:sz="4" w:space="0"/>
                  </w:tcBorders>
                  <w:noWrap w:val="0"/>
                  <w:vAlign w:val="center"/>
                </w:tcPr>
                <w:p w14:paraId="164789D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振动筛</w:t>
                  </w:r>
                </w:p>
              </w:tc>
              <w:tc>
                <w:tcPr>
                  <w:tcW w:w="472" w:type="pct"/>
                  <w:tcBorders>
                    <w:top w:val="single" w:color="auto" w:sz="4" w:space="0"/>
                    <w:left w:val="single" w:color="auto" w:sz="4" w:space="0"/>
                    <w:bottom w:val="single" w:color="auto" w:sz="4" w:space="0"/>
                    <w:right w:val="single" w:color="auto" w:sz="4" w:space="0"/>
                  </w:tcBorders>
                  <w:noWrap w:val="0"/>
                  <w:vAlign w:val="center"/>
                </w:tcPr>
                <w:p w14:paraId="062F752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65</w:t>
                  </w:r>
                </w:p>
              </w:tc>
              <w:tc>
                <w:tcPr>
                  <w:tcW w:w="330" w:type="pct"/>
                  <w:tcBorders>
                    <w:top w:val="single" w:color="auto" w:sz="4" w:space="0"/>
                    <w:left w:val="single" w:color="auto" w:sz="4" w:space="0"/>
                    <w:bottom w:val="single" w:color="auto" w:sz="4" w:space="0"/>
                    <w:right w:val="single" w:color="auto" w:sz="4" w:space="0"/>
                  </w:tcBorders>
                  <w:noWrap w:val="0"/>
                  <w:vAlign w:val="center"/>
                </w:tcPr>
                <w:p w14:paraId="6757565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3</w:t>
                  </w:r>
                </w:p>
              </w:tc>
              <w:tc>
                <w:tcPr>
                  <w:tcW w:w="472" w:type="pct"/>
                  <w:tcBorders>
                    <w:top w:val="single" w:color="auto" w:sz="4" w:space="0"/>
                    <w:left w:val="single" w:color="auto" w:sz="4" w:space="0"/>
                    <w:bottom w:val="single" w:color="auto" w:sz="4" w:space="0"/>
                    <w:right w:val="single" w:color="auto" w:sz="4" w:space="0"/>
                  </w:tcBorders>
                  <w:noWrap w:val="0"/>
                  <w:vAlign w:val="top"/>
                </w:tcPr>
                <w:p w14:paraId="7C3B4BF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69.7</w:t>
                  </w:r>
                </w:p>
              </w:tc>
              <w:tc>
                <w:tcPr>
                  <w:tcW w:w="392" w:type="pct"/>
                  <w:tcBorders>
                    <w:top w:val="single" w:color="auto" w:sz="4" w:space="0"/>
                    <w:left w:val="single" w:color="auto" w:sz="4" w:space="0"/>
                    <w:bottom w:val="single" w:color="auto" w:sz="4" w:space="0"/>
                    <w:right w:val="single" w:color="auto" w:sz="4" w:space="0"/>
                  </w:tcBorders>
                  <w:noWrap w:val="0"/>
                  <w:vAlign w:val="top"/>
                </w:tcPr>
                <w:p w14:paraId="6712896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49.7</w:t>
                  </w:r>
                </w:p>
              </w:tc>
              <w:tc>
                <w:tcPr>
                  <w:tcW w:w="392" w:type="pct"/>
                  <w:tcBorders>
                    <w:top w:val="single" w:color="auto" w:sz="4" w:space="0"/>
                    <w:left w:val="single" w:color="auto" w:sz="4" w:space="0"/>
                    <w:bottom w:val="single" w:color="auto" w:sz="4" w:space="0"/>
                    <w:right w:val="single" w:color="auto" w:sz="4" w:space="0"/>
                  </w:tcBorders>
                  <w:noWrap w:val="0"/>
                  <w:vAlign w:val="top"/>
                </w:tcPr>
                <w:p w14:paraId="5A45685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35.7</w:t>
                  </w:r>
                </w:p>
              </w:tc>
              <w:tc>
                <w:tcPr>
                  <w:tcW w:w="431" w:type="pct"/>
                  <w:tcBorders>
                    <w:top w:val="single" w:color="auto" w:sz="4" w:space="0"/>
                    <w:left w:val="single" w:color="auto" w:sz="4" w:space="0"/>
                    <w:bottom w:val="single" w:color="auto" w:sz="4" w:space="0"/>
                    <w:right w:val="single" w:color="auto" w:sz="4" w:space="0"/>
                  </w:tcBorders>
                  <w:noWrap w:val="0"/>
                  <w:vAlign w:val="top"/>
                </w:tcPr>
                <w:p w14:paraId="11B1089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29.7</w:t>
                  </w:r>
                </w:p>
              </w:tc>
              <w:tc>
                <w:tcPr>
                  <w:tcW w:w="431" w:type="pct"/>
                  <w:tcBorders>
                    <w:top w:val="single" w:color="auto" w:sz="4" w:space="0"/>
                    <w:left w:val="single" w:color="auto" w:sz="4" w:space="0"/>
                    <w:bottom w:val="single" w:color="auto" w:sz="4" w:space="0"/>
                    <w:right w:val="single" w:color="auto" w:sz="4" w:space="0"/>
                  </w:tcBorders>
                  <w:noWrap w:val="0"/>
                  <w:vAlign w:val="top"/>
                </w:tcPr>
                <w:p w14:paraId="7B1172A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26.2</w:t>
                  </w:r>
                </w:p>
              </w:tc>
              <w:tc>
                <w:tcPr>
                  <w:tcW w:w="431" w:type="pct"/>
                  <w:tcBorders>
                    <w:top w:val="single" w:color="auto" w:sz="4" w:space="0"/>
                    <w:left w:val="single" w:color="auto" w:sz="4" w:space="0"/>
                    <w:bottom w:val="single" w:color="auto" w:sz="4" w:space="0"/>
                    <w:right w:val="single" w:color="auto" w:sz="4" w:space="0"/>
                  </w:tcBorders>
                  <w:noWrap w:val="0"/>
                  <w:vAlign w:val="top"/>
                </w:tcPr>
                <w:p w14:paraId="236301E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23.7</w:t>
                  </w:r>
                </w:p>
              </w:tc>
              <w:tc>
                <w:tcPr>
                  <w:tcW w:w="431" w:type="pct"/>
                  <w:tcBorders>
                    <w:top w:val="single" w:color="auto" w:sz="4" w:space="0"/>
                    <w:left w:val="single" w:color="auto" w:sz="4" w:space="0"/>
                    <w:bottom w:val="single" w:color="auto" w:sz="4" w:space="0"/>
                    <w:right w:val="single" w:color="auto" w:sz="4" w:space="0"/>
                  </w:tcBorders>
                  <w:noWrap w:val="0"/>
                  <w:vAlign w:val="top"/>
                </w:tcPr>
                <w:p w14:paraId="1BEA103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21.7</w:t>
                  </w:r>
                </w:p>
              </w:tc>
              <w:tc>
                <w:tcPr>
                  <w:tcW w:w="455" w:type="pct"/>
                  <w:tcBorders>
                    <w:top w:val="single" w:color="auto" w:sz="4" w:space="0"/>
                    <w:left w:val="single" w:color="auto" w:sz="4" w:space="0"/>
                    <w:bottom w:val="single" w:color="auto" w:sz="4" w:space="0"/>
                    <w:right w:val="single" w:color="auto" w:sz="4" w:space="0"/>
                  </w:tcBorders>
                  <w:noWrap w:val="0"/>
                  <w:vAlign w:val="top"/>
                </w:tcPr>
                <w:p w14:paraId="74D23AE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20.2</w:t>
                  </w:r>
                </w:p>
              </w:tc>
            </w:tr>
            <w:tr w14:paraId="781E5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tcBorders>
                    <w:top w:val="single" w:color="auto" w:sz="4" w:space="0"/>
                    <w:left w:val="single" w:color="auto" w:sz="4" w:space="0"/>
                    <w:bottom w:val="single" w:color="auto" w:sz="4" w:space="0"/>
                    <w:right w:val="single" w:color="auto" w:sz="4" w:space="0"/>
                  </w:tcBorders>
                  <w:noWrap w:val="0"/>
                  <w:vAlign w:val="center"/>
                </w:tcPr>
                <w:p w14:paraId="6FC91B3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加重泵</w:t>
                  </w:r>
                </w:p>
              </w:tc>
              <w:tc>
                <w:tcPr>
                  <w:tcW w:w="472" w:type="pct"/>
                  <w:tcBorders>
                    <w:top w:val="single" w:color="auto" w:sz="4" w:space="0"/>
                    <w:left w:val="single" w:color="auto" w:sz="4" w:space="0"/>
                    <w:bottom w:val="single" w:color="auto" w:sz="4" w:space="0"/>
                    <w:right w:val="single" w:color="auto" w:sz="4" w:space="0"/>
                  </w:tcBorders>
                  <w:noWrap w:val="0"/>
                  <w:vAlign w:val="center"/>
                </w:tcPr>
                <w:p w14:paraId="6F0FB82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70</w:t>
                  </w:r>
                </w:p>
              </w:tc>
              <w:tc>
                <w:tcPr>
                  <w:tcW w:w="330" w:type="pct"/>
                  <w:tcBorders>
                    <w:top w:val="single" w:color="auto" w:sz="4" w:space="0"/>
                    <w:left w:val="single" w:color="auto" w:sz="4" w:space="0"/>
                    <w:bottom w:val="single" w:color="auto" w:sz="4" w:space="0"/>
                    <w:right w:val="single" w:color="auto" w:sz="4" w:space="0"/>
                  </w:tcBorders>
                  <w:noWrap w:val="0"/>
                  <w:vAlign w:val="center"/>
                </w:tcPr>
                <w:p w14:paraId="1920AA0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w:t>
                  </w:r>
                </w:p>
              </w:tc>
              <w:tc>
                <w:tcPr>
                  <w:tcW w:w="472" w:type="pct"/>
                  <w:tcBorders>
                    <w:top w:val="single" w:color="auto" w:sz="4" w:space="0"/>
                    <w:left w:val="single" w:color="auto" w:sz="4" w:space="0"/>
                    <w:bottom w:val="single" w:color="auto" w:sz="4" w:space="0"/>
                    <w:right w:val="single" w:color="auto" w:sz="4" w:space="0"/>
                  </w:tcBorders>
                  <w:noWrap w:val="0"/>
                  <w:vAlign w:val="top"/>
                </w:tcPr>
                <w:p w14:paraId="46048FA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73</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31B33E8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53</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48A3666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39</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79B30DE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33</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00E8EAC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29.5</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505ACC7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27</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0F3B703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25</w:t>
                  </w:r>
                </w:p>
              </w:tc>
              <w:tc>
                <w:tcPr>
                  <w:tcW w:w="455" w:type="pct"/>
                  <w:tcBorders>
                    <w:top w:val="single" w:color="auto" w:sz="4" w:space="0"/>
                    <w:left w:val="single" w:color="auto" w:sz="4" w:space="0"/>
                    <w:bottom w:val="single" w:color="auto" w:sz="4" w:space="0"/>
                    <w:right w:val="single" w:color="auto" w:sz="4" w:space="0"/>
                  </w:tcBorders>
                  <w:noWrap w:val="0"/>
                  <w:vAlign w:val="center"/>
                </w:tcPr>
                <w:p w14:paraId="7419444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23.5</w:t>
                  </w:r>
                </w:p>
              </w:tc>
            </w:tr>
            <w:tr w14:paraId="72C65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tcBorders>
                    <w:top w:val="single" w:color="auto" w:sz="4" w:space="0"/>
                    <w:left w:val="single" w:color="auto" w:sz="4" w:space="0"/>
                    <w:bottom w:val="single" w:color="auto" w:sz="4" w:space="0"/>
                    <w:right w:val="single" w:color="auto" w:sz="4" w:space="0"/>
                  </w:tcBorders>
                  <w:noWrap w:val="0"/>
                  <w:vAlign w:val="center"/>
                </w:tcPr>
                <w:p w14:paraId="471535A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自动压风机</w:t>
                  </w:r>
                </w:p>
              </w:tc>
              <w:tc>
                <w:tcPr>
                  <w:tcW w:w="472" w:type="pct"/>
                  <w:tcBorders>
                    <w:top w:val="single" w:color="auto" w:sz="4" w:space="0"/>
                    <w:left w:val="single" w:color="auto" w:sz="4" w:space="0"/>
                    <w:bottom w:val="single" w:color="auto" w:sz="4" w:space="0"/>
                    <w:right w:val="single" w:color="auto" w:sz="4" w:space="0"/>
                  </w:tcBorders>
                  <w:noWrap w:val="0"/>
                  <w:vAlign w:val="center"/>
                </w:tcPr>
                <w:p w14:paraId="51E20B3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70</w:t>
                  </w:r>
                </w:p>
              </w:tc>
              <w:tc>
                <w:tcPr>
                  <w:tcW w:w="330" w:type="pct"/>
                  <w:tcBorders>
                    <w:top w:val="single" w:color="auto" w:sz="4" w:space="0"/>
                    <w:left w:val="single" w:color="auto" w:sz="4" w:space="0"/>
                    <w:bottom w:val="single" w:color="auto" w:sz="4" w:space="0"/>
                    <w:right w:val="single" w:color="auto" w:sz="4" w:space="0"/>
                  </w:tcBorders>
                  <w:noWrap w:val="0"/>
                  <w:vAlign w:val="center"/>
                </w:tcPr>
                <w:p w14:paraId="28FC8C0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w:t>
                  </w:r>
                </w:p>
              </w:tc>
              <w:tc>
                <w:tcPr>
                  <w:tcW w:w="472" w:type="pct"/>
                  <w:tcBorders>
                    <w:top w:val="single" w:color="auto" w:sz="4" w:space="0"/>
                    <w:left w:val="single" w:color="auto" w:sz="4" w:space="0"/>
                    <w:bottom w:val="single" w:color="auto" w:sz="4" w:space="0"/>
                    <w:right w:val="single" w:color="auto" w:sz="4" w:space="0"/>
                  </w:tcBorders>
                  <w:noWrap w:val="0"/>
                  <w:vAlign w:val="center"/>
                </w:tcPr>
                <w:p w14:paraId="210C1E1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70</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603C9EE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50</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7676DE6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36</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1D84506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30</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378913C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27</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4DE64F5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24</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539F41A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22</w:t>
                  </w:r>
                </w:p>
              </w:tc>
              <w:tc>
                <w:tcPr>
                  <w:tcW w:w="455" w:type="pct"/>
                  <w:tcBorders>
                    <w:top w:val="single" w:color="auto" w:sz="4" w:space="0"/>
                    <w:left w:val="single" w:color="auto" w:sz="4" w:space="0"/>
                    <w:bottom w:val="single" w:color="auto" w:sz="4" w:space="0"/>
                    <w:right w:val="single" w:color="auto" w:sz="4" w:space="0"/>
                  </w:tcBorders>
                  <w:noWrap w:val="0"/>
                  <w:vAlign w:val="center"/>
                </w:tcPr>
                <w:p w14:paraId="2E31AF0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20</w:t>
                  </w:r>
                </w:p>
              </w:tc>
            </w:tr>
            <w:tr w14:paraId="22EE7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tcBorders>
                    <w:top w:val="single" w:color="auto" w:sz="4" w:space="0"/>
                    <w:left w:val="single" w:color="auto" w:sz="4" w:space="0"/>
                    <w:bottom w:val="single" w:color="auto" w:sz="4" w:space="0"/>
                    <w:right w:val="single" w:color="auto" w:sz="4" w:space="0"/>
                  </w:tcBorders>
                  <w:noWrap w:val="0"/>
                  <w:vAlign w:val="center"/>
                </w:tcPr>
                <w:p w14:paraId="1978581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电动压风机</w:t>
                  </w:r>
                </w:p>
              </w:tc>
              <w:tc>
                <w:tcPr>
                  <w:tcW w:w="472" w:type="pct"/>
                  <w:tcBorders>
                    <w:top w:val="single" w:color="auto" w:sz="4" w:space="0"/>
                    <w:left w:val="single" w:color="auto" w:sz="4" w:space="0"/>
                    <w:bottom w:val="single" w:color="auto" w:sz="4" w:space="0"/>
                    <w:right w:val="single" w:color="auto" w:sz="4" w:space="0"/>
                  </w:tcBorders>
                  <w:noWrap w:val="0"/>
                  <w:vAlign w:val="center"/>
                </w:tcPr>
                <w:p w14:paraId="4C808B9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70</w:t>
                  </w:r>
                </w:p>
              </w:tc>
              <w:tc>
                <w:tcPr>
                  <w:tcW w:w="330" w:type="pct"/>
                  <w:tcBorders>
                    <w:top w:val="single" w:color="auto" w:sz="4" w:space="0"/>
                    <w:left w:val="single" w:color="auto" w:sz="4" w:space="0"/>
                    <w:bottom w:val="single" w:color="auto" w:sz="4" w:space="0"/>
                    <w:right w:val="single" w:color="auto" w:sz="4" w:space="0"/>
                  </w:tcBorders>
                  <w:noWrap w:val="0"/>
                  <w:vAlign w:val="center"/>
                </w:tcPr>
                <w:p w14:paraId="3735EC1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w:t>
                  </w:r>
                </w:p>
              </w:tc>
              <w:tc>
                <w:tcPr>
                  <w:tcW w:w="472" w:type="pct"/>
                  <w:tcBorders>
                    <w:top w:val="single" w:color="auto" w:sz="4" w:space="0"/>
                    <w:left w:val="single" w:color="auto" w:sz="4" w:space="0"/>
                    <w:bottom w:val="single" w:color="auto" w:sz="4" w:space="0"/>
                    <w:right w:val="single" w:color="auto" w:sz="4" w:space="0"/>
                  </w:tcBorders>
                  <w:noWrap w:val="0"/>
                  <w:vAlign w:val="center"/>
                </w:tcPr>
                <w:p w14:paraId="690DF10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70</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7B50C2D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50</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0BF834E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36</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24731C7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30</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13DAE41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27</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09D5741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24</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1ADC7D7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22</w:t>
                  </w:r>
                </w:p>
              </w:tc>
              <w:tc>
                <w:tcPr>
                  <w:tcW w:w="455" w:type="pct"/>
                  <w:tcBorders>
                    <w:top w:val="single" w:color="auto" w:sz="4" w:space="0"/>
                    <w:left w:val="single" w:color="auto" w:sz="4" w:space="0"/>
                    <w:bottom w:val="single" w:color="auto" w:sz="4" w:space="0"/>
                    <w:right w:val="single" w:color="auto" w:sz="4" w:space="0"/>
                  </w:tcBorders>
                  <w:noWrap w:val="0"/>
                  <w:vAlign w:val="center"/>
                </w:tcPr>
                <w:p w14:paraId="179E770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20</w:t>
                  </w:r>
                </w:p>
              </w:tc>
            </w:tr>
            <w:tr w14:paraId="2DA8F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tcBorders>
                    <w:top w:val="single" w:color="auto" w:sz="4" w:space="0"/>
                    <w:left w:val="single" w:color="auto" w:sz="4" w:space="0"/>
                    <w:bottom w:val="single" w:color="auto" w:sz="4" w:space="0"/>
                    <w:right w:val="single" w:color="auto" w:sz="4" w:space="0"/>
                  </w:tcBorders>
                  <w:noWrap w:val="0"/>
                  <w:vAlign w:val="center"/>
                </w:tcPr>
                <w:p w14:paraId="62B7C8E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压滤机</w:t>
                  </w:r>
                </w:p>
              </w:tc>
              <w:tc>
                <w:tcPr>
                  <w:tcW w:w="472" w:type="pct"/>
                  <w:tcBorders>
                    <w:top w:val="single" w:color="auto" w:sz="4" w:space="0"/>
                    <w:left w:val="single" w:color="auto" w:sz="4" w:space="0"/>
                    <w:bottom w:val="single" w:color="auto" w:sz="4" w:space="0"/>
                    <w:right w:val="single" w:color="auto" w:sz="4" w:space="0"/>
                  </w:tcBorders>
                  <w:noWrap w:val="0"/>
                  <w:vAlign w:val="center"/>
                </w:tcPr>
                <w:p w14:paraId="0293CFA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75</w:t>
                  </w:r>
                </w:p>
              </w:tc>
              <w:tc>
                <w:tcPr>
                  <w:tcW w:w="330" w:type="pct"/>
                  <w:tcBorders>
                    <w:top w:val="single" w:color="auto" w:sz="4" w:space="0"/>
                    <w:left w:val="single" w:color="auto" w:sz="4" w:space="0"/>
                    <w:bottom w:val="single" w:color="auto" w:sz="4" w:space="0"/>
                    <w:right w:val="single" w:color="auto" w:sz="4" w:space="0"/>
                  </w:tcBorders>
                  <w:noWrap w:val="0"/>
                  <w:vAlign w:val="center"/>
                </w:tcPr>
                <w:p w14:paraId="3A08EB7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w:t>
                  </w:r>
                </w:p>
              </w:tc>
              <w:tc>
                <w:tcPr>
                  <w:tcW w:w="472" w:type="pct"/>
                  <w:tcBorders>
                    <w:top w:val="single" w:color="auto" w:sz="4" w:space="0"/>
                    <w:left w:val="single" w:color="auto" w:sz="4" w:space="0"/>
                    <w:bottom w:val="single" w:color="auto" w:sz="4" w:space="0"/>
                    <w:right w:val="single" w:color="auto" w:sz="4" w:space="0"/>
                  </w:tcBorders>
                  <w:noWrap w:val="0"/>
                  <w:vAlign w:val="top"/>
                </w:tcPr>
                <w:p w14:paraId="2326E29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75</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78E878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55</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55FA4B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41</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3EA4BB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35</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638330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31</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3FAEE2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29</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19B24F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27</w:t>
                  </w:r>
                </w:p>
              </w:tc>
              <w:tc>
                <w:tcPr>
                  <w:tcW w:w="455" w:type="pct"/>
                  <w:tcBorders>
                    <w:top w:val="single" w:color="auto" w:sz="4" w:space="0"/>
                    <w:left w:val="single" w:color="auto" w:sz="4" w:space="0"/>
                    <w:bottom w:val="single" w:color="auto" w:sz="4" w:space="0"/>
                    <w:right w:val="single" w:color="auto" w:sz="4" w:space="0"/>
                  </w:tcBorders>
                  <w:noWrap w:val="0"/>
                  <w:vAlign w:val="center"/>
                </w:tcPr>
                <w:p w14:paraId="5D0A02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25</w:t>
                  </w:r>
                </w:p>
              </w:tc>
            </w:tr>
            <w:tr w14:paraId="5B90C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tcBorders>
                    <w:top w:val="single" w:color="auto" w:sz="4" w:space="0"/>
                    <w:left w:val="single" w:color="auto" w:sz="4" w:space="0"/>
                    <w:bottom w:val="single" w:color="auto" w:sz="4" w:space="0"/>
                    <w:right w:val="single" w:color="auto" w:sz="4" w:space="0"/>
                  </w:tcBorders>
                  <w:noWrap w:val="0"/>
                  <w:vAlign w:val="center"/>
                </w:tcPr>
                <w:p w14:paraId="6E0FDD6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噪声贡献值叠加结果</w:t>
                  </w:r>
                </w:p>
              </w:tc>
              <w:tc>
                <w:tcPr>
                  <w:tcW w:w="472" w:type="pct"/>
                  <w:tcBorders>
                    <w:top w:val="single" w:color="auto" w:sz="4" w:space="0"/>
                    <w:left w:val="single" w:color="auto" w:sz="4" w:space="0"/>
                    <w:bottom w:val="single" w:color="auto" w:sz="4" w:space="0"/>
                    <w:right w:val="single" w:color="auto" w:sz="4" w:space="0"/>
                  </w:tcBorders>
                  <w:noWrap w:val="0"/>
                  <w:vAlign w:val="center"/>
                </w:tcPr>
                <w:p w14:paraId="6D400C2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330" w:type="pct"/>
                  <w:tcBorders>
                    <w:top w:val="single" w:color="auto" w:sz="4" w:space="0"/>
                    <w:left w:val="single" w:color="auto" w:sz="4" w:space="0"/>
                    <w:bottom w:val="single" w:color="auto" w:sz="4" w:space="0"/>
                    <w:right w:val="single" w:color="auto" w:sz="4" w:space="0"/>
                  </w:tcBorders>
                  <w:noWrap w:val="0"/>
                  <w:vAlign w:val="center"/>
                </w:tcPr>
                <w:p w14:paraId="7A49EFB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472" w:type="pct"/>
                  <w:tcBorders>
                    <w:top w:val="single" w:color="auto" w:sz="4" w:space="0"/>
                    <w:left w:val="single" w:color="auto" w:sz="4" w:space="0"/>
                    <w:bottom w:val="single" w:color="auto" w:sz="4" w:space="0"/>
                    <w:right w:val="single" w:color="auto" w:sz="4" w:space="0"/>
                  </w:tcBorders>
                  <w:noWrap w:val="0"/>
                  <w:vAlign w:val="center"/>
                </w:tcPr>
                <w:p w14:paraId="19EF845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64D693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75</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346A6F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61</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08C29B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55</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6A5F7F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51</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296D16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49</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52D757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47</w:t>
                  </w:r>
                </w:p>
              </w:tc>
              <w:tc>
                <w:tcPr>
                  <w:tcW w:w="455" w:type="pct"/>
                  <w:tcBorders>
                    <w:top w:val="single" w:color="auto" w:sz="4" w:space="0"/>
                    <w:left w:val="single" w:color="auto" w:sz="4" w:space="0"/>
                    <w:bottom w:val="single" w:color="auto" w:sz="4" w:space="0"/>
                    <w:right w:val="single" w:color="auto" w:sz="4" w:space="0"/>
                  </w:tcBorders>
                  <w:noWrap w:val="0"/>
                  <w:vAlign w:val="center"/>
                </w:tcPr>
                <w:p w14:paraId="0A1D65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45</w:t>
                  </w:r>
                </w:p>
              </w:tc>
            </w:tr>
          </w:tbl>
          <w:p w14:paraId="093E1EB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b w:val="0"/>
                <w:bCs w:val="0"/>
                <w:color w:val="auto"/>
                <w:sz w:val="24"/>
                <w:szCs w:val="24"/>
                <w:highlight w:val="none"/>
                <w:vertAlign w:val="baseline"/>
                <w:lang w:val="en-US" w:eastAsia="zh-CN"/>
              </w:rPr>
            </w:pPr>
            <w:r>
              <w:rPr>
                <w:rFonts w:hint="eastAsia" w:eastAsia="宋体"/>
                <w:color w:val="auto"/>
                <w:sz w:val="21"/>
                <w:szCs w:val="21"/>
                <w:highlight w:val="none"/>
                <w:lang w:eastAsia="zh-CN"/>
              </w:rPr>
              <w:t>（</w:t>
            </w:r>
            <w:r>
              <w:rPr>
                <w:rFonts w:hint="eastAsia" w:ascii="Times New Roman" w:hAnsi="Times New Roman" w:eastAsia="宋体" w:cs="Times New Roman"/>
                <w:b w:val="0"/>
                <w:bCs w:val="0"/>
                <w:color w:val="auto"/>
                <w:sz w:val="21"/>
                <w:szCs w:val="21"/>
                <w:highlight w:val="none"/>
                <w:vertAlign w:val="baseline"/>
                <w:lang w:val="en-US" w:eastAsia="zh-CN"/>
              </w:rPr>
              <w:t>注：本评价依据工程运行特点与设备使用工况，选取最可能同时运行的噪声源进行声级叠加计算，以反映对声环境的最大可能影响。具体叠加源包括钻机、泥浆泵、除砂器、除泥器、离心机、振动筛、加重泵、自动压风机、电动压风机、钻井泵及压滤机等主要施工设备。</w:t>
            </w:r>
            <w:r>
              <w:rPr>
                <w:rFonts w:hint="eastAsia" w:eastAsia="宋体"/>
                <w:color w:val="auto"/>
                <w:sz w:val="21"/>
                <w:szCs w:val="21"/>
                <w:highlight w:val="none"/>
                <w:lang w:eastAsia="zh-CN"/>
              </w:rPr>
              <w:t>）</w:t>
            </w:r>
          </w:p>
          <w:p w14:paraId="07F9D5A5">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b w:val="0"/>
                <w:bCs w:val="0"/>
                <w:color w:val="auto"/>
                <w:sz w:val="24"/>
                <w:szCs w:val="24"/>
                <w:highlight w:val="none"/>
                <w:vertAlign w:val="baseline"/>
                <w:lang w:val="en-US" w:eastAsia="zh-CN"/>
              </w:rPr>
              <w:t>由上表可知，钻井施工期间，钻机噪声影响最大，经过距离衰减后，在距离施工设备100m处昼夜间噪声可满足《建筑施工噪声排放标准》（GB12523-2025）中相关规定。在距离施工设备300m处昼夜间噪声可满足</w:t>
            </w:r>
            <w:r>
              <w:rPr>
                <w:rFonts w:hint="default" w:ascii="Times New Roman" w:hAnsi="Times New Roman" w:eastAsia="Calibri" w:cs="Times New Roman"/>
                <w:color w:val="auto"/>
                <w:kern w:val="0"/>
                <w:sz w:val="24"/>
                <w:szCs w:val="22"/>
                <w:highlight w:val="none"/>
                <w:lang w:val="en-US" w:eastAsia="zh-CN" w:bidi="ar"/>
              </w:rPr>
              <w:t>《声环境质量标准》（GB3096-2008）</w:t>
            </w:r>
            <w:r>
              <w:rPr>
                <w:rFonts w:hint="default" w:ascii="Times New Roman" w:hAnsi="Times New Roman" w:cs="Times New Roman"/>
                <w:color w:val="auto"/>
                <w:kern w:val="0"/>
                <w:sz w:val="24"/>
                <w:szCs w:val="22"/>
                <w:highlight w:val="none"/>
                <w:lang w:val="en-US" w:eastAsia="zh-CN" w:bidi="ar"/>
              </w:rPr>
              <w:t>1</w:t>
            </w:r>
            <w:r>
              <w:rPr>
                <w:rFonts w:hint="default" w:ascii="Times New Roman" w:hAnsi="Times New Roman" w:eastAsia="Calibri" w:cs="Times New Roman"/>
                <w:color w:val="auto"/>
                <w:kern w:val="0"/>
                <w:sz w:val="24"/>
                <w:szCs w:val="22"/>
                <w:highlight w:val="none"/>
                <w:lang w:val="en-US" w:eastAsia="zh-CN" w:bidi="ar"/>
              </w:rPr>
              <w:t>类标准</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根据现场勘查，本项目探井施工场地周边最近住户距离约为</w:t>
            </w:r>
            <w:r>
              <w:rPr>
                <w:rFonts w:hint="eastAsia" w:ascii="Times New Roman" w:hAnsi="Times New Roman" w:eastAsia="宋体" w:cs="Times New Roman"/>
                <w:b w:val="0"/>
                <w:bCs w:val="0"/>
                <w:color w:val="auto"/>
                <w:sz w:val="24"/>
                <w:szCs w:val="24"/>
                <w:highlight w:val="none"/>
                <w:vertAlign w:val="baseline"/>
                <w:lang w:val="en-US" w:eastAsia="zh-CN"/>
              </w:rPr>
              <w:t>352</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项目施工噪声对周围环境影响较小。</w:t>
            </w:r>
          </w:p>
          <w:p w14:paraId="6B5B2B82">
            <w:pPr>
              <w:keepNext w:val="0"/>
              <w:keepLines w:val="0"/>
              <w:widowControl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3、施工期声环境影响分析</w:t>
            </w:r>
          </w:p>
          <w:p w14:paraId="015AF4B0">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（1）土石方阶段影响分析</w:t>
            </w:r>
          </w:p>
          <w:p w14:paraId="63D32B35">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本项目土石方阶段主要使用推土机、装载机、翻斗车等设备，由于施工量较小，施工期很短，设备噪声值相对较小，类比同类型项目，昼间在距离设备50米处，夜间在距离施工设备250米处可满足《</w:t>
            </w:r>
            <w:r>
              <w:rPr>
                <w:rFonts w:hint="eastAsia" w:ascii="Times New Roman" w:hAnsi="Times New Roman" w:cs="Times New Roman"/>
                <w:color w:val="auto"/>
                <w:kern w:val="0"/>
                <w:sz w:val="24"/>
                <w:szCs w:val="24"/>
                <w:highlight w:val="none"/>
                <w:lang w:val="en-US" w:eastAsia="zh-CN" w:bidi="ar"/>
              </w:rPr>
              <w:t>建筑施工噪声排放标准</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cs="Times New Roman"/>
                <w:color w:val="auto"/>
                <w:kern w:val="0"/>
                <w:sz w:val="24"/>
                <w:szCs w:val="24"/>
                <w:highlight w:val="none"/>
                <w:lang w:val="en-US" w:eastAsia="zh-CN" w:bidi="ar"/>
              </w:rPr>
              <w:t>GB12523-2025</w:t>
            </w:r>
            <w:r>
              <w:rPr>
                <w:rFonts w:hint="default" w:ascii="Times New Roman" w:hAnsi="Times New Roman" w:eastAsia="宋体" w:cs="Times New Roman"/>
                <w:color w:val="auto"/>
                <w:kern w:val="0"/>
                <w:sz w:val="24"/>
                <w:szCs w:val="24"/>
                <w:highlight w:val="none"/>
                <w:lang w:val="en-US" w:eastAsia="zh-CN" w:bidi="ar"/>
              </w:rPr>
              <w:t>）中相关规定。</w:t>
            </w:r>
          </w:p>
          <w:p w14:paraId="472F6196">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根据现场勘查，项目300m范围内无居民点，土石方工程施工期段，设备间歇运行，本项目夜间严禁土石方作业。因此，土石方工程施工对外环境影响不大。</w:t>
            </w:r>
          </w:p>
          <w:p w14:paraId="7DC95EC6">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（2）钻井作业影响分析</w:t>
            </w:r>
          </w:p>
          <w:p w14:paraId="1B5669A0">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昼间在距离施工设备噪声10</w:t>
            </w:r>
            <w:r>
              <w:rPr>
                <w:rFonts w:hint="eastAsia" w:ascii="Times New Roman" w:hAnsi="Times New Roman" w:cs="Times New Roman"/>
                <w:color w:val="auto"/>
                <w:kern w:val="0"/>
                <w:sz w:val="24"/>
                <w:szCs w:val="24"/>
                <w:highlight w:val="none"/>
                <w:lang w:val="en-US" w:eastAsia="zh-CN" w:bidi="ar"/>
              </w:rPr>
              <w:t>0</w:t>
            </w:r>
            <w:r>
              <w:rPr>
                <w:rFonts w:hint="default" w:ascii="Times New Roman" w:hAnsi="Times New Roman" w:eastAsia="宋体" w:cs="Times New Roman"/>
                <w:color w:val="auto"/>
                <w:kern w:val="0"/>
                <w:sz w:val="24"/>
                <w:szCs w:val="24"/>
                <w:highlight w:val="none"/>
                <w:lang w:val="en-US" w:eastAsia="zh-CN" w:bidi="ar"/>
              </w:rPr>
              <w:t>m处，夜间</w:t>
            </w:r>
            <w:r>
              <w:rPr>
                <w:rFonts w:hint="eastAsia" w:ascii="Times New Roman" w:hAnsi="Times New Roman" w:cs="Times New Roman"/>
                <w:color w:val="auto"/>
                <w:kern w:val="0"/>
                <w:sz w:val="24"/>
                <w:szCs w:val="24"/>
                <w:highlight w:val="none"/>
                <w:lang w:val="en-US" w:eastAsia="zh-CN" w:bidi="ar"/>
              </w:rPr>
              <w:t>在</w:t>
            </w:r>
            <w:r>
              <w:rPr>
                <w:rFonts w:hint="default" w:ascii="Times New Roman" w:hAnsi="Times New Roman" w:eastAsia="宋体" w:cs="Times New Roman"/>
                <w:color w:val="auto"/>
                <w:kern w:val="0"/>
                <w:sz w:val="24"/>
                <w:szCs w:val="24"/>
                <w:highlight w:val="none"/>
                <w:lang w:val="en-US" w:eastAsia="zh-CN" w:bidi="ar"/>
              </w:rPr>
              <w:t>距离施工设备噪声150m处</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噪声贡献值可以满足《</w:t>
            </w:r>
            <w:r>
              <w:rPr>
                <w:rFonts w:hint="eastAsia" w:ascii="Times New Roman" w:hAnsi="Times New Roman" w:cs="Times New Roman"/>
                <w:color w:val="auto"/>
                <w:kern w:val="0"/>
                <w:sz w:val="24"/>
                <w:szCs w:val="24"/>
                <w:highlight w:val="none"/>
                <w:lang w:val="en-US" w:eastAsia="zh-CN" w:bidi="ar"/>
              </w:rPr>
              <w:t>建筑施工噪声排放标准</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cs="Times New Roman"/>
                <w:color w:val="auto"/>
                <w:kern w:val="0"/>
                <w:sz w:val="24"/>
                <w:szCs w:val="24"/>
                <w:highlight w:val="none"/>
                <w:lang w:val="en-US" w:eastAsia="zh-CN" w:bidi="ar"/>
              </w:rPr>
              <w:t>GB12523-2025</w:t>
            </w:r>
            <w:r>
              <w:rPr>
                <w:rFonts w:hint="default" w:ascii="Times New Roman" w:hAnsi="Times New Roman" w:eastAsia="宋体" w:cs="Times New Roman"/>
                <w:color w:val="auto"/>
                <w:kern w:val="0"/>
                <w:sz w:val="24"/>
                <w:szCs w:val="24"/>
                <w:highlight w:val="none"/>
                <w:lang w:val="en-US" w:eastAsia="zh-CN" w:bidi="ar"/>
              </w:rPr>
              <w:t>）中相关规定。</w:t>
            </w:r>
          </w:p>
          <w:p w14:paraId="25D4791F">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根据预测结果，距离钻井设备300米处夜间噪声方可满足《声环境质量标准》（GB3096-2008）1类区标准限值要求。根据现场踏勘，项目井场300m范围内无声环境敏感目标。因此，井场周边的声环境保护目标处满足《声环境质量标准》（GB3096-2008）1类区标准限值要求。</w:t>
            </w:r>
          </w:p>
          <w:p w14:paraId="33E47321">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（3）压裂作业噪声影响分析</w:t>
            </w:r>
          </w:p>
          <w:p w14:paraId="041F804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b w:val="0"/>
                <w:bCs w:val="0"/>
                <w:color w:val="auto"/>
                <w:sz w:val="24"/>
                <w:szCs w:val="24"/>
                <w:highlight w:val="none"/>
                <w:vertAlign w:val="baseline"/>
                <w:lang w:val="en-US" w:eastAsia="zh-CN"/>
              </w:rPr>
              <w:t>本项目各井场均设置4台压裂车，单台压裂车噪声值为100dB（A）。在不考虑声传播过程中屏障隔声、空气吸收、地面效应的前提下，利用点声源衰减模式，对噪声影响的范围进行计算，结果见表4-6。</w:t>
            </w:r>
          </w:p>
          <w:p w14:paraId="78FFEE4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b w:val="0"/>
                <w:bCs w:val="0"/>
                <w:color w:val="auto"/>
                <w:sz w:val="24"/>
                <w:szCs w:val="24"/>
                <w:highlight w:val="none"/>
                <w:vertAlign w:val="baseline"/>
                <w:lang w:val="en-US" w:eastAsia="zh-CN"/>
              </w:rPr>
              <w:t>根据本项目施工期间主要噪声源的特征，可采用点声源距离衰减公式对主要声源产生声环境质量影响进行预测，具体公式如下：</w:t>
            </w:r>
          </w:p>
          <w:p w14:paraId="61458A3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eastAsia"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b w:val="0"/>
                <w:bCs w:val="0"/>
                <w:color w:val="auto"/>
                <w:sz w:val="24"/>
                <w:szCs w:val="24"/>
                <w:highlight w:val="none"/>
                <w:vertAlign w:val="baseline"/>
                <w:lang w:val="en-US" w:eastAsia="zh-CN"/>
              </w:rPr>
              <w:t>Lr=Lr</w:t>
            </w:r>
            <w:r>
              <w:rPr>
                <w:rFonts w:hint="eastAsia" w:ascii="Times New Roman" w:hAnsi="Times New Roman" w:eastAsia="宋体" w:cs="Times New Roman"/>
                <w:b w:val="0"/>
                <w:bCs w:val="0"/>
                <w:color w:val="auto"/>
                <w:sz w:val="24"/>
                <w:szCs w:val="24"/>
                <w:highlight w:val="none"/>
                <w:vertAlign w:val="subscript"/>
                <w:lang w:val="en-US" w:eastAsia="zh-CN"/>
              </w:rPr>
              <w:t>0</w:t>
            </w:r>
            <w:r>
              <w:rPr>
                <w:rFonts w:hint="eastAsia" w:ascii="Times New Roman" w:hAnsi="Times New Roman" w:eastAsia="宋体" w:cs="Times New Roman"/>
                <w:b w:val="0"/>
                <w:bCs w:val="0"/>
                <w:color w:val="auto"/>
                <w:sz w:val="24"/>
                <w:szCs w:val="24"/>
                <w:highlight w:val="none"/>
                <w:vertAlign w:val="baseline"/>
                <w:lang w:val="en-US" w:eastAsia="zh-CN"/>
              </w:rPr>
              <w:t>-20lg（r/r</w:t>
            </w:r>
            <w:r>
              <w:rPr>
                <w:rFonts w:hint="eastAsia" w:ascii="Times New Roman" w:hAnsi="Times New Roman" w:eastAsia="宋体" w:cs="Times New Roman"/>
                <w:b w:val="0"/>
                <w:bCs w:val="0"/>
                <w:color w:val="auto"/>
                <w:sz w:val="24"/>
                <w:szCs w:val="24"/>
                <w:highlight w:val="none"/>
                <w:vertAlign w:val="subscript"/>
                <w:lang w:val="en-US" w:eastAsia="zh-CN"/>
              </w:rPr>
              <w:t>0</w:t>
            </w:r>
            <w:r>
              <w:rPr>
                <w:rFonts w:hint="eastAsia" w:ascii="Times New Roman" w:hAnsi="Times New Roman" w:eastAsia="宋体" w:cs="Times New Roman"/>
                <w:b w:val="0"/>
                <w:bCs w:val="0"/>
                <w:color w:val="auto"/>
                <w:sz w:val="24"/>
                <w:szCs w:val="24"/>
                <w:highlight w:val="none"/>
                <w:vertAlign w:val="baseline"/>
                <w:lang w:val="en-US" w:eastAsia="zh-CN"/>
              </w:rPr>
              <w:t>）</w:t>
            </w:r>
          </w:p>
          <w:p w14:paraId="2BC5AA8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b w:val="0"/>
                <w:bCs w:val="0"/>
                <w:color w:val="auto"/>
                <w:sz w:val="24"/>
                <w:szCs w:val="24"/>
                <w:highlight w:val="none"/>
                <w:vertAlign w:val="baseline"/>
                <w:lang w:val="en-US" w:eastAsia="zh-CN"/>
              </w:rPr>
              <w:t>式中：Lr—距声源r处的A声压级，dB（A）；</w:t>
            </w:r>
          </w:p>
          <w:p w14:paraId="69FF1F9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b w:val="0"/>
                <w:bCs w:val="0"/>
                <w:color w:val="auto"/>
                <w:sz w:val="24"/>
                <w:szCs w:val="24"/>
                <w:highlight w:val="none"/>
                <w:vertAlign w:val="baseline"/>
                <w:lang w:val="en-US" w:eastAsia="zh-CN"/>
              </w:rPr>
              <w:t>Lr</w:t>
            </w:r>
            <w:r>
              <w:rPr>
                <w:rFonts w:hint="eastAsia" w:ascii="Times New Roman" w:hAnsi="Times New Roman" w:eastAsia="宋体" w:cs="Times New Roman"/>
                <w:b w:val="0"/>
                <w:bCs w:val="0"/>
                <w:color w:val="auto"/>
                <w:sz w:val="24"/>
                <w:szCs w:val="24"/>
                <w:highlight w:val="none"/>
                <w:vertAlign w:val="subscript"/>
                <w:lang w:val="en-US" w:eastAsia="zh-CN"/>
              </w:rPr>
              <w:t>0</w:t>
            </w:r>
            <w:r>
              <w:rPr>
                <w:rFonts w:hint="eastAsia" w:ascii="Times New Roman" w:hAnsi="Times New Roman" w:eastAsia="宋体" w:cs="Times New Roman"/>
                <w:b w:val="0"/>
                <w:bCs w:val="0"/>
                <w:color w:val="auto"/>
                <w:sz w:val="24"/>
                <w:szCs w:val="24"/>
                <w:highlight w:val="none"/>
                <w:vertAlign w:val="baseline"/>
                <w:lang w:val="en-US" w:eastAsia="zh-CN"/>
              </w:rPr>
              <w:t>—距声源r</w:t>
            </w:r>
            <w:r>
              <w:rPr>
                <w:rFonts w:hint="eastAsia" w:ascii="Times New Roman" w:hAnsi="Times New Roman" w:eastAsia="宋体" w:cs="Times New Roman"/>
                <w:b w:val="0"/>
                <w:bCs w:val="0"/>
                <w:color w:val="auto"/>
                <w:sz w:val="24"/>
                <w:szCs w:val="24"/>
                <w:highlight w:val="none"/>
                <w:vertAlign w:val="subscript"/>
                <w:lang w:val="en-US" w:eastAsia="zh-CN"/>
              </w:rPr>
              <w:t>0</w:t>
            </w:r>
            <w:r>
              <w:rPr>
                <w:rFonts w:hint="eastAsia" w:ascii="Times New Roman" w:hAnsi="Times New Roman" w:eastAsia="宋体" w:cs="Times New Roman"/>
                <w:b w:val="0"/>
                <w:bCs w:val="0"/>
                <w:color w:val="auto"/>
                <w:sz w:val="24"/>
                <w:szCs w:val="24"/>
                <w:highlight w:val="none"/>
                <w:vertAlign w:val="baseline"/>
                <w:lang w:val="en-US" w:eastAsia="zh-CN"/>
              </w:rPr>
              <w:t>处的A声压级，dB（A）；</w:t>
            </w:r>
          </w:p>
          <w:p w14:paraId="2C03661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b w:val="0"/>
                <w:bCs w:val="0"/>
                <w:color w:val="auto"/>
                <w:sz w:val="24"/>
                <w:szCs w:val="24"/>
                <w:highlight w:val="none"/>
                <w:vertAlign w:val="baseline"/>
                <w:lang w:val="en-US" w:eastAsia="zh-CN"/>
              </w:rPr>
              <w:t>r—预测点与声源的距离，m；</w:t>
            </w:r>
          </w:p>
          <w:p w14:paraId="3914440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b w:val="0"/>
                <w:bCs w:val="0"/>
                <w:color w:val="auto"/>
                <w:sz w:val="24"/>
                <w:szCs w:val="24"/>
                <w:highlight w:val="none"/>
                <w:vertAlign w:val="baseline"/>
                <w:lang w:val="en-US" w:eastAsia="zh-CN"/>
              </w:rPr>
              <w:t>r</w:t>
            </w:r>
            <w:r>
              <w:rPr>
                <w:rFonts w:hint="eastAsia" w:ascii="Times New Roman" w:hAnsi="Times New Roman" w:eastAsia="宋体" w:cs="Times New Roman"/>
                <w:b w:val="0"/>
                <w:bCs w:val="0"/>
                <w:color w:val="auto"/>
                <w:sz w:val="24"/>
                <w:szCs w:val="24"/>
                <w:highlight w:val="none"/>
                <w:vertAlign w:val="subscript"/>
                <w:lang w:val="en-US" w:eastAsia="zh-CN"/>
              </w:rPr>
              <w:t>0</w:t>
            </w:r>
            <w:r>
              <w:rPr>
                <w:rFonts w:hint="eastAsia" w:ascii="Times New Roman" w:hAnsi="Times New Roman" w:eastAsia="宋体" w:cs="Times New Roman"/>
                <w:b w:val="0"/>
                <w:bCs w:val="0"/>
                <w:color w:val="auto"/>
                <w:sz w:val="24"/>
                <w:szCs w:val="24"/>
                <w:highlight w:val="none"/>
                <w:vertAlign w:val="baseline"/>
                <w:lang w:val="en-US" w:eastAsia="zh-CN"/>
              </w:rPr>
              <w:t>—监测设备噪声时的距离，m。</w:t>
            </w:r>
          </w:p>
          <w:p w14:paraId="0D8B9EF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b w:val="0"/>
                <w:bCs w:val="0"/>
                <w:color w:val="auto"/>
                <w:sz w:val="24"/>
                <w:szCs w:val="24"/>
                <w:highlight w:val="none"/>
                <w:vertAlign w:val="baseline"/>
                <w:lang w:val="en-US" w:eastAsia="zh-CN"/>
              </w:rPr>
              <w:t>施工压裂噪声经距离衰减后的预测结果见下表。</w:t>
            </w:r>
          </w:p>
          <w:p w14:paraId="081B99C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表4-6  距声源不同距离处的噪声预测值     单位：dB（A）</w:t>
            </w:r>
          </w:p>
          <w:tbl>
            <w:tblPr>
              <w:tblStyle w:val="17"/>
              <w:tblW w:w="4999"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928"/>
              <w:gridCol w:w="930"/>
              <w:gridCol w:w="930"/>
              <w:gridCol w:w="930"/>
              <w:gridCol w:w="930"/>
              <w:gridCol w:w="930"/>
              <w:gridCol w:w="930"/>
              <w:gridCol w:w="938"/>
            </w:tblGrid>
            <w:tr w14:paraId="5F346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restart"/>
                  <w:noWrap w:val="0"/>
                  <w:vAlign w:val="center"/>
                </w:tcPr>
                <w:p w14:paraId="7FC49EA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设备</w:t>
                  </w:r>
                </w:p>
              </w:tc>
              <w:tc>
                <w:tcPr>
                  <w:tcW w:w="554" w:type="pct"/>
                  <w:vMerge w:val="restart"/>
                  <w:noWrap w:val="0"/>
                  <w:vAlign w:val="center"/>
                </w:tcPr>
                <w:p w14:paraId="18F3204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声压级</w:t>
                  </w:r>
                </w:p>
              </w:tc>
              <w:tc>
                <w:tcPr>
                  <w:tcW w:w="3890" w:type="pct"/>
                  <w:gridSpan w:val="7"/>
                  <w:noWrap w:val="0"/>
                  <w:vAlign w:val="center"/>
                </w:tcPr>
                <w:p w14:paraId="1A4DB0E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测点声源距离（m）</w:t>
                  </w:r>
                </w:p>
              </w:tc>
            </w:tr>
            <w:tr w14:paraId="41987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noWrap w:val="0"/>
                  <w:vAlign w:val="center"/>
                </w:tcPr>
                <w:p w14:paraId="2E683CF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p>
              </w:tc>
              <w:tc>
                <w:tcPr>
                  <w:tcW w:w="554" w:type="pct"/>
                  <w:vMerge w:val="continue"/>
                  <w:noWrap w:val="0"/>
                  <w:vAlign w:val="center"/>
                </w:tcPr>
                <w:p w14:paraId="1064311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p>
              </w:tc>
              <w:tc>
                <w:tcPr>
                  <w:tcW w:w="555" w:type="pct"/>
                  <w:noWrap w:val="0"/>
                  <w:vAlign w:val="center"/>
                </w:tcPr>
                <w:p w14:paraId="086B4002">
                  <w:pPr>
                    <w:keepNext w:val="0"/>
                    <w:keepLines w:val="0"/>
                    <w:suppressLineNumbers w:val="0"/>
                    <w:spacing w:before="99" w:beforeAutospacing="0" w:after="0" w:afterAutospacing="0" w:line="240" w:lineRule="auto"/>
                    <w:ind w:left="0" w:right="0"/>
                    <w:jc w:val="center"/>
                    <w:rPr>
                      <w:rFonts w:hint="default" w:ascii="Times New Roman" w:hAnsi="Times New Roman" w:eastAsia="Times New Roman" w:cs="Times New Roman"/>
                      <w:color w:val="auto"/>
                      <w:sz w:val="21"/>
                      <w:szCs w:val="21"/>
                      <w:highlight w:val="none"/>
                      <w:lang w:val="en-US" w:eastAsia="zh-CN" w:bidi="ar-SA"/>
                    </w:rPr>
                  </w:pPr>
                  <w:r>
                    <w:rPr>
                      <w:rFonts w:hint="eastAsia" w:ascii="Times New Roman" w:hAnsi="Times New Roman" w:eastAsia="Times New Roman" w:cs="Times New Roman"/>
                      <w:color w:val="auto"/>
                      <w:sz w:val="21"/>
                      <w:szCs w:val="21"/>
                      <w:highlight w:val="none"/>
                      <w:lang w:val="en-US" w:eastAsia="zh-CN" w:bidi="ar-SA"/>
                    </w:rPr>
                    <w:t>50</w:t>
                  </w:r>
                </w:p>
              </w:tc>
              <w:tc>
                <w:tcPr>
                  <w:tcW w:w="555" w:type="pct"/>
                  <w:noWrap w:val="0"/>
                  <w:vAlign w:val="center"/>
                </w:tcPr>
                <w:p w14:paraId="2286EF70">
                  <w:pPr>
                    <w:keepNext w:val="0"/>
                    <w:keepLines w:val="0"/>
                    <w:suppressLineNumbers w:val="0"/>
                    <w:spacing w:before="99" w:beforeAutospacing="0" w:after="0" w:afterAutospacing="0" w:line="240" w:lineRule="auto"/>
                    <w:ind w:left="0" w:right="0"/>
                    <w:jc w:val="center"/>
                    <w:rPr>
                      <w:rFonts w:hint="default" w:ascii="Times New Roman" w:hAnsi="Times New Roman" w:eastAsia="Times New Roman" w:cs="Times New Roman"/>
                      <w:color w:val="auto"/>
                      <w:sz w:val="21"/>
                      <w:szCs w:val="21"/>
                      <w:highlight w:val="none"/>
                      <w:lang w:val="en-US" w:eastAsia="zh-CN" w:bidi="ar-SA"/>
                    </w:rPr>
                  </w:pPr>
                  <w:r>
                    <w:rPr>
                      <w:rFonts w:hint="eastAsia" w:ascii="Times New Roman" w:hAnsi="Times New Roman" w:eastAsia="Times New Roman" w:cs="Times New Roman"/>
                      <w:color w:val="auto"/>
                      <w:sz w:val="21"/>
                      <w:szCs w:val="21"/>
                      <w:highlight w:val="none"/>
                      <w:lang w:val="en-US" w:eastAsia="zh-CN" w:bidi="ar-SA"/>
                    </w:rPr>
                    <w:t>100</w:t>
                  </w:r>
                </w:p>
              </w:tc>
              <w:tc>
                <w:tcPr>
                  <w:tcW w:w="555" w:type="pct"/>
                  <w:noWrap w:val="0"/>
                  <w:vAlign w:val="center"/>
                </w:tcPr>
                <w:p w14:paraId="389D0CD0">
                  <w:pPr>
                    <w:keepNext w:val="0"/>
                    <w:keepLines w:val="0"/>
                    <w:suppressLineNumbers w:val="0"/>
                    <w:spacing w:before="99" w:beforeAutospacing="0" w:after="0" w:afterAutospacing="0" w:line="240" w:lineRule="auto"/>
                    <w:ind w:left="0" w:right="0"/>
                    <w:jc w:val="center"/>
                    <w:rPr>
                      <w:rFonts w:hint="default" w:ascii="Times New Roman" w:hAnsi="Times New Roman" w:eastAsia="Times New Roman" w:cs="Times New Roman"/>
                      <w:color w:val="auto"/>
                      <w:sz w:val="21"/>
                      <w:szCs w:val="21"/>
                      <w:highlight w:val="none"/>
                      <w:lang w:val="en-US" w:eastAsia="zh-CN" w:bidi="ar-SA"/>
                    </w:rPr>
                  </w:pPr>
                  <w:r>
                    <w:rPr>
                      <w:rFonts w:hint="eastAsia" w:ascii="Times New Roman" w:hAnsi="Times New Roman" w:eastAsia="Times New Roman" w:cs="Times New Roman"/>
                      <w:color w:val="auto"/>
                      <w:sz w:val="21"/>
                      <w:szCs w:val="21"/>
                      <w:highlight w:val="none"/>
                      <w:lang w:val="en-US" w:eastAsia="zh-CN" w:bidi="ar-SA"/>
                    </w:rPr>
                    <w:t>200</w:t>
                  </w:r>
                </w:p>
              </w:tc>
              <w:tc>
                <w:tcPr>
                  <w:tcW w:w="555" w:type="pct"/>
                  <w:noWrap w:val="0"/>
                  <w:vAlign w:val="center"/>
                </w:tcPr>
                <w:p w14:paraId="30F4CF51">
                  <w:pPr>
                    <w:keepNext w:val="0"/>
                    <w:keepLines w:val="0"/>
                    <w:suppressLineNumbers w:val="0"/>
                    <w:spacing w:before="99" w:beforeAutospacing="0" w:after="0" w:afterAutospacing="0" w:line="240" w:lineRule="auto"/>
                    <w:ind w:left="0" w:right="0"/>
                    <w:jc w:val="center"/>
                    <w:rPr>
                      <w:rFonts w:hint="default" w:ascii="Times New Roman" w:hAnsi="Times New Roman" w:eastAsia="Times New Roman" w:cs="Times New Roman"/>
                      <w:color w:val="auto"/>
                      <w:sz w:val="21"/>
                      <w:szCs w:val="21"/>
                      <w:highlight w:val="none"/>
                      <w:lang w:val="en-US" w:eastAsia="zh-CN" w:bidi="ar-SA"/>
                    </w:rPr>
                  </w:pPr>
                  <w:r>
                    <w:rPr>
                      <w:rFonts w:hint="eastAsia" w:ascii="Times New Roman" w:hAnsi="Times New Roman" w:eastAsia="Times New Roman" w:cs="Times New Roman"/>
                      <w:color w:val="auto"/>
                      <w:sz w:val="21"/>
                      <w:szCs w:val="21"/>
                      <w:highlight w:val="none"/>
                      <w:lang w:val="en-US" w:eastAsia="zh-CN" w:bidi="ar-SA"/>
                    </w:rPr>
                    <w:t>250</w:t>
                  </w:r>
                </w:p>
              </w:tc>
              <w:tc>
                <w:tcPr>
                  <w:tcW w:w="555" w:type="pct"/>
                  <w:noWrap w:val="0"/>
                  <w:vAlign w:val="center"/>
                </w:tcPr>
                <w:p w14:paraId="46568AB7">
                  <w:pPr>
                    <w:keepNext w:val="0"/>
                    <w:keepLines w:val="0"/>
                    <w:suppressLineNumbers w:val="0"/>
                    <w:spacing w:before="99" w:beforeAutospacing="0" w:after="0" w:afterAutospacing="0" w:line="240" w:lineRule="auto"/>
                    <w:ind w:left="0" w:right="0"/>
                    <w:jc w:val="center"/>
                    <w:rPr>
                      <w:rFonts w:hint="default" w:ascii="Times New Roman" w:hAnsi="Times New Roman" w:eastAsia="Times New Roman" w:cs="Times New Roman"/>
                      <w:color w:val="auto"/>
                      <w:sz w:val="21"/>
                      <w:szCs w:val="21"/>
                      <w:highlight w:val="none"/>
                      <w:lang w:val="en-US" w:eastAsia="zh-CN" w:bidi="ar-SA"/>
                    </w:rPr>
                  </w:pPr>
                  <w:r>
                    <w:rPr>
                      <w:rFonts w:hint="eastAsia" w:ascii="Times New Roman" w:hAnsi="Times New Roman" w:eastAsia="Times New Roman" w:cs="Times New Roman"/>
                      <w:color w:val="auto"/>
                      <w:sz w:val="21"/>
                      <w:szCs w:val="21"/>
                      <w:highlight w:val="none"/>
                      <w:lang w:val="en-US" w:eastAsia="zh-CN" w:bidi="ar-SA"/>
                    </w:rPr>
                    <w:t>300</w:t>
                  </w:r>
                </w:p>
              </w:tc>
              <w:tc>
                <w:tcPr>
                  <w:tcW w:w="555" w:type="pct"/>
                  <w:noWrap w:val="0"/>
                  <w:vAlign w:val="center"/>
                </w:tcPr>
                <w:p w14:paraId="6615F475">
                  <w:pPr>
                    <w:keepNext w:val="0"/>
                    <w:keepLines w:val="0"/>
                    <w:suppressLineNumbers w:val="0"/>
                    <w:spacing w:before="99" w:beforeAutospacing="0" w:after="0" w:afterAutospacing="0" w:line="240" w:lineRule="auto"/>
                    <w:ind w:left="0" w:right="0"/>
                    <w:jc w:val="center"/>
                    <w:rPr>
                      <w:rFonts w:hint="default" w:ascii="Times New Roman" w:hAnsi="Times New Roman" w:eastAsia="Times New Roman" w:cs="Times New Roman"/>
                      <w:color w:val="auto"/>
                      <w:sz w:val="21"/>
                      <w:szCs w:val="21"/>
                      <w:highlight w:val="none"/>
                      <w:lang w:val="en-US" w:eastAsia="zh-CN" w:bidi="ar-SA"/>
                    </w:rPr>
                  </w:pPr>
                  <w:r>
                    <w:rPr>
                      <w:rFonts w:hint="eastAsia" w:ascii="Times New Roman" w:hAnsi="Times New Roman" w:eastAsia="Times New Roman" w:cs="Times New Roman"/>
                      <w:color w:val="auto"/>
                      <w:sz w:val="21"/>
                      <w:szCs w:val="21"/>
                      <w:highlight w:val="none"/>
                      <w:lang w:val="en-US" w:eastAsia="zh-CN" w:bidi="ar-SA"/>
                    </w:rPr>
                    <w:t>350</w:t>
                  </w:r>
                </w:p>
              </w:tc>
              <w:tc>
                <w:tcPr>
                  <w:tcW w:w="556" w:type="pct"/>
                  <w:noWrap w:val="0"/>
                  <w:vAlign w:val="center"/>
                </w:tcPr>
                <w:p w14:paraId="7C1E58BB">
                  <w:pPr>
                    <w:keepNext w:val="0"/>
                    <w:keepLines w:val="0"/>
                    <w:suppressLineNumbers w:val="0"/>
                    <w:spacing w:before="99" w:beforeAutospacing="0" w:after="0" w:afterAutospacing="0" w:line="240" w:lineRule="auto"/>
                    <w:ind w:left="0" w:right="0"/>
                    <w:jc w:val="center"/>
                    <w:rPr>
                      <w:rFonts w:hint="default" w:ascii="Times New Roman" w:hAnsi="Times New Roman" w:eastAsia="Times New Roman" w:cs="Times New Roman"/>
                      <w:color w:val="auto"/>
                      <w:sz w:val="21"/>
                      <w:szCs w:val="21"/>
                      <w:highlight w:val="none"/>
                      <w:lang w:val="en-US" w:eastAsia="zh-CN" w:bidi="ar-SA"/>
                    </w:rPr>
                  </w:pPr>
                  <w:r>
                    <w:rPr>
                      <w:rFonts w:hint="eastAsia" w:ascii="Times New Roman" w:hAnsi="Times New Roman" w:eastAsia="Times New Roman" w:cs="Times New Roman"/>
                      <w:color w:val="auto"/>
                      <w:sz w:val="21"/>
                      <w:szCs w:val="21"/>
                      <w:highlight w:val="none"/>
                      <w:lang w:val="en-US" w:eastAsia="zh-CN" w:bidi="ar-SA"/>
                    </w:rPr>
                    <w:t>400</w:t>
                  </w:r>
                </w:p>
              </w:tc>
            </w:tr>
            <w:tr w14:paraId="0AC15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noWrap w:val="0"/>
                  <w:vAlign w:val="center"/>
                </w:tcPr>
                <w:p w14:paraId="42D86EF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压裂车</w:t>
                  </w:r>
                </w:p>
              </w:tc>
              <w:tc>
                <w:tcPr>
                  <w:tcW w:w="554" w:type="pct"/>
                  <w:noWrap w:val="0"/>
                  <w:vAlign w:val="center"/>
                </w:tcPr>
                <w:p w14:paraId="40D2F0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106</w:t>
                  </w:r>
                </w:p>
              </w:tc>
              <w:tc>
                <w:tcPr>
                  <w:tcW w:w="555" w:type="pct"/>
                  <w:noWrap w:val="0"/>
                  <w:vAlign w:val="center"/>
                </w:tcPr>
                <w:p w14:paraId="3296F10E">
                  <w:pPr>
                    <w:keepNext w:val="0"/>
                    <w:keepLines w:val="0"/>
                    <w:suppressLineNumbers w:val="0"/>
                    <w:spacing w:before="0" w:beforeAutospacing="0" w:after="0" w:afterAutospacing="0" w:line="240" w:lineRule="auto"/>
                    <w:ind w:left="0" w:right="0"/>
                    <w:jc w:val="center"/>
                    <w:rPr>
                      <w:rFonts w:hint="default" w:ascii="Times New Roman" w:hAnsi="Times New Roman" w:eastAsia="Times New Roman" w:cs="Times New Roman"/>
                      <w:color w:val="auto"/>
                      <w:sz w:val="21"/>
                      <w:szCs w:val="21"/>
                      <w:highlight w:val="none"/>
                      <w:lang w:val="en-US" w:eastAsia="zh-CN" w:bidi="ar-SA"/>
                    </w:rPr>
                  </w:pPr>
                  <w:r>
                    <w:rPr>
                      <w:rFonts w:hint="eastAsia" w:ascii="Times New Roman" w:hAnsi="Times New Roman" w:eastAsia="Times New Roman" w:cs="Times New Roman"/>
                      <w:color w:val="auto"/>
                      <w:sz w:val="21"/>
                      <w:szCs w:val="21"/>
                      <w:highlight w:val="none"/>
                      <w:lang w:val="en-US" w:eastAsia="zh-CN" w:bidi="ar-SA"/>
                    </w:rPr>
                    <w:t>72</w:t>
                  </w:r>
                </w:p>
              </w:tc>
              <w:tc>
                <w:tcPr>
                  <w:tcW w:w="555" w:type="pct"/>
                  <w:noWrap w:val="0"/>
                  <w:vAlign w:val="center"/>
                </w:tcPr>
                <w:p w14:paraId="63D592DE">
                  <w:pPr>
                    <w:keepNext w:val="0"/>
                    <w:keepLines w:val="0"/>
                    <w:suppressLineNumbers w:val="0"/>
                    <w:spacing w:before="0" w:beforeAutospacing="0" w:after="0" w:afterAutospacing="0" w:line="240" w:lineRule="auto"/>
                    <w:ind w:left="0" w:right="0"/>
                    <w:jc w:val="center"/>
                    <w:rPr>
                      <w:rFonts w:hint="default" w:ascii="Times New Roman" w:hAnsi="Times New Roman" w:eastAsia="Times New Roman" w:cs="Times New Roman"/>
                      <w:color w:val="auto"/>
                      <w:sz w:val="21"/>
                      <w:szCs w:val="21"/>
                      <w:highlight w:val="none"/>
                      <w:lang w:val="en-US" w:eastAsia="zh-CN" w:bidi="ar-SA"/>
                    </w:rPr>
                  </w:pPr>
                  <w:r>
                    <w:rPr>
                      <w:rFonts w:hint="eastAsia" w:ascii="Times New Roman" w:hAnsi="Times New Roman" w:eastAsia="Times New Roman" w:cs="Times New Roman"/>
                      <w:color w:val="auto"/>
                      <w:sz w:val="21"/>
                      <w:szCs w:val="21"/>
                      <w:highlight w:val="none"/>
                      <w:lang w:val="en-US" w:eastAsia="zh-CN" w:bidi="ar-SA"/>
                    </w:rPr>
                    <w:t>66</w:t>
                  </w:r>
                </w:p>
              </w:tc>
              <w:tc>
                <w:tcPr>
                  <w:tcW w:w="555" w:type="pct"/>
                  <w:noWrap w:val="0"/>
                  <w:vAlign w:val="center"/>
                </w:tcPr>
                <w:p w14:paraId="7C27D91C">
                  <w:pPr>
                    <w:keepNext w:val="0"/>
                    <w:keepLines w:val="0"/>
                    <w:suppressLineNumbers w:val="0"/>
                    <w:spacing w:before="0" w:beforeAutospacing="0" w:after="0" w:afterAutospacing="0" w:line="240" w:lineRule="auto"/>
                    <w:ind w:left="0" w:right="0"/>
                    <w:jc w:val="center"/>
                    <w:rPr>
                      <w:rFonts w:hint="default" w:ascii="Times New Roman" w:hAnsi="Times New Roman" w:eastAsia="Times New Roman" w:cs="Times New Roman"/>
                      <w:color w:val="auto"/>
                      <w:sz w:val="21"/>
                      <w:szCs w:val="21"/>
                      <w:highlight w:val="none"/>
                      <w:lang w:val="en-US" w:eastAsia="zh-CN" w:bidi="ar-SA"/>
                    </w:rPr>
                  </w:pPr>
                  <w:r>
                    <w:rPr>
                      <w:rFonts w:hint="eastAsia" w:ascii="Times New Roman" w:hAnsi="Times New Roman" w:eastAsia="Times New Roman" w:cs="Times New Roman"/>
                      <w:color w:val="auto"/>
                      <w:sz w:val="21"/>
                      <w:szCs w:val="21"/>
                      <w:highlight w:val="none"/>
                      <w:lang w:val="en-US" w:eastAsia="zh-CN" w:bidi="ar-SA"/>
                    </w:rPr>
                    <w:t>60</w:t>
                  </w:r>
                </w:p>
              </w:tc>
              <w:tc>
                <w:tcPr>
                  <w:tcW w:w="555" w:type="pct"/>
                  <w:noWrap w:val="0"/>
                  <w:vAlign w:val="center"/>
                </w:tcPr>
                <w:p w14:paraId="05C00F2D">
                  <w:pPr>
                    <w:keepNext w:val="0"/>
                    <w:keepLines w:val="0"/>
                    <w:suppressLineNumbers w:val="0"/>
                    <w:spacing w:before="0" w:beforeAutospacing="0" w:after="0" w:afterAutospacing="0" w:line="240" w:lineRule="auto"/>
                    <w:ind w:left="0" w:right="0"/>
                    <w:jc w:val="center"/>
                    <w:rPr>
                      <w:rFonts w:hint="default" w:ascii="Times New Roman" w:hAnsi="Times New Roman" w:eastAsia="Times New Roman" w:cs="Times New Roman"/>
                      <w:color w:val="auto"/>
                      <w:sz w:val="21"/>
                      <w:szCs w:val="21"/>
                      <w:highlight w:val="none"/>
                      <w:lang w:val="en-US" w:eastAsia="zh-CN" w:bidi="ar-SA"/>
                    </w:rPr>
                  </w:pPr>
                  <w:r>
                    <w:rPr>
                      <w:rFonts w:hint="eastAsia" w:ascii="Times New Roman" w:hAnsi="Times New Roman" w:eastAsia="Times New Roman" w:cs="Times New Roman"/>
                      <w:color w:val="auto"/>
                      <w:sz w:val="21"/>
                      <w:szCs w:val="21"/>
                      <w:highlight w:val="none"/>
                      <w:lang w:val="en-US" w:eastAsia="zh-CN" w:bidi="ar-SA"/>
                    </w:rPr>
                    <w:t>58</w:t>
                  </w:r>
                </w:p>
              </w:tc>
              <w:tc>
                <w:tcPr>
                  <w:tcW w:w="555" w:type="pct"/>
                  <w:noWrap w:val="0"/>
                  <w:vAlign w:val="center"/>
                </w:tcPr>
                <w:p w14:paraId="43453C36">
                  <w:pPr>
                    <w:keepNext w:val="0"/>
                    <w:keepLines w:val="0"/>
                    <w:suppressLineNumbers w:val="0"/>
                    <w:spacing w:before="0" w:beforeAutospacing="0" w:after="0" w:afterAutospacing="0" w:line="240" w:lineRule="auto"/>
                    <w:ind w:left="0" w:right="0"/>
                    <w:jc w:val="center"/>
                    <w:rPr>
                      <w:rFonts w:hint="default" w:ascii="Times New Roman" w:hAnsi="Times New Roman" w:eastAsia="Times New Roman" w:cs="Times New Roman"/>
                      <w:color w:val="auto"/>
                      <w:sz w:val="21"/>
                      <w:szCs w:val="21"/>
                      <w:highlight w:val="none"/>
                      <w:lang w:val="en-US" w:eastAsia="zh-CN" w:bidi="ar-SA"/>
                    </w:rPr>
                  </w:pPr>
                  <w:r>
                    <w:rPr>
                      <w:rFonts w:hint="eastAsia" w:ascii="Times New Roman" w:hAnsi="Times New Roman" w:eastAsia="Times New Roman" w:cs="Times New Roman"/>
                      <w:color w:val="auto"/>
                      <w:sz w:val="21"/>
                      <w:szCs w:val="21"/>
                      <w:highlight w:val="none"/>
                      <w:lang w:val="en-US" w:eastAsia="zh-CN" w:bidi="ar-SA"/>
                    </w:rPr>
                    <w:t>56</w:t>
                  </w:r>
                </w:p>
              </w:tc>
              <w:tc>
                <w:tcPr>
                  <w:tcW w:w="555" w:type="pct"/>
                  <w:noWrap w:val="0"/>
                  <w:vAlign w:val="center"/>
                </w:tcPr>
                <w:p w14:paraId="2465A7E4">
                  <w:pPr>
                    <w:keepNext w:val="0"/>
                    <w:keepLines w:val="0"/>
                    <w:suppressLineNumbers w:val="0"/>
                    <w:spacing w:before="0" w:beforeAutospacing="0" w:after="0" w:afterAutospacing="0" w:line="240" w:lineRule="auto"/>
                    <w:ind w:left="0" w:right="0"/>
                    <w:jc w:val="center"/>
                    <w:rPr>
                      <w:rFonts w:hint="default" w:ascii="Times New Roman" w:hAnsi="Times New Roman" w:eastAsia="Times New Roman" w:cs="Times New Roman"/>
                      <w:color w:val="auto"/>
                      <w:sz w:val="21"/>
                      <w:szCs w:val="21"/>
                      <w:highlight w:val="none"/>
                      <w:lang w:val="en-US" w:eastAsia="zh-CN" w:bidi="ar-SA"/>
                    </w:rPr>
                  </w:pPr>
                  <w:r>
                    <w:rPr>
                      <w:rFonts w:hint="eastAsia" w:ascii="Times New Roman" w:hAnsi="Times New Roman" w:eastAsia="Times New Roman" w:cs="Times New Roman"/>
                      <w:color w:val="auto"/>
                      <w:sz w:val="21"/>
                      <w:szCs w:val="21"/>
                      <w:highlight w:val="none"/>
                      <w:lang w:val="en-US" w:eastAsia="zh-CN" w:bidi="ar-SA"/>
                    </w:rPr>
                    <w:t>55</w:t>
                  </w:r>
                </w:p>
              </w:tc>
              <w:tc>
                <w:tcPr>
                  <w:tcW w:w="556" w:type="pct"/>
                  <w:noWrap w:val="0"/>
                  <w:vAlign w:val="center"/>
                </w:tcPr>
                <w:p w14:paraId="18DD9F97">
                  <w:pPr>
                    <w:keepNext w:val="0"/>
                    <w:keepLines w:val="0"/>
                    <w:suppressLineNumbers w:val="0"/>
                    <w:spacing w:before="0" w:beforeAutospacing="0" w:after="0" w:afterAutospacing="0" w:line="240" w:lineRule="auto"/>
                    <w:ind w:left="0" w:right="0"/>
                    <w:jc w:val="center"/>
                    <w:rPr>
                      <w:rFonts w:hint="default" w:ascii="Times New Roman" w:hAnsi="Times New Roman" w:eastAsia="Times New Roman" w:cs="Times New Roman"/>
                      <w:color w:val="auto"/>
                      <w:sz w:val="21"/>
                      <w:szCs w:val="21"/>
                      <w:highlight w:val="none"/>
                      <w:lang w:val="en-US" w:eastAsia="zh-CN" w:bidi="ar-SA"/>
                    </w:rPr>
                  </w:pPr>
                  <w:r>
                    <w:rPr>
                      <w:rFonts w:hint="eastAsia" w:ascii="Times New Roman" w:hAnsi="Times New Roman" w:eastAsia="Times New Roman" w:cs="Times New Roman"/>
                      <w:color w:val="auto"/>
                      <w:sz w:val="21"/>
                      <w:szCs w:val="21"/>
                      <w:highlight w:val="none"/>
                      <w:lang w:val="en-US" w:eastAsia="zh-CN" w:bidi="ar-SA"/>
                    </w:rPr>
                    <w:t>54</w:t>
                  </w:r>
                </w:p>
              </w:tc>
            </w:tr>
          </w:tbl>
          <w:p w14:paraId="03E09D7F">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经预测，昼间距离压裂车</w:t>
            </w:r>
            <w:r>
              <w:rPr>
                <w:rFonts w:hint="eastAsia" w:ascii="Times New Roman" w:hAnsi="Times New Roman" w:cs="Times New Roman"/>
                <w:color w:val="auto"/>
                <w:kern w:val="0"/>
                <w:sz w:val="24"/>
                <w:szCs w:val="24"/>
                <w:highlight w:val="none"/>
                <w:lang w:val="en-US" w:eastAsia="zh-CN" w:bidi="ar"/>
              </w:rPr>
              <w:t>100</w:t>
            </w:r>
            <w:r>
              <w:rPr>
                <w:rFonts w:hint="default" w:ascii="Times New Roman" w:hAnsi="Times New Roman" w:eastAsia="宋体" w:cs="Times New Roman"/>
                <w:color w:val="auto"/>
                <w:kern w:val="0"/>
                <w:sz w:val="24"/>
                <w:szCs w:val="24"/>
                <w:highlight w:val="none"/>
                <w:lang w:val="en-US" w:eastAsia="zh-CN" w:bidi="ar"/>
              </w:rPr>
              <w:t>m处可满足《</w:t>
            </w:r>
            <w:r>
              <w:rPr>
                <w:rFonts w:hint="eastAsia" w:ascii="Times New Roman" w:hAnsi="Times New Roman" w:cs="Times New Roman"/>
                <w:color w:val="auto"/>
                <w:kern w:val="0"/>
                <w:sz w:val="24"/>
                <w:szCs w:val="24"/>
                <w:highlight w:val="none"/>
                <w:lang w:val="en-US" w:eastAsia="zh-CN" w:bidi="ar"/>
              </w:rPr>
              <w:t>建筑施工噪声排放标准</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cs="Times New Roman"/>
                <w:color w:val="auto"/>
                <w:kern w:val="0"/>
                <w:sz w:val="24"/>
                <w:szCs w:val="24"/>
                <w:highlight w:val="none"/>
                <w:lang w:val="en-US" w:eastAsia="zh-CN" w:bidi="ar"/>
              </w:rPr>
              <w:t>GB12523-2025</w:t>
            </w:r>
            <w:r>
              <w:rPr>
                <w:rFonts w:hint="default" w:ascii="Times New Roman" w:hAnsi="Times New Roman" w:eastAsia="宋体" w:cs="Times New Roman"/>
                <w:color w:val="auto"/>
                <w:kern w:val="0"/>
                <w:sz w:val="24"/>
                <w:szCs w:val="24"/>
                <w:highlight w:val="none"/>
                <w:lang w:val="en-US" w:eastAsia="zh-CN" w:bidi="ar"/>
              </w:rPr>
              <w:t>）中相关规定；昼间距离压裂车</w:t>
            </w:r>
            <w:r>
              <w:rPr>
                <w:rFonts w:hint="eastAsia" w:ascii="Times New Roman" w:hAnsi="Times New Roman" w:cs="Times New Roman"/>
                <w:color w:val="auto"/>
                <w:kern w:val="0"/>
                <w:sz w:val="24"/>
                <w:szCs w:val="24"/>
                <w:highlight w:val="none"/>
                <w:lang w:val="en-US" w:eastAsia="zh-CN" w:bidi="ar"/>
              </w:rPr>
              <w:t>350</w:t>
            </w:r>
            <w:r>
              <w:rPr>
                <w:rFonts w:hint="default" w:ascii="Times New Roman" w:hAnsi="Times New Roman" w:eastAsia="宋体" w:cs="Times New Roman"/>
                <w:color w:val="auto"/>
                <w:kern w:val="0"/>
                <w:sz w:val="24"/>
                <w:szCs w:val="24"/>
                <w:highlight w:val="none"/>
                <w:lang w:val="en-US" w:eastAsia="zh-CN" w:bidi="ar"/>
              </w:rPr>
              <w:t>m处可满足《</w:t>
            </w:r>
            <w:r>
              <w:rPr>
                <w:rFonts w:hint="eastAsia" w:ascii="Times New Roman" w:hAnsi="Times New Roman" w:cs="Times New Roman"/>
                <w:color w:val="auto"/>
                <w:kern w:val="0"/>
                <w:sz w:val="24"/>
                <w:szCs w:val="24"/>
                <w:highlight w:val="none"/>
                <w:lang w:val="en-US" w:eastAsia="zh-CN" w:bidi="ar"/>
              </w:rPr>
              <w:t>建筑施工噪声排放标准</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cs="Times New Roman"/>
                <w:color w:val="auto"/>
                <w:kern w:val="0"/>
                <w:sz w:val="24"/>
                <w:szCs w:val="24"/>
                <w:highlight w:val="none"/>
                <w:lang w:val="en-US" w:eastAsia="zh-CN" w:bidi="ar"/>
              </w:rPr>
              <w:t>GB12523-2025</w:t>
            </w:r>
            <w:r>
              <w:rPr>
                <w:rFonts w:hint="default" w:ascii="Times New Roman" w:hAnsi="Times New Roman" w:eastAsia="宋体" w:cs="Times New Roman"/>
                <w:color w:val="auto"/>
                <w:kern w:val="0"/>
                <w:sz w:val="24"/>
                <w:szCs w:val="24"/>
                <w:highlight w:val="none"/>
                <w:lang w:val="en-US" w:eastAsia="zh-CN" w:bidi="ar"/>
              </w:rPr>
              <w:t>）中相关规定。项目井场3</w:t>
            </w:r>
            <w:r>
              <w:rPr>
                <w:rFonts w:hint="eastAsia" w:ascii="Times New Roman" w:hAnsi="Times New Roman"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0m范围内无声环境敏感目标，本项目压裂车</w:t>
            </w:r>
            <w:r>
              <w:rPr>
                <w:rFonts w:hint="eastAsia" w:ascii="Times New Roman" w:hAnsi="Times New Roman" w:eastAsia="宋体" w:cs="Times New Roman"/>
                <w:color w:val="auto"/>
                <w:kern w:val="0"/>
                <w:sz w:val="24"/>
                <w:szCs w:val="24"/>
                <w:highlight w:val="none"/>
                <w:lang w:val="en-US" w:eastAsia="zh-CN" w:bidi="ar"/>
              </w:rPr>
              <w:t>施工前提前告知周边居民，且压裂时间时间较短</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sz w:val="24"/>
                <w:szCs w:val="24"/>
                <w:highlight w:val="none"/>
                <w:lang w:val="en-US" w:eastAsia="zh-CN"/>
              </w:rPr>
              <w:t>压裂作业对周围环境产生的不利影响较小</w:t>
            </w:r>
            <w:r>
              <w:rPr>
                <w:rFonts w:hint="default" w:ascii="Times New Roman" w:hAnsi="Times New Roman" w:eastAsia="宋体" w:cs="Times New Roman"/>
                <w:color w:val="auto"/>
                <w:kern w:val="0"/>
                <w:sz w:val="24"/>
                <w:szCs w:val="24"/>
                <w:highlight w:val="none"/>
                <w:lang w:val="en-US" w:eastAsia="zh-CN" w:bidi="ar"/>
              </w:rPr>
              <w:t>。</w:t>
            </w:r>
          </w:p>
          <w:p w14:paraId="2A631B4C">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2" w:firstLineChars="200"/>
              <w:jc w:val="both"/>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（4）试气放喷噪声对环境影响分析</w:t>
            </w:r>
          </w:p>
          <w:p w14:paraId="05DBBD94">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测试放喷根据试气计划依次进行，测试放喷时产生的高压气流噪声为100dB</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A</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，均是昼夜连续作业。评价对井场试气噪声进行预测，预测模型同钻井工程噪声预测模式，预测结果见表4-</w:t>
            </w:r>
            <w:r>
              <w:rPr>
                <w:rFonts w:hint="eastAsia" w:ascii="Times New Roman" w:hAnsi="Times New Roman" w:cs="Times New Roman"/>
                <w:color w:val="auto"/>
                <w:kern w:val="0"/>
                <w:sz w:val="24"/>
                <w:szCs w:val="24"/>
                <w:highlight w:val="none"/>
                <w:lang w:val="en-US" w:eastAsia="zh-CN" w:bidi="ar"/>
              </w:rPr>
              <w:t>7</w:t>
            </w:r>
            <w:r>
              <w:rPr>
                <w:rFonts w:hint="default" w:ascii="Times New Roman" w:hAnsi="Times New Roman" w:eastAsia="宋体" w:cs="Times New Roman"/>
                <w:color w:val="auto"/>
                <w:kern w:val="0"/>
                <w:sz w:val="24"/>
                <w:szCs w:val="24"/>
                <w:highlight w:val="none"/>
                <w:lang w:val="en-US" w:eastAsia="zh-CN" w:bidi="ar"/>
              </w:rPr>
              <w:t>。</w:t>
            </w:r>
          </w:p>
          <w:p w14:paraId="5A948706">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表4-</w:t>
            </w:r>
            <w:r>
              <w:rPr>
                <w:rFonts w:hint="eastAsia" w:ascii="Times New Roman" w:hAnsi="Times New Roman" w:cs="Times New Roman"/>
                <w:b/>
                <w:bCs/>
                <w:color w:val="auto"/>
                <w:kern w:val="0"/>
                <w:sz w:val="24"/>
                <w:szCs w:val="24"/>
                <w:highlight w:val="none"/>
                <w:lang w:val="en-US" w:eastAsia="zh-CN" w:bidi="ar"/>
              </w:rPr>
              <w:t>7</w:t>
            </w:r>
            <w:r>
              <w:rPr>
                <w:rFonts w:hint="default" w:ascii="Times New Roman" w:hAnsi="Times New Roman" w:eastAsia="宋体" w:cs="Times New Roman"/>
                <w:b/>
                <w:bCs/>
                <w:color w:val="auto"/>
                <w:kern w:val="0"/>
                <w:sz w:val="24"/>
                <w:szCs w:val="24"/>
                <w:highlight w:val="none"/>
                <w:lang w:val="en-US" w:eastAsia="zh-CN" w:bidi="ar"/>
              </w:rPr>
              <w:t xml:space="preserve"> 放喷噪声影响范围预测结果单位：dB（A）</w:t>
            </w:r>
          </w:p>
          <w:tbl>
            <w:tblPr>
              <w:tblStyle w:val="1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7"/>
              <w:gridCol w:w="669"/>
              <w:gridCol w:w="930"/>
              <w:gridCol w:w="930"/>
              <w:gridCol w:w="930"/>
              <w:gridCol w:w="930"/>
              <w:gridCol w:w="930"/>
              <w:gridCol w:w="930"/>
              <w:gridCol w:w="938"/>
            </w:tblGrid>
            <w:tr w14:paraId="45B74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pct"/>
                  <w:vMerge w:val="restart"/>
                  <w:tcBorders>
                    <w:top w:val="single" w:color="auto" w:sz="4" w:space="0"/>
                    <w:left w:val="single" w:color="auto" w:sz="4" w:space="0"/>
                    <w:bottom w:val="single" w:color="auto" w:sz="4" w:space="0"/>
                    <w:right w:val="single" w:color="auto" w:sz="4" w:space="0"/>
                  </w:tcBorders>
                  <w:noWrap w:val="0"/>
                  <w:vAlign w:val="center"/>
                </w:tcPr>
                <w:p w14:paraId="34613D56">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噪声源</w:t>
                  </w:r>
                </w:p>
              </w:tc>
              <w:tc>
                <w:tcPr>
                  <w:tcW w:w="4290" w:type="pct"/>
                  <w:gridSpan w:val="8"/>
                  <w:tcBorders>
                    <w:top w:val="single" w:color="auto" w:sz="4" w:space="0"/>
                    <w:left w:val="single" w:color="auto" w:sz="4" w:space="0"/>
                    <w:bottom w:val="single" w:color="auto" w:sz="4" w:space="0"/>
                    <w:right w:val="single" w:color="auto" w:sz="4" w:space="0"/>
                  </w:tcBorders>
                  <w:noWrap w:val="0"/>
                  <w:vAlign w:val="center"/>
                </w:tcPr>
                <w:p w14:paraId="5E06F96F">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距声源距离</w:t>
                  </w:r>
                </w:p>
              </w:tc>
            </w:tr>
            <w:tr w14:paraId="59840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pct"/>
                  <w:vMerge w:val="continue"/>
                  <w:tcBorders>
                    <w:top w:val="single" w:color="auto" w:sz="4" w:space="0"/>
                    <w:left w:val="single" w:color="auto" w:sz="4" w:space="0"/>
                    <w:bottom w:val="single" w:color="auto" w:sz="4" w:space="0"/>
                    <w:right w:val="single" w:color="auto" w:sz="4" w:space="0"/>
                  </w:tcBorders>
                  <w:noWrap w:val="0"/>
                  <w:vAlign w:val="center"/>
                </w:tcPr>
                <w:p w14:paraId="2E3E663E">
                  <w:pPr>
                    <w:keepNext w:val="0"/>
                    <w:keepLines w:val="0"/>
                    <w:pageBreakBefore w:val="0"/>
                    <w:suppressLineNumbers w:val="0"/>
                    <w:kinsoku/>
                    <w:wordWrap/>
                    <w:overflowPunct/>
                    <w:topLinePunct w:val="0"/>
                    <w:bidi w:val="0"/>
                    <w:spacing w:before="0" w:beforeAutospacing="0" w:after="0" w:afterAutospacing="0"/>
                    <w:ind w:left="0" w:leftChars="0" w:right="0" w:rightChars="0"/>
                    <w:jc w:val="both"/>
                    <w:outlineLvl w:val="9"/>
                    <w:rPr>
                      <w:rFonts w:hint="default" w:ascii="Times New Roman" w:hAnsi="Times New Roman" w:eastAsia="宋体" w:cs="Times New Roman"/>
                      <w:color w:val="auto"/>
                      <w:sz w:val="20"/>
                      <w:szCs w:val="20"/>
                      <w:highlight w:val="none"/>
                    </w:rPr>
                  </w:pPr>
                </w:p>
              </w:tc>
              <w:tc>
                <w:tcPr>
                  <w:tcW w:w="400" w:type="pct"/>
                  <w:tcBorders>
                    <w:top w:val="single" w:color="auto" w:sz="4" w:space="0"/>
                    <w:left w:val="single" w:color="auto" w:sz="4" w:space="0"/>
                    <w:bottom w:val="single" w:color="auto" w:sz="4" w:space="0"/>
                    <w:right w:val="single" w:color="auto" w:sz="4" w:space="0"/>
                  </w:tcBorders>
                  <w:noWrap w:val="0"/>
                  <w:vAlign w:val="center"/>
                </w:tcPr>
                <w:p w14:paraId="5194580A">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10</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437B7D8D">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20</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230D89E1">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40</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349DC8C3">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80</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4B16FCF1">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100</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610D24DF">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150</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6510C1C1">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200</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71A8F497">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400</w:t>
                  </w:r>
                </w:p>
              </w:tc>
            </w:tr>
            <w:tr w14:paraId="46AED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pct"/>
                  <w:tcBorders>
                    <w:top w:val="single" w:color="auto" w:sz="4" w:space="0"/>
                    <w:left w:val="single" w:color="auto" w:sz="4" w:space="0"/>
                    <w:bottom w:val="single" w:color="auto" w:sz="4" w:space="0"/>
                    <w:right w:val="single" w:color="auto" w:sz="4" w:space="0"/>
                  </w:tcBorders>
                  <w:noWrap w:val="0"/>
                  <w:vAlign w:val="center"/>
                </w:tcPr>
                <w:p w14:paraId="30E1B077">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放喷测试</w:t>
                  </w:r>
                </w:p>
              </w:tc>
              <w:tc>
                <w:tcPr>
                  <w:tcW w:w="400" w:type="pct"/>
                  <w:tcBorders>
                    <w:top w:val="single" w:color="auto" w:sz="4" w:space="0"/>
                    <w:left w:val="single" w:color="auto" w:sz="4" w:space="0"/>
                    <w:bottom w:val="single" w:color="auto" w:sz="4" w:space="0"/>
                    <w:right w:val="single" w:color="auto" w:sz="4" w:space="0"/>
                  </w:tcBorders>
                  <w:noWrap w:val="0"/>
                  <w:vAlign w:val="center"/>
                </w:tcPr>
                <w:p w14:paraId="44D082D4">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80.0</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3E76FE5F">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74.0</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388DC15F">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68.0</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63B3020D">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61.9</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2665A852">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60.0</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2F9EADC2">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56.5</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094DD605">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54.0</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2D1D155D">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48.0</w:t>
                  </w:r>
                </w:p>
              </w:tc>
            </w:tr>
          </w:tbl>
          <w:p w14:paraId="7AD8C96A">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根据上表预测结果，在放喷测试时，在距放喷罐33m处能够满足《</w:t>
            </w:r>
            <w:r>
              <w:rPr>
                <w:rFonts w:hint="eastAsia" w:ascii="Times New Roman" w:hAnsi="Times New Roman" w:cs="Times New Roman"/>
                <w:color w:val="auto"/>
                <w:kern w:val="0"/>
                <w:sz w:val="24"/>
                <w:szCs w:val="24"/>
                <w:highlight w:val="none"/>
                <w:lang w:val="en-US" w:eastAsia="zh-CN" w:bidi="ar"/>
              </w:rPr>
              <w:t>建筑施工噪声排放标准</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cs="Times New Roman"/>
                <w:color w:val="auto"/>
                <w:kern w:val="0"/>
                <w:sz w:val="24"/>
                <w:szCs w:val="24"/>
                <w:highlight w:val="none"/>
                <w:lang w:val="en-US" w:eastAsia="zh-CN" w:bidi="ar"/>
              </w:rPr>
              <w:t>GB12523-2025</w:t>
            </w:r>
            <w:r>
              <w:rPr>
                <w:rFonts w:hint="default" w:ascii="Times New Roman" w:hAnsi="Times New Roman" w:eastAsia="宋体" w:cs="Times New Roman"/>
                <w:color w:val="auto"/>
                <w:kern w:val="0"/>
                <w:sz w:val="24"/>
                <w:szCs w:val="24"/>
                <w:highlight w:val="none"/>
                <w:lang w:val="en-US" w:eastAsia="zh-CN" w:bidi="ar"/>
              </w:rPr>
              <w:t>）昼间排放标准70dB</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A</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；在距放喷罐185m处能够满足其夜间排放标准55dB</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A</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w:t>
            </w:r>
          </w:p>
          <w:p w14:paraId="3AC45529">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放喷罐周围</w:t>
            </w:r>
            <w:r>
              <w:rPr>
                <w:rFonts w:hint="eastAsia" w:ascii="Times New Roman" w:hAnsi="Times New Roman"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00m范围内无居民点，且钻井施工作业时间短，施工结束后影响随即消失。</w:t>
            </w:r>
          </w:p>
          <w:p w14:paraId="5CBC33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综上，气井在钻井过程中，对周围声环境敏感点噪声影响很小。</w:t>
            </w:r>
          </w:p>
          <w:p w14:paraId="445B1CD0">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2" w:firstLineChars="200"/>
              <w:jc w:val="both"/>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六、固体废物</w:t>
            </w:r>
          </w:p>
          <w:p w14:paraId="4E231A4F">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项目钻井过程中产生的固体废物主要有一般固体废物、危险废物和生活垃圾。</w:t>
            </w:r>
          </w:p>
          <w:p w14:paraId="43F1E866">
            <w:pPr>
              <w:pStyle w:val="14"/>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1、一般固体废物</w:t>
            </w:r>
          </w:p>
          <w:p w14:paraId="7A793BB3">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2" w:firstLineChars="200"/>
              <w:jc w:val="both"/>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（1）废弃泥浆（泥饼）</w:t>
            </w:r>
          </w:p>
          <w:p w14:paraId="5EAF2980">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left"/>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钻井废弃泥浆（泥饼）是指在钻井过程中无法利用的剩余泥浆，其产生量随井深和井径的不同而改变。</w:t>
            </w:r>
            <w:r>
              <w:rPr>
                <w:rFonts w:hint="default" w:ascii="Times New Roman" w:hAnsi="Times New Roman" w:eastAsia="宋体" w:cs="Times New Roman"/>
                <w:color w:val="auto"/>
                <w:kern w:val="2"/>
                <w:sz w:val="24"/>
                <w:szCs w:val="24"/>
                <w:highlight w:val="none"/>
                <w:lang w:val="en-US" w:eastAsia="zh-CN" w:bidi="ar-SA"/>
              </w:rPr>
              <w:t>废钻井泥浆是钻井过程中产生的一种液态细腻胶状物，失水后变成固态物，主要成分是粘土、CMC（羧甲基纤维素）和少量纯碱等，泥浆密度1.15t/m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
              </w:rPr>
              <w:t>根据类比企业在该地区已建评价井的调查情况，钻井废弃泥浆产生量可按照经验公式推算：</w:t>
            </w:r>
          </w:p>
          <w:p w14:paraId="76759F23">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jc w:val="center"/>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position w:val="-10"/>
                <w:sz w:val="24"/>
                <w:szCs w:val="24"/>
                <w:highlight w:val="none"/>
                <w:lang w:val="en-US" w:eastAsia="zh-CN" w:bidi="ar"/>
              </w:rPr>
              <w:object>
                <v:shape id="_x0000_i1030" o:spt="75" type="#_x0000_t75" style="height:18pt;width:197.25pt;" o:ole="t" filled="f" o:preferrelative="t" stroked="f" coordsize="21600,21600">
                  <v:path/>
                  <v:fill on="f" focussize="0,0"/>
                  <v:stroke on="f" joinstyle="miter"/>
                  <v:imagedata r:id="rId22" o:title=""/>
                  <o:lock v:ext="edit" aspectratio="t"/>
                  <w10:wrap type="none"/>
                  <w10:anchorlock/>
                </v:shape>
                <o:OLEObject Type="Embed" ProgID="Equation.3" ShapeID="_x0000_i1030" DrawAspect="Content" ObjectID="_1468075730" r:id="rId21">
                  <o:LockedField>false</o:LockedField>
                </o:OLEObject>
              </w:object>
            </w:r>
          </w:p>
          <w:p w14:paraId="189D354D">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left"/>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式中：</w:t>
            </w:r>
          </w:p>
          <w:p w14:paraId="529C0D56">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left"/>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V——钻井泥浆量，m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p>
          <w:p w14:paraId="661F64DF">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left"/>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D——钻井尺寸，m，</w:t>
            </w:r>
            <w:r>
              <w:rPr>
                <w:rFonts w:hint="default" w:ascii="Times New Roman" w:hAnsi="Times New Roman" w:eastAsia="宋体" w:cs="Times New Roman"/>
                <w:b w:val="0"/>
                <w:bCs w:val="0"/>
                <w:color w:val="auto"/>
                <w:sz w:val="24"/>
                <w:szCs w:val="24"/>
                <w:highlight w:val="none"/>
                <w:vertAlign w:val="baseline"/>
                <w:lang w:val="en-US" w:eastAsia="zh-CN"/>
              </w:rPr>
              <w:t>一开0.346m，二开0.273m</w:t>
            </w:r>
            <w:r>
              <w:rPr>
                <w:rFonts w:hint="default" w:ascii="Times New Roman" w:hAnsi="Times New Roman" w:eastAsia="宋体" w:cs="Times New Roman"/>
                <w:color w:val="auto"/>
                <w:kern w:val="0"/>
                <w:sz w:val="24"/>
                <w:szCs w:val="24"/>
                <w:highlight w:val="none"/>
                <w:lang w:val="en-US" w:eastAsia="zh-CN" w:bidi="ar"/>
              </w:rPr>
              <w:t>；</w:t>
            </w:r>
          </w:p>
          <w:p w14:paraId="03C6105A">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left"/>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h——钻井的深度，m，</w:t>
            </w:r>
            <w:r>
              <w:rPr>
                <w:rFonts w:hint="eastAsia" w:ascii="Times New Roman" w:hAnsi="Times New Roman" w:eastAsia="宋体" w:cs="Times New Roman"/>
                <w:b w:val="0"/>
                <w:bCs w:val="0"/>
                <w:color w:val="auto"/>
                <w:sz w:val="24"/>
                <w:szCs w:val="24"/>
                <w:highlight w:val="none"/>
                <w:vertAlign w:val="baseline"/>
                <w:lang w:val="en-US" w:eastAsia="zh-CN"/>
              </w:rPr>
              <w:t>直井</w:t>
            </w:r>
            <w:r>
              <w:rPr>
                <w:rFonts w:hint="default" w:ascii="Times New Roman" w:hAnsi="Times New Roman" w:eastAsia="宋体" w:cs="Times New Roman"/>
                <w:b w:val="0"/>
                <w:bCs w:val="0"/>
                <w:color w:val="auto"/>
                <w:sz w:val="24"/>
                <w:szCs w:val="24"/>
                <w:highlight w:val="none"/>
                <w:vertAlign w:val="baseline"/>
                <w:lang w:val="en-US" w:eastAsia="zh-CN"/>
              </w:rPr>
              <w:t>一开</w:t>
            </w:r>
            <w:r>
              <w:rPr>
                <w:rFonts w:hint="eastAsia" w:ascii="Times New Roman" w:hAnsi="Times New Roman" w:eastAsia="宋体" w:cs="Times New Roman"/>
                <w:b w:val="0"/>
                <w:bCs w:val="0"/>
                <w:color w:val="auto"/>
                <w:sz w:val="24"/>
                <w:szCs w:val="24"/>
                <w:highlight w:val="none"/>
                <w:vertAlign w:val="baseline"/>
                <w:lang w:val="en-US" w:eastAsia="zh-CN"/>
              </w:rPr>
              <w:t>600</w:t>
            </w:r>
            <w:r>
              <w:rPr>
                <w:rFonts w:hint="default" w:ascii="Times New Roman" w:hAnsi="Times New Roman" w:eastAsia="宋体" w:cs="Times New Roman"/>
                <w:b w:val="0"/>
                <w:bCs w:val="0"/>
                <w:color w:val="auto"/>
                <w:sz w:val="24"/>
                <w:szCs w:val="24"/>
                <w:highlight w:val="none"/>
                <w:vertAlign w:val="baseline"/>
                <w:lang w:val="en-US" w:eastAsia="zh-CN"/>
              </w:rPr>
              <w:t>m，二开</w:t>
            </w:r>
            <w:r>
              <w:rPr>
                <w:rFonts w:hint="eastAsia" w:ascii="Times New Roman" w:hAnsi="Times New Roman" w:eastAsia="宋体" w:cs="Times New Roman"/>
                <w:b w:val="0"/>
                <w:bCs w:val="0"/>
                <w:color w:val="auto"/>
                <w:sz w:val="24"/>
                <w:szCs w:val="24"/>
                <w:highlight w:val="none"/>
                <w:vertAlign w:val="baseline"/>
                <w:lang w:val="en-US" w:eastAsia="zh-CN"/>
              </w:rPr>
              <w:t>600～井深</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color w:val="auto"/>
                <w:kern w:val="0"/>
                <w:sz w:val="24"/>
                <w:szCs w:val="24"/>
                <w:highlight w:val="none"/>
                <w:lang w:val="en-US" w:eastAsia="zh-CN" w:bidi="ar"/>
              </w:rPr>
              <w:t>。</w:t>
            </w:r>
          </w:p>
          <w:p w14:paraId="37CD95CB">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表4-</w:t>
            </w:r>
            <w:r>
              <w:rPr>
                <w:rFonts w:hint="eastAsia" w:ascii="Times New Roman" w:hAnsi="Times New Roman" w:cs="Times New Roman"/>
                <w:b/>
                <w:bCs/>
                <w:color w:val="auto"/>
                <w:kern w:val="0"/>
                <w:sz w:val="24"/>
                <w:szCs w:val="24"/>
                <w:highlight w:val="none"/>
                <w:lang w:val="en-US" w:eastAsia="zh-CN" w:bidi="ar"/>
              </w:rPr>
              <w:t>8</w:t>
            </w:r>
            <w:r>
              <w:rPr>
                <w:rFonts w:hint="default" w:ascii="Times New Roman" w:hAnsi="Times New Roman" w:eastAsia="宋体" w:cs="Times New Roman"/>
                <w:b/>
                <w:bCs/>
                <w:color w:val="auto"/>
                <w:kern w:val="0"/>
                <w:sz w:val="24"/>
                <w:szCs w:val="24"/>
                <w:highlight w:val="none"/>
                <w:lang w:val="en-US" w:eastAsia="zh-CN" w:bidi="ar"/>
              </w:rPr>
              <w:t xml:space="preserve"> 钻井泥浆产生情况一览表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1489"/>
              <w:gridCol w:w="1157"/>
              <w:gridCol w:w="1983"/>
              <w:gridCol w:w="1558"/>
              <w:gridCol w:w="1558"/>
            </w:tblGrid>
            <w:tr w14:paraId="22D9D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tcBorders>
                    <w:top w:val="single" w:color="auto" w:sz="4" w:space="0"/>
                    <w:left w:val="single" w:color="auto" w:sz="4" w:space="0"/>
                    <w:bottom w:val="single" w:color="auto" w:sz="4" w:space="0"/>
                    <w:right w:val="single" w:color="auto" w:sz="4" w:space="0"/>
                  </w:tcBorders>
                  <w:noWrap w:val="0"/>
                  <w:vAlign w:val="center"/>
                </w:tcPr>
                <w:p w14:paraId="70463B9A">
                  <w:pPr>
                    <w:pStyle w:val="15"/>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序号</w:t>
                  </w:r>
                </w:p>
              </w:tc>
              <w:tc>
                <w:tcPr>
                  <w:tcW w:w="889" w:type="pct"/>
                  <w:tcBorders>
                    <w:top w:val="single" w:color="auto" w:sz="4" w:space="0"/>
                    <w:left w:val="single" w:color="auto" w:sz="4" w:space="0"/>
                    <w:bottom w:val="single" w:color="auto" w:sz="4" w:space="0"/>
                    <w:right w:val="single" w:color="auto" w:sz="4" w:space="0"/>
                  </w:tcBorders>
                  <w:noWrap w:val="0"/>
                  <w:vAlign w:val="center"/>
                </w:tcPr>
                <w:p w14:paraId="4B514015">
                  <w:pPr>
                    <w:pStyle w:val="15"/>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井号</w:t>
                  </w:r>
                </w:p>
              </w:tc>
              <w:tc>
                <w:tcPr>
                  <w:tcW w:w="690" w:type="pct"/>
                  <w:tcBorders>
                    <w:top w:val="single" w:color="auto" w:sz="4" w:space="0"/>
                    <w:left w:val="single" w:color="auto" w:sz="4" w:space="0"/>
                    <w:bottom w:val="single" w:color="auto" w:sz="4" w:space="0"/>
                    <w:right w:val="single" w:color="auto" w:sz="4" w:space="0"/>
                  </w:tcBorders>
                  <w:noWrap w:val="0"/>
                  <w:vAlign w:val="center"/>
                </w:tcPr>
                <w:p w14:paraId="085EAAD8">
                  <w:pPr>
                    <w:pStyle w:val="15"/>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进尺（m）</w:t>
                  </w:r>
                </w:p>
              </w:tc>
              <w:tc>
                <w:tcPr>
                  <w:tcW w:w="1184" w:type="pct"/>
                  <w:tcBorders>
                    <w:top w:val="single" w:color="auto" w:sz="4" w:space="0"/>
                    <w:left w:val="single" w:color="auto" w:sz="4" w:space="0"/>
                    <w:bottom w:val="single" w:color="auto" w:sz="4" w:space="0"/>
                    <w:right w:val="single" w:color="auto" w:sz="4" w:space="0"/>
                  </w:tcBorders>
                  <w:noWrap w:val="0"/>
                  <w:vAlign w:val="center"/>
                </w:tcPr>
                <w:p w14:paraId="4EF4E391">
                  <w:pPr>
                    <w:pStyle w:val="15"/>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钻井泥浆产生量（</w:t>
                  </w:r>
                  <w:r>
                    <w:rPr>
                      <w:rFonts w:hint="default" w:ascii="Times New Roman" w:hAnsi="Times New Roman" w:eastAsia="宋体" w:cs="Times New Roman"/>
                      <w:b/>
                      <w:bCs/>
                      <w:color w:val="auto"/>
                      <w:kern w:val="0"/>
                      <w:sz w:val="24"/>
                      <w:szCs w:val="24"/>
                      <w:highlight w:val="none"/>
                      <w:lang w:val="en-US" w:eastAsia="zh-CN" w:bidi="ar"/>
                    </w:rPr>
                    <w:t>m</w:t>
                  </w:r>
                  <w:r>
                    <w:rPr>
                      <w:rFonts w:hint="default" w:ascii="Times New Roman" w:hAnsi="Times New Roman" w:eastAsia="宋体" w:cs="Times New Roman"/>
                      <w:b/>
                      <w:bCs/>
                      <w:color w:val="auto"/>
                      <w:kern w:val="0"/>
                      <w:sz w:val="24"/>
                      <w:szCs w:val="24"/>
                      <w:highlight w:val="none"/>
                      <w:vertAlign w:val="superscript"/>
                      <w:lang w:val="en-US" w:eastAsia="zh-CN" w:bidi="ar"/>
                    </w:rPr>
                    <w:t>3</w:t>
                  </w:r>
                  <w:r>
                    <w:rPr>
                      <w:rFonts w:hint="default" w:ascii="Times New Roman" w:hAnsi="Times New Roman" w:eastAsia="宋体" w:cs="Times New Roman"/>
                      <w:b/>
                      <w:bCs/>
                      <w:color w:val="auto"/>
                      <w:kern w:val="0"/>
                      <w:sz w:val="21"/>
                      <w:szCs w:val="21"/>
                      <w:highlight w:val="none"/>
                      <w:lang w:val="en-US" w:eastAsia="zh-CN" w:bidi="ar"/>
                    </w:rPr>
                    <w:t>）</w:t>
                  </w:r>
                </w:p>
              </w:tc>
              <w:tc>
                <w:tcPr>
                  <w:tcW w:w="930" w:type="pct"/>
                  <w:tcBorders>
                    <w:top w:val="single" w:color="auto" w:sz="4" w:space="0"/>
                    <w:left w:val="single" w:color="auto" w:sz="4" w:space="0"/>
                    <w:bottom w:val="single" w:color="auto" w:sz="4" w:space="0"/>
                    <w:right w:val="single" w:color="auto" w:sz="4" w:space="0"/>
                  </w:tcBorders>
                  <w:noWrap w:val="0"/>
                  <w:vAlign w:val="center"/>
                </w:tcPr>
                <w:p w14:paraId="441123E7">
                  <w:pPr>
                    <w:pStyle w:val="15"/>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
                    </w:rPr>
                    <w:t>钻井泥浆产生量（</w:t>
                  </w:r>
                  <w:r>
                    <w:rPr>
                      <w:rFonts w:hint="default" w:ascii="Times New Roman" w:hAnsi="Times New Roman" w:eastAsia="宋体" w:cs="Times New Roman"/>
                      <w:b/>
                      <w:bCs/>
                      <w:color w:val="auto"/>
                      <w:kern w:val="0"/>
                      <w:sz w:val="24"/>
                      <w:szCs w:val="24"/>
                      <w:highlight w:val="none"/>
                      <w:lang w:val="en-US" w:eastAsia="zh-CN" w:bidi="ar"/>
                    </w:rPr>
                    <w:t>t</w:t>
                  </w:r>
                  <w:r>
                    <w:rPr>
                      <w:rFonts w:hint="default" w:ascii="Times New Roman" w:hAnsi="Times New Roman" w:eastAsia="宋体" w:cs="Times New Roman"/>
                      <w:b/>
                      <w:bCs/>
                      <w:color w:val="auto"/>
                      <w:kern w:val="0"/>
                      <w:sz w:val="21"/>
                      <w:szCs w:val="21"/>
                      <w:highlight w:val="none"/>
                      <w:lang w:val="en-US" w:eastAsia="zh-CN" w:bidi="ar"/>
                    </w:rPr>
                    <w:t>）</w:t>
                  </w:r>
                </w:p>
              </w:tc>
              <w:tc>
                <w:tcPr>
                  <w:tcW w:w="930" w:type="pct"/>
                  <w:tcBorders>
                    <w:top w:val="single" w:color="auto" w:sz="4" w:space="0"/>
                    <w:left w:val="single" w:color="auto" w:sz="4" w:space="0"/>
                    <w:bottom w:val="single" w:color="auto" w:sz="4" w:space="0"/>
                    <w:right w:val="single" w:color="auto" w:sz="4" w:space="0"/>
                  </w:tcBorders>
                  <w:noWrap w:val="0"/>
                  <w:vAlign w:val="center"/>
                </w:tcPr>
                <w:p w14:paraId="4FCC8114">
                  <w:pPr>
                    <w:pStyle w:val="15"/>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压滤后泥饼量（t）</w:t>
                  </w:r>
                </w:p>
              </w:tc>
            </w:tr>
            <w:tr w14:paraId="0CE64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tcBorders>
                    <w:top w:val="single" w:color="auto" w:sz="4" w:space="0"/>
                    <w:left w:val="single" w:color="auto" w:sz="4" w:space="0"/>
                    <w:bottom w:val="single" w:color="auto" w:sz="4" w:space="0"/>
                    <w:right w:val="single" w:color="auto" w:sz="4" w:space="0"/>
                  </w:tcBorders>
                  <w:noWrap w:val="0"/>
                  <w:vAlign w:val="center"/>
                </w:tcPr>
                <w:p w14:paraId="41D40C9C">
                  <w:pPr>
                    <w:pStyle w:val="15"/>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w:t>
                  </w:r>
                </w:p>
              </w:tc>
              <w:tc>
                <w:tcPr>
                  <w:tcW w:w="889" w:type="pct"/>
                  <w:tcBorders>
                    <w:top w:val="single" w:color="auto" w:sz="4" w:space="0"/>
                    <w:left w:val="single" w:color="auto" w:sz="4" w:space="0"/>
                    <w:bottom w:val="single" w:color="auto" w:sz="4" w:space="0"/>
                    <w:right w:val="single" w:color="auto" w:sz="4" w:space="0"/>
                  </w:tcBorders>
                  <w:noWrap w:val="0"/>
                  <w:vAlign w:val="center"/>
                </w:tcPr>
                <w:p w14:paraId="06DFA3C3">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米75-3M</w:t>
                  </w:r>
                </w:p>
              </w:tc>
              <w:tc>
                <w:tcPr>
                  <w:tcW w:w="690" w:type="pct"/>
                  <w:tcBorders>
                    <w:top w:val="single" w:color="auto" w:sz="4" w:space="0"/>
                    <w:left w:val="single" w:color="auto" w:sz="4" w:space="0"/>
                    <w:bottom w:val="single" w:color="auto" w:sz="4" w:space="0"/>
                    <w:right w:val="single" w:color="auto" w:sz="4" w:space="0"/>
                  </w:tcBorders>
                  <w:noWrap w:val="0"/>
                  <w:vAlign w:val="center"/>
                </w:tcPr>
                <w:p w14:paraId="67246EA7">
                  <w:pPr>
                    <w:keepNext w:val="0"/>
                    <w:keepLines w:val="0"/>
                    <w:suppressLineNumbers w:val="0"/>
                    <w:adjustRightInd w:val="0"/>
                    <w:snapToGrid w:val="0"/>
                    <w:spacing w:before="0" w:beforeAutospacing="0" w:after="0" w:afterAutospacing="0"/>
                    <w:ind w:left="-63" w:leftChars="-30" w:right="-63" w:rightChars="-3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2750</w:t>
                  </w:r>
                </w:p>
              </w:tc>
              <w:tc>
                <w:tcPr>
                  <w:tcW w:w="1184" w:type="pct"/>
                  <w:tcBorders>
                    <w:top w:val="single" w:color="auto" w:sz="4" w:space="0"/>
                    <w:left w:val="single" w:color="auto" w:sz="4" w:space="0"/>
                    <w:bottom w:val="single" w:color="auto" w:sz="4" w:space="0"/>
                    <w:right w:val="single" w:color="auto" w:sz="4" w:space="0"/>
                  </w:tcBorders>
                  <w:noWrap w:val="0"/>
                  <w:vAlign w:val="center"/>
                </w:tcPr>
                <w:p w14:paraId="4772E1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350.09</w:t>
                  </w:r>
                </w:p>
              </w:tc>
              <w:tc>
                <w:tcPr>
                  <w:tcW w:w="930" w:type="pct"/>
                  <w:tcBorders>
                    <w:top w:val="single" w:color="auto" w:sz="4" w:space="0"/>
                    <w:left w:val="single" w:color="auto" w:sz="4" w:space="0"/>
                    <w:bottom w:val="single" w:color="auto" w:sz="4" w:space="0"/>
                    <w:right w:val="single" w:color="auto" w:sz="4" w:space="0"/>
                  </w:tcBorders>
                  <w:noWrap w:val="0"/>
                  <w:vAlign w:val="center"/>
                </w:tcPr>
                <w:p w14:paraId="44F527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402.60</w:t>
                  </w:r>
                </w:p>
              </w:tc>
              <w:tc>
                <w:tcPr>
                  <w:tcW w:w="930" w:type="pct"/>
                  <w:tcBorders>
                    <w:top w:val="single" w:color="auto" w:sz="4" w:space="0"/>
                    <w:left w:val="single" w:color="auto" w:sz="4" w:space="0"/>
                    <w:bottom w:val="single" w:color="auto" w:sz="4" w:space="0"/>
                    <w:right w:val="single" w:color="auto" w:sz="4" w:space="0"/>
                  </w:tcBorders>
                  <w:noWrap w:val="0"/>
                  <w:vAlign w:val="center"/>
                </w:tcPr>
                <w:p w14:paraId="25E31D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40.26</w:t>
                  </w:r>
                </w:p>
              </w:tc>
            </w:tr>
            <w:tr w14:paraId="7739C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pct"/>
                  <w:gridSpan w:val="3"/>
                  <w:tcBorders>
                    <w:top w:val="single" w:color="auto" w:sz="4" w:space="0"/>
                    <w:left w:val="single" w:color="auto" w:sz="4" w:space="0"/>
                    <w:bottom w:val="single" w:color="auto" w:sz="4" w:space="0"/>
                    <w:right w:val="single" w:color="auto" w:sz="4" w:space="0"/>
                  </w:tcBorders>
                  <w:noWrap w:val="0"/>
                  <w:vAlign w:val="center"/>
                </w:tcPr>
                <w:p w14:paraId="753F8428">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合计</w:t>
                  </w:r>
                </w:p>
              </w:tc>
              <w:tc>
                <w:tcPr>
                  <w:tcW w:w="1983" w:type="dxa"/>
                  <w:tcBorders>
                    <w:top w:val="single" w:color="auto" w:sz="4" w:space="0"/>
                    <w:left w:val="single" w:color="auto" w:sz="4" w:space="0"/>
                    <w:bottom w:val="single" w:color="auto" w:sz="4" w:space="0"/>
                    <w:right w:val="single" w:color="auto" w:sz="4" w:space="0"/>
                  </w:tcBorders>
                  <w:noWrap w:val="0"/>
                  <w:vAlign w:val="center"/>
                </w:tcPr>
                <w:p w14:paraId="4715B9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350.09</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6F3587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402.60</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7CDE58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40.26</w:t>
                  </w:r>
                </w:p>
              </w:tc>
            </w:tr>
          </w:tbl>
          <w:p w14:paraId="4BD72B10">
            <w:pPr>
              <w:pStyle w:val="15"/>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bidi="ar"/>
              </w:rPr>
              <w:t>根据计算，项目钻井单井废弃泥浆产生量约为</w:t>
            </w:r>
            <w:r>
              <w:rPr>
                <w:rFonts w:hint="eastAsia" w:ascii="Times New Roman" w:hAnsi="Times New Roman" w:cs="Times New Roman"/>
                <w:color w:val="auto"/>
                <w:sz w:val="24"/>
                <w:szCs w:val="24"/>
                <w:highlight w:val="none"/>
                <w:lang w:val="en-US" w:eastAsia="zh-CN" w:bidi="ar"/>
              </w:rPr>
              <w:t>350.09</w:t>
            </w:r>
            <w:r>
              <w:rPr>
                <w:rFonts w:hint="default" w:ascii="Times New Roman" w:hAnsi="Times New Roman" w:eastAsia="宋体" w:cs="Times New Roman"/>
                <w:color w:val="auto"/>
                <w:sz w:val="24"/>
                <w:szCs w:val="24"/>
                <w:highlight w:val="none"/>
                <w:lang w:val="en-US" w:eastAsia="zh-CN" w:bidi="ar"/>
              </w:rPr>
              <w:t>m</w:t>
            </w:r>
            <w:r>
              <w:rPr>
                <w:rFonts w:hint="default" w:ascii="Times New Roman" w:hAnsi="Times New Roman" w:eastAsia="宋体" w:cs="Times New Roman"/>
                <w:color w:val="auto"/>
                <w:sz w:val="24"/>
                <w:szCs w:val="24"/>
                <w:highlight w:val="none"/>
                <w:vertAlign w:val="superscript"/>
                <w:lang w:val="en-US" w:eastAsia="zh-CN" w:bidi="ar"/>
              </w:rPr>
              <w:t>3</w:t>
            </w:r>
            <w:r>
              <w:rPr>
                <w:rFonts w:hint="default" w:ascii="Times New Roman" w:hAnsi="Times New Roman" w:eastAsia="宋体" w:cs="Times New Roman"/>
                <w:color w:val="auto"/>
                <w:sz w:val="24"/>
                <w:szCs w:val="24"/>
                <w:highlight w:val="none"/>
                <w:lang w:val="en-US" w:eastAsia="zh-CN" w:bidi="ar"/>
              </w:rPr>
              <w:t>，重复利用率＞95%，在井场经压滤机脱水后形成泥饼（压滤前含水率为95%，压滤后含水率为50%），压滤后泥饼量约为</w:t>
            </w:r>
            <w:r>
              <w:rPr>
                <w:rFonts w:hint="eastAsia" w:ascii="Times New Roman" w:hAnsi="Times New Roman" w:cs="Times New Roman"/>
                <w:color w:val="auto"/>
                <w:sz w:val="24"/>
                <w:szCs w:val="24"/>
                <w:highlight w:val="none"/>
                <w:lang w:val="en-US" w:eastAsia="zh-CN" w:bidi="ar"/>
              </w:rPr>
              <w:t>40.26</w:t>
            </w:r>
            <w:r>
              <w:rPr>
                <w:rFonts w:hint="default" w:ascii="Times New Roman" w:hAnsi="Times New Roman" w:eastAsia="宋体" w:cs="Times New Roman"/>
                <w:color w:val="auto"/>
                <w:sz w:val="24"/>
                <w:szCs w:val="24"/>
                <w:highlight w:val="none"/>
                <w:lang w:val="en-US" w:eastAsia="zh-CN" w:bidi="ar"/>
              </w:rPr>
              <w:t>t。</w:t>
            </w:r>
          </w:p>
          <w:p w14:paraId="04F366BD">
            <w:pPr>
              <w:pStyle w:val="15"/>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bidi="ar"/>
              </w:rPr>
              <w:t>废弃泥浆的主要成分是土粉、纯碱、烧碱和无机及有机添加剂，本项目使用水基泥浆，按照《榆林市油（气）开采废弃物处置环保暂行管理办法》（榆政环发〔2015〕170号）的相关要求进行收集，经场地内泥浆循环系统配套的移动式泥饼和岩屑收集罐暂存，由罐车拉运至</w:t>
            </w:r>
            <w:r>
              <w:rPr>
                <w:rFonts w:hint="eastAsia" w:ascii="Times New Roman" w:hAnsi="Times New Roman" w:cs="Times New Roman"/>
                <w:color w:val="auto"/>
                <w:sz w:val="24"/>
                <w:szCs w:val="24"/>
                <w:highlight w:val="none"/>
                <w:lang w:val="en-US" w:eastAsia="zh-CN" w:bidi="ar"/>
              </w:rPr>
              <w:t>协议的有能力单位</w:t>
            </w:r>
            <w:r>
              <w:rPr>
                <w:rFonts w:hint="default" w:ascii="Times New Roman" w:hAnsi="Times New Roman" w:eastAsia="宋体" w:cs="Times New Roman"/>
                <w:color w:val="auto"/>
                <w:sz w:val="24"/>
                <w:szCs w:val="24"/>
                <w:highlight w:val="none"/>
                <w:lang w:val="en-US" w:eastAsia="zh-CN" w:bidi="ar"/>
              </w:rPr>
              <w:t>处置</w:t>
            </w:r>
            <w:r>
              <w:rPr>
                <w:rFonts w:hint="default" w:ascii="Times New Roman" w:hAnsi="Times New Roman" w:eastAsia="宋体" w:cs="Times New Roman"/>
                <w:color w:val="auto"/>
                <w:kern w:val="0"/>
                <w:sz w:val="24"/>
                <w:szCs w:val="24"/>
                <w:highlight w:val="none"/>
                <w:lang w:val="en-US" w:eastAsia="zh-CN" w:bidi="ar"/>
              </w:rPr>
              <w:t>。</w:t>
            </w:r>
          </w:p>
          <w:p w14:paraId="0CD5576A">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2" w:firstLineChars="200"/>
              <w:jc w:val="both"/>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（2）钻井岩屑</w:t>
            </w:r>
          </w:p>
          <w:p w14:paraId="137C2EA7">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钻井过程中，岩石被钻头破碎成岩屑，随着泥浆经循环泵带出井口，经地面的泥浆不落地系统处理分离，钻井岩屑的产生量按以下公式计算：</w:t>
            </w:r>
          </w:p>
          <w:p w14:paraId="30590A1D">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jc w:val="center"/>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position w:val="-6"/>
                <w:sz w:val="24"/>
                <w:szCs w:val="24"/>
                <w:highlight w:val="none"/>
                <w:lang w:val="en-US" w:eastAsia="zh-CN" w:bidi="ar"/>
              </w:rPr>
              <w:object>
                <v:shape id="_x0000_i1031" o:spt="75" type="#_x0000_t75" style="height:15.75pt;width:72pt;" o:ole="t" filled="f" o:preferrelative="t" stroked="f" coordsize="21600,21600">
                  <v:path/>
                  <v:fill on="f" focussize="0,0"/>
                  <v:stroke on="f" joinstyle="miter"/>
                  <v:imagedata r:id="rId24" o:title=""/>
                  <o:lock v:ext="edit" aspectratio="t"/>
                  <w10:wrap type="none"/>
                  <w10:anchorlock/>
                </v:shape>
                <o:OLEObject Type="Embed" ProgID="Equation.3" ShapeID="_x0000_i1031" DrawAspect="Content" ObjectID="_1468075731" r:id="rId23">
                  <o:LockedField>false</o:LockedField>
                </o:OLEObject>
              </w:object>
            </w:r>
          </w:p>
          <w:p w14:paraId="15021789">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式中：</w:t>
            </w:r>
          </w:p>
          <w:p w14:paraId="75A11B94">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left"/>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W——钻井岩屑产生量，t；</w:t>
            </w:r>
          </w:p>
          <w:p w14:paraId="7D20B08A">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left"/>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D——钻井尺寸，m，</w:t>
            </w:r>
            <w:r>
              <w:rPr>
                <w:rFonts w:hint="default" w:ascii="Times New Roman" w:hAnsi="Times New Roman" w:eastAsia="宋体" w:cs="Times New Roman"/>
                <w:b w:val="0"/>
                <w:bCs w:val="0"/>
                <w:color w:val="auto"/>
                <w:sz w:val="24"/>
                <w:szCs w:val="24"/>
                <w:highlight w:val="none"/>
                <w:vertAlign w:val="baseline"/>
                <w:lang w:val="en-US" w:eastAsia="zh-CN"/>
              </w:rPr>
              <w:t>一开0.346m，二开0.273m</w:t>
            </w:r>
            <w:r>
              <w:rPr>
                <w:rFonts w:hint="default" w:ascii="Times New Roman" w:hAnsi="Times New Roman" w:eastAsia="宋体" w:cs="Times New Roman"/>
                <w:color w:val="auto"/>
                <w:kern w:val="0"/>
                <w:sz w:val="24"/>
                <w:szCs w:val="24"/>
                <w:highlight w:val="none"/>
                <w:lang w:val="en-US" w:eastAsia="zh-CN" w:bidi="ar"/>
              </w:rPr>
              <w:t>；</w:t>
            </w:r>
          </w:p>
          <w:p w14:paraId="241D0F44">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left"/>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h——钻井的深度，m，</w:t>
            </w:r>
            <w:r>
              <w:rPr>
                <w:rFonts w:hint="eastAsia" w:ascii="Times New Roman" w:hAnsi="Times New Roman" w:eastAsia="宋体" w:cs="Times New Roman"/>
                <w:b w:val="0"/>
                <w:bCs w:val="0"/>
                <w:color w:val="auto"/>
                <w:sz w:val="24"/>
                <w:szCs w:val="24"/>
                <w:highlight w:val="none"/>
                <w:vertAlign w:val="baseline"/>
                <w:lang w:val="en-US" w:eastAsia="zh-CN"/>
              </w:rPr>
              <w:t>直井</w:t>
            </w:r>
            <w:r>
              <w:rPr>
                <w:rFonts w:hint="default" w:ascii="Times New Roman" w:hAnsi="Times New Roman" w:eastAsia="宋体" w:cs="Times New Roman"/>
                <w:b w:val="0"/>
                <w:bCs w:val="0"/>
                <w:color w:val="auto"/>
                <w:sz w:val="24"/>
                <w:szCs w:val="24"/>
                <w:highlight w:val="none"/>
                <w:vertAlign w:val="baseline"/>
                <w:lang w:val="en-US" w:eastAsia="zh-CN"/>
              </w:rPr>
              <w:t>一开</w:t>
            </w:r>
            <w:r>
              <w:rPr>
                <w:rFonts w:hint="eastAsia" w:ascii="Times New Roman" w:hAnsi="Times New Roman" w:eastAsia="宋体" w:cs="Times New Roman"/>
                <w:b w:val="0"/>
                <w:bCs w:val="0"/>
                <w:color w:val="auto"/>
                <w:sz w:val="24"/>
                <w:szCs w:val="24"/>
                <w:highlight w:val="none"/>
                <w:vertAlign w:val="baseline"/>
                <w:lang w:val="en-US" w:eastAsia="zh-CN"/>
              </w:rPr>
              <w:t>600</w:t>
            </w:r>
            <w:r>
              <w:rPr>
                <w:rFonts w:hint="default" w:ascii="Times New Roman" w:hAnsi="Times New Roman" w:eastAsia="宋体" w:cs="Times New Roman"/>
                <w:b w:val="0"/>
                <w:bCs w:val="0"/>
                <w:color w:val="auto"/>
                <w:sz w:val="24"/>
                <w:szCs w:val="24"/>
                <w:highlight w:val="none"/>
                <w:vertAlign w:val="baseline"/>
                <w:lang w:val="en-US" w:eastAsia="zh-CN"/>
              </w:rPr>
              <w:t>m，二开</w:t>
            </w:r>
            <w:r>
              <w:rPr>
                <w:rFonts w:hint="eastAsia" w:ascii="Times New Roman" w:hAnsi="Times New Roman" w:eastAsia="宋体" w:cs="Times New Roman"/>
                <w:b w:val="0"/>
                <w:bCs w:val="0"/>
                <w:color w:val="auto"/>
                <w:sz w:val="24"/>
                <w:szCs w:val="24"/>
                <w:highlight w:val="none"/>
                <w:vertAlign w:val="baseline"/>
                <w:lang w:val="en-US" w:eastAsia="zh-CN"/>
              </w:rPr>
              <w:t>600～井深</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color w:val="auto"/>
                <w:kern w:val="0"/>
                <w:sz w:val="24"/>
                <w:szCs w:val="24"/>
                <w:highlight w:val="none"/>
                <w:lang w:val="en-US" w:eastAsia="zh-CN" w:bidi="ar"/>
              </w:rPr>
              <w:t>；</w:t>
            </w:r>
          </w:p>
          <w:p w14:paraId="5CEE0DE9">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left"/>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d——岩石密度，t/m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，取2.8t/m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p>
          <w:p w14:paraId="0C4DA117">
            <w:pPr>
              <w:pStyle w:val="15"/>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32"/>
                <w:szCs w:val="32"/>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表4-</w:t>
            </w:r>
            <w:r>
              <w:rPr>
                <w:rFonts w:hint="eastAsia" w:ascii="Times New Roman" w:hAnsi="Times New Roman" w:cs="Times New Roman"/>
                <w:b/>
                <w:bCs/>
                <w:color w:val="auto"/>
                <w:kern w:val="0"/>
                <w:sz w:val="24"/>
                <w:szCs w:val="24"/>
                <w:highlight w:val="none"/>
                <w:lang w:val="en-US" w:eastAsia="zh-CN" w:bidi="ar"/>
              </w:rPr>
              <w:t>9</w:t>
            </w:r>
            <w:r>
              <w:rPr>
                <w:rFonts w:hint="default" w:ascii="Times New Roman" w:hAnsi="Times New Roman" w:eastAsia="宋体" w:cs="Times New Roman"/>
                <w:b/>
                <w:bCs/>
                <w:color w:val="auto"/>
                <w:kern w:val="0"/>
                <w:sz w:val="24"/>
                <w:szCs w:val="24"/>
                <w:highlight w:val="none"/>
                <w:lang w:val="en-US" w:eastAsia="zh-CN" w:bidi="ar"/>
              </w:rPr>
              <w:t xml:space="preserve"> 钻井岩屑产生情况一览表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0"/>
              <w:gridCol w:w="1630"/>
              <w:gridCol w:w="1636"/>
              <w:gridCol w:w="3727"/>
            </w:tblGrid>
            <w:tr w14:paraId="67B94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tcBorders>
                    <w:top w:val="single" w:color="auto" w:sz="4" w:space="0"/>
                    <w:left w:val="single" w:color="auto" w:sz="4" w:space="0"/>
                    <w:bottom w:val="single" w:color="auto" w:sz="4" w:space="0"/>
                    <w:right w:val="single" w:color="auto" w:sz="4" w:space="0"/>
                  </w:tcBorders>
                  <w:noWrap w:val="0"/>
                  <w:vAlign w:val="center"/>
                </w:tcPr>
                <w:p w14:paraId="31128B39">
                  <w:pPr>
                    <w:pStyle w:val="15"/>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序号</w:t>
                  </w:r>
                </w:p>
              </w:tc>
              <w:tc>
                <w:tcPr>
                  <w:tcW w:w="973" w:type="pct"/>
                  <w:tcBorders>
                    <w:top w:val="single" w:color="auto" w:sz="4" w:space="0"/>
                    <w:left w:val="single" w:color="auto" w:sz="4" w:space="0"/>
                    <w:bottom w:val="single" w:color="auto" w:sz="4" w:space="0"/>
                    <w:right w:val="single" w:color="auto" w:sz="4" w:space="0"/>
                  </w:tcBorders>
                  <w:noWrap w:val="0"/>
                  <w:vAlign w:val="center"/>
                </w:tcPr>
                <w:p w14:paraId="7828D642">
                  <w:pPr>
                    <w:pStyle w:val="15"/>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井号</w:t>
                  </w:r>
                </w:p>
              </w:tc>
              <w:tc>
                <w:tcPr>
                  <w:tcW w:w="976" w:type="pct"/>
                  <w:tcBorders>
                    <w:top w:val="single" w:color="auto" w:sz="4" w:space="0"/>
                    <w:left w:val="single" w:color="auto" w:sz="4" w:space="0"/>
                    <w:bottom w:val="single" w:color="auto" w:sz="4" w:space="0"/>
                    <w:right w:val="single" w:color="auto" w:sz="4" w:space="0"/>
                  </w:tcBorders>
                  <w:noWrap w:val="0"/>
                  <w:vAlign w:val="center"/>
                </w:tcPr>
                <w:p w14:paraId="5E123096">
                  <w:pPr>
                    <w:pStyle w:val="15"/>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进尺/m</w:t>
                  </w:r>
                </w:p>
              </w:tc>
              <w:tc>
                <w:tcPr>
                  <w:tcW w:w="2225" w:type="pct"/>
                  <w:tcBorders>
                    <w:top w:val="single" w:color="auto" w:sz="4" w:space="0"/>
                    <w:left w:val="single" w:color="auto" w:sz="4" w:space="0"/>
                    <w:bottom w:val="single" w:color="auto" w:sz="4" w:space="0"/>
                    <w:right w:val="single" w:color="auto" w:sz="4" w:space="0"/>
                  </w:tcBorders>
                  <w:noWrap w:val="0"/>
                  <w:vAlign w:val="center"/>
                </w:tcPr>
                <w:p w14:paraId="11495FFA">
                  <w:pPr>
                    <w:pStyle w:val="15"/>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钻井岩屑产生量（</w:t>
                  </w:r>
                  <w:r>
                    <w:rPr>
                      <w:rFonts w:hint="default" w:ascii="Times New Roman" w:hAnsi="Times New Roman" w:eastAsia="宋体" w:cs="Times New Roman"/>
                      <w:b/>
                      <w:bCs/>
                      <w:color w:val="auto"/>
                      <w:kern w:val="0"/>
                      <w:sz w:val="24"/>
                      <w:szCs w:val="24"/>
                      <w:highlight w:val="none"/>
                      <w:lang w:val="en-US" w:eastAsia="zh-CN" w:bidi="ar"/>
                    </w:rPr>
                    <w:t>t</w:t>
                  </w:r>
                  <w:r>
                    <w:rPr>
                      <w:rFonts w:hint="default" w:ascii="Times New Roman" w:hAnsi="Times New Roman" w:eastAsia="宋体" w:cs="Times New Roman"/>
                      <w:b/>
                      <w:bCs/>
                      <w:color w:val="auto"/>
                      <w:kern w:val="0"/>
                      <w:sz w:val="21"/>
                      <w:szCs w:val="21"/>
                      <w:highlight w:val="none"/>
                      <w:lang w:val="en-US" w:eastAsia="zh-CN" w:bidi="ar"/>
                    </w:rPr>
                    <w:t>）</w:t>
                  </w:r>
                </w:p>
              </w:tc>
            </w:tr>
            <w:tr w14:paraId="62DF4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tcBorders>
                    <w:top w:val="single" w:color="auto" w:sz="4" w:space="0"/>
                    <w:left w:val="single" w:color="auto" w:sz="4" w:space="0"/>
                    <w:bottom w:val="single" w:color="auto" w:sz="4" w:space="0"/>
                    <w:right w:val="single" w:color="auto" w:sz="4" w:space="0"/>
                  </w:tcBorders>
                  <w:noWrap w:val="0"/>
                  <w:vAlign w:val="center"/>
                </w:tcPr>
                <w:p w14:paraId="091159B2">
                  <w:pPr>
                    <w:pStyle w:val="15"/>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w:t>
                  </w:r>
                </w:p>
              </w:tc>
              <w:tc>
                <w:tcPr>
                  <w:tcW w:w="973" w:type="pct"/>
                  <w:tcBorders>
                    <w:top w:val="single" w:color="auto" w:sz="4" w:space="0"/>
                    <w:left w:val="single" w:color="auto" w:sz="4" w:space="0"/>
                    <w:bottom w:val="single" w:color="auto" w:sz="4" w:space="0"/>
                    <w:right w:val="single" w:color="auto" w:sz="4" w:space="0"/>
                  </w:tcBorders>
                  <w:noWrap w:val="0"/>
                  <w:vAlign w:val="center"/>
                </w:tcPr>
                <w:p w14:paraId="6D0825CA">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米75-3M</w:t>
                  </w:r>
                </w:p>
              </w:tc>
              <w:tc>
                <w:tcPr>
                  <w:tcW w:w="976" w:type="pct"/>
                  <w:tcBorders>
                    <w:top w:val="single" w:color="auto" w:sz="4" w:space="0"/>
                    <w:left w:val="single" w:color="auto" w:sz="4" w:space="0"/>
                    <w:bottom w:val="single" w:color="auto" w:sz="4" w:space="0"/>
                    <w:right w:val="single" w:color="auto" w:sz="4" w:space="0"/>
                  </w:tcBorders>
                  <w:noWrap w:val="0"/>
                  <w:vAlign w:val="center"/>
                </w:tcPr>
                <w:p w14:paraId="7166DF8A">
                  <w:pPr>
                    <w:keepNext w:val="0"/>
                    <w:keepLines w:val="0"/>
                    <w:suppressLineNumbers w:val="0"/>
                    <w:adjustRightInd w:val="0"/>
                    <w:snapToGrid w:val="0"/>
                    <w:spacing w:before="0" w:beforeAutospacing="0" w:after="0" w:afterAutospacing="0"/>
                    <w:ind w:left="-63" w:leftChars="-30" w:right="-63" w:rightChars="-3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2750</w:t>
                  </w:r>
                </w:p>
              </w:tc>
              <w:tc>
                <w:tcPr>
                  <w:tcW w:w="2225" w:type="pct"/>
                  <w:tcBorders>
                    <w:top w:val="single" w:color="auto" w:sz="4" w:space="0"/>
                    <w:left w:val="single" w:color="auto" w:sz="4" w:space="0"/>
                    <w:bottom w:val="single" w:color="auto" w:sz="4" w:space="0"/>
                    <w:right w:val="single" w:color="auto" w:sz="4" w:space="0"/>
                  </w:tcBorders>
                  <w:noWrap w:val="0"/>
                  <w:vAlign w:val="center"/>
                </w:tcPr>
                <w:p w14:paraId="2FF4D440">
                  <w:pPr>
                    <w:keepNext w:val="0"/>
                    <w:keepLines w:val="0"/>
                    <w:suppressLineNumbers w:val="0"/>
                    <w:adjustRightInd w:val="0"/>
                    <w:snapToGrid w:val="0"/>
                    <w:spacing w:before="0" w:beforeAutospacing="0" w:after="0" w:afterAutospacing="0"/>
                    <w:ind w:left="-63" w:leftChars="-30" w:right="-63" w:rightChars="-3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510.08</w:t>
                  </w:r>
                </w:p>
              </w:tc>
            </w:tr>
            <w:tr w14:paraId="4C868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4" w:type="pct"/>
                  <w:gridSpan w:val="3"/>
                  <w:tcBorders>
                    <w:top w:val="single" w:color="auto" w:sz="4" w:space="0"/>
                    <w:left w:val="single" w:color="auto" w:sz="4" w:space="0"/>
                    <w:bottom w:val="single" w:color="auto" w:sz="4" w:space="0"/>
                    <w:right w:val="single" w:color="auto" w:sz="4" w:space="0"/>
                  </w:tcBorders>
                  <w:noWrap w:val="0"/>
                  <w:vAlign w:val="center"/>
                </w:tcPr>
                <w:p w14:paraId="0BCBE5E0">
                  <w:pPr>
                    <w:pStyle w:val="15"/>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合计</w:t>
                  </w:r>
                </w:p>
              </w:tc>
              <w:tc>
                <w:tcPr>
                  <w:tcW w:w="2225" w:type="pct"/>
                  <w:tcBorders>
                    <w:top w:val="single" w:color="auto" w:sz="4" w:space="0"/>
                    <w:left w:val="single" w:color="auto" w:sz="4" w:space="0"/>
                    <w:bottom w:val="single" w:color="auto" w:sz="4" w:space="0"/>
                    <w:right w:val="single" w:color="auto" w:sz="4" w:space="0"/>
                  </w:tcBorders>
                  <w:noWrap w:val="0"/>
                  <w:vAlign w:val="center"/>
                </w:tcPr>
                <w:p w14:paraId="7B04EC5F">
                  <w:pPr>
                    <w:keepNext w:val="0"/>
                    <w:keepLines w:val="0"/>
                    <w:suppressLineNumbers w:val="0"/>
                    <w:adjustRightInd w:val="0"/>
                    <w:snapToGrid w:val="0"/>
                    <w:spacing w:before="0" w:beforeAutospacing="0" w:after="0" w:afterAutospacing="0"/>
                    <w:ind w:left="-63" w:leftChars="-30" w:right="-63" w:rightChars="-3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510.08</w:t>
                  </w:r>
                </w:p>
              </w:tc>
            </w:tr>
          </w:tbl>
          <w:p w14:paraId="1DBEE61A">
            <w:pPr>
              <w:pStyle w:val="15"/>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kern w:val="0"/>
                <w:sz w:val="24"/>
                <w:szCs w:val="21"/>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井场设置移动式泥饼和岩屑收集罐，罐区设置围堰，铺设防渗HDPE膜，设遮雨设施，</w:t>
            </w:r>
            <w:r>
              <w:rPr>
                <w:rFonts w:hint="default" w:ascii="Times New Roman" w:hAnsi="Times New Roman" w:eastAsia="宋体" w:cs="Times New Roman"/>
                <w:color w:val="auto"/>
                <w:kern w:val="0"/>
                <w:sz w:val="24"/>
                <w:szCs w:val="21"/>
                <w:highlight w:val="none"/>
                <w:lang w:val="en-US" w:eastAsia="zh-CN" w:bidi="ar"/>
              </w:rPr>
              <w:t>符合《榆林市油气开采废弃物不落地集中处置推广项目建设管理指南（试行）》（榆林市生态环境局于2018年8月21日发布）的要求。经场地内泥浆循环系统配套的移动式泥饼和岩屑收集罐暂存，由罐车拉运至</w:t>
            </w:r>
            <w:r>
              <w:rPr>
                <w:rFonts w:hint="eastAsia" w:ascii="Times New Roman" w:hAnsi="Times New Roman" w:cs="Times New Roman"/>
                <w:color w:val="auto"/>
                <w:kern w:val="0"/>
                <w:sz w:val="24"/>
                <w:szCs w:val="21"/>
                <w:highlight w:val="none"/>
                <w:lang w:val="en-US" w:eastAsia="zh-CN" w:bidi="ar"/>
              </w:rPr>
              <w:t>协议的有能力单位</w:t>
            </w:r>
            <w:r>
              <w:rPr>
                <w:rFonts w:hint="default" w:ascii="Times New Roman" w:hAnsi="Times New Roman" w:eastAsia="宋体" w:cs="Times New Roman"/>
                <w:color w:val="auto"/>
                <w:kern w:val="0"/>
                <w:sz w:val="24"/>
                <w:szCs w:val="21"/>
                <w:highlight w:val="none"/>
                <w:lang w:val="en-US" w:eastAsia="zh-CN" w:bidi="ar"/>
              </w:rPr>
              <w:t>处置。</w:t>
            </w:r>
          </w:p>
          <w:p w14:paraId="217EE01B">
            <w:pPr>
              <w:pStyle w:val="15"/>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kern w:val="0"/>
                <w:sz w:val="24"/>
                <w:szCs w:val="21"/>
                <w:highlight w:val="none"/>
                <w:lang w:val="en-US" w:eastAsia="zh-CN" w:bidi="ar"/>
              </w:rPr>
            </w:pPr>
            <w:r>
              <w:rPr>
                <w:rFonts w:hint="default" w:ascii="Times New Roman" w:hAnsi="Times New Roman" w:eastAsia="宋体" w:cs="Times New Roman"/>
                <w:color w:val="auto"/>
                <w:kern w:val="0"/>
                <w:sz w:val="24"/>
                <w:szCs w:val="21"/>
                <w:highlight w:val="none"/>
                <w:lang w:val="en-US" w:eastAsia="zh-CN" w:bidi="ar"/>
              </w:rPr>
              <w:t>本项目使用水基泥浆。钻井岩屑按照《榆林市油（气）开采废弃物处置环保暂行管理办法》（榆政环发〔2015〕170号）的相关要求进行收集，根据本地区同类项目工程经验，钻井岩屑中不含重金属和放射性含量物质，属于Ⅱ类一般固废。</w:t>
            </w:r>
          </w:p>
          <w:p w14:paraId="3103285B">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2" w:firstLineChars="200"/>
              <w:jc w:val="left"/>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（3）废纯碱、膨润土包装袋、不含油废防渗膜</w:t>
            </w:r>
          </w:p>
          <w:p w14:paraId="6B62AF5E">
            <w:pPr>
              <w:keepNext w:val="0"/>
              <w:keepLines w:val="0"/>
              <w:pageBreakBefore w:val="0"/>
              <w:widowControl w:val="0"/>
              <w:suppressLineNumbers w:val="0"/>
              <w:kinsoku/>
              <w:wordWrap/>
              <w:overflowPunct/>
              <w:topLinePunct w:val="0"/>
              <w:bidi w:val="0"/>
              <w:adjustRightInd w:val="0"/>
              <w:spacing w:before="0" w:beforeAutospacing="0" w:after="0" w:afterAutospacing="0" w:line="360" w:lineRule="auto"/>
              <w:ind w:left="0" w:leftChars="0" w:right="0" w:rightChars="0" w:firstLine="480" w:firstLineChars="200"/>
              <w:jc w:val="left"/>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kern w:val="0"/>
                <w:sz w:val="24"/>
                <w:szCs w:val="22"/>
                <w:highlight w:val="none"/>
                <w:lang w:val="en-US" w:eastAsia="zh-CN" w:bidi="ar"/>
              </w:rPr>
              <w:t>废弃包装袋主要为钻井材料中纯碱、膨润土废弃包装，不含油废防渗膜主要为施工场地铺设的未沾染油类物质的防渗布，其中单井膨润土、纯碱包装袋产生量约为0.015t，单井不含油废防渗膜产生量约为0.005t，属于一般固体废物，施工结束后回收综合利用。</w:t>
            </w:r>
          </w:p>
          <w:p w14:paraId="1E79A575">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2" w:firstLineChars="200"/>
              <w:jc w:val="left"/>
              <w:outlineLvl w:val="9"/>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2、危险废物</w:t>
            </w:r>
          </w:p>
          <w:p w14:paraId="79D54132">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left"/>
              <w:outlineLvl w:val="9"/>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kern w:val="0"/>
                <w:sz w:val="24"/>
                <w:szCs w:val="22"/>
                <w:highlight w:val="none"/>
                <w:lang w:val="en-US" w:eastAsia="zh-CN" w:bidi="ar"/>
              </w:rPr>
              <w:t>项目产生的危险废物主要为钻井过程产生的废机油、含油废防渗膜、废过硫酸铵包装袋等。</w:t>
            </w:r>
          </w:p>
          <w:p w14:paraId="1067379E">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2" w:firstLineChars="200"/>
              <w:jc w:val="left"/>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（1）废机油</w:t>
            </w:r>
          </w:p>
          <w:p w14:paraId="76B183E5">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left"/>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主要来源于清洗钻具、套管时产生的废机油。根据建设单位同类型项目资料，预计单井废机油产生量为0.04t，委托有资质的单位进行处置。</w:t>
            </w:r>
          </w:p>
          <w:p w14:paraId="587B8E92">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2" w:firstLineChars="200"/>
              <w:jc w:val="left"/>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（2）含油废防渗膜</w:t>
            </w:r>
          </w:p>
          <w:p w14:paraId="263BB30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left"/>
              <w:outlineLvl w:val="9"/>
              <w:rPr>
                <w:rFonts w:hint="default" w:ascii="Times New Roman" w:hAnsi="Times New Roman" w:eastAsia="宋体" w:cs="Times New Roman"/>
                <w:color w:val="auto"/>
                <w:kern w:val="0"/>
                <w:sz w:val="24"/>
                <w:szCs w:val="22"/>
                <w:highlight w:val="none"/>
                <w:lang w:val="en-US" w:eastAsia="zh-CN" w:bidi="ar"/>
              </w:rPr>
            </w:pPr>
            <w:r>
              <w:rPr>
                <w:rFonts w:hint="default" w:ascii="Times New Roman" w:hAnsi="Times New Roman" w:eastAsia="宋体" w:cs="Times New Roman"/>
                <w:color w:val="auto"/>
                <w:kern w:val="0"/>
                <w:sz w:val="24"/>
                <w:szCs w:val="22"/>
                <w:highlight w:val="none"/>
                <w:lang w:val="en-US" w:eastAsia="zh-CN" w:bidi="ar"/>
              </w:rPr>
              <w:t>为防止在钻井过程中钻井泥浆、钻井污水等污染地面从而造成对土壤、地下水的影响，需要在钻井过程中在钻井平台附近铺设防渗布。沾染油类物质的防渗布属于危险废物，危废代码为900-041-49。根据建设单位提供资料，施工单井含油废防渗膜产生量约为0.005t，本项目共产生0.0</w:t>
            </w:r>
            <w:r>
              <w:rPr>
                <w:rFonts w:hint="eastAsia" w:ascii="Times New Roman" w:hAnsi="Times New Roman" w:cs="Times New Roman"/>
                <w:color w:val="auto"/>
                <w:kern w:val="0"/>
                <w:sz w:val="24"/>
                <w:szCs w:val="22"/>
                <w:highlight w:val="none"/>
                <w:lang w:val="en-US" w:eastAsia="zh-CN" w:bidi="ar"/>
              </w:rPr>
              <w:t>05</w:t>
            </w:r>
            <w:r>
              <w:rPr>
                <w:rFonts w:hint="default" w:ascii="Times New Roman" w:hAnsi="Times New Roman" w:eastAsia="宋体" w:cs="Times New Roman"/>
                <w:color w:val="auto"/>
                <w:kern w:val="0"/>
                <w:sz w:val="24"/>
                <w:szCs w:val="22"/>
                <w:highlight w:val="none"/>
                <w:lang w:val="en-US" w:eastAsia="zh-CN" w:bidi="ar"/>
              </w:rPr>
              <w:t>t。施工结束后沾染了油类物质的的废防渗布作为危险废物委托有资质单位外运处置。</w:t>
            </w:r>
          </w:p>
          <w:p w14:paraId="39F7E33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leftChars="0" w:right="0" w:rightChars="0" w:firstLine="482" w:firstLineChars="200"/>
              <w:jc w:val="left"/>
              <w:outlineLvl w:val="9"/>
              <w:rPr>
                <w:rFonts w:hint="default" w:ascii="Times New Roman" w:hAnsi="Times New Roman" w:eastAsia="宋体" w:cs="Times New Roman"/>
                <w:b/>
                <w:bCs/>
                <w:color w:val="auto"/>
                <w:kern w:val="0"/>
                <w:sz w:val="24"/>
                <w:szCs w:val="22"/>
                <w:highlight w:val="none"/>
                <w:lang w:val="en-US" w:eastAsia="zh-CN" w:bidi="ar"/>
              </w:rPr>
            </w:pPr>
            <w:r>
              <w:rPr>
                <w:rFonts w:hint="default" w:ascii="Times New Roman" w:hAnsi="Times New Roman" w:eastAsia="宋体" w:cs="Times New Roman"/>
                <w:b/>
                <w:bCs/>
                <w:color w:val="auto"/>
                <w:kern w:val="0"/>
                <w:sz w:val="24"/>
                <w:szCs w:val="22"/>
                <w:highlight w:val="none"/>
                <w:lang w:val="en-US" w:eastAsia="zh-CN" w:bidi="ar"/>
              </w:rPr>
              <w:t>（3）废破胶剂包装袋</w:t>
            </w:r>
          </w:p>
          <w:p w14:paraId="003E36EC">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left"/>
              <w:outlineLvl w:val="9"/>
              <w:rPr>
                <w:rFonts w:hint="default" w:ascii="Times New Roman" w:hAnsi="Times New Roman" w:eastAsia="宋体" w:cs="Times New Roman"/>
                <w:color w:val="auto"/>
                <w:kern w:val="0"/>
                <w:sz w:val="24"/>
                <w:szCs w:val="22"/>
                <w:highlight w:val="none"/>
                <w:lang w:val="en-US" w:eastAsia="zh-CN" w:bidi="ar"/>
              </w:rPr>
            </w:pPr>
            <w:r>
              <w:rPr>
                <w:rFonts w:hint="default" w:ascii="Times New Roman" w:hAnsi="Times New Roman" w:eastAsia="宋体" w:cs="Times New Roman"/>
                <w:color w:val="auto"/>
                <w:kern w:val="0"/>
                <w:sz w:val="24"/>
                <w:szCs w:val="22"/>
                <w:highlight w:val="none"/>
                <w:lang w:val="en-US" w:eastAsia="zh-CN" w:bidi="ar"/>
              </w:rPr>
              <w:t>根据项目原辅材料消耗种类及物质性质，并对照《危险化学品目录（2022调整版）》，过硫酸铵</w:t>
            </w:r>
            <w:r>
              <w:rPr>
                <w:rFonts w:hint="eastAsia" w:ascii="Times New Roman" w:hAnsi="Times New Roman" w:cs="Times New Roman"/>
                <w:color w:val="auto"/>
                <w:kern w:val="0"/>
                <w:sz w:val="24"/>
                <w:szCs w:val="22"/>
                <w:highlight w:val="none"/>
                <w:lang w:val="en-US" w:eastAsia="zh-CN" w:bidi="ar"/>
              </w:rPr>
              <w:t>和氢氧化钠</w:t>
            </w:r>
            <w:r>
              <w:rPr>
                <w:rFonts w:hint="default" w:ascii="Times New Roman" w:hAnsi="Times New Roman" w:eastAsia="宋体" w:cs="Times New Roman"/>
                <w:color w:val="auto"/>
                <w:kern w:val="0"/>
                <w:sz w:val="24"/>
                <w:szCs w:val="22"/>
                <w:highlight w:val="none"/>
                <w:lang w:val="en-US" w:eastAsia="zh-CN" w:bidi="ar"/>
              </w:rPr>
              <w:t>属于危险化学品，因此破胶剂包装袋属于《国家危险废物名录（2025年版）》规定的HW49类危险废物，危险废物代码900-041-49，项目产生废破胶剂包装袋约0.00</w:t>
            </w:r>
            <w:r>
              <w:rPr>
                <w:rFonts w:hint="eastAsia" w:ascii="Times New Roman" w:hAnsi="Times New Roman" w:cs="Times New Roman"/>
                <w:color w:val="auto"/>
                <w:kern w:val="0"/>
                <w:sz w:val="24"/>
                <w:szCs w:val="22"/>
                <w:highlight w:val="none"/>
                <w:lang w:val="en-US" w:eastAsia="zh-CN" w:bidi="ar"/>
              </w:rPr>
              <w:t>1</w:t>
            </w:r>
            <w:r>
              <w:rPr>
                <w:rFonts w:hint="default" w:ascii="Times New Roman" w:hAnsi="Times New Roman" w:eastAsia="宋体" w:cs="Times New Roman"/>
                <w:color w:val="auto"/>
                <w:kern w:val="0"/>
                <w:sz w:val="24"/>
                <w:szCs w:val="22"/>
                <w:highlight w:val="none"/>
                <w:lang w:val="en-US" w:eastAsia="zh-CN" w:bidi="ar"/>
              </w:rPr>
              <w:t>t。</w:t>
            </w:r>
          </w:p>
          <w:p w14:paraId="75631B18">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b/>
                <w:bCs/>
                <w:color w:val="auto"/>
                <w:sz w:val="22"/>
                <w:szCs w:val="28"/>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表4-</w:t>
            </w:r>
            <w:r>
              <w:rPr>
                <w:rFonts w:hint="eastAsia" w:ascii="Times New Roman" w:hAnsi="Times New Roman" w:cs="Times New Roman"/>
                <w:b/>
                <w:bCs/>
                <w:color w:val="auto"/>
                <w:kern w:val="0"/>
                <w:sz w:val="24"/>
                <w:szCs w:val="24"/>
                <w:highlight w:val="none"/>
                <w:lang w:val="en-US" w:eastAsia="zh-CN" w:bidi="ar"/>
              </w:rPr>
              <w:t>10</w:t>
            </w:r>
            <w:r>
              <w:rPr>
                <w:rFonts w:hint="default" w:ascii="Times New Roman" w:hAnsi="Times New Roman" w:eastAsia="宋体" w:cs="Times New Roman"/>
                <w:b/>
                <w:bCs/>
                <w:color w:val="auto"/>
                <w:kern w:val="0"/>
                <w:sz w:val="24"/>
                <w:szCs w:val="24"/>
                <w:highlight w:val="none"/>
                <w:lang w:val="en-US" w:eastAsia="zh-CN" w:bidi="ar"/>
              </w:rPr>
              <w:t xml:space="preserve">  危险废物产生情况一览表</w:t>
            </w:r>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22"/>
              <w:gridCol w:w="1072"/>
              <w:gridCol w:w="884"/>
              <w:gridCol w:w="1136"/>
              <w:gridCol w:w="762"/>
              <w:gridCol w:w="874"/>
              <w:gridCol w:w="474"/>
              <w:gridCol w:w="484"/>
              <w:gridCol w:w="678"/>
              <w:gridCol w:w="434"/>
              <w:gridCol w:w="1146"/>
            </w:tblGrid>
            <w:tr w14:paraId="2BCC4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52" w:type="pct"/>
                  <w:tcBorders>
                    <w:top w:val="single" w:color="auto" w:sz="4" w:space="0"/>
                    <w:left w:val="single" w:color="auto" w:sz="4" w:space="0"/>
                    <w:bottom w:val="single" w:color="auto" w:sz="4" w:space="0"/>
                    <w:right w:val="single" w:color="auto" w:sz="4" w:space="0"/>
                  </w:tcBorders>
                  <w:noWrap w:val="0"/>
                  <w:vAlign w:val="center"/>
                </w:tcPr>
                <w:p w14:paraId="6F90919E">
                  <w:pPr>
                    <w:keepNext w:val="0"/>
                    <w:keepLines w:val="0"/>
                    <w:pageBreakBefore w:val="0"/>
                    <w:widowControl/>
                    <w:suppressLineNumbers w:val="0"/>
                    <w:kinsoku/>
                    <w:wordWrap/>
                    <w:overflowPunct/>
                    <w:topLinePunct w:val="0"/>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序号</w:t>
                  </w:r>
                </w:p>
              </w:tc>
              <w:tc>
                <w:tcPr>
                  <w:tcW w:w="640" w:type="pct"/>
                  <w:tcBorders>
                    <w:top w:val="single" w:color="auto" w:sz="4" w:space="0"/>
                    <w:left w:val="single" w:color="auto" w:sz="4" w:space="0"/>
                    <w:bottom w:val="single" w:color="auto" w:sz="4" w:space="0"/>
                    <w:right w:val="single" w:color="auto" w:sz="4" w:space="0"/>
                  </w:tcBorders>
                  <w:noWrap w:val="0"/>
                  <w:vAlign w:val="center"/>
                </w:tcPr>
                <w:p w14:paraId="621C0ABB">
                  <w:pPr>
                    <w:keepNext w:val="0"/>
                    <w:keepLines w:val="0"/>
                    <w:pageBreakBefore w:val="0"/>
                    <w:widowControl/>
                    <w:suppressLineNumbers w:val="0"/>
                    <w:kinsoku/>
                    <w:wordWrap/>
                    <w:overflowPunct/>
                    <w:topLinePunct w:val="0"/>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危险废物名称</w:t>
                  </w:r>
                </w:p>
              </w:tc>
              <w:tc>
                <w:tcPr>
                  <w:tcW w:w="528" w:type="pct"/>
                  <w:tcBorders>
                    <w:top w:val="single" w:color="auto" w:sz="4" w:space="0"/>
                    <w:left w:val="single" w:color="auto" w:sz="4" w:space="0"/>
                    <w:bottom w:val="single" w:color="auto" w:sz="4" w:space="0"/>
                    <w:right w:val="single" w:color="auto" w:sz="4" w:space="0"/>
                  </w:tcBorders>
                  <w:noWrap w:val="0"/>
                  <w:vAlign w:val="center"/>
                </w:tcPr>
                <w:p w14:paraId="0BD958C3">
                  <w:pPr>
                    <w:keepNext w:val="0"/>
                    <w:keepLines w:val="0"/>
                    <w:pageBreakBefore w:val="0"/>
                    <w:widowControl/>
                    <w:suppressLineNumbers w:val="0"/>
                    <w:kinsoku/>
                    <w:wordWrap/>
                    <w:overflowPunct/>
                    <w:topLinePunct w:val="0"/>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危险废物</w:t>
                  </w:r>
                </w:p>
                <w:p w14:paraId="53B0230B">
                  <w:pPr>
                    <w:keepNext w:val="0"/>
                    <w:keepLines w:val="0"/>
                    <w:pageBreakBefore w:val="0"/>
                    <w:widowControl/>
                    <w:suppressLineNumbers w:val="0"/>
                    <w:kinsoku/>
                    <w:wordWrap/>
                    <w:overflowPunct/>
                    <w:topLinePunct w:val="0"/>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类别</w:t>
                  </w:r>
                </w:p>
              </w:tc>
              <w:tc>
                <w:tcPr>
                  <w:tcW w:w="678" w:type="pct"/>
                  <w:tcBorders>
                    <w:top w:val="single" w:color="auto" w:sz="4" w:space="0"/>
                    <w:left w:val="single" w:color="auto" w:sz="4" w:space="0"/>
                    <w:bottom w:val="single" w:color="auto" w:sz="4" w:space="0"/>
                    <w:right w:val="single" w:color="auto" w:sz="4" w:space="0"/>
                  </w:tcBorders>
                  <w:noWrap w:val="0"/>
                  <w:vAlign w:val="center"/>
                </w:tcPr>
                <w:p w14:paraId="6694D5E2">
                  <w:pPr>
                    <w:keepNext w:val="0"/>
                    <w:keepLines w:val="0"/>
                    <w:pageBreakBefore w:val="0"/>
                    <w:widowControl/>
                    <w:suppressLineNumbers w:val="0"/>
                    <w:kinsoku/>
                    <w:wordWrap/>
                    <w:overflowPunct/>
                    <w:topLinePunct w:val="0"/>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危险废物代码</w:t>
                  </w:r>
                </w:p>
              </w:tc>
              <w:tc>
                <w:tcPr>
                  <w:tcW w:w="455" w:type="pct"/>
                  <w:tcBorders>
                    <w:top w:val="single" w:color="auto" w:sz="4" w:space="0"/>
                    <w:left w:val="single" w:color="auto" w:sz="4" w:space="0"/>
                    <w:bottom w:val="single" w:color="auto" w:sz="4" w:space="0"/>
                    <w:right w:val="single" w:color="auto" w:sz="4" w:space="0"/>
                  </w:tcBorders>
                  <w:noWrap w:val="0"/>
                  <w:vAlign w:val="center"/>
                </w:tcPr>
                <w:p w14:paraId="10AFB85B">
                  <w:pPr>
                    <w:keepNext w:val="0"/>
                    <w:keepLines w:val="0"/>
                    <w:pageBreakBefore w:val="0"/>
                    <w:widowControl/>
                    <w:suppressLineNumbers w:val="0"/>
                    <w:kinsoku/>
                    <w:wordWrap/>
                    <w:overflowPunct/>
                    <w:topLinePunct w:val="0"/>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产生量</w:t>
                  </w:r>
                </w:p>
              </w:tc>
              <w:tc>
                <w:tcPr>
                  <w:tcW w:w="522" w:type="pct"/>
                  <w:tcBorders>
                    <w:top w:val="single" w:color="auto" w:sz="4" w:space="0"/>
                    <w:left w:val="single" w:color="auto" w:sz="4" w:space="0"/>
                    <w:bottom w:val="single" w:color="auto" w:sz="4" w:space="0"/>
                    <w:right w:val="single" w:color="auto" w:sz="4" w:space="0"/>
                  </w:tcBorders>
                  <w:noWrap w:val="0"/>
                  <w:vAlign w:val="center"/>
                </w:tcPr>
                <w:p w14:paraId="7F50F514">
                  <w:pPr>
                    <w:keepNext w:val="0"/>
                    <w:keepLines w:val="0"/>
                    <w:pageBreakBefore w:val="0"/>
                    <w:widowControl/>
                    <w:suppressLineNumbers w:val="0"/>
                    <w:kinsoku/>
                    <w:wordWrap/>
                    <w:overflowPunct/>
                    <w:topLinePunct w:val="0"/>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产生工序及装置</w:t>
                  </w:r>
                </w:p>
              </w:tc>
              <w:tc>
                <w:tcPr>
                  <w:tcW w:w="283" w:type="pct"/>
                  <w:tcBorders>
                    <w:top w:val="single" w:color="auto" w:sz="4" w:space="0"/>
                    <w:left w:val="single" w:color="auto" w:sz="4" w:space="0"/>
                    <w:bottom w:val="single" w:color="auto" w:sz="4" w:space="0"/>
                    <w:right w:val="single" w:color="auto" w:sz="4" w:space="0"/>
                  </w:tcBorders>
                  <w:noWrap w:val="0"/>
                  <w:vAlign w:val="center"/>
                </w:tcPr>
                <w:p w14:paraId="2E0ADA5D">
                  <w:pPr>
                    <w:keepNext w:val="0"/>
                    <w:keepLines w:val="0"/>
                    <w:pageBreakBefore w:val="0"/>
                    <w:widowControl/>
                    <w:suppressLineNumbers w:val="0"/>
                    <w:kinsoku/>
                    <w:wordWrap/>
                    <w:overflowPunct/>
                    <w:topLinePunct w:val="0"/>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形态</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099172F0">
                  <w:pPr>
                    <w:keepNext w:val="0"/>
                    <w:keepLines w:val="0"/>
                    <w:pageBreakBefore w:val="0"/>
                    <w:widowControl/>
                    <w:suppressLineNumbers w:val="0"/>
                    <w:kinsoku/>
                    <w:wordWrap/>
                    <w:overflowPunct/>
                    <w:topLinePunct w:val="0"/>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主要成分</w:t>
                  </w:r>
                </w:p>
              </w:tc>
              <w:tc>
                <w:tcPr>
                  <w:tcW w:w="405" w:type="pct"/>
                  <w:tcBorders>
                    <w:top w:val="single" w:color="auto" w:sz="4" w:space="0"/>
                    <w:left w:val="single" w:color="auto" w:sz="4" w:space="0"/>
                    <w:bottom w:val="single" w:color="auto" w:sz="4" w:space="0"/>
                    <w:right w:val="single" w:color="auto" w:sz="4" w:space="0"/>
                  </w:tcBorders>
                  <w:noWrap w:val="0"/>
                  <w:vAlign w:val="center"/>
                </w:tcPr>
                <w:p w14:paraId="78D52621">
                  <w:pPr>
                    <w:keepNext w:val="0"/>
                    <w:keepLines w:val="0"/>
                    <w:pageBreakBefore w:val="0"/>
                    <w:widowControl/>
                    <w:suppressLineNumbers w:val="0"/>
                    <w:kinsoku/>
                    <w:wordWrap/>
                    <w:overflowPunct/>
                    <w:topLinePunct w:val="0"/>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产废</w:t>
                  </w:r>
                </w:p>
                <w:p w14:paraId="31938031">
                  <w:pPr>
                    <w:keepNext w:val="0"/>
                    <w:keepLines w:val="0"/>
                    <w:pageBreakBefore w:val="0"/>
                    <w:widowControl/>
                    <w:suppressLineNumbers w:val="0"/>
                    <w:kinsoku/>
                    <w:wordWrap/>
                    <w:overflowPunct/>
                    <w:topLinePunct w:val="0"/>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周期</w:t>
                  </w:r>
                </w:p>
              </w:tc>
              <w:tc>
                <w:tcPr>
                  <w:tcW w:w="259" w:type="pct"/>
                  <w:tcBorders>
                    <w:top w:val="single" w:color="auto" w:sz="4" w:space="0"/>
                    <w:left w:val="single" w:color="auto" w:sz="4" w:space="0"/>
                    <w:bottom w:val="single" w:color="auto" w:sz="4" w:space="0"/>
                    <w:right w:val="single" w:color="auto" w:sz="4" w:space="0"/>
                  </w:tcBorders>
                  <w:noWrap w:val="0"/>
                  <w:vAlign w:val="center"/>
                </w:tcPr>
                <w:p w14:paraId="47582C40">
                  <w:pPr>
                    <w:keepNext w:val="0"/>
                    <w:keepLines w:val="0"/>
                    <w:pageBreakBefore w:val="0"/>
                    <w:widowControl/>
                    <w:suppressLineNumbers w:val="0"/>
                    <w:kinsoku/>
                    <w:wordWrap/>
                    <w:overflowPunct/>
                    <w:topLinePunct w:val="0"/>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危险特性</w:t>
                  </w:r>
                </w:p>
              </w:tc>
              <w:tc>
                <w:tcPr>
                  <w:tcW w:w="684" w:type="pct"/>
                  <w:tcBorders>
                    <w:top w:val="single" w:color="auto" w:sz="4" w:space="0"/>
                    <w:left w:val="single" w:color="auto" w:sz="4" w:space="0"/>
                    <w:bottom w:val="single" w:color="auto" w:sz="4" w:space="0"/>
                    <w:right w:val="single" w:color="auto" w:sz="4" w:space="0"/>
                  </w:tcBorders>
                  <w:noWrap w:val="0"/>
                  <w:vAlign w:val="top"/>
                </w:tcPr>
                <w:p w14:paraId="313B94CD">
                  <w:pPr>
                    <w:keepNext w:val="0"/>
                    <w:keepLines w:val="0"/>
                    <w:pageBreakBefore w:val="0"/>
                    <w:widowControl/>
                    <w:suppressLineNumbers w:val="0"/>
                    <w:kinsoku/>
                    <w:wordWrap/>
                    <w:overflowPunct/>
                    <w:topLinePunct w:val="0"/>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污染防治措施</w:t>
                  </w:r>
                </w:p>
              </w:tc>
            </w:tr>
            <w:tr w14:paraId="2C8E7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52" w:type="pct"/>
                  <w:tcBorders>
                    <w:top w:val="single" w:color="auto" w:sz="4" w:space="0"/>
                    <w:left w:val="single" w:color="auto" w:sz="4" w:space="0"/>
                    <w:bottom w:val="single" w:color="auto" w:sz="4" w:space="0"/>
                    <w:right w:val="single" w:color="auto" w:sz="4" w:space="0"/>
                  </w:tcBorders>
                  <w:noWrap w:val="0"/>
                  <w:vAlign w:val="center"/>
                </w:tcPr>
                <w:p w14:paraId="062A838D">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w:t>
                  </w:r>
                </w:p>
              </w:tc>
              <w:tc>
                <w:tcPr>
                  <w:tcW w:w="640" w:type="pct"/>
                  <w:tcBorders>
                    <w:top w:val="single" w:color="auto" w:sz="4" w:space="0"/>
                    <w:left w:val="single" w:color="auto" w:sz="4" w:space="0"/>
                    <w:bottom w:val="single" w:color="auto" w:sz="4" w:space="0"/>
                    <w:right w:val="single" w:color="auto" w:sz="4" w:space="0"/>
                  </w:tcBorders>
                  <w:noWrap w:val="0"/>
                  <w:vAlign w:val="center"/>
                </w:tcPr>
                <w:p w14:paraId="3781449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废机油</w:t>
                  </w:r>
                </w:p>
              </w:tc>
              <w:tc>
                <w:tcPr>
                  <w:tcW w:w="528" w:type="pct"/>
                  <w:tcBorders>
                    <w:top w:val="single" w:color="auto" w:sz="4" w:space="0"/>
                    <w:left w:val="single" w:color="auto" w:sz="4" w:space="0"/>
                    <w:bottom w:val="single" w:color="auto" w:sz="4" w:space="0"/>
                    <w:right w:val="single" w:color="auto" w:sz="4" w:space="0"/>
                  </w:tcBorders>
                  <w:noWrap w:val="0"/>
                  <w:vAlign w:val="center"/>
                </w:tcPr>
                <w:p w14:paraId="3DDF3E75">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HW08</w:t>
                  </w:r>
                </w:p>
              </w:tc>
              <w:tc>
                <w:tcPr>
                  <w:tcW w:w="678" w:type="pct"/>
                  <w:tcBorders>
                    <w:top w:val="single" w:color="auto" w:sz="4" w:space="0"/>
                    <w:left w:val="single" w:color="auto" w:sz="4" w:space="0"/>
                    <w:bottom w:val="single" w:color="auto" w:sz="4" w:space="0"/>
                    <w:right w:val="single" w:color="auto" w:sz="4" w:space="0"/>
                  </w:tcBorders>
                  <w:noWrap w:val="0"/>
                  <w:vAlign w:val="center"/>
                </w:tcPr>
                <w:p w14:paraId="018388C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900-214-08</w:t>
                  </w:r>
                </w:p>
              </w:tc>
              <w:tc>
                <w:tcPr>
                  <w:tcW w:w="455" w:type="pct"/>
                  <w:tcBorders>
                    <w:top w:val="single" w:color="auto" w:sz="4" w:space="0"/>
                    <w:left w:val="single" w:color="auto" w:sz="4" w:space="0"/>
                    <w:bottom w:val="single" w:color="auto" w:sz="4" w:space="0"/>
                    <w:right w:val="single" w:color="auto" w:sz="4" w:space="0"/>
                  </w:tcBorders>
                  <w:noWrap w:val="0"/>
                  <w:vAlign w:val="center"/>
                </w:tcPr>
                <w:p w14:paraId="4F7A6074">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0.</w:t>
                  </w:r>
                  <w:r>
                    <w:rPr>
                      <w:rFonts w:hint="eastAsia" w:ascii="Times New Roman" w:hAnsi="Times New Roman" w:cs="Times New Roman"/>
                      <w:color w:val="auto"/>
                      <w:kern w:val="0"/>
                      <w:sz w:val="21"/>
                      <w:szCs w:val="21"/>
                      <w:highlight w:val="none"/>
                      <w:lang w:val="en-US" w:eastAsia="zh-CN" w:bidi="ar"/>
                    </w:rPr>
                    <w:t>04</w:t>
                  </w:r>
                  <w:r>
                    <w:rPr>
                      <w:rFonts w:hint="default" w:ascii="Times New Roman" w:hAnsi="Times New Roman" w:eastAsia="宋体" w:cs="Times New Roman"/>
                      <w:color w:val="auto"/>
                      <w:kern w:val="0"/>
                      <w:sz w:val="21"/>
                      <w:szCs w:val="21"/>
                      <w:highlight w:val="none"/>
                      <w:lang w:val="en-US" w:eastAsia="zh-CN" w:bidi="ar"/>
                    </w:rPr>
                    <w:t>t</w:t>
                  </w:r>
                </w:p>
              </w:tc>
              <w:tc>
                <w:tcPr>
                  <w:tcW w:w="522" w:type="pct"/>
                  <w:tcBorders>
                    <w:top w:val="single" w:color="auto" w:sz="4" w:space="0"/>
                    <w:left w:val="single" w:color="auto" w:sz="4" w:space="0"/>
                    <w:bottom w:val="single" w:color="auto" w:sz="4" w:space="0"/>
                    <w:right w:val="single" w:color="auto" w:sz="4" w:space="0"/>
                  </w:tcBorders>
                  <w:noWrap w:val="0"/>
                  <w:vAlign w:val="center"/>
                </w:tcPr>
                <w:p w14:paraId="438E432E">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钻井</w:t>
                  </w:r>
                </w:p>
              </w:tc>
              <w:tc>
                <w:tcPr>
                  <w:tcW w:w="283" w:type="pct"/>
                  <w:tcBorders>
                    <w:top w:val="single" w:color="auto" w:sz="4" w:space="0"/>
                    <w:left w:val="single" w:color="auto" w:sz="4" w:space="0"/>
                    <w:bottom w:val="single" w:color="auto" w:sz="4" w:space="0"/>
                    <w:right w:val="single" w:color="auto" w:sz="4" w:space="0"/>
                  </w:tcBorders>
                  <w:noWrap w:val="0"/>
                  <w:vAlign w:val="center"/>
                </w:tcPr>
                <w:p w14:paraId="2F87882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液态</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782D885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油</w:t>
                  </w:r>
                </w:p>
              </w:tc>
              <w:tc>
                <w:tcPr>
                  <w:tcW w:w="405" w:type="pct"/>
                  <w:tcBorders>
                    <w:top w:val="single" w:color="auto" w:sz="4" w:space="0"/>
                    <w:left w:val="single" w:color="auto" w:sz="4" w:space="0"/>
                    <w:bottom w:val="single" w:color="auto" w:sz="4" w:space="0"/>
                    <w:right w:val="single" w:color="auto" w:sz="4" w:space="0"/>
                  </w:tcBorders>
                  <w:noWrap w:val="0"/>
                  <w:vAlign w:val="center"/>
                </w:tcPr>
                <w:p w14:paraId="6FEEC1E2">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探井期</w:t>
                  </w:r>
                </w:p>
              </w:tc>
              <w:tc>
                <w:tcPr>
                  <w:tcW w:w="259" w:type="pct"/>
                  <w:tcBorders>
                    <w:top w:val="single" w:color="auto" w:sz="4" w:space="0"/>
                    <w:left w:val="single" w:color="auto" w:sz="4" w:space="0"/>
                    <w:bottom w:val="single" w:color="auto" w:sz="4" w:space="0"/>
                    <w:right w:val="single" w:color="auto" w:sz="4" w:space="0"/>
                  </w:tcBorders>
                  <w:noWrap w:val="0"/>
                  <w:vAlign w:val="center"/>
                </w:tcPr>
                <w:p w14:paraId="3C9B24D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T</w:t>
                  </w:r>
                  <w:r>
                    <w:rPr>
                      <w:rFonts w:hint="eastAsia"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I</w:t>
                  </w:r>
                </w:p>
              </w:tc>
              <w:tc>
                <w:tcPr>
                  <w:tcW w:w="684" w:type="pct"/>
                  <w:vMerge w:val="restart"/>
                  <w:tcBorders>
                    <w:top w:val="single" w:color="auto" w:sz="4" w:space="0"/>
                    <w:left w:val="single" w:color="auto" w:sz="4" w:space="0"/>
                    <w:right w:val="single" w:color="auto" w:sz="4" w:space="0"/>
                  </w:tcBorders>
                  <w:noWrap w:val="0"/>
                  <w:vAlign w:val="top"/>
                </w:tcPr>
                <w:p w14:paraId="0F8FD771">
                  <w:pPr>
                    <w:keepNext w:val="0"/>
                    <w:keepLines w:val="0"/>
                    <w:pageBreakBefore w:val="0"/>
                    <w:widowControl/>
                    <w:suppressLineNumbers w:val="0"/>
                    <w:kinsoku/>
                    <w:wordWrap/>
                    <w:overflowPunct/>
                    <w:topLinePunct w:val="0"/>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专用容器收集，待钻井结束后全部委托有资质单位拉运处置</w:t>
                  </w:r>
                </w:p>
              </w:tc>
            </w:tr>
            <w:tr w14:paraId="53078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52" w:type="pct"/>
                  <w:tcBorders>
                    <w:top w:val="single" w:color="auto" w:sz="4" w:space="0"/>
                    <w:left w:val="single" w:color="auto" w:sz="4" w:space="0"/>
                    <w:bottom w:val="single" w:color="auto" w:sz="4" w:space="0"/>
                    <w:right w:val="single" w:color="auto" w:sz="4" w:space="0"/>
                  </w:tcBorders>
                  <w:noWrap w:val="0"/>
                  <w:vAlign w:val="center"/>
                </w:tcPr>
                <w:p w14:paraId="2035C9F7">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w:t>
                  </w:r>
                </w:p>
              </w:tc>
              <w:tc>
                <w:tcPr>
                  <w:tcW w:w="640" w:type="pct"/>
                  <w:tcBorders>
                    <w:top w:val="single" w:color="auto" w:sz="4" w:space="0"/>
                    <w:left w:val="single" w:color="auto" w:sz="4" w:space="0"/>
                    <w:bottom w:val="single" w:color="auto" w:sz="4" w:space="0"/>
                    <w:right w:val="single" w:color="auto" w:sz="4" w:space="0"/>
                  </w:tcBorders>
                  <w:noWrap w:val="0"/>
                  <w:vAlign w:val="center"/>
                </w:tcPr>
                <w:p w14:paraId="263AF814">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含油废防渗膜</w:t>
                  </w:r>
                </w:p>
              </w:tc>
              <w:tc>
                <w:tcPr>
                  <w:tcW w:w="528" w:type="pct"/>
                  <w:tcBorders>
                    <w:top w:val="single" w:color="auto" w:sz="4" w:space="0"/>
                    <w:left w:val="single" w:color="auto" w:sz="4" w:space="0"/>
                    <w:bottom w:val="single" w:color="auto" w:sz="4" w:space="0"/>
                    <w:right w:val="single" w:color="auto" w:sz="4" w:space="0"/>
                  </w:tcBorders>
                  <w:noWrap w:val="0"/>
                  <w:vAlign w:val="center"/>
                </w:tcPr>
                <w:p w14:paraId="18F4597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HW49</w:t>
                  </w:r>
                </w:p>
              </w:tc>
              <w:tc>
                <w:tcPr>
                  <w:tcW w:w="678" w:type="pct"/>
                  <w:tcBorders>
                    <w:top w:val="single" w:color="auto" w:sz="4" w:space="0"/>
                    <w:left w:val="single" w:color="auto" w:sz="4" w:space="0"/>
                    <w:bottom w:val="single" w:color="auto" w:sz="4" w:space="0"/>
                    <w:right w:val="single" w:color="auto" w:sz="4" w:space="0"/>
                  </w:tcBorders>
                  <w:noWrap w:val="0"/>
                  <w:vAlign w:val="center"/>
                </w:tcPr>
                <w:p w14:paraId="6B8584E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900-041-49</w:t>
                  </w:r>
                </w:p>
              </w:tc>
              <w:tc>
                <w:tcPr>
                  <w:tcW w:w="455" w:type="pct"/>
                  <w:tcBorders>
                    <w:top w:val="single" w:color="auto" w:sz="4" w:space="0"/>
                    <w:left w:val="single" w:color="auto" w:sz="4" w:space="0"/>
                    <w:bottom w:val="single" w:color="auto" w:sz="4" w:space="0"/>
                    <w:right w:val="single" w:color="auto" w:sz="4" w:space="0"/>
                  </w:tcBorders>
                  <w:noWrap w:val="0"/>
                  <w:vAlign w:val="center"/>
                </w:tcPr>
                <w:p w14:paraId="226EB0E6">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0.0</w:t>
                  </w:r>
                  <w:r>
                    <w:rPr>
                      <w:rFonts w:hint="eastAsia" w:ascii="Times New Roman" w:hAnsi="Times New Roman" w:cs="Times New Roman"/>
                      <w:color w:val="auto"/>
                      <w:kern w:val="0"/>
                      <w:sz w:val="21"/>
                      <w:szCs w:val="21"/>
                      <w:highlight w:val="none"/>
                      <w:lang w:val="en-US" w:eastAsia="zh-CN" w:bidi="ar"/>
                    </w:rPr>
                    <w:t>05</w:t>
                  </w:r>
                  <w:r>
                    <w:rPr>
                      <w:rFonts w:hint="default" w:ascii="Times New Roman" w:hAnsi="Times New Roman" w:eastAsia="宋体" w:cs="Times New Roman"/>
                      <w:color w:val="auto"/>
                      <w:kern w:val="0"/>
                      <w:sz w:val="21"/>
                      <w:szCs w:val="21"/>
                      <w:highlight w:val="none"/>
                      <w:lang w:val="en-US" w:eastAsia="zh-CN" w:bidi="ar"/>
                    </w:rPr>
                    <w:t>t</w:t>
                  </w:r>
                </w:p>
              </w:tc>
              <w:tc>
                <w:tcPr>
                  <w:tcW w:w="522" w:type="pct"/>
                  <w:tcBorders>
                    <w:top w:val="single" w:color="auto" w:sz="4" w:space="0"/>
                    <w:left w:val="single" w:color="auto" w:sz="4" w:space="0"/>
                    <w:bottom w:val="single" w:color="auto" w:sz="4" w:space="0"/>
                    <w:right w:val="single" w:color="auto" w:sz="4" w:space="0"/>
                  </w:tcBorders>
                  <w:noWrap w:val="0"/>
                  <w:vAlign w:val="center"/>
                </w:tcPr>
                <w:p w14:paraId="0ABF9A9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钻井</w:t>
                  </w:r>
                </w:p>
              </w:tc>
              <w:tc>
                <w:tcPr>
                  <w:tcW w:w="283" w:type="pct"/>
                  <w:tcBorders>
                    <w:top w:val="single" w:color="auto" w:sz="4" w:space="0"/>
                    <w:left w:val="single" w:color="auto" w:sz="4" w:space="0"/>
                    <w:bottom w:val="single" w:color="auto" w:sz="4" w:space="0"/>
                    <w:right w:val="single" w:color="auto" w:sz="4" w:space="0"/>
                  </w:tcBorders>
                  <w:noWrap w:val="0"/>
                  <w:vAlign w:val="center"/>
                </w:tcPr>
                <w:p w14:paraId="353968BB">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固态</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5CAE0876">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油</w:t>
                  </w:r>
                </w:p>
              </w:tc>
              <w:tc>
                <w:tcPr>
                  <w:tcW w:w="405" w:type="pct"/>
                  <w:tcBorders>
                    <w:top w:val="single" w:color="auto" w:sz="4" w:space="0"/>
                    <w:left w:val="single" w:color="auto" w:sz="4" w:space="0"/>
                    <w:bottom w:val="single" w:color="auto" w:sz="4" w:space="0"/>
                    <w:right w:val="single" w:color="auto" w:sz="4" w:space="0"/>
                  </w:tcBorders>
                  <w:noWrap w:val="0"/>
                  <w:vAlign w:val="center"/>
                </w:tcPr>
                <w:p w14:paraId="35D088A6">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探井期</w:t>
                  </w:r>
                </w:p>
              </w:tc>
              <w:tc>
                <w:tcPr>
                  <w:tcW w:w="259" w:type="pct"/>
                  <w:tcBorders>
                    <w:top w:val="single" w:color="auto" w:sz="4" w:space="0"/>
                    <w:left w:val="single" w:color="auto" w:sz="4" w:space="0"/>
                    <w:bottom w:val="single" w:color="auto" w:sz="4" w:space="0"/>
                    <w:right w:val="single" w:color="auto" w:sz="4" w:space="0"/>
                  </w:tcBorders>
                  <w:noWrap w:val="0"/>
                  <w:vAlign w:val="center"/>
                </w:tcPr>
                <w:p w14:paraId="2C7BF7F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T/In</w:t>
                  </w:r>
                </w:p>
              </w:tc>
              <w:tc>
                <w:tcPr>
                  <w:tcW w:w="684" w:type="pct"/>
                  <w:vMerge w:val="continue"/>
                  <w:tcBorders>
                    <w:left w:val="single" w:color="auto" w:sz="4" w:space="0"/>
                    <w:right w:val="single" w:color="auto" w:sz="4" w:space="0"/>
                  </w:tcBorders>
                  <w:noWrap w:val="0"/>
                  <w:vAlign w:val="top"/>
                </w:tcPr>
                <w:p w14:paraId="5EE6E718">
                  <w:pPr>
                    <w:pageBreakBefore w:val="0"/>
                    <w:kinsoku/>
                    <w:wordWrap/>
                    <w:overflowPunct/>
                    <w:topLinePunct w:val="0"/>
                    <w:bidi w:val="0"/>
                    <w:ind w:left="0" w:leftChars="0" w:right="0" w:rightChars="0"/>
                    <w:outlineLvl w:val="9"/>
                    <w:rPr>
                      <w:rFonts w:hint="default" w:ascii="Times New Roman" w:hAnsi="Times New Roman" w:eastAsia="宋体" w:cs="Times New Roman"/>
                      <w:color w:val="auto"/>
                      <w:sz w:val="20"/>
                      <w:szCs w:val="20"/>
                      <w:highlight w:val="none"/>
                    </w:rPr>
                  </w:pPr>
                </w:p>
              </w:tc>
            </w:tr>
            <w:tr w14:paraId="12786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52" w:type="pct"/>
                  <w:tcBorders>
                    <w:top w:val="single" w:color="auto" w:sz="4" w:space="0"/>
                    <w:left w:val="single" w:color="auto" w:sz="4" w:space="0"/>
                    <w:bottom w:val="single" w:color="auto" w:sz="4" w:space="0"/>
                    <w:right w:val="single" w:color="auto" w:sz="4" w:space="0"/>
                  </w:tcBorders>
                  <w:noWrap w:val="0"/>
                  <w:vAlign w:val="center"/>
                </w:tcPr>
                <w:p w14:paraId="1DDC2017">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w:t>
                  </w:r>
                </w:p>
              </w:tc>
              <w:tc>
                <w:tcPr>
                  <w:tcW w:w="640" w:type="pct"/>
                  <w:tcBorders>
                    <w:top w:val="single" w:color="auto" w:sz="4" w:space="0"/>
                    <w:left w:val="single" w:color="auto" w:sz="4" w:space="0"/>
                    <w:bottom w:val="single" w:color="auto" w:sz="4" w:space="0"/>
                    <w:right w:val="single" w:color="auto" w:sz="4" w:space="0"/>
                  </w:tcBorders>
                  <w:noWrap w:val="0"/>
                  <w:vAlign w:val="center"/>
                </w:tcPr>
                <w:p w14:paraId="1D5D6774">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废破胶剂包装袋</w:t>
                  </w:r>
                </w:p>
              </w:tc>
              <w:tc>
                <w:tcPr>
                  <w:tcW w:w="528" w:type="pct"/>
                  <w:tcBorders>
                    <w:top w:val="single" w:color="auto" w:sz="4" w:space="0"/>
                    <w:left w:val="single" w:color="auto" w:sz="4" w:space="0"/>
                    <w:bottom w:val="single" w:color="auto" w:sz="4" w:space="0"/>
                    <w:right w:val="single" w:color="auto" w:sz="4" w:space="0"/>
                  </w:tcBorders>
                  <w:noWrap w:val="0"/>
                  <w:vAlign w:val="center"/>
                </w:tcPr>
                <w:p w14:paraId="05819260">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HW49</w:t>
                  </w:r>
                </w:p>
              </w:tc>
              <w:tc>
                <w:tcPr>
                  <w:tcW w:w="678" w:type="pct"/>
                  <w:tcBorders>
                    <w:top w:val="single" w:color="auto" w:sz="4" w:space="0"/>
                    <w:left w:val="single" w:color="auto" w:sz="4" w:space="0"/>
                    <w:bottom w:val="single" w:color="auto" w:sz="4" w:space="0"/>
                    <w:right w:val="single" w:color="auto" w:sz="4" w:space="0"/>
                  </w:tcBorders>
                  <w:noWrap w:val="0"/>
                  <w:vAlign w:val="center"/>
                </w:tcPr>
                <w:p w14:paraId="50EEF59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900-041-49</w:t>
                  </w:r>
                </w:p>
              </w:tc>
              <w:tc>
                <w:tcPr>
                  <w:tcW w:w="455" w:type="pct"/>
                  <w:tcBorders>
                    <w:top w:val="single" w:color="auto" w:sz="4" w:space="0"/>
                    <w:left w:val="single" w:color="auto" w:sz="4" w:space="0"/>
                    <w:bottom w:val="single" w:color="auto" w:sz="4" w:space="0"/>
                    <w:right w:val="single" w:color="auto" w:sz="4" w:space="0"/>
                  </w:tcBorders>
                  <w:noWrap w:val="0"/>
                  <w:vAlign w:val="center"/>
                </w:tcPr>
                <w:p w14:paraId="4D5BDF0C">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0.00</w:t>
                  </w:r>
                  <w:r>
                    <w:rPr>
                      <w:rFonts w:hint="eastAsia" w:ascii="Times New Roman" w:hAnsi="Times New Roman"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t</w:t>
                  </w:r>
                </w:p>
              </w:tc>
              <w:tc>
                <w:tcPr>
                  <w:tcW w:w="522" w:type="pct"/>
                  <w:tcBorders>
                    <w:top w:val="single" w:color="auto" w:sz="4" w:space="0"/>
                    <w:left w:val="single" w:color="auto" w:sz="4" w:space="0"/>
                    <w:bottom w:val="single" w:color="auto" w:sz="4" w:space="0"/>
                    <w:right w:val="single" w:color="auto" w:sz="4" w:space="0"/>
                  </w:tcBorders>
                  <w:noWrap w:val="0"/>
                  <w:vAlign w:val="center"/>
                </w:tcPr>
                <w:p w14:paraId="1FE1567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钻井</w:t>
                  </w:r>
                </w:p>
              </w:tc>
              <w:tc>
                <w:tcPr>
                  <w:tcW w:w="283" w:type="pct"/>
                  <w:tcBorders>
                    <w:top w:val="single" w:color="auto" w:sz="4" w:space="0"/>
                    <w:left w:val="single" w:color="auto" w:sz="4" w:space="0"/>
                    <w:bottom w:val="single" w:color="auto" w:sz="4" w:space="0"/>
                    <w:right w:val="single" w:color="auto" w:sz="4" w:space="0"/>
                  </w:tcBorders>
                  <w:noWrap w:val="0"/>
                  <w:vAlign w:val="center"/>
                </w:tcPr>
                <w:p w14:paraId="63252A8C">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固态</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0C758988">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过硫酸铵</w:t>
                  </w:r>
                </w:p>
              </w:tc>
              <w:tc>
                <w:tcPr>
                  <w:tcW w:w="405" w:type="pct"/>
                  <w:tcBorders>
                    <w:top w:val="single" w:color="auto" w:sz="4" w:space="0"/>
                    <w:left w:val="single" w:color="auto" w:sz="4" w:space="0"/>
                    <w:bottom w:val="single" w:color="auto" w:sz="4" w:space="0"/>
                    <w:right w:val="single" w:color="auto" w:sz="4" w:space="0"/>
                  </w:tcBorders>
                  <w:noWrap w:val="0"/>
                  <w:vAlign w:val="center"/>
                </w:tcPr>
                <w:p w14:paraId="46B394C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探井期</w:t>
                  </w:r>
                </w:p>
              </w:tc>
              <w:tc>
                <w:tcPr>
                  <w:tcW w:w="259" w:type="pct"/>
                  <w:tcBorders>
                    <w:top w:val="single" w:color="auto" w:sz="4" w:space="0"/>
                    <w:left w:val="single" w:color="auto" w:sz="4" w:space="0"/>
                    <w:bottom w:val="single" w:color="auto" w:sz="4" w:space="0"/>
                    <w:right w:val="single" w:color="auto" w:sz="4" w:space="0"/>
                  </w:tcBorders>
                  <w:noWrap w:val="0"/>
                  <w:vAlign w:val="center"/>
                </w:tcPr>
                <w:p w14:paraId="2131684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T</w:t>
                  </w:r>
                  <w:r>
                    <w:rPr>
                      <w:rFonts w:hint="eastAsia"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I</w:t>
                  </w:r>
                </w:p>
              </w:tc>
              <w:tc>
                <w:tcPr>
                  <w:tcW w:w="684" w:type="pct"/>
                  <w:vMerge w:val="continue"/>
                  <w:tcBorders>
                    <w:left w:val="single" w:color="auto" w:sz="4" w:space="0"/>
                    <w:bottom w:val="single" w:color="auto" w:sz="4" w:space="0"/>
                    <w:right w:val="single" w:color="auto" w:sz="4" w:space="0"/>
                  </w:tcBorders>
                  <w:noWrap w:val="0"/>
                  <w:vAlign w:val="top"/>
                </w:tcPr>
                <w:p w14:paraId="27468FD7">
                  <w:pPr>
                    <w:pageBreakBefore w:val="0"/>
                    <w:kinsoku/>
                    <w:wordWrap/>
                    <w:overflowPunct/>
                    <w:topLinePunct w:val="0"/>
                    <w:bidi w:val="0"/>
                    <w:ind w:left="0" w:leftChars="0" w:right="0" w:rightChars="0"/>
                    <w:outlineLvl w:val="9"/>
                    <w:rPr>
                      <w:rFonts w:hint="default" w:ascii="Times New Roman" w:hAnsi="Times New Roman" w:eastAsia="宋体" w:cs="Times New Roman"/>
                      <w:color w:val="auto"/>
                      <w:sz w:val="20"/>
                      <w:szCs w:val="20"/>
                      <w:highlight w:val="none"/>
                    </w:rPr>
                  </w:pPr>
                </w:p>
              </w:tc>
            </w:tr>
          </w:tbl>
          <w:p w14:paraId="75D54F37">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2" w:firstLineChars="200"/>
              <w:jc w:val="left"/>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3、生活垃圾</w:t>
            </w:r>
          </w:p>
          <w:p w14:paraId="7D2056A1">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left"/>
              <w:outlineLvl w:val="9"/>
              <w:rPr>
                <w:rFonts w:hint="default" w:ascii="Times New Roman" w:hAnsi="Times New Roman" w:eastAsia="宋体" w:cs="Times New Roman"/>
                <w:color w:val="auto"/>
                <w:kern w:val="0"/>
                <w:sz w:val="24"/>
                <w:szCs w:val="22"/>
                <w:highlight w:val="none"/>
                <w:lang w:val="en-US" w:eastAsia="zh-CN" w:bidi="ar"/>
              </w:rPr>
            </w:pPr>
            <w:r>
              <w:rPr>
                <w:rFonts w:hint="default" w:ascii="Times New Roman" w:hAnsi="Times New Roman" w:eastAsia="宋体" w:cs="Times New Roman"/>
                <w:color w:val="auto"/>
                <w:sz w:val="24"/>
                <w:szCs w:val="22"/>
                <w:highlight w:val="none"/>
                <w:lang w:val="en-US" w:eastAsia="zh-CN" w:bidi="ar"/>
              </w:rPr>
              <w:t>职工生活垃圾每人每天0.5kg计，生活垃圾产生量约为</w:t>
            </w:r>
            <w:r>
              <w:rPr>
                <w:rFonts w:hint="eastAsia" w:ascii="Times New Roman" w:hAnsi="Times New Roman" w:cs="Times New Roman"/>
                <w:color w:val="auto"/>
                <w:sz w:val="24"/>
                <w:szCs w:val="22"/>
                <w:highlight w:val="none"/>
                <w:lang w:val="en-US" w:eastAsia="zh-CN" w:bidi="ar"/>
              </w:rPr>
              <w:t>0.875</w:t>
            </w:r>
            <w:r>
              <w:rPr>
                <w:rFonts w:hint="default" w:ascii="Times New Roman" w:hAnsi="Times New Roman" w:eastAsia="宋体" w:cs="Times New Roman"/>
                <w:color w:val="auto"/>
                <w:sz w:val="24"/>
                <w:szCs w:val="22"/>
                <w:highlight w:val="none"/>
                <w:lang w:val="en-US" w:eastAsia="zh-CN" w:bidi="ar"/>
              </w:rPr>
              <w:t>t。井场设置垃圾箱，施工结束后送附近垃圾中转站，由当地环卫部门统一拉运处置</w:t>
            </w:r>
            <w:r>
              <w:rPr>
                <w:rFonts w:hint="default" w:ascii="Times New Roman" w:hAnsi="Times New Roman" w:eastAsia="宋体" w:cs="Times New Roman"/>
                <w:color w:val="auto"/>
                <w:kern w:val="0"/>
                <w:sz w:val="24"/>
                <w:szCs w:val="22"/>
                <w:highlight w:val="none"/>
                <w:lang w:val="en-US" w:eastAsia="zh-CN" w:bidi="ar"/>
              </w:rPr>
              <w:t>。</w:t>
            </w:r>
          </w:p>
          <w:p w14:paraId="1DA19B35">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表4-1</w:t>
            </w:r>
            <w:r>
              <w:rPr>
                <w:rFonts w:hint="eastAsia" w:ascii="Times New Roman" w:hAnsi="Times New Roman" w:cs="Times New Roman"/>
                <w:b/>
                <w:bCs/>
                <w:color w:val="auto"/>
                <w:kern w:val="0"/>
                <w:sz w:val="24"/>
                <w:szCs w:val="24"/>
                <w:highlight w:val="none"/>
                <w:lang w:val="en-US" w:eastAsia="zh-CN" w:bidi="ar"/>
              </w:rPr>
              <w:t>1</w:t>
            </w:r>
            <w:r>
              <w:rPr>
                <w:rFonts w:hint="default" w:ascii="Times New Roman" w:hAnsi="Times New Roman" w:eastAsia="宋体" w:cs="Times New Roman"/>
                <w:b/>
                <w:bCs/>
                <w:color w:val="auto"/>
                <w:kern w:val="0"/>
                <w:sz w:val="24"/>
                <w:szCs w:val="24"/>
                <w:highlight w:val="none"/>
                <w:lang w:val="en-US" w:eastAsia="zh-CN" w:bidi="ar"/>
              </w:rPr>
              <w:t xml:space="preserve">  项目固体废物产生与处置措施表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439"/>
              <w:gridCol w:w="1153"/>
              <w:gridCol w:w="1089"/>
              <w:gridCol w:w="1325"/>
              <w:gridCol w:w="2642"/>
            </w:tblGrid>
            <w:tr w14:paraId="037CD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Borders>
                    <w:top w:val="single" w:color="auto" w:sz="4" w:space="0"/>
                    <w:left w:val="single" w:color="auto" w:sz="4" w:space="0"/>
                    <w:bottom w:val="single" w:color="auto" w:sz="4" w:space="0"/>
                    <w:right w:val="single" w:color="auto" w:sz="4" w:space="0"/>
                  </w:tcBorders>
                  <w:noWrap w:val="0"/>
                  <w:vAlign w:val="center"/>
                </w:tcPr>
                <w:p w14:paraId="6D9B0528">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序号</w:t>
                  </w:r>
                </w:p>
              </w:tc>
              <w:tc>
                <w:tcPr>
                  <w:tcW w:w="859" w:type="pct"/>
                  <w:tcBorders>
                    <w:top w:val="single" w:color="auto" w:sz="4" w:space="0"/>
                    <w:left w:val="single" w:color="auto" w:sz="4" w:space="0"/>
                    <w:bottom w:val="single" w:color="auto" w:sz="4" w:space="0"/>
                    <w:right w:val="single" w:color="auto" w:sz="4" w:space="0"/>
                  </w:tcBorders>
                  <w:noWrap w:val="0"/>
                  <w:vAlign w:val="center"/>
                </w:tcPr>
                <w:p w14:paraId="39971C14">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固废种类</w:t>
                  </w:r>
                </w:p>
              </w:tc>
              <w:tc>
                <w:tcPr>
                  <w:tcW w:w="688" w:type="pct"/>
                  <w:tcBorders>
                    <w:top w:val="single" w:color="auto" w:sz="4" w:space="0"/>
                    <w:left w:val="single" w:color="auto" w:sz="4" w:space="0"/>
                    <w:bottom w:val="single" w:color="auto" w:sz="4" w:space="0"/>
                    <w:right w:val="single" w:color="auto" w:sz="4" w:space="0"/>
                  </w:tcBorders>
                  <w:noWrap w:val="0"/>
                  <w:vAlign w:val="center"/>
                </w:tcPr>
                <w:p w14:paraId="004C88B7">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产生量（t）</w:t>
                  </w:r>
                </w:p>
              </w:tc>
              <w:tc>
                <w:tcPr>
                  <w:tcW w:w="650" w:type="pct"/>
                  <w:tcBorders>
                    <w:top w:val="single" w:color="auto" w:sz="4" w:space="0"/>
                    <w:left w:val="single" w:color="auto" w:sz="4" w:space="0"/>
                    <w:bottom w:val="single" w:color="auto" w:sz="4" w:space="0"/>
                    <w:right w:val="single" w:color="auto" w:sz="4" w:space="0"/>
                  </w:tcBorders>
                  <w:noWrap w:val="0"/>
                  <w:vAlign w:val="center"/>
                </w:tcPr>
                <w:p w14:paraId="61F9A1AE">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性质</w:t>
                  </w:r>
                </w:p>
              </w:tc>
              <w:tc>
                <w:tcPr>
                  <w:tcW w:w="791" w:type="pct"/>
                  <w:tcBorders>
                    <w:top w:val="single" w:color="auto" w:sz="4" w:space="0"/>
                    <w:left w:val="single" w:color="auto" w:sz="4" w:space="0"/>
                    <w:bottom w:val="single" w:color="auto" w:sz="4" w:space="0"/>
                    <w:right w:val="single" w:color="auto" w:sz="4" w:space="0"/>
                  </w:tcBorders>
                  <w:noWrap w:val="0"/>
                  <w:vAlign w:val="center"/>
                </w:tcPr>
                <w:p w14:paraId="728AFE26">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代码</w:t>
                  </w:r>
                </w:p>
              </w:tc>
              <w:tc>
                <w:tcPr>
                  <w:tcW w:w="1577" w:type="pct"/>
                  <w:tcBorders>
                    <w:top w:val="single" w:color="auto" w:sz="4" w:space="0"/>
                    <w:left w:val="single" w:color="auto" w:sz="4" w:space="0"/>
                    <w:bottom w:val="single" w:color="auto" w:sz="4" w:space="0"/>
                    <w:right w:val="single" w:color="auto" w:sz="4" w:space="0"/>
                  </w:tcBorders>
                  <w:noWrap w:val="0"/>
                  <w:vAlign w:val="center"/>
                </w:tcPr>
                <w:p w14:paraId="49654AC0">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处置措施</w:t>
                  </w:r>
                </w:p>
              </w:tc>
            </w:tr>
            <w:tr w14:paraId="3C47B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Borders>
                    <w:top w:val="single" w:color="auto" w:sz="4" w:space="0"/>
                    <w:left w:val="single" w:color="auto" w:sz="4" w:space="0"/>
                    <w:bottom w:val="single" w:color="auto" w:sz="4" w:space="0"/>
                    <w:right w:val="single" w:color="auto" w:sz="4" w:space="0"/>
                  </w:tcBorders>
                  <w:noWrap w:val="0"/>
                  <w:vAlign w:val="center"/>
                </w:tcPr>
                <w:p w14:paraId="6EDE4DF8">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w:t>
                  </w:r>
                </w:p>
              </w:tc>
              <w:tc>
                <w:tcPr>
                  <w:tcW w:w="859" w:type="pct"/>
                  <w:tcBorders>
                    <w:top w:val="single" w:color="auto" w:sz="4" w:space="0"/>
                    <w:left w:val="single" w:color="auto" w:sz="4" w:space="0"/>
                    <w:bottom w:val="single" w:color="auto" w:sz="4" w:space="0"/>
                    <w:right w:val="single" w:color="auto" w:sz="4" w:space="0"/>
                  </w:tcBorders>
                  <w:noWrap w:val="0"/>
                  <w:vAlign w:val="center"/>
                </w:tcPr>
                <w:p w14:paraId="1D81083E">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泥饼</w:t>
                  </w:r>
                </w:p>
              </w:tc>
              <w:tc>
                <w:tcPr>
                  <w:tcW w:w="688" w:type="pct"/>
                  <w:tcBorders>
                    <w:top w:val="single" w:color="auto" w:sz="4" w:space="0"/>
                    <w:left w:val="single" w:color="auto" w:sz="4" w:space="0"/>
                    <w:bottom w:val="single" w:color="auto" w:sz="4" w:space="0"/>
                    <w:right w:val="single" w:color="auto" w:sz="4" w:space="0"/>
                  </w:tcBorders>
                  <w:noWrap w:val="0"/>
                  <w:vAlign w:val="center"/>
                </w:tcPr>
                <w:p w14:paraId="5093D992">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40.26</w:t>
                  </w:r>
                </w:p>
              </w:tc>
              <w:tc>
                <w:tcPr>
                  <w:tcW w:w="650" w:type="pct"/>
                  <w:tcBorders>
                    <w:top w:val="single" w:color="auto" w:sz="4" w:space="0"/>
                    <w:left w:val="single" w:color="auto" w:sz="4" w:space="0"/>
                    <w:bottom w:val="single" w:color="auto" w:sz="4" w:space="0"/>
                    <w:right w:val="single" w:color="auto" w:sz="4" w:space="0"/>
                  </w:tcBorders>
                  <w:noWrap w:val="0"/>
                  <w:vAlign w:val="center"/>
                </w:tcPr>
                <w:p w14:paraId="24D96619">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一般固废</w:t>
                  </w:r>
                </w:p>
              </w:tc>
              <w:tc>
                <w:tcPr>
                  <w:tcW w:w="791" w:type="pct"/>
                  <w:tcBorders>
                    <w:top w:val="single" w:color="auto" w:sz="4" w:space="0"/>
                    <w:left w:val="single" w:color="auto" w:sz="4" w:space="0"/>
                    <w:bottom w:val="single" w:color="auto" w:sz="4" w:space="0"/>
                    <w:right w:val="single" w:color="auto" w:sz="4" w:space="0"/>
                  </w:tcBorders>
                  <w:noWrap w:val="0"/>
                  <w:vAlign w:val="center"/>
                </w:tcPr>
                <w:p w14:paraId="5F9E39C0">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SW12</w:t>
                  </w:r>
                </w:p>
                <w:p w14:paraId="666B098E">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072-001-S12</w:t>
                  </w:r>
                </w:p>
              </w:tc>
              <w:tc>
                <w:tcPr>
                  <w:tcW w:w="1577" w:type="pct"/>
                  <w:vMerge w:val="restart"/>
                  <w:tcBorders>
                    <w:top w:val="single" w:color="auto" w:sz="4" w:space="0"/>
                    <w:left w:val="single" w:color="auto" w:sz="4" w:space="0"/>
                    <w:bottom w:val="single" w:color="auto" w:sz="4" w:space="0"/>
                    <w:right w:val="single" w:color="auto" w:sz="4" w:space="0"/>
                  </w:tcBorders>
                  <w:noWrap w:val="0"/>
                  <w:vAlign w:val="center"/>
                </w:tcPr>
                <w:p w14:paraId="3E2A4E92">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交</w:t>
                  </w:r>
                  <w:r>
                    <w:rPr>
                      <w:rFonts w:hint="eastAsia" w:ascii="Times New Roman" w:hAnsi="Times New Roman" w:cs="Times New Roman"/>
                      <w:color w:val="auto"/>
                      <w:kern w:val="0"/>
                      <w:sz w:val="21"/>
                      <w:szCs w:val="21"/>
                      <w:highlight w:val="none"/>
                      <w:lang w:val="en-US" w:eastAsia="zh-CN" w:bidi="ar"/>
                    </w:rPr>
                    <w:t>协议的有能力单位</w:t>
                  </w:r>
                  <w:r>
                    <w:rPr>
                      <w:rFonts w:hint="default" w:ascii="Times New Roman" w:hAnsi="Times New Roman" w:eastAsia="宋体" w:cs="Times New Roman"/>
                      <w:color w:val="auto"/>
                      <w:kern w:val="0"/>
                      <w:sz w:val="21"/>
                      <w:szCs w:val="21"/>
                      <w:highlight w:val="none"/>
                      <w:lang w:val="en-US" w:eastAsia="zh-CN" w:bidi="ar"/>
                    </w:rPr>
                    <w:t>处置</w:t>
                  </w:r>
                </w:p>
              </w:tc>
            </w:tr>
            <w:tr w14:paraId="05D33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Borders>
                    <w:top w:val="single" w:color="auto" w:sz="4" w:space="0"/>
                    <w:left w:val="single" w:color="auto" w:sz="4" w:space="0"/>
                    <w:bottom w:val="single" w:color="auto" w:sz="4" w:space="0"/>
                    <w:right w:val="single" w:color="auto" w:sz="4" w:space="0"/>
                  </w:tcBorders>
                  <w:noWrap w:val="0"/>
                  <w:vAlign w:val="center"/>
                </w:tcPr>
                <w:p w14:paraId="1DDA4EC1">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w:t>
                  </w:r>
                </w:p>
              </w:tc>
              <w:tc>
                <w:tcPr>
                  <w:tcW w:w="859" w:type="pct"/>
                  <w:tcBorders>
                    <w:top w:val="single" w:color="auto" w:sz="4" w:space="0"/>
                    <w:left w:val="single" w:color="auto" w:sz="4" w:space="0"/>
                    <w:bottom w:val="single" w:color="auto" w:sz="4" w:space="0"/>
                    <w:right w:val="single" w:color="auto" w:sz="4" w:space="0"/>
                  </w:tcBorders>
                  <w:noWrap w:val="0"/>
                  <w:vAlign w:val="center"/>
                </w:tcPr>
                <w:p w14:paraId="395B149A">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钻井岩屑</w:t>
                  </w:r>
                </w:p>
              </w:tc>
              <w:tc>
                <w:tcPr>
                  <w:tcW w:w="688" w:type="pct"/>
                  <w:tcBorders>
                    <w:top w:val="single" w:color="auto" w:sz="4" w:space="0"/>
                    <w:left w:val="single" w:color="auto" w:sz="4" w:space="0"/>
                    <w:bottom w:val="single" w:color="auto" w:sz="4" w:space="0"/>
                    <w:right w:val="single" w:color="auto" w:sz="4" w:space="0"/>
                  </w:tcBorders>
                  <w:noWrap w:val="0"/>
                  <w:vAlign w:val="center"/>
                </w:tcPr>
                <w:p w14:paraId="30D6966C">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510.08</w:t>
                  </w:r>
                </w:p>
              </w:tc>
              <w:tc>
                <w:tcPr>
                  <w:tcW w:w="650" w:type="pct"/>
                  <w:tcBorders>
                    <w:top w:val="single" w:color="auto" w:sz="4" w:space="0"/>
                    <w:left w:val="single" w:color="auto" w:sz="4" w:space="0"/>
                    <w:bottom w:val="single" w:color="auto" w:sz="4" w:space="0"/>
                    <w:right w:val="single" w:color="auto" w:sz="4" w:space="0"/>
                  </w:tcBorders>
                  <w:noWrap w:val="0"/>
                  <w:vAlign w:val="center"/>
                </w:tcPr>
                <w:p w14:paraId="36BCA0F2">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一般固废</w:t>
                  </w:r>
                </w:p>
              </w:tc>
              <w:tc>
                <w:tcPr>
                  <w:tcW w:w="791" w:type="pct"/>
                  <w:tcBorders>
                    <w:top w:val="single" w:color="auto" w:sz="4" w:space="0"/>
                    <w:left w:val="single" w:color="auto" w:sz="4" w:space="0"/>
                    <w:bottom w:val="single" w:color="auto" w:sz="4" w:space="0"/>
                    <w:right w:val="single" w:color="auto" w:sz="4" w:space="0"/>
                  </w:tcBorders>
                  <w:noWrap w:val="0"/>
                  <w:vAlign w:val="center"/>
                </w:tcPr>
                <w:p w14:paraId="4A02EAD1">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SW12 072-001-S12</w:t>
                  </w:r>
                </w:p>
              </w:tc>
              <w:tc>
                <w:tcPr>
                  <w:tcW w:w="1577" w:type="pct"/>
                  <w:vMerge w:val="continue"/>
                  <w:tcBorders>
                    <w:top w:val="single" w:color="auto" w:sz="4" w:space="0"/>
                    <w:left w:val="single" w:color="auto" w:sz="4" w:space="0"/>
                    <w:bottom w:val="single" w:color="auto" w:sz="4" w:space="0"/>
                    <w:right w:val="single" w:color="auto" w:sz="4" w:space="0"/>
                  </w:tcBorders>
                  <w:noWrap w:val="0"/>
                  <w:vAlign w:val="center"/>
                </w:tcPr>
                <w:p w14:paraId="740F0DCE">
                  <w:pPr>
                    <w:keepNext w:val="0"/>
                    <w:keepLines w:val="0"/>
                    <w:pageBreakBefore w:val="0"/>
                    <w:suppressLineNumbers w:val="0"/>
                    <w:kinsoku/>
                    <w:wordWrap/>
                    <w:overflowPunct/>
                    <w:topLinePunct w:val="0"/>
                    <w:bidi w:val="0"/>
                    <w:spacing w:before="0" w:beforeAutospacing="0" w:after="0" w:afterAutospacing="0"/>
                    <w:ind w:left="0" w:leftChars="0" w:right="0" w:rightChars="0"/>
                    <w:jc w:val="both"/>
                    <w:outlineLvl w:val="9"/>
                    <w:rPr>
                      <w:rFonts w:hint="default" w:ascii="Times New Roman" w:hAnsi="Times New Roman" w:eastAsia="宋体" w:cs="Times New Roman"/>
                      <w:color w:val="auto"/>
                      <w:sz w:val="20"/>
                      <w:szCs w:val="20"/>
                      <w:highlight w:val="none"/>
                    </w:rPr>
                  </w:pPr>
                </w:p>
              </w:tc>
            </w:tr>
            <w:tr w14:paraId="2B2A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Borders>
                    <w:top w:val="single" w:color="auto" w:sz="4" w:space="0"/>
                    <w:left w:val="single" w:color="auto" w:sz="4" w:space="0"/>
                    <w:bottom w:val="single" w:color="auto" w:sz="4" w:space="0"/>
                    <w:right w:val="single" w:color="auto" w:sz="4" w:space="0"/>
                  </w:tcBorders>
                  <w:noWrap w:val="0"/>
                  <w:vAlign w:val="center"/>
                </w:tcPr>
                <w:p w14:paraId="1D233480">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3</w:t>
                  </w:r>
                </w:p>
              </w:tc>
              <w:tc>
                <w:tcPr>
                  <w:tcW w:w="859" w:type="pct"/>
                  <w:tcBorders>
                    <w:top w:val="single" w:color="auto" w:sz="4" w:space="0"/>
                    <w:left w:val="single" w:color="auto" w:sz="4" w:space="0"/>
                    <w:bottom w:val="single" w:color="auto" w:sz="4" w:space="0"/>
                    <w:right w:val="single" w:color="auto" w:sz="4" w:space="0"/>
                  </w:tcBorders>
                  <w:noWrap w:val="0"/>
                  <w:vAlign w:val="center"/>
                </w:tcPr>
                <w:p w14:paraId="55A7871F">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废纯碱、膨润土包装袋、不含油废防渗膜</w:t>
                  </w:r>
                </w:p>
              </w:tc>
              <w:tc>
                <w:tcPr>
                  <w:tcW w:w="688" w:type="pct"/>
                  <w:tcBorders>
                    <w:top w:val="single" w:color="auto" w:sz="4" w:space="0"/>
                    <w:left w:val="single" w:color="auto" w:sz="4" w:space="0"/>
                    <w:bottom w:val="single" w:color="auto" w:sz="4" w:space="0"/>
                    <w:right w:val="single" w:color="auto" w:sz="4" w:space="0"/>
                  </w:tcBorders>
                  <w:noWrap w:val="0"/>
                  <w:vAlign w:val="center"/>
                </w:tcPr>
                <w:p w14:paraId="0A6726EA">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0.0</w:t>
                  </w:r>
                  <w:r>
                    <w:rPr>
                      <w:rFonts w:hint="eastAsia" w:ascii="Times New Roman" w:hAnsi="Times New Roman" w:cs="Times New Roman"/>
                      <w:color w:val="auto"/>
                      <w:kern w:val="0"/>
                      <w:sz w:val="21"/>
                      <w:szCs w:val="21"/>
                      <w:highlight w:val="none"/>
                      <w:lang w:val="en-US" w:eastAsia="zh-CN" w:bidi="ar"/>
                    </w:rPr>
                    <w:t>2</w:t>
                  </w:r>
                </w:p>
              </w:tc>
              <w:tc>
                <w:tcPr>
                  <w:tcW w:w="650" w:type="pct"/>
                  <w:tcBorders>
                    <w:top w:val="single" w:color="auto" w:sz="4" w:space="0"/>
                    <w:left w:val="single" w:color="auto" w:sz="4" w:space="0"/>
                    <w:bottom w:val="single" w:color="auto" w:sz="4" w:space="0"/>
                    <w:right w:val="single" w:color="auto" w:sz="4" w:space="0"/>
                  </w:tcBorders>
                  <w:noWrap w:val="0"/>
                  <w:vAlign w:val="center"/>
                </w:tcPr>
                <w:p w14:paraId="00322277">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一般固废</w:t>
                  </w:r>
                </w:p>
              </w:tc>
              <w:tc>
                <w:tcPr>
                  <w:tcW w:w="791" w:type="pct"/>
                  <w:tcBorders>
                    <w:top w:val="single" w:color="auto" w:sz="4" w:space="0"/>
                    <w:left w:val="single" w:color="auto" w:sz="4" w:space="0"/>
                    <w:bottom w:val="single" w:color="auto" w:sz="4" w:space="0"/>
                    <w:right w:val="single" w:color="auto" w:sz="4" w:space="0"/>
                  </w:tcBorders>
                  <w:noWrap w:val="0"/>
                  <w:vAlign w:val="center"/>
                </w:tcPr>
                <w:p w14:paraId="23FC5E25">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SW17 900-099-S17</w:t>
                  </w:r>
                </w:p>
              </w:tc>
              <w:tc>
                <w:tcPr>
                  <w:tcW w:w="1577" w:type="pct"/>
                  <w:tcBorders>
                    <w:top w:val="single" w:color="auto" w:sz="4" w:space="0"/>
                    <w:left w:val="single" w:color="auto" w:sz="4" w:space="0"/>
                    <w:bottom w:val="single" w:color="auto" w:sz="4" w:space="0"/>
                    <w:right w:val="single" w:color="auto" w:sz="4" w:space="0"/>
                  </w:tcBorders>
                  <w:noWrap w:val="0"/>
                  <w:vAlign w:val="center"/>
                </w:tcPr>
                <w:p w14:paraId="714980DC">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回收后综合利用</w:t>
                  </w:r>
                </w:p>
              </w:tc>
            </w:tr>
            <w:tr w14:paraId="65DFE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Borders>
                    <w:top w:val="single" w:color="auto" w:sz="4" w:space="0"/>
                    <w:left w:val="single" w:color="auto" w:sz="4" w:space="0"/>
                    <w:bottom w:val="single" w:color="auto" w:sz="4" w:space="0"/>
                    <w:right w:val="single" w:color="auto" w:sz="4" w:space="0"/>
                  </w:tcBorders>
                  <w:noWrap w:val="0"/>
                  <w:vAlign w:val="center"/>
                </w:tcPr>
                <w:p w14:paraId="6CC79F75">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4</w:t>
                  </w:r>
                </w:p>
              </w:tc>
              <w:tc>
                <w:tcPr>
                  <w:tcW w:w="859" w:type="pct"/>
                  <w:tcBorders>
                    <w:top w:val="single" w:color="auto" w:sz="4" w:space="0"/>
                    <w:left w:val="single" w:color="auto" w:sz="4" w:space="0"/>
                    <w:bottom w:val="single" w:color="auto" w:sz="4" w:space="0"/>
                    <w:right w:val="single" w:color="auto" w:sz="4" w:space="0"/>
                  </w:tcBorders>
                  <w:noWrap w:val="0"/>
                  <w:vAlign w:val="center"/>
                </w:tcPr>
                <w:p w14:paraId="1067BC9B">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废机油</w:t>
                  </w:r>
                </w:p>
              </w:tc>
              <w:tc>
                <w:tcPr>
                  <w:tcW w:w="688" w:type="pct"/>
                  <w:tcBorders>
                    <w:top w:val="single" w:color="auto" w:sz="4" w:space="0"/>
                    <w:left w:val="single" w:color="auto" w:sz="4" w:space="0"/>
                    <w:bottom w:val="single" w:color="auto" w:sz="4" w:space="0"/>
                    <w:right w:val="single" w:color="auto" w:sz="4" w:space="0"/>
                  </w:tcBorders>
                  <w:noWrap w:val="0"/>
                  <w:vAlign w:val="center"/>
                </w:tcPr>
                <w:p w14:paraId="353188B6">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w:t>
                  </w:r>
                  <w:r>
                    <w:rPr>
                      <w:rFonts w:hint="eastAsia" w:ascii="Times New Roman" w:hAnsi="Times New Roman" w:cs="Times New Roman"/>
                      <w:color w:val="auto"/>
                      <w:kern w:val="0"/>
                      <w:sz w:val="21"/>
                      <w:szCs w:val="21"/>
                      <w:highlight w:val="none"/>
                      <w:lang w:val="en-US" w:eastAsia="zh-CN" w:bidi="ar"/>
                    </w:rPr>
                    <w:t>04</w:t>
                  </w:r>
                </w:p>
              </w:tc>
              <w:tc>
                <w:tcPr>
                  <w:tcW w:w="650" w:type="pct"/>
                  <w:tcBorders>
                    <w:top w:val="single" w:color="auto" w:sz="4" w:space="0"/>
                    <w:left w:val="single" w:color="auto" w:sz="4" w:space="0"/>
                    <w:bottom w:val="single" w:color="auto" w:sz="4" w:space="0"/>
                    <w:right w:val="single" w:color="auto" w:sz="4" w:space="0"/>
                  </w:tcBorders>
                  <w:noWrap w:val="0"/>
                  <w:vAlign w:val="center"/>
                </w:tcPr>
                <w:p w14:paraId="005D2EC9">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危险废物</w:t>
                  </w:r>
                </w:p>
              </w:tc>
              <w:tc>
                <w:tcPr>
                  <w:tcW w:w="791" w:type="pct"/>
                  <w:tcBorders>
                    <w:top w:val="single" w:color="auto" w:sz="4" w:space="0"/>
                    <w:left w:val="single" w:color="auto" w:sz="4" w:space="0"/>
                    <w:bottom w:val="single" w:color="auto" w:sz="4" w:space="0"/>
                    <w:right w:val="single" w:color="auto" w:sz="4" w:space="0"/>
                  </w:tcBorders>
                  <w:noWrap w:val="0"/>
                  <w:vAlign w:val="center"/>
                </w:tcPr>
                <w:p w14:paraId="0E4CFCA7">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HW08</w:t>
                  </w:r>
                </w:p>
                <w:p w14:paraId="6288808F">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center"/>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900-214-08</w:t>
                  </w:r>
                </w:p>
              </w:tc>
              <w:tc>
                <w:tcPr>
                  <w:tcW w:w="1577" w:type="pct"/>
                  <w:tcBorders>
                    <w:top w:val="single" w:color="auto" w:sz="4" w:space="0"/>
                    <w:left w:val="single" w:color="auto" w:sz="4" w:space="0"/>
                    <w:bottom w:val="single" w:color="auto" w:sz="4" w:space="0"/>
                    <w:right w:val="single" w:color="auto" w:sz="4" w:space="0"/>
                  </w:tcBorders>
                  <w:noWrap w:val="0"/>
                  <w:vAlign w:val="center"/>
                </w:tcPr>
                <w:p w14:paraId="5F839557">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交有资质单位处置</w:t>
                  </w:r>
                </w:p>
              </w:tc>
            </w:tr>
            <w:tr w14:paraId="1F4E5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Borders>
                    <w:top w:val="single" w:color="auto" w:sz="4" w:space="0"/>
                    <w:left w:val="single" w:color="auto" w:sz="4" w:space="0"/>
                    <w:bottom w:val="single" w:color="auto" w:sz="4" w:space="0"/>
                    <w:right w:val="single" w:color="auto" w:sz="4" w:space="0"/>
                  </w:tcBorders>
                  <w:noWrap w:val="0"/>
                  <w:vAlign w:val="center"/>
                </w:tcPr>
                <w:p w14:paraId="7B7370E2">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5</w:t>
                  </w:r>
                </w:p>
              </w:tc>
              <w:tc>
                <w:tcPr>
                  <w:tcW w:w="859" w:type="pct"/>
                  <w:tcBorders>
                    <w:top w:val="single" w:color="auto" w:sz="4" w:space="0"/>
                    <w:left w:val="single" w:color="auto" w:sz="4" w:space="0"/>
                    <w:bottom w:val="single" w:color="auto" w:sz="4" w:space="0"/>
                    <w:right w:val="single" w:color="auto" w:sz="4" w:space="0"/>
                  </w:tcBorders>
                  <w:noWrap w:val="0"/>
                  <w:vAlign w:val="center"/>
                </w:tcPr>
                <w:p w14:paraId="1A9008AA">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含油废防渗膜</w:t>
                  </w:r>
                </w:p>
              </w:tc>
              <w:tc>
                <w:tcPr>
                  <w:tcW w:w="688" w:type="pct"/>
                  <w:tcBorders>
                    <w:top w:val="single" w:color="auto" w:sz="4" w:space="0"/>
                    <w:left w:val="single" w:color="auto" w:sz="4" w:space="0"/>
                    <w:bottom w:val="single" w:color="auto" w:sz="4" w:space="0"/>
                    <w:right w:val="single" w:color="auto" w:sz="4" w:space="0"/>
                  </w:tcBorders>
                  <w:noWrap w:val="0"/>
                  <w:vAlign w:val="center"/>
                </w:tcPr>
                <w:p w14:paraId="11C4F9B7">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w:t>
                  </w:r>
                  <w:r>
                    <w:rPr>
                      <w:rFonts w:hint="eastAsia" w:ascii="Times New Roman" w:hAnsi="Times New Roman" w:cs="Times New Roman"/>
                      <w:color w:val="auto"/>
                      <w:kern w:val="0"/>
                      <w:sz w:val="21"/>
                      <w:szCs w:val="21"/>
                      <w:highlight w:val="none"/>
                      <w:lang w:val="en-US" w:eastAsia="zh-CN" w:bidi="ar"/>
                    </w:rPr>
                    <w:t>05</w:t>
                  </w:r>
                </w:p>
              </w:tc>
              <w:tc>
                <w:tcPr>
                  <w:tcW w:w="650" w:type="pct"/>
                  <w:tcBorders>
                    <w:top w:val="single" w:color="auto" w:sz="4" w:space="0"/>
                    <w:left w:val="single" w:color="auto" w:sz="4" w:space="0"/>
                    <w:bottom w:val="single" w:color="auto" w:sz="4" w:space="0"/>
                    <w:right w:val="single" w:color="auto" w:sz="4" w:space="0"/>
                  </w:tcBorders>
                  <w:noWrap w:val="0"/>
                  <w:vAlign w:val="center"/>
                </w:tcPr>
                <w:p w14:paraId="3C43DB5A">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危险废物</w:t>
                  </w:r>
                </w:p>
              </w:tc>
              <w:tc>
                <w:tcPr>
                  <w:tcW w:w="791" w:type="pct"/>
                  <w:tcBorders>
                    <w:top w:val="single" w:color="auto" w:sz="4" w:space="0"/>
                    <w:left w:val="single" w:color="auto" w:sz="4" w:space="0"/>
                    <w:bottom w:val="single" w:color="auto" w:sz="4" w:space="0"/>
                    <w:right w:val="single" w:color="auto" w:sz="4" w:space="0"/>
                  </w:tcBorders>
                  <w:noWrap w:val="0"/>
                  <w:vAlign w:val="center"/>
                </w:tcPr>
                <w:p w14:paraId="3CF20CE5">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HW49</w:t>
                  </w:r>
                </w:p>
                <w:p w14:paraId="73A92438">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center"/>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900-041-49</w:t>
                  </w:r>
                </w:p>
              </w:tc>
              <w:tc>
                <w:tcPr>
                  <w:tcW w:w="1577" w:type="pct"/>
                  <w:tcBorders>
                    <w:top w:val="single" w:color="auto" w:sz="4" w:space="0"/>
                    <w:left w:val="single" w:color="auto" w:sz="4" w:space="0"/>
                    <w:bottom w:val="single" w:color="auto" w:sz="4" w:space="0"/>
                    <w:right w:val="single" w:color="auto" w:sz="4" w:space="0"/>
                  </w:tcBorders>
                  <w:noWrap w:val="0"/>
                  <w:vAlign w:val="center"/>
                </w:tcPr>
                <w:p w14:paraId="42FEC6B2">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交有资质单位处置</w:t>
                  </w:r>
                </w:p>
              </w:tc>
            </w:tr>
            <w:tr w14:paraId="3DE61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Borders>
                    <w:top w:val="single" w:color="auto" w:sz="4" w:space="0"/>
                    <w:left w:val="single" w:color="auto" w:sz="4" w:space="0"/>
                    <w:bottom w:val="single" w:color="auto" w:sz="4" w:space="0"/>
                    <w:right w:val="single" w:color="auto" w:sz="4" w:space="0"/>
                  </w:tcBorders>
                  <w:noWrap w:val="0"/>
                  <w:vAlign w:val="center"/>
                </w:tcPr>
                <w:p w14:paraId="35B94351">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6</w:t>
                  </w:r>
                </w:p>
              </w:tc>
              <w:tc>
                <w:tcPr>
                  <w:tcW w:w="859" w:type="pct"/>
                  <w:tcBorders>
                    <w:top w:val="single" w:color="auto" w:sz="4" w:space="0"/>
                    <w:left w:val="single" w:color="auto" w:sz="4" w:space="0"/>
                    <w:bottom w:val="single" w:color="auto" w:sz="4" w:space="0"/>
                    <w:right w:val="single" w:color="auto" w:sz="4" w:space="0"/>
                  </w:tcBorders>
                  <w:noWrap w:val="0"/>
                  <w:vAlign w:val="center"/>
                </w:tcPr>
                <w:p w14:paraId="4D510561">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废破胶剂包装袋</w:t>
                  </w:r>
                </w:p>
              </w:tc>
              <w:tc>
                <w:tcPr>
                  <w:tcW w:w="688" w:type="pct"/>
                  <w:tcBorders>
                    <w:top w:val="single" w:color="auto" w:sz="4" w:space="0"/>
                    <w:left w:val="single" w:color="auto" w:sz="4" w:space="0"/>
                    <w:bottom w:val="single" w:color="auto" w:sz="4" w:space="0"/>
                    <w:right w:val="single" w:color="auto" w:sz="4" w:space="0"/>
                  </w:tcBorders>
                  <w:noWrap w:val="0"/>
                  <w:vAlign w:val="center"/>
                </w:tcPr>
                <w:p w14:paraId="5DD3A061">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0.00</w:t>
                  </w:r>
                  <w:r>
                    <w:rPr>
                      <w:rFonts w:hint="eastAsia" w:ascii="Times New Roman" w:hAnsi="Times New Roman" w:cs="Times New Roman"/>
                      <w:color w:val="auto"/>
                      <w:kern w:val="0"/>
                      <w:sz w:val="21"/>
                      <w:szCs w:val="21"/>
                      <w:highlight w:val="none"/>
                      <w:lang w:val="en-US" w:eastAsia="zh-CN" w:bidi="ar"/>
                    </w:rPr>
                    <w:t>1</w:t>
                  </w:r>
                </w:p>
              </w:tc>
              <w:tc>
                <w:tcPr>
                  <w:tcW w:w="650" w:type="pct"/>
                  <w:tcBorders>
                    <w:top w:val="single" w:color="auto" w:sz="4" w:space="0"/>
                    <w:left w:val="single" w:color="auto" w:sz="4" w:space="0"/>
                    <w:bottom w:val="single" w:color="auto" w:sz="4" w:space="0"/>
                    <w:right w:val="single" w:color="auto" w:sz="4" w:space="0"/>
                  </w:tcBorders>
                  <w:noWrap w:val="0"/>
                  <w:vAlign w:val="center"/>
                </w:tcPr>
                <w:p w14:paraId="7997A81C">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危险废物</w:t>
                  </w:r>
                </w:p>
              </w:tc>
              <w:tc>
                <w:tcPr>
                  <w:tcW w:w="791" w:type="pct"/>
                  <w:tcBorders>
                    <w:top w:val="single" w:color="auto" w:sz="4" w:space="0"/>
                    <w:left w:val="single" w:color="auto" w:sz="4" w:space="0"/>
                    <w:bottom w:val="single" w:color="auto" w:sz="4" w:space="0"/>
                    <w:right w:val="single" w:color="auto" w:sz="4" w:space="0"/>
                  </w:tcBorders>
                  <w:noWrap w:val="0"/>
                  <w:vAlign w:val="center"/>
                </w:tcPr>
                <w:p w14:paraId="4029D060">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HW49</w:t>
                  </w:r>
                </w:p>
                <w:p w14:paraId="7E300A7F">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center"/>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900-041-49</w:t>
                  </w:r>
                </w:p>
              </w:tc>
              <w:tc>
                <w:tcPr>
                  <w:tcW w:w="1577" w:type="pct"/>
                  <w:tcBorders>
                    <w:top w:val="single" w:color="auto" w:sz="4" w:space="0"/>
                    <w:left w:val="single" w:color="auto" w:sz="4" w:space="0"/>
                    <w:bottom w:val="single" w:color="auto" w:sz="4" w:space="0"/>
                    <w:right w:val="single" w:color="auto" w:sz="4" w:space="0"/>
                  </w:tcBorders>
                  <w:noWrap w:val="0"/>
                  <w:vAlign w:val="center"/>
                </w:tcPr>
                <w:p w14:paraId="55800CD0">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交有资质单位处置</w:t>
                  </w:r>
                </w:p>
              </w:tc>
            </w:tr>
            <w:tr w14:paraId="5169C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Borders>
                    <w:top w:val="single" w:color="auto" w:sz="4" w:space="0"/>
                    <w:left w:val="single" w:color="auto" w:sz="4" w:space="0"/>
                    <w:bottom w:val="single" w:color="auto" w:sz="4" w:space="0"/>
                    <w:right w:val="single" w:color="auto" w:sz="4" w:space="0"/>
                  </w:tcBorders>
                  <w:noWrap w:val="0"/>
                  <w:vAlign w:val="center"/>
                </w:tcPr>
                <w:p w14:paraId="00E66444">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859" w:type="pct"/>
                  <w:tcBorders>
                    <w:top w:val="single" w:color="auto" w:sz="4" w:space="0"/>
                    <w:left w:val="single" w:color="auto" w:sz="4" w:space="0"/>
                    <w:bottom w:val="single" w:color="auto" w:sz="4" w:space="0"/>
                    <w:right w:val="single" w:color="auto" w:sz="4" w:space="0"/>
                  </w:tcBorders>
                  <w:noWrap w:val="0"/>
                  <w:vAlign w:val="center"/>
                </w:tcPr>
                <w:p w14:paraId="3565932E">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生活垃圾</w:t>
                  </w:r>
                </w:p>
              </w:tc>
              <w:tc>
                <w:tcPr>
                  <w:tcW w:w="688" w:type="pct"/>
                  <w:tcBorders>
                    <w:top w:val="single" w:color="auto" w:sz="4" w:space="0"/>
                    <w:left w:val="single" w:color="auto" w:sz="4" w:space="0"/>
                    <w:bottom w:val="single" w:color="auto" w:sz="4" w:space="0"/>
                    <w:right w:val="single" w:color="auto" w:sz="4" w:space="0"/>
                  </w:tcBorders>
                  <w:noWrap w:val="0"/>
                  <w:vAlign w:val="center"/>
                </w:tcPr>
                <w:p w14:paraId="659E9CD0">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0.875</w:t>
                  </w:r>
                </w:p>
              </w:tc>
              <w:tc>
                <w:tcPr>
                  <w:tcW w:w="650" w:type="pct"/>
                  <w:tcBorders>
                    <w:top w:val="single" w:color="auto" w:sz="4" w:space="0"/>
                    <w:left w:val="single" w:color="auto" w:sz="4" w:space="0"/>
                    <w:bottom w:val="single" w:color="auto" w:sz="4" w:space="0"/>
                    <w:right w:val="single" w:color="auto" w:sz="4" w:space="0"/>
                  </w:tcBorders>
                  <w:noWrap w:val="0"/>
                  <w:vAlign w:val="center"/>
                </w:tcPr>
                <w:p w14:paraId="551866CF">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一般固废</w:t>
                  </w:r>
                </w:p>
              </w:tc>
              <w:tc>
                <w:tcPr>
                  <w:tcW w:w="791" w:type="pct"/>
                  <w:tcBorders>
                    <w:top w:val="single" w:color="auto" w:sz="4" w:space="0"/>
                    <w:left w:val="single" w:color="auto" w:sz="4" w:space="0"/>
                    <w:bottom w:val="single" w:color="auto" w:sz="4" w:space="0"/>
                    <w:right w:val="single" w:color="auto" w:sz="4" w:space="0"/>
                  </w:tcBorders>
                  <w:noWrap w:val="0"/>
                  <w:vAlign w:val="center"/>
                </w:tcPr>
                <w:p w14:paraId="0441B167">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SW64 900-099-S64</w:t>
                  </w:r>
                </w:p>
              </w:tc>
              <w:tc>
                <w:tcPr>
                  <w:tcW w:w="1577" w:type="pct"/>
                  <w:tcBorders>
                    <w:top w:val="single" w:color="auto" w:sz="4" w:space="0"/>
                    <w:left w:val="single" w:color="auto" w:sz="4" w:space="0"/>
                    <w:bottom w:val="single" w:color="auto" w:sz="4" w:space="0"/>
                    <w:right w:val="single" w:color="auto" w:sz="4" w:space="0"/>
                  </w:tcBorders>
                  <w:noWrap w:val="0"/>
                  <w:vAlign w:val="center"/>
                </w:tcPr>
                <w:p w14:paraId="17B7F621">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施工结束后送附近垃圾中转站，由当地环卫部门统一拉运处置</w:t>
                  </w:r>
                </w:p>
              </w:tc>
            </w:tr>
          </w:tbl>
          <w:p w14:paraId="4A5AB140">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2"/>
                <w:highlight w:val="none"/>
                <w:lang w:val="en-US" w:eastAsia="zh-CN" w:bidi="ar"/>
              </w:rPr>
              <w:t>评价要求建设单位做好施工期固体废物管理工作，一般固体废物及危险废物均记录台账并妥善保管，台账包括废物名称、产生时间、产生量、储存位置、储存方式、转移时间、转移单位等信息，确保施工期各类固体废物全部得到妥善处置</w:t>
            </w:r>
            <w:r>
              <w:rPr>
                <w:rFonts w:hint="default" w:ascii="Times New Roman" w:hAnsi="Times New Roman" w:eastAsia="宋体" w:cs="Times New Roman"/>
                <w:color w:val="auto"/>
                <w:kern w:val="0"/>
                <w:sz w:val="24"/>
                <w:szCs w:val="24"/>
                <w:highlight w:val="none"/>
                <w:lang w:val="en-US" w:eastAsia="zh-CN" w:bidi="ar"/>
              </w:rPr>
              <w:t>。</w:t>
            </w:r>
          </w:p>
          <w:p w14:paraId="36EEDA0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七、土壤环境影响分析</w:t>
            </w:r>
          </w:p>
          <w:p w14:paraId="5D818E2E">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钻前工程期间的开挖和填埋行为将会破坏土壤结构。对场地平整产生的剥离表层土，在井场的临时土石方堆存点集中临时堆放，完井后用于场地复垦用土。剥离表层土临时堆场地设置截排水沟等严格的水保措施防止水土流失。通井场地面采用碎石和混凝土敷设，有效保护占地原表层土壤。完井后，随着生态保护措施的进行，井场对土壤的影响将得到尽快恢复。项目对土壤环境的影响主要表现为对土壤性质、土壤肥力的影响以及土壤污染三个方面。</w:t>
            </w:r>
          </w:p>
          <w:p w14:paraId="5861EEDE">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（1）土壤性质影响</w:t>
            </w:r>
          </w:p>
          <w:p w14:paraId="26634D1E">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钻井前会对井场进行场地的清理，土石方开挖、堆放、回填以及材料堆放、人工践踏、机械设备碾压等活动都将对土壤理化性质产生影响。</w:t>
            </w:r>
          </w:p>
          <w:p w14:paraId="036BAD90">
            <w:pPr>
              <w:pStyle w:val="2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①扰乱土壤耕作层，破坏土壤耕层结构</w:t>
            </w:r>
          </w:p>
          <w:p w14:paraId="70E0A4FB">
            <w:pPr>
              <w:pStyle w:val="2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地表开挖必定扰乱和破坏土壤耕作层，这种扰乱和破坏，除开挖处受到直接的破坏外，挖出土方的堆放将直接占压开挖处附近的土地，破坏土壤表层及其结构。由于表层的团粒结构是经过较长的历史时期形成的，一旦遭到破坏，短期内难以恢复。因此，施工过程中，对土壤表层的影响最为严重。</w:t>
            </w:r>
          </w:p>
          <w:p w14:paraId="0283CE74">
            <w:pPr>
              <w:pStyle w:val="2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②混合土壤层次，改变土体构型</w:t>
            </w:r>
          </w:p>
          <w:p w14:paraId="2F0EB6A5">
            <w:pPr>
              <w:pStyle w:val="2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土壤在形成过程中，由于物质和能量长期垂直分异，形成质地、结构、性质和厚度差异明显的土壤剖面构型。项目的土石方的开挖与回填，使原土壤层次混合，原土体构型破坏。土体构型的破坏，将改变土体中物质和能量的运动变化规律，使表层通气透水性变差，使亚表层保水、保肥性能降低，造成对植物的生长、发育及其产量影响。</w:t>
            </w:r>
          </w:p>
          <w:p w14:paraId="2F6580F9">
            <w:pPr>
              <w:pStyle w:val="2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③影响土壤紧实度</w:t>
            </w:r>
          </w:p>
          <w:p w14:paraId="71EA7484">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自然土壤在自重作用下，形成上松下紧的土壤紧实度垂直差异。施工过程中的机械碾压，尤其在坡度较大的地段，甚至进行掺灰固结，这种碾压或固结，将大大改变土壤的紧实程度，与原有的上松下紧结构相比，极不利于土壤的通气、透水作用，影响植被生长，甚至导致压实地表寸草不生，形成局部人工荒漠现象。</w:t>
            </w:r>
          </w:p>
          <w:p w14:paraId="76B1A220">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（2）土壤肥力影响</w:t>
            </w:r>
          </w:p>
          <w:p w14:paraId="31F39D24">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土壤中的有机质、氮、磷、钾等养分含量，均表现为表土层远高于心土层；在土壤肥力其它方面如紧实度、空隙性、适耕性、团粒结构含量等，也都表现为表土层优于心土层。施工期土石方的开挖与回填，将扰动甚至打乱原土体构型，使土壤养分、水分含量及肥力状况受到较大的影响，影响植被正常生长。因此在土石方开挖、回填过程中，必须严格对表层土实行分层堆放和分层回填。</w:t>
            </w:r>
          </w:p>
          <w:p w14:paraId="0D1B9CE3">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（3）土壤污染影响</w:t>
            </w:r>
          </w:p>
          <w:p w14:paraId="1088C33C">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本项目为天然气勘探工程，不会导致场地土壤的盐化、碱化、酸化等，可能对土壤产生的影响主要为施工过程涉及的油类物质、钻井液、压裂液及其他原辅材料发生泄漏通过地面漫流和垂直入渗的方式污染土壤。</w:t>
            </w:r>
          </w:p>
          <w:p w14:paraId="26A9D69E">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为了减少本项目施工对土壤环境的影响，钻井工作区、泥浆不落地系统区、钻井液材料房、储罐区</w:t>
            </w:r>
            <w:r>
              <w:rPr>
                <w:rFonts w:hint="default" w:ascii="Times New Roman" w:hAnsi="Times New Roman" w:eastAsia="宋体" w:cs="Times New Roman"/>
                <w:b w:val="0"/>
                <w:bCs w:val="0"/>
                <w:color w:val="auto"/>
                <w:sz w:val="24"/>
                <w:szCs w:val="24"/>
                <w:highlight w:val="none"/>
                <w:vertAlign w:val="baseline"/>
                <w:lang w:val="en-US" w:eastAsia="zh-CN"/>
              </w:rPr>
              <w:t>、放喷罐</w:t>
            </w:r>
            <w:r>
              <w:rPr>
                <w:rFonts w:hint="default" w:ascii="Times New Roman" w:hAnsi="Times New Roman" w:eastAsia="宋体" w:cs="Times New Roman"/>
                <w:color w:val="auto"/>
                <w:highlight w:val="none"/>
                <w:lang w:val="en-US" w:eastAsia="zh-CN"/>
              </w:rPr>
              <w:t>等采取重点防渗措施，废液、固废储罐四周设置围堰，地面防渗层的防渗性能不应低于6m厚渗透系数为1.0×10</w:t>
            </w:r>
            <w:r>
              <w:rPr>
                <w:rFonts w:hint="default" w:ascii="Times New Roman" w:hAnsi="Times New Roman" w:eastAsia="宋体" w:cs="Times New Roman"/>
                <w:color w:val="auto"/>
                <w:highlight w:val="none"/>
                <w:vertAlign w:val="superscript"/>
                <w:lang w:val="en-US" w:eastAsia="zh-CN"/>
              </w:rPr>
              <w:t>-7</w:t>
            </w:r>
            <w:r>
              <w:rPr>
                <w:rFonts w:hint="default" w:ascii="Times New Roman" w:hAnsi="Times New Roman" w:eastAsia="宋体" w:cs="Times New Roman"/>
                <w:color w:val="auto"/>
                <w:highlight w:val="none"/>
                <w:lang w:val="en-US" w:eastAsia="zh-CN"/>
              </w:rPr>
              <w:t>cm/s的黏土层的防渗性能；采用撬装式危废贮存库，防渗层为双层HDPE膜或单层HDPE膜等人工防渗材料（渗透系数不大于1.0×10</w:t>
            </w:r>
            <w:r>
              <w:rPr>
                <w:rFonts w:hint="default" w:ascii="Times New Roman" w:hAnsi="Times New Roman" w:eastAsia="宋体" w:cs="Times New Roman"/>
                <w:color w:val="auto"/>
                <w:highlight w:val="none"/>
                <w:vertAlign w:val="superscript"/>
                <w:lang w:val="en-US" w:eastAsia="zh-CN"/>
              </w:rPr>
              <w:t>-10</w:t>
            </w:r>
            <w:r>
              <w:rPr>
                <w:rFonts w:hint="default" w:ascii="Times New Roman" w:hAnsi="Times New Roman" w:eastAsia="宋体" w:cs="Times New Roman"/>
                <w:color w:val="auto"/>
                <w:highlight w:val="none"/>
                <w:lang w:val="en-US" w:eastAsia="zh-CN"/>
              </w:rPr>
              <w:t>cm/s，铺在贮存库内地面上，膜厚不少于2mm</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设置防渗防雨的应急罐，用于随钻不落地回收系统出现事故时，临时存放钻井泥浆和岩屑，避免钻井泥浆外泄。</w:t>
            </w:r>
          </w:p>
          <w:p w14:paraId="60612923">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根据《陕西省煤炭石油天然气开发生态环境保护条例》（2019年9月27日修订）中“第三十一条 石油、天然气开发单位在生产过程中，有下列情形之一的，应当按照规定开展土壤污染状况调查、风险评估，实施风险管控和修复：（一）在钻井、压裂、固井、试井及开采过程中造成井场及周边土壤污染的；（二）关闭或者废弃油（气）井、油气站（场）等地面设施和工业固体废物集中处置设施的；（三）输油管线破裂或者原油泄露造成土壤污染的；（四）其他造成土壤污染情形的”的要求，本次评价提出如下要求：</w:t>
            </w:r>
          </w:p>
          <w:p w14:paraId="005E03C9">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在钻井、压裂、固井、试井过程中造成探井场地及周边土壤污染的，以及出现其他造成土壤污染情形的，应立即按照规定开展土壤污染状况调查、风险评估，实施风险管控和修复。</w:t>
            </w:r>
          </w:p>
          <w:p w14:paraId="297EEC9B">
            <w:pPr>
              <w:pStyle w:val="20"/>
              <w:pageBreakBefore w:val="0"/>
              <w:widowControl/>
              <w:kinsoku/>
              <w:wordWrap/>
              <w:overflowPunct/>
              <w:topLinePunct w:val="0"/>
              <w:bidi w:val="0"/>
              <w:spacing w:before="0" w:after="0"/>
              <w:ind w:left="0" w:leftChars="0" w:right="0" w:rightChars="0" w:firstLine="480"/>
              <w:outlineLvl w:val="9"/>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综上，由于项目占地均为临时占地，占地规模小，施工期短，施工结束后即恢复原有土地利用类型，不改变原有土地性质，且对井场重点区域进行防渗处理，因此对土壤环境影响较小。</w:t>
            </w:r>
          </w:p>
          <w:p w14:paraId="4F1E07A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eastAsia" w:ascii="Times New Roman" w:hAnsi="Times New Roman" w:eastAsia="宋体" w:cs="Times New Roman"/>
                <w:b/>
                <w:bCs/>
                <w:color w:val="auto"/>
                <w:sz w:val="24"/>
                <w:szCs w:val="24"/>
                <w:highlight w:val="none"/>
                <w:vertAlign w:val="baseline"/>
                <w:lang w:val="en-US" w:eastAsia="zh-CN"/>
              </w:rPr>
              <w:t>八、环境风险影响分析</w:t>
            </w:r>
          </w:p>
          <w:p w14:paraId="4F502B0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天然气勘探作业是多专业工种的野外作业，由于地下情况复杂，钻井作业隐藏着对环境的多种不安全因素，钻井作业可能出现的环境事故主要为洗井废水、压裂返排液泄漏使用和储运过程泄漏以及井喷。</w:t>
            </w:r>
          </w:p>
          <w:p w14:paraId="6DF2D79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（1）风险物质调查</w:t>
            </w:r>
          </w:p>
          <w:p w14:paraId="373EC6C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本项目涉及到的物料主要有钻井过程地层中可能出现的天然气（</w:t>
            </w:r>
            <w:r>
              <w:rPr>
                <w:rFonts w:hint="eastAsia" w:ascii="Times New Roman" w:hAnsi="Times New Roman" w:eastAsia="宋体" w:cs="Times New Roman"/>
                <w:b w:val="0"/>
                <w:bCs w:val="0"/>
                <w:color w:val="auto"/>
                <w:sz w:val="24"/>
                <w:szCs w:val="24"/>
                <w:highlight w:val="none"/>
                <w:vertAlign w:val="baseline"/>
                <w:lang w:val="en-US" w:eastAsia="zh-CN"/>
              </w:rPr>
              <w:t>主要成分</w:t>
            </w:r>
            <w:r>
              <w:rPr>
                <w:rFonts w:hint="default" w:ascii="Times New Roman" w:hAnsi="Times New Roman" w:eastAsia="宋体" w:cs="Times New Roman"/>
                <w:b w:val="0"/>
                <w:bCs w:val="0"/>
                <w:color w:val="auto"/>
                <w:sz w:val="24"/>
                <w:szCs w:val="24"/>
                <w:highlight w:val="none"/>
                <w:vertAlign w:val="baseline"/>
                <w:lang w:val="en-US" w:eastAsia="zh-CN"/>
              </w:rPr>
              <w:t>CH</w:t>
            </w:r>
            <w:r>
              <w:rPr>
                <w:rFonts w:hint="default" w:ascii="Times New Roman" w:hAnsi="Times New Roman" w:eastAsia="宋体" w:cs="Times New Roman"/>
                <w:b w:val="0"/>
                <w:bCs w:val="0"/>
                <w:color w:val="auto"/>
                <w:sz w:val="24"/>
                <w:szCs w:val="24"/>
                <w:highlight w:val="none"/>
                <w:vertAlign w:val="subscript"/>
                <w:lang w:val="en-US" w:eastAsia="zh-CN"/>
              </w:rPr>
              <w:t>4</w:t>
            </w:r>
            <w:r>
              <w:rPr>
                <w:rFonts w:hint="default" w:ascii="Times New Roman" w:hAnsi="Times New Roman" w:eastAsia="宋体" w:cs="Times New Roman"/>
                <w:b w:val="0"/>
                <w:bCs w:val="0"/>
                <w:color w:val="auto"/>
                <w:sz w:val="24"/>
                <w:szCs w:val="24"/>
                <w:highlight w:val="none"/>
                <w:vertAlign w:val="baseline"/>
                <w:lang w:val="en-US" w:eastAsia="zh-CN"/>
              </w:rPr>
              <w:t>）、设备维修保养产生的废油、钻井液（及其主要添加剂纯碱、烧碱、乳化石蜡、重晶石粉等）、压裂返排液（及压裂液主要添加剂胍胶、氯化钾、氢氧化钠等）等，钻井液和压裂返排液主要成分为有机物类、无机盐类，均为无</w:t>
            </w:r>
            <w:r>
              <w:rPr>
                <w:rFonts w:hint="eastAsia" w:ascii="Times New Roman" w:hAnsi="Times New Roman" w:eastAsia="宋体" w:cs="Times New Roman"/>
                <w:b w:val="0"/>
                <w:bCs w:val="0"/>
                <w:color w:val="auto"/>
                <w:sz w:val="24"/>
                <w:szCs w:val="24"/>
                <w:highlight w:val="none"/>
                <w:vertAlign w:val="baseline"/>
                <w:lang w:val="en-US" w:eastAsia="zh-CN"/>
              </w:rPr>
              <w:t>风险和风险较低的</w:t>
            </w:r>
            <w:r>
              <w:rPr>
                <w:rFonts w:hint="default" w:ascii="Times New Roman" w:hAnsi="Times New Roman" w:eastAsia="宋体" w:cs="Times New Roman"/>
                <w:b w:val="0"/>
                <w:bCs w:val="0"/>
                <w:color w:val="auto"/>
                <w:sz w:val="24"/>
                <w:szCs w:val="24"/>
                <w:highlight w:val="none"/>
                <w:vertAlign w:val="baseline"/>
                <w:lang w:val="en-US" w:eastAsia="zh-CN"/>
              </w:rPr>
              <w:t>物质，因此项目涉及的危险物质主要为钻井过程地层中可能出现的天然气（CH</w:t>
            </w:r>
            <w:r>
              <w:rPr>
                <w:rFonts w:hint="default" w:ascii="Times New Roman" w:hAnsi="Times New Roman" w:eastAsia="宋体" w:cs="Times New Roman"/>
                <w:b w:val="0"/>
                <w:bCs w:val="0"/>
                <w:color w:val="auto"/>
                <w:sz w:val="24"/>
                <w:szCs w:val="24"/>
                <w:highlight w:val="none"/>
                <w:vertAlign w:val="subscript"/>
                <w:lang w:val="en-US" w:eastAsia="zh-CN"/>
              </w:rPr>
              <w:t>4</w:t>
            </w:r>
            <w:r>
              <w:rPr>
                <w:rFonts w:hint="default" w:ascii="Times New Roman" w:hAnsi="Times New Roman" w:eastAsia="宋体" w:cs="Times New Roman"/>
                <w:b w:val="0"/>
                <w:bCs w:val="0"/>
                <w:color w:val="auto"/>
                <w:sz w:val="24"/>
                <w:szCs w:val="24"/>
                <w:highlight w:val="none"/>
                <w:vertAlign w:val="baseline"/>
                <w:lang w:val="en-US" w:eastAsia="zh-CN"/>
              </w:rPr>
              <w:t>）、设备维修保养产生的废机油，在输运及贮存过程中均存在一定危险有害性。</w:t>
            </w:r>
          </w:p>
          <w:p w14:paraId="0BABCBB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（2）环境风险及环境影响途径识别</w:t>
            </w:r>
          </w:p>
          <w:p w14:paraId="1D131D1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b w:val="0"/>
                <w:bCs w:val="0"/>
                <w:color w:val="auto"/>
                <w:sz w:val="24"/>
                <w:szCs w:val="24"/>
                <w:highlight w:val="none"/>
                <w:vertAlign w:val="baseline"/>
                <w:lang w:val="en-US" w:eastAsia="zh-CN"/>
              </w:rPr>
              <w:t>评价井</w:t>
            </w:r>
            <w:r>
              <w:rPr>
                <w:rFonts w:hint="default" w:ascii="Times New Roman" w:hAnsi="Times New Roman" w:eastAsia="宋体" w:cs="Times New Roman"/>
                <w:b w:val="0"/>
                <w:bCs w:val="0"/>
                <w:color w:val="auto"/>
                <w:sz w:val="24"/>
                <w:szCs w:val="24"/>
                <w:highlight w:val="none"/>
                <w:vertAlign w:val="baseline"/>
                <w:lang w:val="en-US" w:eastAsia="zh-CN"/>
              </w:rPr>
              <w:t>开发过程环境风险事故中，影响范围较广的风险事故主要为井喷及井喷引起天然气（CH</w:t>
            </w:r>
            <w:r>
              <w:rPr>
                <w:rFonts w:hint="default" w:ascii="Times New Roman" w:hAnsi="Times New Roman" w:eastAsia="宋体" w:cs="Times New Roman"/>
                <w:b w:val="0"/>
                <w:bCs w:val="0"/>
                <w:color w:val="auto"/>
                <w:sz w:val="24"/>
                <w:szCs w:val="24"/>
                <w:highlight w:val="none"/>
                <w:vertAlign w:val="subscript"/>
                <w:lang w:val="en-US" w:eastAsia="zh-CN"/>
              </w:rPr>
              <w:t>4</w:t>
            </w:r>
            <w:r>
              <w:rPr>
                <w:rFonts w:hint="default" w:ascii="Times New Roman" w:hAnsi="Times New Roman" w:eastAsia="宋体" w:cs="Times New Roman"/>
                <w:b w:val="0"/>
                <w:bCs w:val="0"/>
                <w:color w:val="auto"/>
                <w:sz w:val="24"/>
                <w:szCs w:val="24"/>
                <w:highlight w:val="none"/>
                <w:vertAlign w:val="baseline"/>
                <w:lang w:val="en-US" w:eastAsia="zh-CN"/>
              </w:rPr>
              <w:t>）泄漏，可能影响环境的途径主要是井喷泄漏直接进入大气环境引发中毒，或天然气泄漏发生火灾爆炸事故时伴生污染物进入大气环境，通过大气扩散对项目周围环境造成危害，天然气（CH</w:t>
            </w:r>
            <w:r>
              <w:rPr>
                <w:rFonts w:hint="default" w:ascii="Times New Roman" w:hAnsi="Times New Roman" w:eastAsia="宋体" w:cs="Times New Roman"/>
                <w:b w:val="0"/>
                <w:bCs w:val="0"/>
                <w:color w:val="auto"/>
                <w:sz w:val="24"/>
                <w:szCs w:val="24"/>
                <w:highlight w:val="none"/>
                <w:vertAlign w:val="subscript"/>
                <w:lang w:val="en-US" w:eastAsia="zh-CN"/>
              </w:rPr>
              <w:t>4</w:t>
            </w:r>
            <w:r>
              <w:rPr>
                <w:rFonts w:hint="default" w:ascii="Times New Roman" w:hAnsi="Times New Roman" w:eastAsia="宋体" w:cs="Times New Roman"/>
                <w:b w:val="0"/>
                <w:bCs w:val="0"/>
                <w:color w:val="auto"/>
                <w:sz w:val="24"/>
                <w:szCs w:val="24"/>
                <w:highlight w:val="none"/>
                <w:vertAlign w:val="baseline"/>
                <w:lang w:val="en-US" w:eastAsia="zh-CN"/>
              </w:rPr>
              <w:t>）主要分布在钻井区域、天然气管道等处</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废油主要分布在</w:t>
            </w:r>
            <w:r>
              <w:rPr>
                <w:rFonts w:hint="eastAsia" w:ascii="Times New Roman" w:hAnsi="Times New Roman" w:eastAsia="宋体" w:cs="Times New Roman"/>
                <w:b w:val="0"/>
                <w:bCs w:val="0"/>
                <w:color w:val="auto"/>
                <w:sz w:val="24"/>
                <w:szCs w:val="24"/>
                <w:highlight w:val="none"/>
                <w:vertAlign w:val="baseline"/>
                <w:lang w:val="en-US" w:eastAsia="zh-CN"/>
              </w:rPr>
              <w:t>危废贮存库</w:t>
            </w:r>
            <w:r>
              <w:rPr>
                <w:rFonts w:hint="default" w:ascii="Times New Roman" w:hAnsi="Times New Roman" w:eastAsia="宋体" w:cs="Times New Roman"/>
                <w:b w:val="0"/>
                <w:bCs w:val="0"/>
                <w:color w:val="auto"/>
                <w:sz w:val="24"/>
                <w:szCs w:val="24"/>
                <w:highlight w:val="none"/>
                <w:vertAlign w:val="baseline"/>
                <w:lang w:val="en-US" w:eastAsia="zh-CN"/>
              </w:rPr>
              <w:t>，可能影响环境的途径主要是油类物质泄露通过井场地面下渗至地下含水层并向下游迁移，对下游地下水环境造成污染事故，或油类泄漏发生火灾事故时伴生污染物进入大气环境，造成周围大气环境污染事故。</w:t>
            </w:r>
          </w:p>
          <w:p w14:paraId="092871F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项目危险物质分布及环境影响途径见表4-</w:t>
            </w:r>
            <w:r>
              <w:rPr>
                <w:rFonts w:hint="eastAsia" w:ascii="Times New Roman" w:hAnsi="Times New Roman" w:eastAsia="宋体" w:cs="Times New Roman"/>
                <w:b w:val="0"/>
                <w:bCs w:val="0"/>
                <w:color w:val="auto"/>
                <w:sz w:val="24"/>
                <w:szCs w:val="24"/>
                <w:highlight w:val="none"/>
                <w:vertAlign w:val="baseline"/>
                <w:lang w:val="en-US" w:eastAsia="zh-CN"/>
              </w:rPr>
              <w:t>10</w:t>
            </w:r>
            <w:r>
              <w:rPr>
                <w:rFonts w:hint="default" w:ascii="Times New Roman" w:hAnsi="Times New Roman" w:eastAsia="宋体" w:cs="Times New Roman"/>
                <w:b w:val="0"/>
                <w:bCs w:val="0"/>
                <w:color w:val="auto"/>
                <w:sz w:val="24"/>
                <w:szCs w:val="24"/>
                <w:highlight w:val="none"/>
                <w:vertAlign w:val="baseline"/>
                <w:lang w:val="en-US" w:eastAsia="zh-CN"/>
              </w:rPr>
              <w:t>。</w:t>
            </w:r>
          </w:p>
          <w:p w14:paraId="0D83C7F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表4-</w:t>
            </w:r>
            <w:r>
              <w:rPr>
                <w:rFonts w:hint="eastAsia" w:ascii="Times New Roman" w:hAnsi="Times New Roman" w:eastAsia="宋体" w:cs="Times New Roman"/>
                <w:b/>
                <w:bCs/>
                <w:color w:val="auto"/>
                <w:sz w:val="21"/>
                <w:szCs w:val="21"/>
                <w:highlight w:val="none"/>
                <w:vertAlign w:val="baseline"/>
                <w:lang w:val="en-US" w:eastAsia="zh-CN"/>
              </w:rPr>
              <w:t>10</w:t>
            </w:r>
            <w:r>
              <w:rPr>
                <w:rFonts w:hint="default" w:ascii="Times New Roman" w:hAnsi="Times New Roman" w:eastAsia="宋体" w:cs="Times New Roman"/>
                <w:b/>
                <w:bCs/>
                <w:color w:val="auto"/>
                <w:sz w:val="21"/>
                <w:szCs w:val="21"/>
                <w:highlight w:val="none"/>
                <w:vertAlign w:val="baseline"/>
                <w:lang w:val="en-US" w:eastAsia="zh-CN"/>
              </w:rPr>
              <w:t xml:space="preserve">  项目环境风险及环境影响途径识别表</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1198"/>
              <w:gridCol w:w="1265"/>
              <w:gridCol w:w="1183"/>
              <w:gridCol w:w="1515"/>
              <w:gridCol w:w="1059"/>
              <w:gridCol w:w="1506"/>
            </w:tblGrid>
            <w:tr w14:paraId="2EAF4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noWrap w:val="0"/>
                  <w:vAlign w:val="center"/>
                </w:tcPr>
                <w:p w14:paraId="556A9C1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序号</w:t>
                  </w:r>
                </w:p>
              </w:tc>
              <w:tc>
                <w:tcPr>
                  <w:tcW w:w="715" w:type="pct"/>
                  <w:noWrap w:val="0"/>
                  <w:vAlign w:val="center"/>
                </w:tcPr>
                <w:p w14:paraId="3BDBB01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危险物质</w:t>
                  </w:r>
                </w:p>
              </w:tc>
              <w:tc>
                <w:tcPr>
                  <w:tcW w:w="755" w:type="pct"/>
                  <w:noWrap w:val="0"/>
                  <w:vAlign w:val="center"/>
                </w:tcPr>
                <w:p w14:paraId="54A0E5B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风险单元</w:t>
                  </w:r>
                </w:p>
              </w:tc>
              <w:tc>
                <w:tcPr>
                  <w:tcW w:w="706" w:type="pct"/>
                  <w:noWrap w:val="0"/>
                  <w:vAlign w:val="center"/>
                </w:tcPr>
                <w:p w14:paraId="1FBA15E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作业特点</w:t>
                  </w:r>
                </w:p>
              </w:tc>
              <w:tc>
                <w:tcPr>
                  <w:tcW w:w="904" w:type="pct"/>
                  <w:noWrap w:val="0"/>
                  <w:vAlign w:val="center"/>
                </w:tcPr>
                <w:p w14:paraId="36AE19E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环境风险类型</w:t>
                  </w:r>
                </w:p>
              </w:tc>
              <w:tc>
                <w:tcPr>
                  <w:tcW w:w="632" w:type="pct"/>
                  <w:noWrap w:val="0"/>
                  <w:vAlign w:val="center"/>
                </w:tcPr>
                <w:p w14:paraId="390CF99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环境影响途径</w:t>
                  </w:r>
                </w:p>
              </w:tc>
              <w:tc>
                <w:tcPr>
                  <w:tcW w:w="898" w:type="pct"/>
                  <w:noWrap w:val="0"/>
                  <w:vAlign w:val="center"/>
                </w:tcPr>
                <w:p w14:paraId="3260697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可能受影响的环境敏感目标</w:t>
                  </w:r>
                </w:p>
              </w:tc>
            </w:tr>
            <w:tr w14:paraId="542B0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noWrap w:val="0"/>
                  <w:vAlign w:val="center"/>
                </w:tcPr>
                <w:p w14:paraId="6632B83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w:t>
                  </w:r>
                </w:p>
              </w:tc>
              <w:tc>
                <w:tcPr>
                  <w:tcW w:w="715" w:type="pct"/>
                  <w:noWrap w:val="0"/>
                  <w:vAlign w:val="center"/>
                </w:tcPr>
                <w:p w14:paraId="4FD969F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天然气（甲烷）</w:t>
                  </w:r>
                </w:p>
              </w:tc>
              <w:tc>
                <w:tcPr>
                  <w:tcW w:w="755" w:type="pct"/>
                  <w:noWrap w:val="0"/>
                  <w:vAlign w:val="center"/>
                </w:tcPr>
                <w:p w14:paraId="509E6F2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钻井区域、天然气管道等处</w:t>
                  </w:r>
                </w:p>
              </w:tc>
              <w:tc>
                <w:tcPr>
                  <w:tcW w:w="706" w:type="pct"/>
                  <w:noWrap w:val="0"/>
                  <w:vAlign w:val="center"/>
                </w:tcPr>
                <w:p w14:paraId="45DE1CD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常温、常压</w:t>
                  </w:r>
                </w:p>
              </w:tc>
              <w:tc>
                <w:tcPr>
                  <w:tcW w:w="904" w:type="pct"/>
                  <w:noWrap w:val="0"/>
                  <w:vAlign w:val="center"/>
                </w:tcPr>
                <w:p w14:paraId="37C6329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泄露、火灾、爆炸及次生污染物排放</w:t>
                  </w:r>
                </w:p>
              </w:tc>
              <w:tc>
                <w:tcPr>
                  <w:tcW w:w="632" w:type="pct"/>
                  <w:noWrap w:val="0"/>
                  <w:vAlign w:val="center"/>
                </w:tcPr>
                <w:p w14:paraId="3C0553A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大气扩散</w:t>
                  </w:r>
                </w:p>
              </w:tc>
              <w:tc>
                <w:tcPr>
                  <w:tcW w:w="898" w:type="pct"/>
                  <w:noWrap w:val="0"/>
                  <w:vAlign w:val="center"/>
                </w:tcPr>
                <w:p w14:paraId="01D7920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r>
            <w:tr w14:paraId="1D6E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Merge w:val="restart"/>
                  <w:noWrap w:val="0"/>
                  <w:vAlign w:val="center"/>
                </w:tcPr>
                <w:p w14:paraId="2BC2470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w:t>
                  </w:r>
                </w:p>
              </w:tc>
              <w:tc>
                <w:tcPr>
                  <w:tcW w:w="715" w:type="pct"/>
                  <w:vMerge w:val="restart"/>
                  <w:noWrap w:val="0"/>
                  <w:vAlign w:val="center"/>
                </w:tcPr>
                <w:p w14:paraId="6B6D3E1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废机油</w:t>
                  </w:r>
                </w:p>
              </w:tc>
              <w:tc>
                <w:tcPr>
                  <w:tcW w:w="755" w:type="pct"/>
                  <w:vMerge w:val="restart"/>
                  <w:noWrap w:val="0"/>
                  <w:vAlign w:val="center"/>
                </w:tcPr>
                <w:p w14:paraId="44D9993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危废贮存库</w:t>
                  </w:r>
                </w:p>
              </w:tc>
              <w:tc>
                <w:tcPr>
                  <w:tcW w:w="706" w:type="pct"/>
                  <w:vMerge w:val="restart"/>
                  <w:noWrap w:val="0"/>
                  <w:vAlign w:val="center"/>
                </w:tcPr>
                <w:p w14:paraId="0DFE708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常温、常压</w:t>
                  </w:r>
                </w:p>
              </w:tc>
              <w:tc>
                <w:tcPr>
                  <w:tcW w:w="904" w:type="pct"/>
                  <w:vMerge w:val="restart"/>
                  <w:noWrap w:val="0"/>
                  <w:vAlign w:val="center"/>
                </w:tcPr>
                <w:p w14:paraId="708B467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泄露、火灾、爆炸及次生污染物排放</w:t>
                  </w:r>
                </w:p>
              </w:tc>
              <w:tc>
                <w:tcPr>
                  <w:tcW w:w="632" w:type="pct"/>
                  <w:noWrap w:val="0"/>
                  <w:vAlign w:val="center"/>
                </w:tcPr>
                <w:p w14:paraId="5EEB1B8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大气扩散</w:t>
                  </w:r>
                </w:p>
              </w:tc>
              <w:tc>
                <w:tcPr>
                  <w:tcW w:w="898" w:type="pct"/>
                  <w:noWrap w:val="0"/>
                  <w:vAlign w:val="center"/>
                </w:tcPr>
                <w:p w14:paraId="63D9749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w:t>
                  </w:r>
                </w:p>
              </w:tc>
            </w:tr>
            <w:tr w14:paraId="442A0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Merge w:val="continue"/>
                  <w:noWrap w:val="0"/>
                  <w:vAlign w:val="center"/>
                </w:tcPr>
                <w:p w14:paraId="5C9AA4E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15" w:type="pct"/>
                  <w:vMerge w:val="continue"/>
                  <w:noWrap w:val="0"/>
                  <w:vAlign w:val="center"/>
                </w:tcPr>
                <w:p w14:paraId="5F5F2E2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55" w:type="pct"/>
                  <w:vMerge w:val="continue"/>
                  <w:noWrap w:val="0"/>
                  <w:vAlign w:val="center"/>
                </w:tcPr>
                <w:p w14:paraId="4EE3739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06" w:type="pct"/>
                  <w:vMerge w:val="continue"/>
                  <w:noWrap w:val="0"/>
                  <w:vAlign w:val="center"/>
                </w:tcPr>
                <w:p w14:paraId="064F003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904" w:type="pct"/>
                  <w:vMerge w:val="continue"/>
                  <w:noWrap w:val="0"/>
                  <w:vAlign w:val="center"/>
                </w:tcPr>
                <w:p w14:paraId="0588DC7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632" w:type="pct"/>
                  <w:noWrap w:val="0"/>
                  <w:vAlign w:val="center"/>
                </w:tcPr>
                <w:p w14:paraId="3BB7602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地下水扩散</w:t>
                  </w:r>
                </w:p>
              </w:tc>
              <w:tc>
                <w:tcPr>
                  <w:tcW w:w="898" w:type="pct"/>
                  <w:noWrap w:val="0"/>
                  <w:vAlign w:val="center"/>
                </w:tcPr>
                <w:p w14:paraId="68D36CB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地下水</w:t>
                  </w:r>
                </w:p>
              </w:tc>
            </w:tr>
          </w:tbl>
          <w:p w14:paraId="4B3E4226">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left"/>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本项目井口至放喷罐之间距离</w:t>
            </w:r>
            <w:r>
              <w:rPr>
                <w:rFonts w:hint="eastAsia" w:ascii="Times New Roman" w:hAnsi="Times New Roman" w:eastAsia="宋体" w:cs="Times New Roman"/>
                <w:color w:val="auto"/>
                <w:kern w:val="0"/>
                <w:sz w:val="24"/>
                <w:szCs w:val="24"/>
                <w:highlight w:val="none"/>
                <w:lang w:val="en-US" w:eastAsia="zh-CN" w:bidi="ar"/>
              </w:rPr>
              <w:t>直线距离大于50m，考虑井场内管线布置需避让各类装置，管线长度按照100m考虑，</w:t>
            </w:r>
            <w:r>
              <w:rPr>
                <w:rFonts w:hint="default" w:ascii="Times New Roman" w:hAnsi="Times New Roman" w:eastAsia="宋体" w:cs="Times New Roman"/>
                <w:color w:val="auto"/>
                <w:kern w:val="0"/>
                <w:sz w:val="24"/>
                <w:szCs w:val="24"/>
                <w:highlight w:val="none"/>
                <w:lang w:val="en-US" w:eastAsia="zh-CN" w:bidi="ar"/>
              </w:rPr>
              <w:t>管径80mm，压力为4MPa，天然气在线量约为0.75kg/m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，天然气在线量约为0.015t。</w:t>
            </w:r>
          </w:p>
          <w:p w14:paraId="7AD927B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4-</w:t>
            </w:r>
            <w:r>
              <w:rPr>
                <w:rFonts w:hint="eastAsia" w:ascii="Times New Roman" w:hAnsi="Times New Roman" w:eastAsia="宋体" w:cs="Times New Roman"/>
                <w:b/>
                <w:bCs/>
                <w:color w:val="auto"/>
                <w:sz w:val="21"/>
                <w:szCs w:val="21"/>
                <w:highlight w:val="none"/>
                <w:vertAlign w:val="baseline"/>
                <w:lang w:val="en-US" w:eastAsia="zh-CN"/>
              </w:rPr>
              <w:t>12</w:t>
            </w:r>
            <w:r>
              <w:rPr>
                <w:rFonts w:hint="default" w:ascii="Times New Roman" w:hAnsi="Times New Roman" w:eastAsia="宋体" w:cs="Times New Roman"/>
                <w:b/>
                <w:bCs/>
                <w:color w:val="auto"/>
                <w:sz w:val="21"/>
                <w:szCs w:val="21"/>
                <w:highlight w:val="none"/>
                <w:vertAlign w:val="baseline"/>
                <w:lang w:val="en-US" w:eastAsia="zh-CN"/>
              </w:rPr>
              <w:t xml:space="preserve">  项目危险化学品储存状况一览表</w:t>
            </w:r>
          </w:p>
          <w:tbl>
            <w:tblPr>
              <w:tblStyle w:val="16"/>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4"/>
              <w:gridCol w:w="1805"/>
              <w:gridCol w:w="1244"/>
              <w:gridCol w:w="1318"/>
              <w:gridCol w:w="1038"/>
              <w:gridCol w:w="1309"/>
              <w:gridCol w:w="1170"/>
            </w:tblGrid>
            <w:tr w14:paraId="22B5A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noWrap w:val="0"/>
                  <w:vAlign w:val="center"/>
                </w:tcPr>
                <w:p w14:paraId="461221D1">
                  <w:pPr>
                    <w:pStyle w:val="29"/>
                    <w:adjustRightInd w:val="0"/>
                    <w:snapToGrid w:val="0"/>
                    <w:spacing w:line="320" w:lineRule="exact"/>
                    <w:ind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1078" w:type="pct"/>
                  <w:noWrap w:val="0"/>
                  <w:vAlign w:val="center"/>
                </w:tcPr>
                <w:p w14:paraId="1578E449">
                  <w:pPr>
                    <w:pStyle w:val="29"/>
                    <w:adjustRightInd w:val="0"/>
                    <w:snapToGrid w:val="0"/>
                    <w:spacing w:line="320" w:lineRule="exact"/>
                    <w:ind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危险物质名称</w:t>
                  </w:r>
                </w:p>
              </w:tc>
              <w:tc>
                <w:tcPr>
                  <w:tcW w:w="743" w:type="pct"/>
                  <w:noWrap w:val="0"/>
                  <w:vAlign w:val="center"/>
                </w:tcPr>
                <w:p w14:paraId="34B97C1F">
                  <w:pPr>
                    <w:pStyle w:val="29"/>
                    <w:adjustRightInd w:val="0"/>
                    <w:snapToGrid w:val="0"/>
                    <w:spacing w:line="320" w:lineRule="exact"/>
                    <w:ind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CAS号</w:t>
                  </w:r>
                </w:p>
              </w:tc>
              <w:tc>
                <w:tcPr>
                  <w:tcW w:w="787" w:type="pct"/>
                  <w:noWrap w:val="0"/>
                  <w:vAlign w:val="center"/>
                </w:tcPr>
                <w:p w14:paraId="42E20BA6">
                  <w:pPr>
                    <w:pStyle w:val="29"/>
                    <w:adjustRightInd w:val="0"/>
                    <w:snapToGrid w:val="0"/>
                    <w:spacing w:line="320" w:lineRule="exact"/>
                    <w:ind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厂区最大储存量(t)</w:t>
                  </w:r>
                </w:p>
              </w:tc>
              <w:tc>
                <w:tcPr>
                  <w:tcW w:w="620" w:type="pct"/>
                  <w:noWrap w:val="0"/>
                  <w:vAlign w:val="center"/>
                </w:tcPr>
                <w:p w14:paraId="7149A48E">
                  <w:pPr>
                    <w:pStyle w:val="29"/>
                    <w:adjustRightInd w:val="0"/>
                    <w:snapToGrid w:val="0"/>
                    <w:spacing w:line="320" w:lineRule="exact"/>
                    <w:ind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临界量（t）</w:t>
                  </w:r>
                </w:p>
              </w:tc>
              <w:tc>
                <w:tcPr>
                  <w:tcW w:w="782" w:type="pct"/>
                  <w:noWrap w:val="0"/>
                  <w:vAlign w:val="center"/>
                </w:tcPr>
                <w:p w14:paraId="6B0A04DE">
                  <w:pPr>
                    <w:pStyle w:val="29"/>
                    <w:adjustRightInd w:val="0"/>
                    <w:snapToGrid w:val="0"/>
                    <w:spacing w:line="320" w:lineRule="exact"/>
                    <w:ind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该物质Q值</w:t>
                  </w:r>
                </w:p>
              </w:tc>
              <w:tc>
                <w:tcPr>
                  <w:tcW w:w="699" w:type="pct"/>
                  <w:noWrap w:val="0"/>
                  <w:vAlign w:val="center"/>
                </w:tcPr>
                <w:p w14:paraId="0CA8B0DA">
                  <w:pPr>
                    <w:pStyle w:val="29"/>
                    <w:adjustRightInd w:val="0"/>
                    <w:snapToGrid w:val="0"/>
                    <w:spacing w:line="320" w:lineRule="exact"/>
                    <w:ind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生产工艺特点</w:t>
                  </w:r>
                </w:p>
              </w:tc>
            </w:tr>
            <w:tr w14:paraId="61EBA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noWrap w:val="0"/>
                  <w:vAlign w:val="center"/>
                </w:tcPr>
                <w:p w14:paraId="6E859B5A">
                  <w:pPr>
                    <w:pStyle w:val="29"/>
                    <w:adjustRightInd w:val="0"/>
                    <w:snapToGrid w:val="0"/>
                    <w:spacing w:line="320" w:lineRule="exact"/>
                    <w:ind w:firstLine="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1078" w:type="pct"/>
                  <w:noWrap w:val="0"/>
                  <w:vAlign w:val="center"/>
                </w:tcPr>
                <w:p w14:paraId="33FEC0D5">
                  <w:pPr>
                    <w:pStyle w:val="29"/>
                    <w:adjustRightInd w:val="0"/>
                    <w:snapToGrid w:val="0"/>
                    <w:spacing w:line="320" w:lineRule="exact"/>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废机油</w:t>
                  </w:r>
                </w:p>
              </w:tc>
              <w:tc>
                <w:tcPr>
                  <w:tcW w:w="743" w:type="pct"/>
                  <w:noWrap w:val="0"/>
                  <w:vAlign w:val="center"/>
                </w:tcPr>
                <w:p w14:paraId="2824DC0A">
                  <w:pPr>
                    <w:pStyle w:val="29"/>
                    <w:adjustRightInd w:val="0"/>
                    <w:snapToGrid w:val="0"/>
                    <w:spacing w:line="320" w:lineRule="exact"/>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87" w:type="pct"/>
                  <w:noWrap w:val="0"/>
                  <w:vAlign w:val="center"/>
                </w:tcPr>
                <w:p w14:paraId="6C7E2636">
                  <w:pPr>
                    <w:pStyle w:val="29"/>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w:t>
                  </w:r>
                </w:p>
              </w:tc>
              <w:tc>
                <w:tcPr>
                  <w:tcW w:w="620" w:type="pct"/>
                  <w:noWrap w:val="0"/>
                  <w:vAlign w:val="center"/>
                </w:tcPr>
                <w:p w14:paraId="05629E0C">
                  <w:pPr>
                    <w:pStyle w:val="29"/>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p>
              </w:tc>
              <w:tc>
                <w:tcPr>
                  <w:tcW w:w="782" w:type="pct"/>
                  <w:noWrap w:val="0"/>
                  <w:vAlign w:val="center"/>
                </w:tcPr>
                <w:p w14:paraId="056264DE">
                  <w:pPr>
                    <w:pStyle w:val="29"/>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0.0008</w:t>
                  </w:r>
                </w:p>
              </w:tc>
              <w:tc>
                <w:tcPr>
                  <w:tcW w:w="699" w:type="pct"/>
                  <w:noWrap w:val="0"/>
                  <w:vAlign w:val="center"/>
                </w:tcPr>
                <w:p w14:paraId="7DF5DD9A">
                  <w:pPr>
                    <w:pStyle w:val="29"/>
                    <w:adjustRightInd w:val="0"/>
                    <w:snapToGrid w:val="0"/>
                    <w:spacing w:line="32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常温常压</w:t>
                  </w:r>
                </w:p>
              </w:tc>
            </w:tr>
            <w:tr w14:paraId="3AEB2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noWrap w:val="0"/>
                  <w:vAlign w:val="center"/>
                </w:tcPr>
                <w:p w14:paraId="5DE75CD0">
                  <w:pPr>
                    <w:pStyle w:val="29"/>
                    <w:adjustRightInd w:val="0"/>
                    <w:snapToGrid w:val="0"/>
                    <w:spacing w:line="320" w:lineRule="exact"/>
                    <w:ind w:firstLine="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p>
              </w:tc>
              <w:tc>
                <w:tcPr>
                  <w:tcW w:w="1078" w:type="pct"/>
                  <w:noWrap w:val="0"/>
                  <w:vAlign w:val="center"/>
                </w:tcPr>
                <w:p w14:paraId="6EAEE429">
                  <w:pPr>
                    <w:pStyle w:val="29"/>
                    <w:adjustRightInd w:val="0"/>
                    <w:snapToGrid w:val="0"/>
                    <w:spacing w:line="320" w:lineRule="exact"/>
                    <w:ind w:firstLine="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天然气</w:t>
                  </w:r>
                </w:p>
              </w:tc>
              <w:tc>
                <w:tcPr>
                  <w:tcW w:w="743" w:type="pct"/>
                  <w:noWrap w:val="0"/>
                  <w:vAlign w:val="center"/>
                </w:tcPr>
                <w:p w14:paraId="23B5AC31">
                  <w:pPr>
                    <w:pStyle w:val="29"/>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8006-14-2</w:t>
                  </w:r>
                </w:p>
              </w:tc>
              <w:tc>
                <w:tcPr>
                  <w:tcW w:w="787" w:type="pct"/>
                  <w:noWrap w:val="0"/>
                  <w:vAlign w:val="center"/>
                </w:tcPr>
                <w:p w14:paraId="2634A8DA">
                  <w:pPr>
                    <w:pStyle w:val="29"/>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0.0015</w:t>
                  </w:r>
                </w:p>
              </w:tc>
              <w:tc>
                <w:tcPr>
                  <w:tcW w:w="620" w:type="pct"/>
                  <w:noWrap w:val="0"/>
                  <w:vAlign w:val="center"/>
                </w:tcPr>
                <w:p w14:paraId="3053A6D3">
                  <w:pPr>
                    <w:pStyle w:val="29"/>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782" w:type="pct"/>
                  <w:noWrap w:val="0"/>
                  <w:vAlign w:val="center"/>
                </w:tcPr>
                <w:p w14:paraId="0F59D4C5">
                  <w:pPr>
                    <w:pStyle w:val="29"/>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0.00015</w:t>
                  </w:r>
                </w:p>
              </w:tc>
              <w:tc>
                <w:tcPr>
                  <w:tcW w:w="699" w:type="pct"/>
                  <w:noWrap w:val="0"/>
                  <w:vAlign w:val="center"/>
                </w:tcPr>
                <w:p w14:paraId="47DF138B">
                  <w:pPr>
                    <w:pStyle w:val="29"/>
                    <w:adjustRightInd w:val="0"/>
                    <w:snapToGrid w:val="0"/>
                    <w:spacing w:line="320" w:lineRule="exact"/>
                    <w:ind w:firstLine="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管线在线量</w:t>
                  </w:r>
                </w:p>
              </w:tc>
            </w:tr>
            <w:tr w14:paraId="4568F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110" w:type="pct"/>
                  <w:gridSpan w:val="3"/>
                  <w:noWrap w:val="0"/>
                  <w:vAlign w:val="center"/>
                </w:tcPr>
                <w:p w14:paraId="1D5A8131">
                  <w:pPr>
                    <w:pStyle w:val="29"/>
                    <w:adjustRightInd w:val="0"/>
                    <w:snapToGrid w:val="0"/>
                    <w:spacing w:line="320" w:lineRule="exact"/>
                    <w:ind w:firstLine="0" w:firstLineChars="0"/>
                    <w:jc w:val="center"/>
                    <w:rPr>
                      <w:color w:val="auto"/>
                      <w:highlight w:val="none"/>
                    </w:rPr>
                  </w:pPr>
                  <w:r>
                    <w:rPr>
                      <w:rFonts w:hint="default" w:ascii="Times New Roman" w:hAnsi="Times New Roman" w:eastAsia="宋体" w:cs="Times New Roman"/>
                      <w:color w:val="auto"/>
                      <w:sz w:val="21"/>
                      <w:szCs w:val="21"/>
                      <w:highlight w:val="none"/>
                      <w:lang w:val="en-US" w:eastAsia="zh-CN"/>
                    </w:rPr>
                    <w:t>合计</w:t>
                  </w:r>
                </w:p>
              </w:tc>
              <w:tc>
                <w:tcPr>
                  <w:tcW w:w="2189" w:type="pct"/>
                  <w:gridSpan w:val="3"/>
                  <w:noWrap w:val="0"/>
                  <w:vAlign w:val="center"/>
                </w:tcPr>
                <w:p w14:paraId="58A64647">
                  <w:pPr>
                    <w:pStyle w:val="29"/>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0.00095</w:t>
                  </w:r>
                </w:p>
              </w:tc>
              <w:tc>
                <w:tcPr>
                  <w:tcW w:w="699" w:type="pct"/>
                  <w:noWrap w:val="0"/>
                  <w:vAlign w:val="center"/>
                </w:tcPr>
                <w:p w14:paraId="75DCE2AA">
                  <w:pPr>
                    <w:pStyle w:val="29"/>
                    <w:adjustRightInd w:val="0"/>
                    <w:snapToGrid w:val="0"/>
                    <w:spacing w:line="320" w:lineRule="exact"/>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14:paraId="0152360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由表4-</w:t>
            </w:r>
            <w:r>
              <w:rPr>
                <w:rFonts w:hint="eastAsia" w:ascii="Times New Roman" w:hAnsi="Times New Roman" w:eastAsia="宋体" w:cs="Times New Roman"/>
                <w:b w:val="0"/>
                <w:bCs w:val="0"/>
                <w:color w:val="auto"/>
                <w:sz w:val="24"/>
                <w:szCs w:val="24"/>
                <w:highlight w:val="none"/>
                <w:vertAlign w:val="baseline"/>
                <w:lang w:val="en-US" w:eastAsia="zh-CN"/>
              </w:rPr>
              <w:t>12</w:t>
            </w:r>
            <w:r>
              <w:rPr>
                <w:rFonts w:hint="default" w:ascii="Times New Roman" w:hAnsi="Times New Roman" w:eastAsia="宋体" w:cs="Times New Roman"/>
                <w:b w:val="0"/>
                <w:bCs w:val="0"/>
                <w:color w:val="auto"/>
                <w:sz w:val="24"/>
                <w:szCs w:val="24"/>
                <w:highlight w:val="none"/>
                <w:vertAlign w:val="baseline"/>
                <w:lang w:val="en-US" w:eastAsia="zh-CN"/>
              </w:rPr>
              <w:t>可知，项目</w:t>
            </w:r>
            <w:r>
              <w:rPr>
                <w:rFonts w:hint="eastAsia" w:ascii="Times New Roman" w:hAnsi="Times New Roman" w:eastAsia="宋体" w:cs="Times New Roman"/>
                <w:b w:val="0"/>
                <w:bCs w:val="0"/>
                <w:color w:val="auto"/>
                <w:sz w:val="24"/>
                <w:szCs w:val="24"/>
                <w:highlight w:val="none"/>
                <w:vertAlign w:val="baseline"/>
                <w:lang w:val="en-US" w:eastAsia="zh-CN"/>
              </w:rPr>
              <w:t>单井</w:t>
            </w:r>
            <w:r>
              <w:rPr>
                <w:rFonts w:hint="default" w:ascii="Times New Roman" w:hAnsi="Times New Roman" w:eastAsia="宋体" w:cs="Times New Roman"/>
                <w:b w:val="0"/>
                <w:bCs w:val="0"/>
                <w:color w:val="auto"/>
                <w:sz w:val="24"/>
                <w:szCs w:val="24"/>
                <w:highlight w:val="none"/>
                <w:vertAlign w:val="baseline"/>
                <w:lang w:val="en-US" w:eastAsia="zh-CN"/>
              </w:rPr>
              <w:t>Q=0.0</w:t>
            </w:r>
            <w:r>
              <w:rPr>
                <w:rFonts w:hint="eastAsia" w:ascii="Times New Roman" w:hAnsi="Times New Roman" w:eastAsia="宋体" w:cs="Times New Roman"/>
                <w:b w:val="0"/>
                <w:bCs w:val="0"/>
                <w:color w:val="auto"/>
                <w:sz w:val="24"/>
                <w:szCs w:val="24"/>
                <w:highlight w:val="none"/>
                <w:vertAlign w:val="baseline"/>
                <w:lang w:val="en-US" w:eastAsia="zh-CN"/>
              </w:rPr>
              <w:t>0095</w:t>
            </w:r>
            <w:r>
              <w:rPr>
                <w:rFonts w:hint="default" w:ascii="Times New Roman" w:hAnsi="Times New Roman" w:eastAsia="宋体" w:cs="Times New Roman"/>
                <w:b w:val="0"/>
                <w:bCs w:val="0"/>
                <w:color w:val="auto"/>
                <w:sz w:val="24"/>
                <w:szCs w:val="24"/>
                <w:highlight w:val="none"/>
                <w:vertAlign w:val="baseline"/>
                <w:lang w:val="en-US" w:eastAsia="zh-CN"/>
              </w:rPr>
              <w:t>&lt;1，环境风险较小。</w:t>
            </w:r>
          </w:p>
          <w:p w14:paraId="44DDE7F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各危险物质理化性质见下表：</w:t>
            </w:r>
          </w:p>
          <w:p w14:paraId="2620BA3E">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4"/>
                <w:szCs w:val="24"/>
                <w:highlight w:val="none"/>
                <w:lang w:val="en-US" w:eastAsia="zh-CN"/>
              </w:rPr>
              <w:t>①天然气</w:t>
            </w:r>
          </w:p>
          <w:p w14:paraId="547C29A1">
            <w:pPr>
              <w:pStyle w:val="3"/>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表</w:t>
            </w:r>
            <w:r>
              <w:rPr>
                <w:rFonts w:hint="default" w:ascii="Times New Roman" w:hAnsi="Times New Roman" w:cs="Times New Roman"/>
                <w:color w:val="auto"/>
                <w:sz w:val="21"/>
                <w:szCs w:val="21"/>
                <w:highlight w:val="none"/>
                <w:lang w:val="en-US" w:eastAsia="zh-CN"/>
              </w:rPr>
              <w:t>4-</w:t>
            </w:r>
            <w:r>
              <w:rPr>
                <w:rFonts w:hint="eastAsia" w:ascii="Times New Roman" w:hAnsi="Times New Roman" w:cs="Times New Roman"/>
                <w:color w:val="auto"/>
                <w:sz w:val="21"/>
                <w:szCs w:val="21"/>
                <w:highlight w:val="none"/>
                <w:lang w:val="en-US" w:eastAsia="zh-CN"/>
              </w:rPr>
              <w:t>13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lang w:val="en-US" w:eastAsia="zh-CN"/>
              </w:rPr>
              <w:t>天然气</w:t>
            </w:r>
            <w:r>
              <w:rPr>
                <w:rFonts w:hint="default" w:ascii="Times New Roman" w:hAnsi="Times New Roman" w:cs="Times New Roman"/>
                <w:color w:val="auto"/>
                <w:sz w:val="21"/>
                <w:szCs w:val="21"/>
                <w:highlight w:val="none"/>
                <w:lang w:eastAsia="zh-CN"/>
              </w:rPr>
              <w:t>理化特性及危险性一览表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66"/>
              <w:gridCol w:w="1538"/>
              <w:gridCol w:w="2159"/>
              <w:gridCol w:w="2112"/>
              <w:gridCol w:w="1901"/>
            </w:tblGrid>
            <w:tr w14:paraId="4FEE2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restart"/>
                  <w:noWrap w:val="0"/>
                  <w:vAlign w:val="center"/>
                </w:tcPr>
                <w:p w14:paraId="2A3EC3E2">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标识</w:t>
                  </w:r>
                </w:p>
              </w:tc>
              <w:tc>
                <w:tcPr>
                  <w:tcW w:w="1485" w:type="dxa"/>
                  <w:noWrap w:val="0"/>
                  <w:vAlign w:val="center"/>
                </w:tcPr>
                <w:p w14:paraId="24085797">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中文名</w:t>
                  </w:r>
                </w:p>
              </w:tc>
              <w:tc>
                <w:tcPr>
                  <w:tcW w:w="2085" w:type="dxa"/>
                  <w:noWrap w:val="0"/>
                  <w:vAlign w:val="center"/>
                </w:tcPr>
                <w:p w14:paraId="189BD2ED">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天然气</w:t>
                  </w:r>
                </w:p>
              </w:tc>
              <w:tc>
                <w:tcPr>
                  <w:tcW w:w="2040" w:type="dxa"/>
                  <w:noWrap w:val="0"/>
                  <w:vAlign w:val="center"/>
                </w:tcPr>
                <w:p w14:paraId="53B88684">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英文名</w:t>
                  </w:r>
                </w:p>
              </w:tc>
              <w:tc>
                <w:tcPr>
                  <w:tcW w:w="1836" w:type="dxa"/>
                  <w:noWrap w:val="0"/>
                  <w:vAlign w:val="center"/>
                </w:tcPr>
                <w:p w14:paraId="26314202">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Marsh gas</w:t>
                  </w:r>
                </w:p>
              </w:tc>
            </w:tr>
            <w:tr w14:paraId="6AA9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noWrap w:val="0"/>
                  <w:vAlign w:val="center"/>
                </w:tcPr>
                <w:p w14:paraId="61B9F321">
                  <w:pPr>
                    <w:pStyle w:val="21"/>
                    <w:bidi w:val="0"/>
                    <w:jc w:val="center"/>
                    <w:rPr>
                      <w:rFonts w:hint="default" w:ascii="Times New Roman" w:hAnsi="Times New Roman" w:cs="Times New Roman"/>
                      <w:color w:val="auto"/>
                      <w:sz w:val="21"/>
                      <w:szCs w:val="21"/>
                      <w:highlight w:val="none"/>
                      <w:lang w:val="en-US" w:eastAsia="zh-CN"/>
                    </w:rPr>
                  </w:pPr>
                </w:p>
              </w:tc>
              <w:tc>
                <w:tcPr>
                  <w:tcW w:w="1485" w:type="dxa"/>
                  <w:noWrap w:val="0"/>
                  <w:vAlign w:val="center"/>
                </w:tcPr>
                <w:p w14:paraId="09C85127">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分子式</w:t>
                  </w:r>
                </w:p>
              </w:tc>
              <w:tc>
                <w:tcPr>
                  <w:tcW w:w="2085" w:type="dxa"/>
                  <w:noWrap w:val="0"/>
                  <w:vAlign w:val="center"/>
                </w:tcPr>
                <w:p w14:paraId="473D8A6C">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CH</w:t>
                  </w:r>
                  <w:r>
                    <w:rPr>
                      <w:rFonts w:hint="default" w:ascii="Times New Roman" w:hAnsi="Times New Roman" w:cs="Times New Roman"/>
                      <w:color w:val="auto"/>
                      <w:sz w:val="21"/>
                      <w:szCs w:val="21"/>
                      <w:highlight w:val="none"/>
                      <w:vertAlign w:val="subscript"/>
                      <w:lang w:val="en-US" w:eastAsia="zh-CN"/>
                    </w:rPr>
                    <w:t>4</w:t>
                  </w:r>
                </w:p>
              </w:tc>
              <w:tc>
                <w:tcPr>
                  <w:tcW w:w="2040" w:type="dxa"/>
                  <w:noWrap w:val="0"/>
                  <w:vAlign w:val="center"/>
                </w:tcPr>
                <w:p w14:paraId="6CA614DF">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CAS号</w:t>
                  </w:r>
                </w:p>
              </w:tc>
              <w:tc>
                <w:tcPr>
                  <w:tcW w:w="1836" w:type="dxa"/>
                  <w:noWrap w:val="0"/>
                  <w:vAlign w:val="center"/>
                </w:tcPr>
                <w:p w14:paraId="4F91DF1B">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74-82-8</w:t>
                  </w:r>
                </w:p>
              </w:tc>
            </w:tr>
            <w:tr w14:paraId="26299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restart"/>
                  <w:noWrap w:val="0"/>
                  <w:vAlign w:val="center"/>
                </w:tcPr>
                <w:p w14:paraId="08F20689">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理化特性</w:t>
                  </w:r>
                </w:p>
              </w:tc>
              <w:tc>
                <w:tcPr>
                  <w:tcW w:w="1485" w:type="dxa"/>
                  <w:noWrap w:val="0"/>
                  <w:vAlign w:val="center"/>
                </w:tcPr>
                <w:p w14:paraId="1D6FA191">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沸点（℃）</w:t>
                  </w:r>
                </w:p>
              </w:tc>
              <w:tc>
                <w:tcPr>
                  <w:tcW w:w="2085" w:type="dxa"/>
                  <w:noWrap w:val="0"/>
                  <w:vAlign w:val="center"/>
                </w:tcPr>
                <w:p w14:paraId="6CE8C0C7">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-182.5</w:t>
                  </w:r>
                </w:p>
              </w:tc>
              <w:tc>
                <w:tcPr>
                  <w:tcW w:w="2040" w:type="dxa"/>
                  <w:noWrap w:val="0"/>
                  <w:vAlign w:val="center"/>
                </w:tcPr>
                <w:p w14:paraId="65BC21BC">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相对密度（空气=1）</w:t>
                  </w:r>
                </w:p>
              </w:tc>
              <w:tc>
                <w:tcPr>
                  <w:tcW w:w="1836" w:type="dxa"/>
                  <w:noWrap w:val="0"/>
                  <w:vAlign w:val="center"/>
                </w:tcPr>
                <w:p w14:paraId="44654628">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0.55</w:t>
                  </w:r>
                </w:p>
              </w:tc>
            </w:tr>
            <w:tr w14:paraId="06DAF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noWrap w:val="0"/>
                  <w:vAlign w:val="center"/>
                </w:tcPr>
                <w:p w14:paraId="62B1B3C7">
                  <w:pPr>
                    <w:pStyle w:val="21"/>
                    <w:bidi w:val="0"/>
                    <w:jc w:val="center"/>
                    <w:rPr>
                      <w:rFonts w:hint="default" w:ascii="Times New Roman" w:hAnsi="Times New Roman" w:cs="Times New Roman"/>
                      <w:color w:val="auto"/>
                      <w:sz w:val="21"/>
                      <w:szCs w:val="21"/>
                      <w:highlight w:val="none"/>
                      <w:lang w:val="en-US" w:eastAsia="zh-CN"/>
                    </w:rPr>
                  </w:pPr>
                </w:p>
              </w:tc>
              <w:tc>
                <w:tcPr>
                  <w:tcW w:w="1485" w:type="dxa"/>
                  <w:noWrap w:val="0"/>
                  <w:vAlign w:val="center"/>
                </w:tcPr>
                <w:p w14:paraId="19CA6DB7">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性状</w:t>
                  </w:r>
                </w:p>
              </w:tc>
              <w:tc>
                <w:tcPr>
                  <w:tcW w:w="5961" w:type="dxa"/>
                  <w:gridSpan w:val="3"/>
                  <w:noWrap w:val="0"/>
                  <w:vAlign w:val="center"/>
                </w:tcPr>
                <w:p w14:paraId="0C846D06">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无色或无臭气体（天然气中已加入识别臭味）。</w:t>
                  </w:r>
                </w:p>
              </w:tc>
            </w:tr>
            <w:tr w14:paraId="6D04E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noWrap w:val="0"/>
                  <w:vAlign w:val="center"/>
                </w:tcPr>
                <w:p w14:paraId="2131CDB4">
                  <w:pPr>
                    <w:pStyle w:val="21"/>
                    <w:bidi w:val="0"/>
                    <w:jc w:val="center"/>
                    <w:rPr>
                      <w:rFonts w:hint="default" w:ascii="Times New Roman" w:hAnsi="Times New Roman" w:cs="Times New Roman"/>
                      <w:color w:val="auto"/>
                      <w:sz w:val="21"/>
                      <w:szCs w:val="21"/>
                      <w:highlight w:val="none"/>
                      <w:lang w:val="en-US" w:eastAsia="zh-CN"/>
                    </w:rPr>
                  </w:pPr>
                </w:p>
              </w:tc>
              <w:tc>
                <w:tcPr>
                  <w:tcW w:w="1485" w:type="dxa"/>
                  <w:noWrap w:val="0"/>
                  <w:vAlign w:val="center"/>
                </w:tcPr>
                <w:p w14:paraId="79EC4D75">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溶解性</w:t>
                  </w:r>
                </w:p>
              </w:tc>
              <w:tc>
                <w:tcPr>
                  <w:tcW w:w="5961" w:type="dxa"/>
                  <w:gridSpan w:val="3"/>
                  <w:noWrap w:val="0"/>
                  <w:vAlign w:val="center"/>
                </w:tcPr>
                <w:p w14:paraId="102392FE">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微溶于水，溶于醇、乙醚。</w:t>
                  </w:r>
                </w:p>
              </w:tc>
            </w:tr>
            <w:tr w14:paraId="1B9E9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restart"/>
                  <w:noWrap w:val="0"/>
                  <w:vAlign w:val="center"/>
                </w:tcPr>
                <w:p w14:paraId="3B2CF87C">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燃爆特性</w:t>
                  </w:r>
                </w:p>
              </w:tc>
              <w:tc>
                <w:tcPr>
                  <w:tcW w:w="1485" w:type="dxa"/>
                  <w:noWrap w:val="0"/>
                  <w:vAlign w:val="center"/>
                </w:tcPr>
                <w:p w14:paraId="07DAA5C9">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闪点（℃）</w:t>
                  </w:r>
                </w:p>
              </w:tc>
              <w:tc>
                <w:tcPr>
                  <w:tcW w:w="2085" w:type="dxa"/>
                  <w:noWrap w:val="0"/>
                  <w:vAlign w:val="center"/>
                </w:tcPr>
                <w:p w14:paraId="048BFF3F">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-188</w:t>
                  </w:r>
                </w:p>
              </w:tc>
              <w:tc>
                <w:tcPr>
                  <w:tcW w:w="2040" w:type="dxa"/>
                  <w:noWrap w:val="0"/>
                  <w:vAlign w:val="center"/>
                </w:tcPr>
                <w:p w14:paraId="2B60DC20">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爆炸极限（%）</w:t>
                  </w:r>
                </w:p>
              </w:tc>
              <w:tc>
                <w:tcPr>
                  <w:tcW w:w="1836" w:type="dxa"/>
                  <w:noWrap w:val="0"/>
                  <w:vAlign w:val="center"/>
                </w:tcPr>
                <w:p w14:paraId="452BA220">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5.3～15</w:t>
                  </w:r>
                </w:p>
              </w:tc>
            </w:tr>
            <w:tr w14:paraId="46C8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noWrap w:val="0"/>
                  <w:vAlign w:val="center"/>
                </w:tcPr>
                <w:p w14:paraId="00C59C93">
                  <w:pPr>
                    <w:pStyle w:val="21"/>
                    <w:bidi w:val="0"/>
                    <w:jc w:val="center"/>
                    <w:rPr>
                      <w:rFonts w:hint="default" w:ascii="Times New Roman" w:hAnsi="Times New Roman" w:cs="Times New Roman"/>
                      <w:color w:val="auto"/>
                      <w:sz w:val="21"/>
                      <w:szCs w:val="21"/>
                      <w:highlight w:val="none"/>
                      <w:lang w:val="en-US" w:eastAsia="zh-CN"/>
                    </w:rPr>
                  </w:pPr>
                </w:p>
              </w:tc>
              <w:tc>
                <w:tcPr>
                  <w:tcW w:w="1485" w:type="dxa"/>
                  <w:noWrap w:val="0"/>
                  <w:vAlign w:val="center"/>
                </w:tcPr>
                <w:p w14:paraId="66F17006">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引燃温度（℃）</w:t>
                  </w:r>
                </w:p>
              </w:tc>
              <w:tc>
                <w:tcPr>
                  <w:tcW w:w="2085" w:type="dxa"/>
                  <w:noWrap w:val="0"/>
                  <w:vAlign w:val="center"/>
                </w:tcPr>
                <w:p w14:paraId="1FB5031A">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538</w:t>
                  </w:r>
                </w:p>
              </w:tc>
              <w:tc>
                <w:tcPr>
                  <w:tcW w:w="2040" w:type="dxa"/>
                  <w:noWrap w:val="0"/>
                  <w:vAlign w:val="center"/>
                </w:tcPr>
                <w:p w14:paraId="4C9EEFDE">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稳定性</w:t>
                  </w:r>
                </w:p>
              </w:tc>
              <w:tc>
                <w:tcPr>
                  <w:tcW w:w="1836" w:type="dxa"/>
                  <w:noWrap w:val="0"/>
                  <w:vAlign w:val="center"/>
                </w:tcPr>
                <w:p w14:paraId="552574D3">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稳定</w:t>
                  </w:r>
                </w:p>
              </w:tc>
            </w:tr>
            <w:tr w14:paraId="4AA0F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noWrap w:val="0"/>
                  <w:vAlign w:val="center"/>
                </w:tcPr>
                <w:p w14:paraId="2B07A4AB">
                  <w:pPr>
                    <w:pStyle w:val="21"/>
                    <w:bidi w:val="0"/>
                    <w:jc w:val="center"/>
                    <w:rPr>
                      <w:rFonts w:hint="default" w:ascii="Times New Roman" w:hAnsi="Times New Roman" w:cs="Times New Roman"/>
                      <w:color w:val="auto"/>
                      <w:sz w:val="21"/>
                      <w:szCs w:val="21"/>
                      <w:highlight w:val="none"/>
                      <w:lang w:val="en-US" w:eastAsia="zh-CN"/>
                    </w:rPr>
                  </w:pPr>
                </w:p>
              </w:tc>
              <w:tc>
                <w:tcPr>
                  <w:tcW w:w="1485" w:type="dxa"/>
                  <w:noWrap w:val="0"/>
                  <w:vAlign w:val="center"/>
                </w:tcPr>
                <w:p w14:paraId="53CEE1EC">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火灾危险类别</w:t>
                  </w:r>
                </w:p>
              </w:tc>
              <w:tc>
                <w:tcPr>
                  <w:tcW w:w="2085" w:type="dxa"/>
                  <w:noWrap w:val="0"/>
                  <w:vAlign w:val="center"/>
                </w:tcPr>
                <w:p w14:paraId="65C80C04">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第2.1类，易燃气体</w:t>
                  </w:r>
                </w:p>
              </w:tc>
              <w:tc>
                <w:tcPr>
                  <w:tcW w:w="2040" w:type="dxa"/>
                  <w:noWrap w:val="0"/>
                  <w:vAlign w:val="center"/>
                </w:tcPr>
                <w:p w14:paraId="768A853A">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爆炸危险组别类别</w:t>
                  </w:r>
                </w:p>
              </w:tc>
              <w:tc>
                <w:tcPr>
                  <w:tcW w:w="1836" w:type="dxa"/>
                  <w:noWrap w:val="0"/>
                  <w:vAlign w:val="center"/>
                </w:tcPr>
                <w:p w14:paraId="21AB8B54">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T3/ⅡΑ</w:t>
                  </w:r>
                </w:p>
              </w:tc>
            </w:tr>
            <w:tr w14:paraId="2B1B8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noWrap w:val="0"/>
                  <w:vAlign w:val="center"/>
                </w:tcPr>
                <w:p w14:paraId="3F66646B">
                  <w:pPr>
                    <w:pStyle w:val="21"/>
                    <w:bidi w:val="0"/>
                    <w:jc w:val="center"/>
                    <w:rPr>
                      <w:rFonts w:hint="default" w:ascii="Times New Roman" w:hAnsi="Times New Roman" w:cs="Times New Roman"/>
                      <w:color w:val="auto"/>
                      <w:sz w:val="21"/>
                      <w:szCs w:val="21"/>
                      <w:highlight w:val="none"/>
                      <w:lang w:val="en-US" w:eastAsia="zh-CN"/>
                    </w:rPr>
                  </w:pPr>
                </w:p>
              </w:tc>
              <w:tc>
                <w:tcPr>
                  <w:tcW w:w="1485" w:type="dxa"/>
                  <w:noWrap w:val="0"/>
                  <w:vAlign w:val="center"/>
                </w:tcPr>
                <w:p w14:paraId="722061C8">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危险特性</w:t>
                  </w:r>
                </w:p>
              </w:tc>
              <w:tc>
                <w:tcPr>
                  <w:tcW w:w="5961" w:type="dxa"/>
                  <w:gridSpan w:val="3"/>
                  <w:noWrap w:val="0"/>
                  <w:vAlign w:val="center"/>
                </w:tcPr>
                <w:p w14:paraId="713EF0E1">
                  <w:pPr>
                    <w:pStyle w:val="21"/>
                    <w:bidi w:val="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易燃，与空气混合能形成爆炸性混合物，遇热源和明火易引起燃烧爆炸，与五氧化溴、氯气、次氯酸、三氟化氮、液氧、二氟化氮及其它强氧化剂接触能发生剧烈反应。</w:t>
                  </w:r>
                </w:p>
                <w:p w14:paraId="772D68F1">
                  <w:pPr>
                    <w:pStyle w:val="21"/>
                    <w:bidi w:val="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燃烧（分解）产物：一氧化碳、二氧化碳。</w:t>
                  </w:r>
                </w:p>
                <w:p w14:paraId="6D518CE0">
                  <w:pPr>
                    <w:pStyle w:val="21"/>
                    <w:bidi w:val="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天然气除了有上述危险特性外，还具有下列特性：天然气中含有少量的硫化氢，长期吸入，对人的神经系统有毒害；在高压、高温、有水的情况下，对金属可产生硫化氢应力开裂。</w:t>
                  </w:r>
                </w:p>
              </w:tc>
            </w:tr>
            <w:tr w14:paraId="77849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noWrap w:val="0"/>
                  <w:vAlign w:val="center"/>
                </w:tcPr>
                <w:p w14:paraId="323E49C0">
                  <w:pPr>
                    <w:pStyle w:val="21"/>
                    <w:bidi w:val="0"/>
                    <w:jc w:val="center"/>
                    <w:rPr>
                      <w:rFonts w:hint="default" w:ascii="Times New Roman" w:hAnsi="Times New Roman" w:cs="Times New Roman"/>
                      <w:color w:val="auto"/>
                      <w:sz w:val="21"/>
                      <w:szCs w:val="21"/>
                      <w:highlight w:val="none"/>
                      <w:lang w:val="en-US" w:eastAsia="zh-CN"/>
                    </w:rPr>
                  </w:pPr>
                </w:p>
              </w:tc>
              <w:tc>
                <w:tcPr>
                  <w:tcW w:w="1485" w:type="dxa"/>
                  <w:noWrap w:val="0"/>
                  <w:vAlign w:val="center"/>
                </w:tcPr>
                <w:p w14:paraId="799DEC4E">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灭火剂</w:t>
                  </w:r>
                </w:p>
              </w:tc>
              <w:tc>
                <w:tcPr>
                  <w:tcW w:w="5961" w:type="dxa"/>
                  <w:gridSpan w:val="3"/>
                  <w:noWrap w:val="0"/>
                  <w:vAlign w:val="center"/>
                </w:tcPr>
                <w:p w14:paraId="20DFF137">
                  <w:pPr>
                    <w:pStyle w:val="21"/>
                    <w:bidi w:val="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泡沫、干粉、CO</w:t>
                  </w:r>
                  <w:r>
                    <w:rPr>
                      <w:rFonts w:hint="default" w:ascii="Times New Roman" w:hAnsi="Times New Roman" w:cs="Times New Roman"/>
                      <w:color w:val="auto"/>
                      <w:sz w:val="21"/>
                      <w:szCs w:val="21"/>
                      <w:highlight w:val="none"/>
                      <w:vertAlign w:val="subscript"/>
                      <w:lang w:val="en-US" w:eastAsia="zh-CN"/>
                    </w:rPr>
                    <w:t>2</w:t>
                  </w:r>
                  <w:r>
                    <w:rPr>
                      <w:rFonts w:hint="default" w:ascii="Times New Roman" w:hAnsi="Times New Roman" w:cs="Times New Roman"/>
                      <w:color w:val="auto"/>
                      <w:sz w:val="21"/>
                      <w:szCs w:val="21"/>
                      <w:highlight w:val="none"/>
                      <w:lang w:val="en-US" w:eastAsia="zh-CN"/>
                    </w:rPr>
                    <w:t>、雾状水。</w:t>
                  </w:r>
                </w:p>
              </w:tc>
            </w:tr>
            <w:tr w14:paraId="042D2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noWrap w:val="0"/>
                  <w:vAlign w:val="center"/>
                </w:tcPr>
                <w:p w14:paraId="4EA7CBE5">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对人体危害</w:t>
                  </w:r>
                </w:p>
              </w:tc>
              <w:tc>
                <w:tcPr>
                  <w:tcW w:w="7446" w:type="dxa"/>
                  <w:gridSpan w:val="4"/>
                  <w:noWrap w:val="0"/>
                  <w:vAlign w:val="center"/>
                </w:tcPr>
                <w:p w14:paraId="19E6D1B5">
                  <w:pPr>
                    <w:pStyle w:val="21"/>
                    <w:bidi w:val="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侵入途径：吸入。</w:t>
                  </w:r>
                </w:p>
                <w:p w14:paraId="74C4ED2F">
                  <w:pPr>
                    <w:pStyle w:val="21"/>
                    <w:bidi w:val="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健康危害：甲烷对人基本无毒，但浓度过高时，使空气中氧含量明显降低，使人窒息。当空气中甲烷达25%～30%时，可引起头痛、头晕、乏力、注意力不集中、呼吸和心跳加速、共济失调。若不及时脱离，可致窒息死亡。皮肤接触液化本品，可致冻伤。</w:t>
                  </w:r>
                </w:p>
              </w:tc>
            </w:tr>
            <w:tr w14:paraId="2C36A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noWrap w:val="0"/>
                  <w:vAlign w:val="center"/>
                </w:tcPr>
                <w:p w14:paraId="62E0A1B2">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急救</w:t>
                  </w:r>
                </w:p>
              </w:tc>
              <w:tc>
                <w:tcPr>
                  <w:tcW w:w="7446" w:type="dxa"/>
                  <w:gridSpan w:val="4"/>
                  <w:noWrap w:val="0"/>
                  <w:vAlign w:val="center"/>
                </w:tcPr>
                <w:p w14:paraId="0F30D220">
                  <w:pPr>
                    <w:pStyle w:val="21"/>
                    <w:bidi w:val="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皮肤冻伤：若有冻伤，就医治疗。</w:t>
                  </w:r>
                </w:p>
                <w:p w14:paraId="755B737C">
                  <w:pPr>
                    <w:pStyle w:val="21"/>
                    <w:bidi w:val="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吸入：迅速脱离现场至空气新鲜处，保持呼吸道通畅。如呼吸困难，给输氧。如呼吸停止，立即进行人工呼吸。就医。</w:t>
                  </w:r>
                </w:p>
              </w:tc>
            </w:tr>
            <w:tr w14:paraId="28C5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noWrap w:val="0"/>
                  <w:vAlign w:val="center"/>
                </w:tcPr>
                <w:p w14:paraId="4696E3F4">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防护</w:t>
                  </w:r>
                </w:p>
              </w:tc>
              <w:tc>
                <w:tcPr>
                  <w:tcW w:w="7446" w:type="dxa"/>
                  <w:gridSpan w:val="4"/>
                  <w:noWrap w:val="0"/>
                  <w:vAlign w:val="center"/>
                </w:tcPr>
                <w:p w14:paraId="7AF4ECE7">
                  <w:pPr>
                    <w:pStyle w:val="21"/>
                    <w:bidi w:val="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工程防护：生产过程密闭，全面通风。</w:t>
                  </w:r>
                </w:p>
                <w:p w14:paraId="0891C3C0">
                  <w:pPr>
                    <w:pStyle w:val="21"/>
                    <w:bidi w:val="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个人防护：一般不需要特殊防护，但建议特殊情况下，佩戴自吸过滤式防毒面具（半面罩）。眼睛防护一般不需要特殊防护，高浓度接触时可戴安全防护眼镜，穿防静电工作服。戴一般作业防护手套。工作现场严禁吸烟。避免长期反复接触，进入罐、限制性空间或其它高浓度区作业，须有人监护。</w:t>
                  </w:r>
                </w:p>
              </w:tc>
            </w:tr>
            <w:tr w14:paraId="37E60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noWrap w:val="0"/>
                  <w:vAlign w:val="center"/>
                </w:tcPr>
                <w:p w14:paraId="5955F6C9">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泄漏处理</w:t>
                  </w:r>
                </w:p>
              </w:tc>
              <w:tc>
                <w:tcPr>
                  <w:tcW w:w="7446" w:type="dxa"/>
                  <w:gridSpan w:val="4"/>
                  <w:noWrap w:val="0"/>
                  <w:vAlign w:val="center"/>
                </w:tcPr>
                <w:p w14:paraId="545B98AB">
                  <w:pPr>
                    <w:pStyle w:val="21"/>
                    <w:bidi w:val="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迅速撤离泄漏污染区人员至上风处，并进行隔离，严格限制出入。切断火源。建议应急处理人员戴自给正压式呼吸器，穿消防防护服。尽可能切断泄漏源。合理通风，加速扩散。喷雾状水稀释、溶解。构筑围堤或挖坑收容产生的大量废水。如有可能，将漏出气用排风机送至空旷地方或装设适当喷头烧掉。也可以将漏气的容器移至空旷处，注意通风。漏气容器要妥善处理，修复、检验后再用。</w:t>
                  </w:r>
                </w:p>
              </w:tc>
            </w:tr>
            <w:tr w14:paraId="35EE4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noWrap w:val="0"/>
                  <w:vAlign w:val="center"/>
                </w:tcPr>
                <w:p w14:paraId="6B7B18D8">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贮运</w:t>
                  </w:r>
                </w:p>
              </w:tc>
              <w:tc>
                <w:tcPr>
                  <w:tcW w:w="7446" w:type="dxa"/>
                  <w:gridSpan w:val="4"/>
                  <w:noWrap w:val="0"/>
                  <w:vAlign w:val="center"/>
                </w:tcPr>
                <w:p w14:paraId="5FBC160D">
                  <w:pPr>
                    <w:pStyle w:val="21"/>
                    <w:bidi w:val="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储运条件：易燃压缩气体。储存于阴凉、通风仓间内。仓温不宜超过30℃。远离火种、热源。防止阳光直射。应与氧气、压缩空气、卤素（氟、氯、溴）等分开存放。切忌混储混运。储存间的照明、通风等设施应采用防爆型，开关设在仓外。配备相应品种和数量的消防器材。罐储时要有防火防爆技术措施。露天贮罐夏季要有降温措施。禁止使用易产生火花的机械设备和工具。验收时要注意品名，注意验瓶日期，先进仓的先发用。搬运时轻装轻卸，防止钢瓶及附件破损。</w:t>
                  </w:r>
                </w:p>
              </w:tc>
            </w:tr>
          </w:tbl>
          <w:p w14:paraId="5CF1503D">
            <w:pPr>
              <w:pStyle w:val="20"/>
              <w:keepNext w:val="0"/>
              <w:keepLines w:val="0"/>
              <w:pageBreakBefore w:val="0"/>
              <w:widowControl w:val="0"/>
              <w:kinsoku/>
              <w:wordWrap/>
              <w:overflowPunct/>
              <w:topLinePunct w:val="0"/>
              <w:autoSpaceDE/>
              <w:autoSpaceDN/>
              <w:bidi w:val="0"/>
              <w:adjustRightInd w:val="0"/>
              <w:snapToGrid w:val="0"/>
              <w:spacing w:before="79" w:beforeLines="25"/>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②机油</w:t>
            </w:r>
          </w:p>
          <w:p w14:paraId="1E659902">
            <w:pPr>
              <w:pStyle w:val="3"/>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表</w:t>
            </w:r>
            <w:r>
              <w:rPr>
                <w:rFonts w:hint="default" w:ascii="Times New Roman" w:hAnsi="Times New Roman" w:cs="Times New Roman"/>
                <w:color w:val="auto"/>
                <w:sz w:val="21"/>
                <w:szCs w:val="21"/>
                <w:highlight w:val="none"/>
                <w:lang w:val="en-US" w:eastAsia="zh-CN"/>
              </w:rPr>
              <w:t>4-1</w:t>
            </w:r>
            <w:r>
              <w:rPr>
                <w:rFonts w:hint="eastAsia" w:ascii="Times New Roman" w:hAnsi="Times New Roman" w:cs="Times New Roman"/>
                <w:color w:val="auto"/>
                <w:sz w:val="21"/>
                <w:szCs w:val="21"/>
                <w:highlight w:val="none"/>
                <w:lang w:val="en-US" w:eastAsia="zh-CN"/>
              </w:rPr>
              <w:t xml:space="preserve">4  </w:t>
            </w:r>
            <w:r>
              <w:rPr>
                <w:rFonts w:hint="default" w:ascii="Times New Roman" w:hAnsi="Times New Roman" w:cs="Times New Roman"/>
                <w:color w:val="auto"/>
                <w:sz w:val="21"/>
                <w:szCs w:val="21"/>
                <w:highlight w:val="none"/>
                <w:lang w:eastAsia="zh-CN"/>
              </w:rPr>
              <w:t>机油理化特性及危险性一览表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49"/>
              <w:gridCol w:w="1656"/>
              <w:gridCol w:w="1543"/>
              <w:gridCol w:w="2143"/>
              <w:gridCol w:w="2485"/>
            </w:tblGrid>
            <w:tr w14:paraId="382C1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0" w:type="dxa"/>
                  <w:vMerge w:val="restart"/>
                  <w:noWrap w:val="0"/>
                  <w:vAlign w:val="center"/>
                </w:tcPr>
                <w:p w14:paraId="5C5F8100">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标识</w:t>
                  </w:r>
                </w:p>
              </w:tc>
              <w:tc>
                <w:tcPr>
                  <w:tcW w:w="1661" w:type="dxa"/>
                  <w:noWrap w:val="0"/>
                  <w:vAlign w:val="center"/>
                </w:tcPr>
                <w:p w14:paraId="6F131761">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中文名</w:t>
                  </w:r>
                </w:p>
              </w:tc>
              <w:tc>
                <w:tcPr>
                  <w:tcW w:w="1549" w:type="dxa"/>
                  <w:noWrap w:val="0"/>
                  <w:vAlign w:val="center"/>
                </w:tcPr>
                <w:p w14:paraId="62A57291">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机油</w:t>
                  </w:r>
                </w:p>
              </w:tc>
              <w:tc>
                <w:tcPr>
                  <w:tcW w:w="2150" w:type="dxa"/>
                  <w:noWrap w:val="0"/>
                  <w:vAlign w:val="center"/>
                </w:tcPr>
                <w:p w14:paraId="2E45F160">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英文名</w:t>
                  </w:r>
                </w:p>
              </w:tc>
              <w:tc>
                <w:tcPr>
                  <w:tcW w:w="2493" w:type="dxa"/>
                  <w:noWrap w:val="0"/>
                  <w:vAlign w:val="center"/>
                </w:tcPr>
                <w:p w14:paraId="08F06E01">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lubricating oil；Lube oil</w:t>
                  </w:r>
                </w:p>
              </w:tc>
            </w:tr>
            <w:tr w14:paraId="54023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0" w:type="dxa"/>
                  <w:vMerge w:val="continue"/>
                  <w:noWrap w:val="0"/>
                  <w:vAlign w:val="center"/>
                </w:tcPr>
                <w:p w14:paraId="7EC1F67D">
                  <w:pPr>
                    <w:pStyle w:val="21"/>
                    <w:bidi w:val="0"/>
                    <w:jc w:val="center"/>
                    <w:rPr>
                      <w:rFonts w:hint="default" w:ascii="Times New Roman" w:hAnsi="Times New Roman" w:cs="Times New Roman"/>
                      <w:color w:val="auto"/>
                      <w:sz w:val="21"/>
                      <w:szCs w:val="21"/>
                      <w:highlight w:val="none"/>
                      <w:lang w:val="en-US" w:eastAsia="zh-CN"/>
                    </w:rPr>
                  </w:pPr>
                </w:p>
              </w:tc>
              <w:tc>
                <w:tcPr>
                  <w:tcW w:w="1661" w:type="dxa"/>
                  <w:noWrap w:val="0"/>
                  <w:vAlign w:val="center"/>
                </w:tcPr>
                <w:p w14:paraId="47CC970C">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分子式</w:t>
                  </w:r>
                </w:p>
              </w:tc>
              <w:tc>
                <w:tcPr>
                  <w:tcW w:w="1549" w:type="dxa"/>
                  <w:noWrap w:val="0"/>
                  <w:vAlign w:val="center"/>
                </w:tcPr>
                <w:p w14:paraId="7C5FAD13">
                  <w:pPr>
                    <w:pStyle w:val="21"/>
                    <w:bidi w:val="0"/>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w:t>
                  </w:r>
                </w:p>
              </w:tc>
              <w:tc>
                <w:tcPr>
                  <w:tcW w:w="2150" w:type="dxa"/>
                  <w:noWrap w:val="0"/>
                  <w:vAlign w:val="center"/>
                </w:tcPr>
                <w:p w14:paraId="7648C537">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CAS号</w:t>
                  </w:r>
                </w:p>
              </w:tc>
              <w:tc>
                <w:tcPr>
                  <w:tcW w:w="2493" w:type="dxa"/>
                  <w:noWrap w:val="0"/>
                  <w:vAlign w:val="center"/>
                </w:tcPr>
                <w:p w14:paraId="587AEE44">
                  <w:pPr>
                    <w:pStyle w:val="21"/>
                    <w:bidi w:val="0"/>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w:t>
                  </w:r>
                </w:p>
              </w:tc>
            </w:tr>
            <w:tr w14:paraId="65E93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0" w:type="dxa"/>
                  <w:vMerge w:val="restart"/>
                  <w:noWrap w:val="0"/>
                  <w:vAlign w:val="center"/>
                </w:tcPr>
                <w:p w14:paraId="56ECC4B7">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理化特性</w:t>
                  </w:r>
                </w:p>
              </w:tc>
              <w:tc>
                <w:tcPr>
                  <w:tcW w:w="1661" w:type="dxa"/>
                  <w:noWrap w:val="0"/>
                  <w:vAlign w:val="center"/>
                </w:tcPr>
                <w:p w14:paraId="19EB7A03">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沸点（℃）</w:t>
                  </w:r>
                </w:p>
              </w:tc>
              <w:tc>
                <w:tcPr>
                  <w:tcW w:w="1549" w:type="dxa"/>
                  <w:noWrap w:val="0"/>
                  <w:vAlign w:val="center"/>
                </w:tcPr>
                <w:p w14:paraId="4F724463">
                  <w:pPr>
                    <w:pStyle w:val="21"/>
                    <w:bidi w:val="0"/>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w:t>
                  </w:r>
                </w:p>
              </w:tc>
              <w:tc>
                <w:tcPr>
                  <w:tcW w:w="2150" w:type="dxa"/>
                  <w:noWrap w:val="0"/>
                  <w:vAlign w:val="center"/>
                </w:tcPr>
                <w:p w14:paraId="0D6EDE71">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相对密度（空气=1）</w:t>
                  </w:r>
                </w:p>
              </w:tc>
              <w:tc>
                <w:tcPr>
                  <w:tcW w:w="2493" w:type="dxa"/>
                  <w:noWrap w:val="0"/>
                  <w:vAlign w:val="center"/>
                </w:tcPr>
                <w:p w14:paraId="06D7F1A2">
                  <w:pPr>
                    <w:pStyle w:val="21"/>
                    <w:bidi w:val="0"/>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w:t>
                  </w:r>
                </w:p>
              </w:tc>
            </w:tr>
            <w:tr w14:paraId="741EF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0" w:type="dxa"/>
                  <w:vMerge w:val="continue"/>
                  <w:noWrap w:val="0"/>
                  <w:vAlign w:val="center"/>
                </w:tcPr>
                <w:p w14:paraId="74E120CD">
                  <w:pPr>
                    <w:pStyle w:val="21"/>
                    <w:bidi w:val="0"/>
                    <w:jc w:val="center"/>
                    <w:rPr>
                      <w:rFonts w:hint="default" w:ascii="Times New Roman" w:hAnsi="Times New Roman" w:cs="Times New Roman"/>
                      <w:color w:val="auto"/>
                      <w:sz w:val="21"/>
                      <w:szCs w:val="21"/>
                      <w:highlight w:val="none"/>
                      <w:lang w:val="en-US" w:eastAsia="zh-CN"/>
                    </w:rPr>
                  </w:pPr>
                </w:p>
              </w:tc>
              <w:tc>
                <w:tcPr>
                  <w:tcW w:w="1661" w:type="dxa"/>
                  <w:noWrap w:val="0"/>
                  <w:vAlign w:val="center"/>
                </w:tcPr>
                <w:p w14:paraId="6EC2E3BD">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性状</w:t>
                  </w:r>
                </w:p>
              </w:tc>
              <w:tc>
                <w:tcPr>
                  <w:tcW w:w="6192" w:type="dxa"/>
                  <w:gridSpan w:val="3"/>
                  <w:noWrap w:val="0"/>
                  <w:vAlign w:val="center"/>
                </w:tcPr>
                <w:p w14:paraId="65D9F011">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油状液体，淡黄色至褐色，无气味或略带异味。</w:t>
                  </w:r>
                </w:p>
              </w:tc>
            </w:tr>
            <w:tr w14:paraId="68E4D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0" w:type="dxa"/>
                  <w:vMerge w:val="continue"/>
                  <w:noWrap w:val="0"/>
                  <w:vAlign w:val="center"/>
                </w:tcPr>
                <w:p w14:paraId="54C4588B">
                  <w:pPr>
                    <w:pStyle w:val="21"/>
                    <w:bidi w:val="0"/>
                    <w:jc w:val="center"/>
                    <w:rPr>
                      <w:rFonts w:hint="default" w:ascii="Times New Roman" w:hAnsi="Times New Roman" w:cs="Times New Roman"/>
                      <w:color w:val="auto"/>
                      <w:sz w:val="21"/>
                      <w:szCs w:val="21"/>
                      <w:highlight w:val="none"/>
                      <w:lang w:val="en-US" w:eastAsia="zh-CN"/>
                    </w:rPr>
                  </w:pPr>
                </w:p>
              </w:tc>
              <w:tc>
                <w:tcPr>
                  <w:tcW w:w="1661" w:type="dxa"/>
                  <w:noWrap w:val="0"/>
                  <w:vAlign w:val="center"/>
                </w:tcPr>
                <w:p w14:paraId="61721B3E">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溶解性</w:t>
                  </w:r>
                </w:p>
              </w:tc>
              <w:tc>
                <w:tcPr>
                  <w:tcW w:w="6192" w:type="dxa"/>
                  <w:gridSpan w:val="3"/>
                  <w:noWrap w:val="0"/>
                  <w:vAlign w:val="center"/>
                </w:tcPr>
                <w:p w14:paraId="35F1727D">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不溶于水。</w:t>
                  </w:r>
                </w:p>
              </w:tc>
            </w:tr>
            <w:tr w14:paraId="58797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0" w:type="dxa"/>
                  <w:vMerge w:val="restart"/>
                  <w:noWrap w:val="0"/>
                  <w:vAlign w:val="center"/>
                </w:tcPr>
                <w:p w14:paraId="5C21E921">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燃爆特性</w:t>
                  </w:r>
                </w:p>
              </w:tc>
              <w:tc>
                <w:tcPr>
                  <w:tcW w:w="1661" w:type="dxa"/>
                  <w:noWrap w:val="0"/>
                  <w:vAlign w:val="center"/>
                </w:tcPr>
                <w:p w14:paraId="5CA49CB3">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闪点（℃）</w:t>
                  </w:r>
                </w:p>
              </w:tc>
              <w:tc>
                <w:tcPr>
                  <w:tcW w:w="1549" w:type="dxa"/>
                  <w:noWrap w:val="0"/>
                  <w:vAlign w:val="center"/>
                </w:tcPr>
                <w:p w14:paraId="7BB7985B">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76</w:t>
                  </w:r>
                </w:p>
              </w:tc>
              <w:tc>
                <w:tcPr>
                  <w:tcW w:w="2150" w:type="dxa"/>
                  <w:noWrap w:val="0"/>
                  <w:vAlign w:val="center"/>
                </w:tcPr>
                <w:p w14:paraId="1458758E">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爆炸极限（%）</w:t>
                  </w:r>
                </w:p>
              </w:tc>
              <w:tc>
                <w:tcPr>
                  <w:tcW w:w="2493" w:type="dxa"/>
                  <w:noWrap w:val="0"/>
                  <w:vAlign w:val="center"/>
                </w:tcPr>
                <w:p w14:paraId="2343E330">
                  <w:pPr>
                    <w:pStyle w:val="21"/>
                    <w:bidi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73A5A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0" w:type="dxa"/>
                  <w:vMerge w:val="continue"/>
                  <w:noWrap w:val="0"/>
                  <w:vAlign w:val="center"/>
                </w:tcPr>
                <w:p w14:paraId="08E5ECED">
                  <w:pPr>
                    <w:pStyle w:val="21"/>
                    <w:bidi w:val="0"/>
                    <w:jc w:val="center"/>
                    <w:rPr>
                      <w:rFonts w:hint="default" w:ascii="Times New Roman" w:hAnsi="Times New Roman" w:cs="Times New Roman"/>
                      <w:color w:val="auto"/>
                      <w:sz w:val="21"/>
                      <w:szCs w:val="21"/>
                      <w:highlight w:val="none"/>
                      <w:lang w:val="en-US" w:eastAsia="zh-CN"/>
                    </w:rPr>
                  </w:pPr>
                </w:p>
              </w:tc>
              <w:tc>
                <w:tcPr>
                  <w:tcW w:w="1661" w:type="dxa"/>
                  <w:noWrap w:val="0"/>
                  <w:vAlign w:val="center"/>
                </w:tcPr>
                <w:p w14:paraId="29D4251D">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引燃温度（℃）</w:t>
                  </w:r>
                </w:p>
              </w:tc>
              <w:tc>
                <w:tcPr>
                  <w:tcW w:w="1549" w:type="dxa"/>
                  <w:noWrap w:val="0"/>
                  <w:vAlign w:val="center"/>
                </w:tcPr>
                <w:p w14:paraId="1AAE6893">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248</w:t>
                  </w:r>
                </w:p>
              </w:tc>
              <w:tc>
                <w:tcPr>
                  <w:tcW w:w="2150" w:type="dxa"/>
                  <w:noWrap w:val="0"/>
                  <w:vAlign w:val="center"/>
                </w:tcPr>
                <w:p w14:paraId="627228F3">
                  <w:pPr>
                    <w:pStyle w:val="21"/>
                    <w:bidi w:val="0"/>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稳定性</w:t>
                  </w:r>
                </w:p>
              </w:tc>
              <w:tc>
                <w:tcPr>
                  <w:tcW w:w="2493" w:type="dxa"/>
                  <w:noWrap w:val="0"/>
                  <w:vAlign w:val="center"/>
                </w:tcPr>
                <w:p w14:paraId="49A86296">
                  <w:pPr>
                    <w:pStyle w:val="21"/>
                    <w:bidi w:val="0"/>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稳定</w:t>
                  </w:r>
                </w:p>
              </w:tc>
            </w:tr>
            <w:tr w14:paraId="2AB75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550" w:type="dxa"/>
                  <w:vMerge w:val="continue"/>
                  <w:noWrap w:val="0"/>
                  <w:vAlign w:val="center"/>
                </w:tcPr>
                <w:p w14:paraId="18C220DA">
                  <w:pPr>
                    <w:pStyle w:val="21"/>
                    <w:bidi w:val="0"/>
                    <w:jc w:val="center"/>
                    <w:rPr>
                      <w:rFonts w:hint="default" w:ascii="Times New Roman" w:hAnsi="Times New Roman" w:cs="Times New Roman"/>
                      <w:color w:val="auto"/>
                      <w:sz w:val="21"/>
                      <w:szCs w:val="21"/>
                      <w:highlight w:val="none"/>
                      <w:lang w:val="en-US" w:eastAsia="zh-CN"/>
                    </w:rPr>
                  </w:pPr>
                </w:p>
              </w:tc>
              <w:tc>
                <w:tcPr>
                  <w:tcW w:w="1661" w:type="dxa"/>
                  <w:noWrap w:val="0"/>
                  <w:vAlign w:val="center"/>
                </w:tcPr>
                <w:p w14:paraId="0D640A45">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危险特性</w:t>
                  </w:r>
                </w:p>
              </w:tc>
              <w:tc>
                <w:tcPr>
                  <w:tcW w:w="6192" w:type="dxa"/>
                  <w:gridSpan w:val="3"/>
                  <w:noWrap w:val="0"/>
                  <w:vAlign w:val="center"/>
                </w:tcPr>
                <w:p w14:paraId="5BB1A580">
                  <w:pPr>
                    <w:pStyle w:val="21"/>
                    <w:bidi w:val="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遇明火、高热可燃。</w:t>
                  </w:r>
                </w:p>
              </w:tc>
            </w:tr>
            <w:tr w14:paraId="58314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0" w:type="dxa"/>
                  <w:vMerge w:val="continue"/>
                  <w:noWrap w:val="0"/>
                  <w:vAlign w:val="center"/>
                </w:tcPr>
                <w:p w14:paraId="438959FE">
                  <w:pPr>
                    <w:pStyle w:val="21"/>
                    <w:bidi w:val="0"/>
                    <w:jc w:val="center"/>
                    <w:rPr>
                      <w:rFonts w:hint="default" w:ascii="Times New Roman" w:hAnsi="Times New Roman" w:cs="Times New Roman"/>
                      <w:color w:val="auto"/>
                      <w:sz w:val="21"/>
                      <w:szCs w:val="21"/>
                      <w:highlight w:val="none"/>
                      <w:lang w:val="en-US" w:eastAsia="zh-CN"/>
                    </w:rPr>
                  </w:pPr>
                </w:p>
              </w:tc>
              <w:tc>
                <w:tcPr>
                  <w:tcW w:w="1661" w:type="dxa"/>
                  <w:noWrap w:val="0"/>
                  <w:vAlign w:val="center"/>
                </w:tcPr>
                <w:p w14:paraId="2BD64150">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灭火剂</w:t>
                  </w:r>
                </w:p>
              </w:tc>
              <w:tc>
                <w:tcPr>
                  <w:tcW w:w="6192" w:type="dxa"/>
                  <w:gridSpan w:val="3"/>
                  <w:noWrap w:val="0"/>
                  <w:vAlign w:val="center"/>
                </w:tcPr>
                <w:p w14:paraId="158851B1">
                  <w:pPr>
                    <w:pStyle w:val="21"/>
                    <w:bidi w:val="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雾状水、泡沫、干粉、二氧化碳、砂土。</w:t>
                  </w:r>
                </w:p>
              </w:tc>
            </w:tr>
            <w:tr w14:paraId="2EC10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0" w:type="dxa"/>
                  <w:noWrap w:val="0"/>
                  <w:vAlign w:val="center"/>
                </w:tcPr>
                <w:p w14:paraId="74F0CE50">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对人体危害</w:t>
                  </w:r>
                </w:p>
              </w:tc>
              <w:tc>
                <w:tcPr>
                  <w:tcW w:w="7853" w:type="dxa"/>
                  <w:gridSpan w:val="4"/>
                  <w:noWrap w:val="0"/>
                  <w:vAlign w:val="center"/>
                </w:tcPr>
                <w:p w14:paraId="367AC55E">
                  <w:pPr>
                    <w:pStyle w:val="21"/>
                    <w:bidi w:val="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侵入途径：吸入、食入；</w:t>
                  </w:r>
                </w:p>
                <w:p w14:paraId="68B2BFCF">
                  <w:pPr>
                    <w:pStyle w:val="21"/>
                    <w:bidi w:val="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急性吸入，可出现乏力、头晕、头痛、恶心，严重者可引起油脂性肺炎。慢接触者，暴露部位可发生油性痤疮和接触性皮炎。可引起神经衰弱综合征，呼吸道和眼刺激症状及慢性油脂性肺炎。</w:t>
                  </w:r>
                </w:p>
              </w:tc>
            </w:tr>
            <w:tr w14:paraId="5A5B2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0" w:type="dxa"/>
                  <w:noWrap w:val="0"/>
                  <w:vAlign w:val="center"/>
                </w:tcPr>
                <w:p w14:paraId="58D33987">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急救</w:t>
                  </w:r>
                </w:p>
              </w:tc>
              <w:tc>
                <w:tcPr>
                  <w:tcW w:w="7853" w:type="dxa"/>
                  <w:gridSpan w:val="4"/>
                  <w:noWrap w:val="0"/>
                  <w:vAlign w:val="center"/>
                </w:tcPr>
                <w:p w14:paraId="1BBDA048">
                  <w:pPr>
                    <w:pStyle w:val="21"/>
                    <w:bidi w:val="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皮肤接触：立即脱去被污染的衣着，用大量清水冲洗；</w:t>
                  </w:r>
                </w:p>
                <w:p w14:paraId="7B31C53B">
                  <w:pPr>
                    <w:pStyle w:val="21"/>
                    <w:bidi w:val="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眼睛接触：立即提起眼睑，用大量流动清水或生理盐水冲洗，就医；</w:t>
                  </w:r>
                </w:p>
                <w:p w14:paraId="074F356A">
                  <w:pPr>
                    <w:pStyle w:val="21"/>
                    <w:bidi w:val="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吸入：迅速脱离现场至空气新鲜处，保持呼吸道通畅，如呼吸困难，给输氧；如呼吸停止，立即进行人工呼吸，就医；</w:t>
                  </w:r>
                </w:p>
                <w:p w14:paraId="1D868B1B">
                  <w:pPr>
                    <w:pStyle w:val="21"/>
                    <w:bidi w:val="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食入：饮足量温水，催吐，就医。</w:t>
                  </w:r>
                </w:p>
              </w:tc>
            </w:tr>
            <w:tr w14:paraId="3EA5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0" w:type="dxa"/>
                  <w:noWrap w:val="0"/>
                  <w:vAlign w:val="center"/>
                </w:tcPr>
                <w:p w14:paraId="058024FF">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防护</w:t>
                  </w:r>
                </w:p>
              </w:tc>
              <w:tc>
                <w:tcPr>
                  <w:tcW w:w="7853" w:type="dxa"/>
                  <w:gridSpan w:val="4"/>
                  <w:noWrap w:val="0"/>
                  <w:vAlign w:val="center"/>
                </w:tcPr>
                <w:p w14:paraId="4B3F92BC">
                  <w:pPr>
                    <w:pStyle w:val="21"/>
                    <w:bidi w:val="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工程控制：密闭操作，注意通风；</w:t>
                  </w:r>
                </w:p>
                <w:p w14:paraId="2F431599">
                  <w:pPr>
                    <w:pStyle w:val="21"/>
                    <w:bidi w:val="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呼吸系统防护：空气中浓度超标时，建议佩戴自吸过滤式防毒面具(半面)。紧急事态抢救或撤离时，应该佩戴空气呼吸器。</w:t>
                  </w:r>
                </w:p>
                <w:p w14:paraId="1C6A7BAE">
                  <w:pPr>
                    <w:pStyle w:val="21"/>
                    <w:bidi w:val="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眼睛防护：戴化学安全防护眼镜；</w:t>
                  </w:r>
                </w:p>
                <w:p w14:paraId="253BBCE4">
                  <w:pPr>
                    <w:pStyle w:val="21"/>
                    <w:bidi w:val="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身体防护:穿防毒物渗透工作服；</w:t>
                  </w:r>
                </w:p>
                <w:p w14:paraId="0CCE4F27">
                  <w:pPr>
                    <w:pStyle w:val="21"/>
                    <w:bidi w:val="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手防护：戴橡胶耐油手套；</w:t>
                  </w:r>
                </w:p>
                <w:p w14:paraId="5DF2F520">
                  <w:pPr>
                    <w:pStyle w:val="21"/>
                    <w:bidi w:val="0"/>
                    <w:jc w:val="both"/>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其他：工作现场严禁吸烟，避免长期反复接触。</w:t>
                  </w:r>
                </w:p>
              </w:tc>
            </w:tr>
            <w:tr w14:paraId="6BDD1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0" w:type="dxa"/>
                  <w:noWrap w:val="0"/>
                  <w:vAlign w:val="center"/>
                </w:tcPr>
                <w:p w14:paraId="0B60B278">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泄漏处理</w:t>
                  </w:r>
                </w:p>
              </w:tc>
              <w:tc>
                <w:tcPr>
                  <w:tcW w:w="7853" w:type="dxa"/>
                  <w:gridSpan w:val="4"/>
                  <w:noWrap w:val="0"/>
                  <w:vAlign w:val="center"/>
                </w:tcPr>
                <w:p w14:paraId="38E4E59D">
                  <w:pPr>
                    <w:pStyle w:val="21"/>
                    <w:bidi w:val="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迅速撤离泄漏污染区人员至安全区，并进行隔离，严格限制出入。切断火源。建议应急处理人员戴自给正压式呼吸器，穿防毒服。尽可能切断泄漏源。防止流入下水道、排洪沟等限制性空间。</w:t>
                  </w:r>
                </w:p>
                <w:p w14:paraId="2701FD70">
                  <w:pPr>
                    <w:pStyle w:val="21"/>
                    <w:bidi w:val="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小量泄漏：用砂土或其它不燃材料吸附或吸收。</w:t>
                  </w:r>
                </w:p>
                <w:p w14:paraId="736C0468">
                  <w:pPr>
                    <w:pStyle w:val="21"/>
                    <w:bidi w:val="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大量泄漏：构筑围堤或挖坑收容。用泵转移至槽车或专用收集器内，回收或运至废物处理场所处置。</w:t>
                  </w:r>
                </w:p>
              </w:tc>
            </w:tr>
            <w:tr w14:paraId="7C96D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0" w:type="dxa"/>
                  <w:noWrap w:val="0"/>
                  <w:vAlign w:val="center"/>
                </w:tcPr>
                <w:p w14:paraId="4D34EC1F">
                  <w:pPr>
                    <w:pStyle w:val="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贮运</w:t>
                  </w:r>
                </w:p>
              </w:tc>
              <w:tc>
                <w:tcPr>
                  <w:tcW w:w="7853" w:type="dxa"/>
                  <w:gridSpan w:val="4"/>
                  <w:noWrap w:val="0"/>
                  <w:vAlign w:val="center"/>
                </w:tcPr>
                <w:p w14:paraId="431239A9">
                  <w:pPr>
                    <w:pStyle w:val="21"/>
                    <w:bidi w:val="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储存于阴凉、通风的库房。远离火种、热源。应与氧化剂分开存放，切忌混储。配备相应品种和数量的消防器材。储区应备有泄漏应急处理设备和合适的收容材料。</w:t>
                  </w:r>
                </w:p>
                <w:p w14:paraId="3FC47802">
                  <w:pPr>
                    <w:pStyle w:val="21"/>
                    <w:bidi w:val="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运输前应先检查包装容器是否完整、密封，运输过程中要确保容器不泄漏、不倒塌、不落、不损坏。严禁与氧化剂、食用化学品等混装混运。运输车船必须彻底清洗、消毒，否则不得装运其它物品。船运时，配装位置应远离卧室、厨房，并与机舱、电源、火源等部位隔离。公路运输时要按规定路线行驶。</w:t>
                  </w:r>
                </w:p>
              </w:tc>
            </w:tr>
          </w:tbl>
          <w:p w14:paraId="42A99EE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（3）环境风险分析</w:t>
            </w:r>
          </w:p>
          <w:p w14:paraId="7016259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1）大气环境风险分析</w:t>
            </w:r>
          </w:p>
          <w:p w14:paraId="259C1FA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①井喷事故</w:t>
            </w:r>
          </w:p>
          <w:p w14:paraId="5186336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当钻井进入气层后，遇到高压气流，因各种原因使井底压力不能平衡底层压力时而造成井喷和井喷失控事故。井喷失控发生的机率虽然很小，但危害较大，主要表现在井喷后会有大量的天然气逸散到空气中，对周围的环境空气造成一定的影响；井喷失控喷射出的天然气遇火燃烧爆炸造成冲击波和热辐射伤人。尽管井喷造成的后果是严重的，但井喷发生的概率非常小，只有在钻井遇</w:t>
            </w:r>
            <w:r>
              <w:rPr>
                <w:rFonts w:hint="eastAsia" w:ascii="Times New Roman" w:hAnsi="Times New Roman" w:eastAsia="宋体" w:cs="Times New Roman"/>
                <w:b w:val="0"/>
                <w:bCs w:val="0"/>
                <w:color w:val="auto"/>
                <w:sz w:val="24"/>
                <w:szCs w:val="24"/>
                <w:highlight w:val="none"/>
                <w:vertAlign w:val="baseline"/>
                <w:lang w:val="en-US" w:eastAsia="zh-CN"/>
              </w:rPr>
              <w:t>高压采</w:t>
            </w:r>
            <w:r>
              <w:rPr>
                <w:rFonts w:hint="default" w:ascii="Times New Roman" w:hAnsi="Times New Roman" w:eastAsia="宋体" w:cs="Times New Roman"/>
                <w:b w:val="0"/>
                <w:bCs w:val="0"/>
                <w:color w:val="auto"/>
                <w:sz w:val="24"/>
                <w:szCs w:val="24"/>
                <w:highlight w:val="none"/>
                <w:vertAlign w:val="baseline"/>
                <w:lang w:val="en-US" w:eastAsia="zh-CN"/>
              </w:rPr>
              <w:t>气层且操作不当时才有可能发生。而由于操作者直接责任而引起井控措施不当、违反操作规程、井控措施故障等是造成井喷失控事故的主要因素。本项目在钻井时采用了安装防喷器和控制装置等防喷措施，项目发生井喷的概率很小。</w:t>
            </w:r>
          </w:p>
          <w:p w14:paraId="1ECF95A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②放喷事故</w:t>
            </w:r>
          </w:p>
          <w:p w14:paraId="6AB9AB9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为了解气井的产气量，在完井及压裂后，需进行测试放喷，项目通过</w:t>
            </w:r>
            <w:r>
              <w:rPr>
                <w:rFonts w:hint="eastAsia" w:ascii="Times New Roman" w:hAnsi="Times New Roman" w:eastAsia="宋体" w:cs="Times New Roman"/>
                <w:b w:val="0"/>
                <w:bCs w:val="0"/>
                <w:color w:val="auto"/>
                <w:sz w:val="24"/>
                <w:szCs w:val="24"/>
                <w:highlight w:val="none"/>
                <w:vertAlign w:val="baseline"/>
                <w:lang w:val="en-US" w:eastAsia="zh-CN"/>
              </w:rPr>
              <w:t>放喷罐</w:t>
            </w:r>
            <w:r>
              <w:rPr>
                <w:rFonts w:hint="default" w:ascii="Times New Roman" w:hAnsi="Times New Roman" w:eastAsia="宋体" w:cs="Times New Roman"/>
                <w:b w:val="0"/>
                <w:bCs w:val="0"/>
                <w:color w:val="auto"/>
                <w:sz w:val="24"/>
                <w:szCs w:val="24"/>
                <w:highlight w:val="none"/>
                <w:vertAlign w:val="baseline"/>
                <w:lang w:val="en-US" w:eastAsia="zh-CN"/>
              </w:rPr>
              <w:t>进行测试。</w:t>
            </w:r>
            <w:r>
              <w:rPr>
                <w:rFonts w:hint="eastAsia" w:ascii="Times New Roman" w:hAnsi="Times New Roman" w:eastAsia="宋体" w:cs="Times New Roman"/>
                <w:b w:val="0"/>
                <w:bCs w:val="0"/>
                <w:color w:val="auto"/>
                <w:sz w:val="24"/>
                <w:szCs w:val="24"/>
                <w:highlight w:val="none"/>
                <w:vertAlign w:val="baseline"/>
                <w:lang w:val="en-US" w:eastAsia="zh-CN"/>
              </w:rPr>
              <w:t>放喷罐</w:t>
            </w:r>
            <w:r>
              <w:rPr>
                <w:rFonts w:hint="default" w:ascii="Times New Roman" w:hAnsi="Times New Roman" w:eastAsia="宋体" w:cs="Times New Roman"/>
                <w:b w:val="0"/>
                <w:bCs w:val="0"/>
                <w:color w:val="auto"/>
                <w:sz w:val="24"/>
                <w:szCs w:val="24"/>
                <w:highlight w:val="none"/>
                <w:vertAlign w:val="baseline"/>
                <w:lang w:val="en-US" w:eastAsia="zh-CN"/>
              </w:rPr>
              <w:t>周围50m范围内进行清理，远离易燃物品，同时应远离居民区，</w:t>
            </w:r>
            <w:r>
              <w:rPr>
                <w:rFonts w:hint="eastAsia" w:ascii="Times New Roman" w:hAnsi="Times New Roman" w:eastAsia="宋体" w:cs="Times New Roman"/>
                <w:b w:val="0"/>
                <w:bCs w:val="0"/>
                <w:color w:val="auto"/>
                <w:sz w:val="24"/>
                <w:szCs w:val="24"/>
                <w:highlight w:val="none"/>
                <w:vertAlign w:val="baseline"/>
                <w:lang w:val="en-US" w:eastAsia="zh-CN"/>
              </w:rPr>
              <w:t>放喷罐</w:t>
            </w:r>
            <w:r>
              <w:rPr>
                <w:rFonts w:hint="default" w:ascii="Times New Roman" w:hAnsi="Times New Roman" w:eastAsia="宋体" w:cs="Times New Roman"/>
                <w:b w:val="0"/>
                <w:bCs w:val="0"/>
                <w:color w:val="auto"/>
                <w:sz w:val="24"/>
                <w:szCs w:val="24"/>
                <w:highlight w:val="none"/>
                <w:vertAlign w:val="baseline"/>
                <w:lang w:val="en-US" w:eastAsia="zh-CN"/>
              </w:rPr>
              <w:t>用于储存随放喷气体带出的地下水及洗井废水。项目设置</w:t>
            </w:r>
            <w:r>
              <w:rPr>
                <w:rFonts w:hint="eastAsia" w:ascii="Times New Roman" w:hAnsi="Times New Roman" w:eastAsia="宋体" w:cs="Times New Roman"/>
                <w:b w:val="0"/>
                <w:bCs w:val="0"/>
                <w:color w:val="auto"/>
                <w:sz w:val="24"/>
                <w:szCs w:val="24"/>
                <w:highlight w:val="none"/>
                <w:vertAlign w:val="baseline"/>
                <w:lang w:val="en-US" w:eastAsia="zh-CN"/>
              </w:rPr>
              <w:t>20</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b w:val="0"/>
                <w:bCs w:val="0"/>
                <w:color w:val="auto"/>
                <w:sz w:val="24"/>
                <w:szCs w:val="24"/>
                <w:highlight w:val="none"/>
                <w:vertAlign w:val="baseline"/>
                <w:lang w:val="en-US" w:eastAsia="zh-CN"/>
              </w:rPr>
              <w:t>放喷罐</w:t>
            </w:r>
            <w:r>
              <w:rPr>
                <w:rFonts w:hint="default" w:ascii="Times New Roman" w:hAnsi="Times New Roman" w:eastAsia="宋体" w:cs="Times New Roman"/>
                <w:b w:val="0"/>
                <w:bCs w:val="0"/>
                <w:color w:val="auto"/>
                <w:sz w:val="24"/>
                <w:szCs w:val="24"/>
                <w:highlight w:val="none"/>
                <w:vertAlign w:val="baseline"/>
                <w:lang w:val="en-US" w:eastAsia="zh-CN"/>
              </w:rPr>
              <w:t>，能够满足放喷气体带出的废水存储。</w:t>
            </w:r>
          </w:p>
          <w:p w14:paraId="1221D5F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③</w:t>
            </w:r>
            <w:r>
              <w:rPr>
                <w:rFonts w:hint="eastAsia" w:ascii="Times New Roman" w:hAnsi="Times New Roman" w:eastAsia="宋体" w:cs="Times New Roman"/>
                <w:b w:val="0"/>
                <w:bCs w:val="0"/>
                <w:color w:val="auto"/>
                <w:sz w:val="24"/>
                <w:szCs w:val="24"/>
                <w:highlight w:val="none"/>
                <w:vertAlign w:val="baseline"/>
                <w:lang w:val="en-US" w:eastAsia="zh-CN"/>
              </w:rPr>
              <w:t>危废贮存库</w:t>
            </w:r>
            <w:r>
              <w:rPr>
                <w:rFonts w:hint="default" w:ascii="Times New Roman" w:hAnsi="Times New Roman" w:eastAsia="宋体" w:cs="Times New Roman"/>
                <w:b w:val="0"/>
                <w:bCs w:val="0"/>
                <w:color w:val="auto"/>
                <w:sz w:val="24"/>
                <w:szCs w:val="24"/>
                <w:highlight w:val="none"/>
                <w:vertAlign w:val="baseline"/>
                <w:lang w:val="en-US" w:eastAsia="zh-CN"/>
              </w:rPr>
              <w:t>废油泄漏</w:t>
            </w:r>
          </w:p>
          <w:p w14:paraId="06277FD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风险影响主要是</w:t>
            </w:r>
            <w:r>
              <w:rPr>
                <w:rFonts w:hint="eastAsia" w:ascii="Times New Roman" w:hAnsi="Times New Roman" w:eastAsia="宋体" w:cs="Times New Roman"/>
                <w:b w:val="0"/>
                <w:bCs w:val="0"/>
                <w:color w:val="auto"/>
                <w:sz w:val="24"/>
                <w:szCs w:val="24"/>
                <w:highlight w:val="none"/>
                <w:vertAlign w:val="baseline"/>
                <w:lang w:val="en-US" w:eastAsia="zh-CN"/>
              </w:rPr>
              <w:t>危废贮存库</w:t>
            </w:r>
            <w:r>
              <w:rPr>
                <w:rFonts w:hint="default" w:ascii="Times New Roman" w:hAnsi="Times New Roman" w:eastAsia="宋体" w:cs="Times New Roman"/>
                <w:b w:val="0"/>
                <w:bCs w:val="0"/>
                <w:color w:val="auto"/>
                <w:sz w:val="24"/>
                <w:szCs w:val="24"/>
                <w:highlight w:val="none"/>
                <w:vertAlign w:val="baseline"/>
                <w:lang w:val="en-US" w:eastAsia="zh-CN"/>
              </w:rPr>
              <w:t>废油泄漏的火灾爆炸。本项目</w:t>
            </w:r>
            <w:r>
              <w:rPr>
                <w:rFonts w:hint="eastAsia" w:ascii="Times New Roman" w:hAnsi="Times New Roman" w:eastAsia="宋体" w:cs="Times New Roman"/>
                <w:b w:val="0"/>
                <w:bCs w:val="0"/>
                <w:color w:val="auto"/>
                <w:sz w:val="24"/>
                <w:szCs w:val="24"/>
                <w:highlight w:val="none"/>
                <w:vertAlign w:val="baseline"/>
                <w:lang w:val="en-US" w:eastAsia="zh-CN"/>
              </w:rPr>
              <w:t>危废贮存库</w:t>
            </w:r>
            <w:r>
              <w:rPr>
                <w:rFonts w:hint="default" w:ascii="Times New Roman" w:hAnsi="Times New Roman" w:eastAsia="宋体" w:cs="Times New Roman"/>
                <w:b w:val="0"/>
                <w:bCs w:val="0"/>
                <w:color w:val="auto"/>
                <w:sz w:val="24"/>
                <w:szCs w:val="24"/>
                <w:highlight w:val="none"/>
                <w:vertAlign w:val="baseline"/>
                <w:lang w:val="en-US" w:eastAsia="zh-CN"/>
              </w:rPr>
              <w:t>内废油储存量较少，发生泄漏后全部收集在</w:t>
            </w:r>
            <w:r>
              <w:rPr>
                <w:rFonts w:hint="eastAsia" w:ascii="Times New Roman" w:hAnsi="Times New Roman" w:eastAsia="宋体" w:cs="Times New Roman"/>
                <w:b w:val="0"/>
                <w:bCs w:val="0"/>
                <w:color w:val="auto"/>
                <w:sz w:val="24"/>
                <w:szCs w:val="24"/>
                <w:highlight w:val="none"/>
                <w:vertAlign w:val="baseline"/>
                <w:lang w:val="en-US" w:eastAsia="zh-CN"/>
              </w:rPr>
              <w:t>危废贮存库</w:t>
            </w:r>
            <w:r>
              <w:rPr>
                <w:rFonts w:hint="default" w:ascii="Times New Roman" w:hAnsi="Times New Roman" w:eastAsia="宋体" w:cs="Times New Roman"/>
                <w:b w:val="0"/>
                <w:bCs w:val="0"/>
                <w:color w:val="auto"/>
                <w:sz w:val="24"/>
                <w:szCs w:val="24"/>
                <w:highlight w:val="none"/>
                <w:vertAlign w:val="baseline"/>
                <w:lang w:val="en-US" w:eastAsia="zh-CN"/>
              </w:rPr>
              <w:t>内，工作人员可及时发现并清理，引发环境风险事故的可能性极低。</w:t>
            </w:r>
          </w:p>
          <w:p w14:paraId="61BDEA6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2）地表水环境风险分析</w:t>
            </w:r>
          </w:p>
          <w:p w14:paraId="1B11ADD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正常情况下，本项目井场设置泥浆不落地系统，生产废水全部妥善处置，不会外排出场地，井喷等事故情况下，喷出的泥浆废液可由井场内应急储罐收集处理，不会外排引发地表水体污染。</w:t>
            </w:r>
          </w:p>
          <w:p w14:paraId="54FBAAF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3）地下水环境风险分析</w:t>
            </w:r>
          </w:p>
          <w:p w14:paraId="3BD7320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①</w:t>
            </w:r>
            <w:r>
              <w:rPr>
                <w:rFonts w:hint="eastAsia" w:ascii="Times New Roman" w:hAnsi="Times New Roman" w:eastAsia="宋体" w:cs="Times New Roman"/>
                <w:b w:val="0"/>
                <w:bCs w:val="0"/>
                <w:color w:val="auto"/>
                <w:sz w:val="24"/>
                <w:szCs w:val="24"/>
                <w:highlight w:val="none"/>
                <w:vertAlign w:val="baseline"/>
                <w:lang w:val="en-US" w:eastAsia="zh-CN"/>
              </w:rPr>
              <w:t>危废贮存库</w:t>
            </w:r>
            <w:r>
              <w:rPr>
                <w:rFonts w:hint="default" w:ascii="Times New Roman" w:hAnsi="Times New Roman" w:eastAsia="宋体" w:cs="Times New Roman"/>
                <w:b w:val="0"/>
                <w:bCs w:val="0"/>
                <w:color w:val="auto"/>
                <w:sz w:val="24"/>
                <w:szCs w:val="24"/>
                <w:highlight w:val="none"/>
                <w:vertAlign w:val="baseline"/>
                <w:lang w:val="en-US" w:eastAsia="zh-CN"/>
              </w:rPr>
              <w:t>废油泄漏</w:t>
            </w:r>
          </w:p>
          <w:p w14:paraId="76818D1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b w:val="0"/>
                <w:bCs w:val="0"/>
                <w:color w:val="auto"/>
                <w:sz w:val="24"/>
                <w:szCs w:val="24"/>
                <w:highlight w:val="none"/>
                <w:vertAlign w:val="baseline"/>
                <w:lang w:val="en-US" w:eastAsia="zh-CN"/>
              </w:rPr>
              <w:t>危废贮存库</w:t>
            </w:r>
            <w:r>
              <w:rPr>
                <w:rFonts w:hint="default" w:ascii="Times New Roman" w:hAnsi="Times New Roman" w:eastAsia="宋体" w:cs="Times New Roman"/>
                <w:b w:val="0"/>
                <w:bCs w:val="0"/>
                <w:color w:val="auto"/>
                <w:sz w:val="24"/>
                <w:szCs w:val="24"/>
                <w:highlight w:val="none"/>
                <w:vertAlign w:val="baseline"/>
                <w:lang w:val="en-US" w:eastAsia="zh-CN"/>
              </w:rPr>
              <w:t>的废油泄漏，石油烃类污染物可能通过井场地面下渗至地下含水层并向下游迁移，对下游地下水环境造成风险事故，由于项目</w:t>
            </w:r>
            <w:r>
              <w:rPr>
                <w:rFonts w:hint="eastAsia" w:ascii="Times New Roman" w:hAnsi="Times New Roman" w:eastAsia="宋体" w:cs="Times New Roman"/>
                <w:b w:val="0"/>
                <w:bCs w:val="0"/>
                <w:color w:val="auto"/>
                <w:sz w:val="24"/>
                <w:szCs w:val="24"/>
                <w:highlight w:val="none"/>
                <w:vertAlign w:val="baseline"/>
                <w:lang w:val="en-US" w:eastAsia="zh-CN"/>
              </w:rPr>
              <w:t>危废贮存库</w:t>
            </w:r>
            <w:r>
              <w:rPr>
                <w:rFonts w:hint="default" w:ascii="Times New Roman" w:hAnsi="Times New Roman" w:eastAsia="宋体" w:cs="Times New Roman"/>
                <w:b w:val="0"/>
                <w:bCs w:val="0"/>
                <w:color w:val="auto"/>
                <w:sz w:val="24"/>
                <w:szCs w:val="24"/>
                <w:highlight w:val="none"/>
                <w:vertAlign w:val="baseline"/>
                <w:lang w:val="en-US" w:eastAsia="zh-CN"/>
              </w:rPr>
              <w:t>均已按照相关要求采取分区防渗，可有效防止污染物下渗进入地下水。</w:t>
            </w:r>
          </w:p>
          <w:p w14:paraId="64E0557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②井漏事故</w:t>
            </w:r>
          </w:p>
          <w:p w14:paraId="07EE51D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井漏事故对地下水的污染是指在钻井过程中，钻井废水、泥浆漏失于地下水含水层中，造成地下含水层水质污染。就钻井漏失而言，发生在局部且持续时间较短。</w:t>
            </w:r>
          </w:p>
          <w:p w14:paraId="06EADAB7">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left"/>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本项目一开钻井泥浆主要成分为膨润土和碳酸钠等，不含有毒有害物质，一开井深基本涵盖了可能具有使用功能的地下水，因此本项目一开钻井过程不会对可能具备使用功能的地下水造成影响。二开施工时，表层套管已完成固井，因此钻井泥浆不会在表层套管范围内漏失，漏失发生在表层套管以下的二开范围内，二开范围内的地层地下水埋深较深，不具备使用功能。</w:t>
            </w:r>
          </w:p>
          <w:p w14:paraId="790E1C6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井漏主要发生于具有特殊地质结构的气藏区，如具有溶洞、裂隙等不稳定的地层构造区域。本企业在油气资源勘探过程中未发现不稳定地质因素。另外，施工单位针对井漏制定有完善的应对措施，钻井过程中一旦发现异常，施工单位将立即停钻采取添加桥堵剂、打水泥塞等措施，防止井漏事故的发生，可有效减轻井漏对地下水的影响。</w:t>
            </w:r>
          </w:p>
          <w:p w14:paraId="765D8F42">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left"/>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val="0"/>
                <w:bCs w:val="0"/>
                <w:color w:val="auto"/>
                <w:sz w:val="24"/>
                <w:szCs w:val="24"/>
                <w:highlight w:val="none"/>
                <w:vertAlign w:val="baseline"/>
                <w:lang w:val="en-US" w:eastAsia="zh-CN"/>
              </w:rPr>
              <w:t>综上，在采取一系列风险防范措施之后，项目环境风险在可控范围内，对周边环境影响较小。</w:t>
            </w:r>
          </w:p>
          <w:p w14:paraId="468809A5">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2" w:firstLineChars="200"/>
              <w:jc w:val="both"/>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九、封井环境影响分析</w:t>
            </w:r>
          </w:p>
          <w:p w14:paraId="10E1DEA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本项目为天然气评价井项目，封井分为临时封井和永久封井，当评价井具有开发价值时对其进行管网建设用于生产输送，或采取临时封井等待管网建设以及开发生产。当评价井不具有开发价值时，采取永久封井。</w:t>
            </w:r>
          </w:p>
          <w:p w14:paraId="25A9B71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（1）临时封井</w:t>
            </w:r>
          </w:p>
          <w:p w14:paraId="0474E1BB">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临时封井时按行业规范进行封井作业，对钻井设备、基础进行拆除、搬迁，井口安装采气设施。在井口位置设标记，注明该井的启用与封闭时间及使用单位等，在封井结束后清理井场，</w:t>
            </w:r>
            <w:r>
              <w:rPr>
                <w:rFonts w:hint="default" w:ascii="Times New Roman" w:hAnsi="Times New Roman" w:cs="Times New Roman"/>
                <w:color w:val="auto"/>
                <w:sz w:val="24"/>
                <w:highlight w:val="none"/>
                <w:lang w:val="en-US" w:eastAsia="zh-CN"/>
              </w:rPr>
              <w:t>移交给</w:t>
            </w:r>
            <w:r>
              <w:rPr>
                <w:rFonts w:hint="default" w:ascii="Times New Roman" w:hAnsi="Times New Roman" w:cs="Times New Roman"/>
                <w:color w:val="auto"/>
                <w:sz w:val="24"/>
                <w:szCs w:val="24"/>
                <w:highlight w:val="none"/>
                <w:lang w:val="en-US" w:eastAsia="zh-CN"/>
              </w:rPr>
              <w:t>长庆油田分公司第二采气厂</w:t>
            </w:r>
            <w:r>
              <w:rPr>
                <w:rFonts w:hint="default" w:ascii="Times New Roman" w:hAnsi="Times New Roman" w:eastAsia="宋体" w:cs="Times New Roman"/>
                <w:color w:val="auto"/>
                <w:sz w:val="24"/>
                <w:szCs w:val="24"/>
                <w:highlight w:val="none"/>
                <w:lang w:val="en-US" w:eastAsia="zh-CN"/>
              </w:rPr>
              <w:t>按标准化井场进行建设和管理，</w:t>
            </w:r>
            <w:r>
              <w:rPr>
                <w:rFonts w:hint="eastAsia" w:ascii="Times New Roman" w:hAnsi="Times New Roman" w:eastAsia="宋体" w:cs="Times New Roman"/>
                <w:color w:val="auto"/>
                <w:sz w:val="24"/>
                <w:szCs w:val="24"/>
                <w:highlight w:val="none"/>
                <w:lang w:val="en-US" w:eastAsia="zh-CN"/>
              </w:rPr>
              <w:t>无论</w:t>
            </w:r>
            <w:r>
              <w:rPr>
                <w:rFonts w:hint="default" w:ascii="Times New Roman" w:hAnsi="Times New Roman" w:eastAsia="宋体" w:cs="Times New Roman"/>
                <w:color w:val="auto"/>
                <w:sz w:val="24"/>
                <w:szCs w:val="24"/>
                <w:highlight w:val="none"/>
                <w:lang w:val="en-US" w:eastAsia="zh-CN"/>
              </w:rPr>
              <w:t>临时封井还是永久封井都</w:t>
            </w:r>
            <w:r>
              <w:rPr>
                <w:rFonts w:hint="eastAsia" w:ascii="Times New Roman" w:hAnsi="Times New Roman" w:eastAsia="宋体" w:cs="Times New Roman"/>
                <w:color w:val="auto"/>
                <w:sz w:val="24"/>
                <w:szCs w:val="24"/>
                <w:highlight w:val="none"/>
                <w:lang w:val="en-US" w:eastAsia="zh-CN"/>
              </w:rPr>
              <w:t>需</w:t>
            </w:r>
            <w:r>
              <w:rPr>
                <w:rFonts w:hint="default" w:ascii="Times New Roman" w:hAnsi="Times New Roman" w:eastAsia="宋体" w:cs="Times New Roman"/>
                <w:color w:val="auto"/>
                <w:sz w:val="24"/>
                <w:szCs w:val="24"/>
                <w:highlight w:val="none"/>
                <w:lang w:val="en-US" w:eastAsia="zh-CN"/>
              </w:rPr>
              <w:t>进行生态恢复</w:t>
            </w:r>
            <w:r>
              <w:rPr>
                <w:rFonts w:hint="default" w:ascii="Times New Roman" w:hAnsi="Times New Roman" w:cs="Times New Roman"/>
                <w:color w:val="auto"/>
                <w:sz w:val="24"/>
                <w:highlight w:val="none"/>
              </w:rPr>
              <w:t>。</w:t>
            </w:r>
          </w:p>
          <w:p w14:paraId="2736D0F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（2）永久封井</w:t>
            </w:r>
          </w:p>
          <w:p w14:paraId="6634DDA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封井的目的主要包括：保护淡水层免受地层流体或地表水窜入的污染；隔离开采井段与未开采利用井段；保护地表土壤和地面水不受地层流体污染；隔离开污水的层段；封井措施按照《油气田开采废弃井永久性封井处置作业规程》（GB/T43672-2024）要求执行，关键性层段之间应隔离开，主要包括以下工作：</w:t>
            </w:r>
          </w:p>
          <w:p w14:paraId="0AF40E6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①隔离各个</w:t>
            </w:r>
            <w:r>
              <w:rPr>
                <w:rFonts w:hint="eastAsia" w:ascii="Times New Roman" w:hAnsi="Times New Roman" w:eastAsia="宋体" w:cs="Times New Roman"/>
                <w:b w:val="0"/>
                <w:bCs w:val="0"/>
                <w:color w:val="auto"/>
                <w:sz w:val="24"/>
                <w:szCs w:val="24"/>
                <w:highlight w:val="none"/>
                <w:vertAlign w:val="baseline"/>
                <w:lang w:val="en-US" w:eastAsia="zh-CN"/>
              </w:rPr>
              <w:t>采</w:t>
            </w:r>
            <w:r>
              <w:rPr>
                <w:rFonts w:hint="default" w:ascii="Times New Roman" w:hAnsi="Times New Roman" w:eastAsia="宋体" w:cs="Times New Roman"/>
                <w:b w:val="0"/>
                <w:bCs w:val="0"/>
                <w:color w:val="auto"/>
                <w:sz w:val="24"/>
                <w:szCs w:val="24"/>
                <w:highlight w:val="none"/>
                <w:vertAlign w:val="baseline"/>
                <w:lang w:val="en-US" w:eastAsia="zh-CN"/>
              </w:rPr>
              <w:t>气层和处理废水的层段，并在最下部淡水层的底部打一个水泥塞；</w:t>
            </w:r>
          </w:p>
          <w:p w14:paraId="409E8BD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②打地表水泥塞，阻止地面水渗入井内，并流入淡水层，同时限制境内流体流出地表，从而保护土壤和地面水；</w:t>
            </w:r>
          </w:p>
          <w:p w14:paraId="2F89EA2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③为防止层间窜流干扰邻井开发，在废弃井井内选择水泥塞或桥塞的位置，要确保隔离开已确认有生产能力的气层或注水层，使井内所有注采井段都被隔离开，将油气及注入液限值在各自的层段内，阻止各层之间的井内窜流；</w:t>
            </w:r>
          </w:p>
          <w:p w14:paraId="03C28B8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④恢复地貌，去掉井口装置和割掉一定深度以上的表层套管，使井与土地使用的矛盾最小化。</w:t>
            </w:r>
          </w:p>
          <w:p w14:paraId="386AF30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⑤封井后使用GPS重新定位，建立档案。</w:t>
            </w:r>
          </w:p>
          <w:p w14:paraId="4B2675E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（3）其他影响</w:t>
            </w:r>
          </w:p>
          <w:p w14:paraId="7059015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封井期还需对井场的地面设施进行拆除，在拆除过程中会产生少量扬尘，扬尘受影响人群主要为拆除人员，拆除时间较短，且与当地自然条件导致的风沙相比较，清理过程中扬尘造成的环境影响可忽略不计。</w:t>
            </w:r>
          </w:p>
          <w:p w14:paraId="5F22DAF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封井之后需进行场地生态恢复，并进行植树种草，播撒种植当地适宜生长的草籽，以促进当地生态环境的恢复，项目占地面积较小，故对生态环境影响较小。</w:t>
            </w:r>
          </w:p>
          <w:p w14:paraId="7FCDB358">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firstLine="480" w:firstLineChars="200"/>
              <w:jc w:val="left"/>
              <w:outlineLvl w:val="9"/>
              <w:rPr>
                <w:rFonts w:hint="default" w:ascii="Times New Roman" w:hAnsi="Times New Roman" w:eastAsia="宋体" w:cs="Times New Roman"/>
                <w:color w:val="auto"/>
                <w:kern w:val="0"/>
                <w:sz w:val="28"/>
                <w:szCs w:val="28"/>
                <w:highlight w:val="none"/>
                <w:vertAlign w:val="baseline"/>
                <w:lang w:val="en-US" w:eastAsia="zh-CN" w:bidi="ar"/>
              </w:rPr>
            </w:pPr>
            <w:r>
              <w:rPr>
                <w:rFonts w:hint="default" w:ascii="Times New Roman" w:hAnsi="Times New Roman" w:eastAsia="宋体" w:cs="Times New Roman"/>
                <w:b w:val="0"/>
                <w:bCs w:val="0"/>
                <w:color w:val="auto"/>
                <w:sz w:val="24"/>
                <w:szCs w:val="24"/>
                <w:highlight w:val="none"/>
                <w:vertAlign w:val="baseline"/>
                <w:lang w:val="en-US" w:eastAsia="zh-CN"/>
              </w:rPr>
              <w:t>综上，项目封井对周边环境影响较小。</w:t>
            </w:r>
          </w:p>
        </w:tc>
      </w:tr>
      <w:tr w14:paraId="3D948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noWrap w:val="0"/>
            <w:vAlign w:val="center"/>
          </w:tcPr>
          <w:p w14:paraId="1057A287">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运营期生态环境影响分析</w:t>
            </w:r>
          </w:p>
        </w:tc>
        <w:tc>
          <w:tcPr>
            <w:tcW w:w="8602" w:type="dxa"/>
            <w:noWrap w:val="0"/>
            <w:vAlign w:val="center"/>
          </w:tcPr>
          <w:p w14:paraId="137465A4">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本项目为天然气评价井的钻井工程，使用功能为天然气勘探、完井并测试，不涉及运营期。</w:t>
            </w:r>
          </w:p>
        </w:tc>
      </w:tr>
      <w:tr w14:paraId="51FE7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noWrap w:val="0"/>
            <w:vAlign w:val="center"/>
          </w:tcPr>
          <w:p w14:paraId="4C5BD031">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选址选线环境合理性分析</w:t>
            </w:r>
          </w:p>
        </w:tc>
        <w:tc>
          <w:tcPr>
            <w:tcW w:w="8602" w:type="dxa"/>
            <w:noWrap w:val="0"/>
            <w:vAlign w:val="top"/>
          </w:tcPr>
          <w:p w14:paraId="40B54CE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jc w:val="left"/>
              <w:outlineLvl w:val="9"/>
              <w:rPr>
                <w:rFonts w:hint="default" w:ascii="Times New Roman" w:hAnsi="Times New Roman" w:eastAsia="宋体" w:cs="Times New Roman"/>
                <w:b/>
                <w:bCs w:val="0"/>
                <w:color w:val="auto"/>
                <w:sz w:val="24"/>
                <w:szCs w:val="22"/>
                <w:highlight w:val="none"/>
                <w:lang w:val="en-US" w:eastAsia="zh-CN"/>
              </w:rPr>
            </w:pPr>
            <w:r>
              <w:rPr>
                <w:rFonts w:hint="default" w:ascii="Times New Roman" w:hAnsi="Times New Roman" w:eastAsia="宋体" w:cs="Times New Roman"/>
                <w:b/>
                <w:bCs w:val="0"/>
                <w:color w:val="auto"/>
                <w:kern w:val="0"/>
                <w:sz w:val="24"/>
                <w:szCs w:val="22"/>
                <w:highlight w:val="none"/>
                <w:lang w:val="en-US" w:eastAsia="zh-CN" w:bidi="ar"/>
              </w:rPr>
              <w:t>1.占地合理性</w:t>
            </w:r>
          </w:p>
          <w:p w14:paraId="13678C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color w:val="auto"/>
                <w:sz w:val="24"/>
                <w:highlight w:val="none"/>
              </w:rPr>
            </w:pPr>
            <w:r>
              <w:rPr>
                <w:rFonts w:hint="default"/>
                <w:color w:val="auto"/>
                <w:sz w:val="24"/>
                <w:highlight w:val="none"/>
              </w:rPr>
              <w:t>本项目</w:t>
            </w:r>
            <w:r>
              <w:rPr>
                <w:rFonts w:hint="eastAsia"/>
                <w:color w:val="auto"/>
                <w:sz w:val="24"/>
                <w:highlight w:val="none"/>
                <w:lang w:val="en-US" w:eastAsia="zh-CN"/>
              </w:rPr>
              <w:t>探井</w:t>
            </w:r>
            <w:r>
              <w:rPr>
                <w:rFonts w:hint="default"/>
                <w:color w:val="auto"/>
                <w:sz w:val="24"/>
                <w:highlight w:val="none"/>
              </w:rPr>
              <w:t>勘探</w:t>
            </w:r>
            <w:r>
              <w:rPr>
                <w:rFonts w:hint="eastAsia"/>
                <w:color w:val="auto"/>
                <w:sz w:val="24"/>
                <w:highlight w:val="none"/>
                <w:lang w:val="en-US" w:eastAsia="zh-CN"/>
              </w:rPr>
              <w:t>测试</w:t>
            </w:r>
            <w:r>
              <w:rPr>
                <w:rFonts w:hint="default"/>
                <w:color w:val="auto"/>
                <w:sz w:val="24"/>
                <w:highlight w:val="none"/>
              </w:rPr>
              <w:t>后如有开采价值，将依法办理国土征地手续等，无开采价值将恢复原貌</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本项目临时</w:t>
            </w:r>
            <w:r>
              <w:rPr>
                <w:rFonts w:hint="eastAsia" w:ascii="Times New Roman" w:hAnsi="Times New Roman" w:eastAsia="宋体" w:cs="Times New Roman"/>
                <w:color w:val="auto"/>
                <w:sz w:val="24"/>
                <w:szCs w:val="24"/>
                <w:highlight w:val="none"/>
                <w:lang w:val="en-US" w:eastAsia="zh-CN"/>
              </w:rPr>
              <w:t>总</w:t>
            </w:r>
            <w:r>
              <w:rPr>
                <w:rFonts w:hint="default" w:ascii="Times New Roman" w:hAnsi="Times New Roman" w:eastAsia="宋体" w:cs="Times New Roman"/>
                <w:color w:val="auto"/>
                <w:sz w:val="24"/>
                <w:szCs w:val="24"/>
                <w:highlight w:val="none"/>
                <w:lang w:val="en-US" w:eastAsia="zh-CN"/>
              </w:rPr>
              <w:t>占地面积</w:t>
            </w:r>
            <w:r>
              <w:rPr>
                <w:rFonts w:hint="eastAsia" w:ascii="Times New Roman" w:hAnsi="Times New Roman" w:eastAsia="宋体" w:cs="Times New Roman"/>
                <w:color w:val="auto"/>
                <w:kern w:val="0"/>
                <w:sz w:val="24"/>
                <w:szCs w:val="24"/>
                <w:highlight w:val="none"/>
                <w:lang w:val="en-US" w:eastAsia="zh-CN" w:bidi="ar"/>
              </w:rPr>
              <w:t>16559</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bCs/>
                <w:color w:val="auto"/>
                <w:sz w:val="24"/>
                <w:szCs w:val="24"/>
                <w:highlight w:val="none"/>
                <w:lang w:val="en-US" w:eastAsia="zh-CN" w:bidi="ar"/>
              </w:rPr>
              <w:t>目前正在办理临时用地手续，</w:t>
            </w:r>
            <w:r>
              <w:rPr>
                <w:rFonts w:hint="default" w:ascii="Times New Roman" w:hAnsi="Times New Roman" w:eastAsia="宋体" w:cs="Times New Roman"/>
                <w:color w:val="auto"/>
                <w:sz w:val="24"/>
                <w:szCs w:val="24"/>
                <w:highlight w:val="none"/>
                <w:lang w:val="en-US" w:eastAsia="zh-CN"/>
              </w:rPr>
              <w:t>占地类型主要为种植园用地、</w:t>
            </w:r>
            <w:r>
              <w:rPr>
                <w:rFonts w:hint="eastAsia" w:ascii="Times New Roman" w:hAnsi="Times New Roman" w:eastAsia="宋体" w:cs="Times New Roman"/>
                <w:color w:val="auto"/>
                <w:sz w:val="24"/>
                <w:szCs w:val="24"/>
                <w:highlight w:val="none"/>
                <w:lang w:val="en-US" w:eastAsia="zh-CN"/>
              </w:rPr>
              <w:t>草地</w:t>
            </w:r>
            <w:r>
              <w:rPr>
                <w:rFonts w:hint="eastAsia"/>
                <w:bCs/>
                <w:color w:val="auto"/>
                <w:sz w:val="24"/>
                <w:szCs w:val="24"/>
                <w:highlight w:val="none"/>
                <w:lang w:val="en-US" w:eastAsia="zh-CN" w:bidi="ar"/>
              </w:rPr>
              <w:t>，</w:t>
            </w:r>
            <w:r>
              <w:rPr>
                <w:rFonts w:hint="default" w:ascii="Times New Roman" w:hAnsi="Times New Roman" w:cs="Times New Roman"/>
                <w:color w:val="auto"/>
                <w:sz w:val="24"/>
                <w:highlight w:val="none"/>
                <w:lang w:eastAsia="zh-CN"/>
              </w:rPr>
              <w:t>不涉及基本农田、生态红线和禁止建设区，</w:t>
            </w:r>
            <w:r>
              <w:rPr>
                <w:rFonts w:hint="eastAsia" w:ascii="Times New Roman" w:hAnsi="Times New Roman" w:eastAsia="宋体" w:cs="Times New Roman"/>
                <w:bCs/>
                <w:snapToGrid w:val="0"/>
                <w:color w:val="auto"/>
                <w:kern w:val="0"/>
                <w:sz w:val="24"/>
                <w:highlight w:val="none"/>
              </w:rPr>
              <w:t>项目建设符合榆林市投资项目选址“一张图”控制线要求</w:t>
            </w:r>
            <w:r>
              <w:rPr>
                <w:rFonts w:hint="eastAsia" w:ascii="Times New Roman" w:hAnsi="Times New Roman" w:eastAsia="宋体" w:cs="Times New Roman"/>
                <w:bCs/>
                <w:snapToGrid w:val="0"/>
                <w:color w:val="auto"/>
                <w:kern w:val="0"/>
                <w:sz w:val="24"/>
                <w:highlight w:val="none"/>
                <w:lang w:eastAsia="zh-CN"/>
              </w:rPr>
              <w:t>，</w:t>
            </w:r>
            <w:r>
              <w:rPr>
                <w:rFonts w:hint="eastAsia" w:ascii="Times New Roman" w:hAnsi="Times New Roman" w:eastAsia="宋体" w:cs="Times New Roman"/>
                <w:bCs/>
                <w:snapToGrid w:val="0"/>
                <w:color w:val="auto"/>
                <w:kern w:val="0"/>
                <w:sz w:val="24"/>
                <w:highlight w:val="none"/>
                <w:lang w:val="en-US" w:eastAsia="zh-CN"/>
              </w:rPr>
              <w:t>故项目</w:t>
            </w:r>
            <w:r>
              <w:rPr>
                <w:rFonts w:hint="default" w:ascii="Times New Roman" w:hAnsi="Times New Roman" w:cs="Times New Roman"/>
                <w:color w:val="auto"/>
                <w:sz w:val="24"/>
                <w:highlight w:val="none"/>
              </w:rPr>
              <w:t>占地合理。</w:t>
            </w:r>
          </w:p>
          <w:p w14:paraId="08B0537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both"/>
              <w:textAlignment w:val="auto"/>
              <w:rPr>
                <w:rFonts w:hint="default" w:ascii="Times New Roman" w:hAnsi="Times New Roman" w:cs="Times New Roman"/>
                <w:b/>
                <w:color w:val="auto"/>
                <w:kern w:val="0"/>
                <w:sz w:val="24"/>
                <w:highlight w:val="none"/>
              </w:rPr>
            </w:pPr>
            <w:r>
              <w:rPr>
                <w:rFonts w:hint="default" w:ascii="Times New Roman" w:hAnsi="Times New Roman" w:cs="Times New Roman"/>
                <w:b/>
                <w:color w:val="auto"/>
                <w:kern w:val="0"/>
                <w:sz w:val="24"/>
                <w:highlight w:val="none"/>
                <w:lang w:val="en-US" w:eastAsia="zh-CN"/>
              </w:rPr>
              <w:t>2.</w:t>
            </w:r>
            <w:r>
              <w:rPr>
                <w:rFonts w:hint="default" w:ascii="Times New Roman" w:hAnsi="Times New Roman" w:cs="Times New Roman"/>
                <w:b/>
                <w:color w:val="auto"/>
                <w:kern w:val="0"/>
                <w:sz w:val="24"/>
                <w:highlight w:val="none"/>
              </w:rPr>
              <w:t>选址合理性</w:t>
            </w:r>
          </w:p>
          <w:p w14:paraId="11529823">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米75-</w:t>
            </w: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M</w:t>
            </w:r>
            <w:r>
              <w:rPr>
                <w:rFonts w:hint="eastAsia" w:ascii="Times New Roman" w:hAnsi="Times New Roman" w:eastAsia="宋体" w:cs="Times New Roman"/>
                <w:color w:val="auto"/>
                <w:sz w:val="24"/>
                <w:szCs w:val="24"/>
                <w:highlight w:val="none"/>
                <w:lang w:val="en-US" w:eastAsia="zh-CN"/>
              </w:rPr>
              <w:t>位于佳县</w:t>
            </w:r>
            <w:r>
              <w:rPr>
                <w:rFonts w:hint="default" w:ascii="Times New Roman" w:hAnsi="Times New Roman" w:cs="Times New Roman"/>
                <w:color w:val="auto"/>
                <w:sz w:val="24"/>
                <w:szCs w:val="24"/>
                <w:highlight w:val="none"/>
              </w:rPr>
              <w:t>金明寺镇双碾沟村</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不在城市规划区。</w:t>
            </w:r>
          </w:p>
          <w:p w14:paraId="586293BD">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项目</w:t>
            </w:r>
            <w:r>
              <w:rPr>
                <w:rFonts w:hint="eastAsia" w:ascii="Times New Roman" w:hAnsi="Times New Roman" w:cs="Times New Roman"/>
                <w:color w:val="auto"/>
                <w:sz w:val="24"/>
                <w:szCs w:val="24"/>
                <w:highlight w:val="none"/>
                <w:lang w:val="en-US" w:eastAsia="zh-CN"/>
              </w:rPr>
              <w:t>临时</w:t>
            </w:r>
            <w:r>
              <w:rPr>
                <w:rFonts w:hint="default" w:ascii="Times New Roman" w:hAnsi="Times New Roman" w:eastAsia="宋体" w:cs="Times New Roman"/>
                <w:color w:val="auto"/>
                <w:sz w:val="24"/>
                <w:szCs w:val="24"/>
                <w:highlight w:val="none"/>
                <w:lang w:val="en-US" w:eastAsia="zh-CN"/>
              </w:rPr>
              <w:t>占地类型主要为种植园用地、</w:t>
            </w:r>
            <w:r>
              <w:rPr>
                <w:rFonts w:hint="eastAsia" w:ascii="Times New Roman" w:hAnsi="Times New Roman" w:eastAsia="宋体" w:cs="Times New Roman"/>
                <w:color w:val="auto"/>
                <w:sz w:val="24"/>
                <w:szCs w:val="24"/>
                <w:highlight w:val="none"/>
                <w:lang w:val="en-US" w:eastAsia="zh-CN"/>
              </w:rPr>
              <w:t>草地</w:t>
            </w:r>
            <w:r>
              <w:rPr>
                <w:rFonts w:hint="default" w:ascii="Times New Roman" w:hAnsi="Times New Roman" w:cs="Times New Roman"/>
                <w:color w:val="auto"/>
                <w:sz w:val="24"/>
                <w:highlight w:val="none"/>
              </w:rPr>
              <w:t>，</w:t>
            </w:r>
            <w:r>
              <w:rPr>
                <w:rFonts w:hint="default" w:ascii="Times New Roman" w:hAnsi="Times New Roman" w:cs="Times New Roman"/>
                <w:color w:val="auto"/>
                <w:sz w:val="24"/>
                <w:szCs w:val="24"/>
                <w:highlight w:val="none"/>
              </w:rPr>
              <w:t>不</w:t>
            </w:r>
            <w:r>
              <w:rPr>
                <w:rFonts w:hint="default" w:ascii="Times New Roman" w:hAnsi="Times New Roman" w:cs="Times New Roman"/>
                <w:color w:val="auto"/>
                <w:sz w:val="24"/>
                <w:szCs w:val="24"/>
                <w:highlight w:val="none"/>
                <w:lang w:eastAsia="zh-CN"/>
              </w:rPr>
              <w:t>占用</w:t>
            </w:r>
            <w:r>
              <w:rPr>
                <w:rFonts w:hint="default" w:ascii="Times New Roman" w:hAnsi="Times New Roman" w:cs="Times New Roman"/>
                <w:color w:val="auto"/>
                <w:sz w:val="24"/>
                <w:szCs w:val="24"/>
                <w:highlight w:val="none"/>
              </w:rPr>
              <w:t>基本农田</w:t>
            </w:r>
            <w:r>
              <w:rPr>
                <w:rFonts w:hint="default" w:ascii="Times New Roman" w:hAnsi="Times New Roman" w:cs="Times New Roman"/>
                <w:color w:val="auto"/>
                <w:sz w:val="24"/>
                <w:szCs w:val="24"/>
                <w:highlight w:val="none"/>
                <w:lang w:eastAsia="zh-CN"/>
              </w:rPr>
              <w:t>和生态红线</w:t>
            </w:r>
            <w:r>
              <w:rPr>
                <w:rFonts w:hint="default" w:ascii="Times New Roman" w:hAnsi="Times New Roman" w:cs="Times New Roman"/>
                <w:color w:val="auto"/>
                <w:sz w:val="24"/>
                <w:szCs w:val="24"/>
                <w:highlight w:val="none"/>
              </w:rPr>
              <w:t>。根据《建设项目环境影响评价分类管理名录（2021年版）》中关于环境敏感因素的界定原则，本项目影响区不涉及饮用水水源保护区、自然保护区、风景名胜区等环境敏感区域。</w:t>
            </w:r>
          </w:p>
          <w:p w14:paraId="68EE1D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项目探井建设</w:t>
            </w:r>
            <w:r>
              <w:rPr>
                <w:rFonts w:hint="default" w:ascii="Times New Roman" w:hAnsi="Times New Roman" w:eastAsia="宋体" w:cs="Times New Roman"/>
                <w:color w:val="auto"/>
                <w:sz w:val="24"/>
                <w:szCs w:val="24"/>
                <w:highlight w:val="none"/>
                <w:lang w:val="en-US" w:eastAsia="zh-CN"/>
              </w:rPr>
              <w:t>临时用地较小，工程仅涉及施工期，施工期采取各类措施后污染物可实现达标排放或不外排</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施工结束后，对不具有利用价值的</w:t>
            </w:r>
            <w:r>
              <w:rPr>
                <w:rFonts w:hint="eastAsia" w:ascii="Times New Roman" w:hAnsi="Times New Roman" w:eastAsia="宋体" w:cs="Times New Roman"/>
                <w:color w:val="auto"/>
                <w:sz w:val="24"/>
                <w:szCs w:val="24"/>
                <w:highlight w:val="none"/>
                <w:lang w:eastAsia="zh-CN"/>
              </w:rPr>
              <w:t>评价井</w:t>
            </w:r>
            <w:r>
              <w:rPr>
                <w:rFonts w:hint="default" w:ascii="Times New Roman" w:hAnsi="Times New Roman" w:eastAsia="宋体" w:cs="Times New Roman"/>
                <w:color w:val="auto"/>
                <w:sz w:val="24"/>
                <w:szCs w:val="24"/>
                <w:highlight w:val="none"/>
              </w:rPr>
              <w:t>进行永久封井，</w:t>
            </w:r>
            <w:r>
              <w:rPr>
                <w:rFonts w:hint="eastAsia" w:ascii="Times New Roman" w:hAnsi="Times New Roman" w:eastAsia="宋体" w:cs="Times New Roman"/>
                <w:color w:val="auto"/>
                <w:sz w:val="24"/>
                <w:szCs w:val="24"/>
                <w:highlight w:val="none"/>
                <w:lang w:val="en-US" w:eastAsia="zh-CN"/>
              </w:rPr>
              <w:t>井场内占地恢复原状，临时占地</w:t>
            </w:r>
            <w:r>
              <w:rPr>
                <w:rFonts w:hint="default" w:ascii="Times New Roman" w:hAnsi="Times New Roman" w:eastAsia="宋体" w:cs="Times New Roman"/>
                <w:color w:val="auto"/>
                <w:sz w:val="24"/>
                <w:szCs w:val="24"/>
                <w:highlight w:val="none"/>
              </w:rPr>
              <w:t>恢复原土地类型</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若测试具有工业产能，</w:t>
            </w:r>
            <w:r>
              <w:rPr>
                <w:rFonts w:hint="eastAsia" w:ascii="Times New Roman" w:hAnsi="Times New Roman" w:eastAsia="宋体" w:cs="Times New Roman"/>
                <w:color w:val="auto"/>
                <w:sz w:val="24"/>
                <w:szCs w:val="24"/>
                <w:highlight w:val="none"/>
                <w:lang w:val="en-US" w:eastAsia="zh-CN"/>
              </w:rPr>
              <w:t>交由</w:t>
            </w:r>
            <w:r>
              <w:rPr>
                <w:rFonts w:hint="default" w:ascii="Times New Roman" w:hAnsi="Times New Roman" w:cs="Times New Roman"/>
                <w:color w:val="auto"/>
                <w:sz w:val="24"/>
                <w:szCs w:val="24"/>
                <w:highlight w:val="none"/>
                <w:lang w:val="en-US" w:eastAsia="zh-CN"/>
              </w:rPr>
              <w:t>长庆油田分公司第二采气厂</w:t>
            </w:r>
            <w:r>
              <w:rPr>
                <w:rFonts w:hint="eastAsia" w:ascii="Times New Roman" w:hAnsi="Times New Roman" w:eastAsia="宋体" w:cs="Times New Roman"/>
                <w:color w:val="auto"/>
                <w:sz w:val="24"/>
                <w:szCs w:val="24"/>
                <w:highlight w:val="none"/>
                <w:lang w:val="en-US" w:eastAsia="zh-CN"/>
              </w:rPr>
              <w:t>按标准化建设进行建设，临时占地不恢复。经分析，项目建设</w:t>
            </w:r>
            <w:r>
              <w:rPr>
                <w:rFonts w:hint="default" w:ascii="Times New Roman" w:hAnsi="Times New Roman" w:eastAsia="宋体" w:cs="Times New Roman"/>
                <w:color w:val="auto"/>
                <w:sz w:val="24"/>
                <w:szCs w:val="24"/>
                <w:highlight w:val="none"/>
                <w:lang w:val="en-US" w:eastAsia="zh-CN"/>
              </w:rPr>
              <w:t>符合榆林市</w:t>
            </w:r>
            <w:r>
              <w:rPr>
                <w:rFonts w:hint="default" w:ascii="Times New Roman" w:hAnsi="Times New Roman" w:eastAsia="宋体" w:cs="Times New Roman"/>
                <w:color w:val="auto"/>
                <w:sz w:val="24"/>
                <w:szCs w:val="24"/>
                <w:highlight w:val="none"/>
              </w:rPr>
              <w:t>生态环境分区管控</w:t>
            </w:r>
            <w:r>
              <w:rPr>
                <w:rFonts w:hint="default" w:ascii="Times New Roman" w:hAnsi="Times New Roman" w:eastAsia="宋体" w:cs="Times New Roman"/>
                <w:color w:val="auto"/>
                <w:sz w:val="24"/>
                <w:szCs w:val="24"/>
                <w:highlight w:val="none"/>
                <w:lang w:val="en-US" w:eastAsia="zh-CN"/>
              </w:rPr>
              <w:t>中</w:t>
            </w:r>
            <w:r>
              <w:rPr>
                <w:rFonts w:hint="eastAsia" w:ascii="Times New Roman" w:hAnsi="Times New Roman" w:eastAsia="宋体" w:cs="Times New Roman"/>
                <w:color w:val="auto"/>
                <w:sz w:val="24"/>
                <w:szCs w:val="24"/>
                <w:highlight w:val="none"/>
                <w:lang w:val="en-US" w:eastAsia="zh-CN"/>
              </w:rPr>
              <w:t>一般</w:t>
            </w:r>
            <w:r>
              <w:rPr>
                <w:rFonts w:hint="default" w:ascii="Times New Roman" w:hAnsi="Times New Roman" w:eastAsia="宋体" w:cs="Times New Roman"/>
                <w:color w:val="auto"/>
                <w:sz w:val="24"/>
                <w:szCs w:val="24"/>
                <w:highlight w:val="none"/>
                <w:lang w:val="en-US" w:eastAsia="zh-CN"/>
              </w:rPr>
              <w:t>管控单元要求。</w:t>
            </w:r>
          </w:p>
          <w:p w14:paraId="524B285E">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cs="Times New Roman"/>
                <w:color w:val="auto"/>
                <w:sz w:val="24"/>
                <w:highlight w:val="none"/>
                <w:lang w:val="en-US" w:eastAsia="zh-CN"/>
              </w:rPr>
              <w:t>本次新建1口天然气评价井勘探层位与探井周边已有气井层位不同，属于新气层层位勘探</w:t>
            </w:r>
            <w:r>
              <w:rPr>
                <w:rFonts w:hint="eastAsia" w:ascii="Times New Roman" w:hAnsi="Times New Roman" w:eastAsia="宋体" w:cs="Times New Roman"/>
                <w:b w:val="0"/>
                <w:color w:val="auto"/>
                <w:sz w:val="24"/>
                <w:szCs w:val="24"/>
                <w:highlight w:val="none"/>
                <w:lang w:val="en-US" w:eastAsia="zh-CN"/>
              </w:rPr>
              <w:t>，符合天然气探井勘探布局要求，旨在现有气田区域内</w:t>
            </w:r>
            <w:r>
              <w:rPr>
                <w:rFonts w:hint="default" w:ascii="Times New Roman" w:hAnsi="Times New Roman" w:eastAsia="宋体" w:cs="Times New Roman"/>
                <w:color w:val="auto"/>
                <w:sz w:val="24"/>
                <w:highlight w:val="none"/>
              </w:rPr>
              <w:t>寻找新的适合开发的</w:t>
            </w:r>
            <w:r>
              <w:rPr>
                <w:rFonts w:hint="eastAsia" w:ascii="Times New Roman" w:hAnsi="Times New Roman" w:eastAsia="宋体" w:cs="Times New Roman"/>
                <w:color w:val="auto"/>
                <w:sz w:val="24"/>
                <w:highlight w:val="none"/>
                <w:lang w:val="en-US" w:eastAsia="zh-CN"/>
              </w:rPr>
              <w:t>气藏</w:t>
            </w:r>
            <w:r>
              <w:rPr>
                <w:rFonts w:hint="default" w:ascii="Times New Roman" w:hAnsi="Times New Roman" w:eastAsia="宋体" w:cs="Times New Roman"/>
                <w:color w:val="auto"/>
                <w:sz w:val="24"/>
                <w:highlight w:val="none"/>
              </w:rPr>
              <w:t>层位</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为气田后续产能建设提供决策依据</w:t>
            </w:r>
            <w:r>
              <w:rPr>
                <w:rFonts w:hint="default" w:ascii="Times New Roman" w:hAnsi="Times New Roman" w:eastAsia="宋体" w:cs="Times New Roman"/>
                <w:b w:val="0"/>
                <w:color w:val="auto"/>
                <w:kern w:val="2"/>
                <w:sz w:val="24"/>
                <w:szCs w:val="24"/>
                <w:highlight w:val="none"/>
                <w:lang w:val="en-US" w:eastAsia="zh-CN" w:bidi="ar-SA"/>
              </w:rPr>
              <w:t>。</w:t>
            </w:r>
          </w:p>
          <w:p w14:paraId="02CD27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b w:val="0"/>
                <w:color w:val="auto"/>
                <w:kern w:val="2"/>
                <w:sz w:val="24"/>
                <w:szCs w:val="24"/>
                <w:highlight w:val="none"/>
                <w:lang w:val="en-US" w:eastAsia="zh-CN" w:bidi="ar-SA"/>
              </w:rPr>
              <w:t>据现场调查，本项目探井</w:t>
            </w:r>
            <w:r>
              <w:rPr>
                <w:rFonts w:hint="eastAsia" w:ascii="Times New Roman" w:hAnsi="Times New Roman" w:eastAsia="宋体" w:cs="Times New Roman"/>
                <w:b w:val="0"/>
                <w:color w:val="auto"/>
                <w:kern w:val="2"/>
                <w:sz w:val="24"/>
                <w:szCs w:val="24"/>
                <w:highlight w:val="none"/>
                <w:lang w:val="en-US" w:eastAsia="zh-CN" w:bidi="ar-SA"/>
              </w:rPr>
              <w:t>5</w:t>
            </w:r>
            <w:r>
              <w:rPr>
                <w:rFonts w:hint="default" w:ascii="Times New Roman" w:hAnsi="Times New Roman" w:eastAsia="宋体" w:cs="Times New Roman"/>
                <w:b w:val="0"/>
                <w:color w:val="auto"/>
                <w:kern w:val="2"/>
                <w:sz w:val="24"/>
                <w:szCs w:val="24"/>
                <w:highlight w:val="none"/>
                <w:lang w:val="en-US" w:eastAsia="zh-CN" w:bidi="ar-SA"/>
              </w:rPr>
              <w:t>00m范围内无学校、医院和大型油库等密集型、高危性场所，</w:t>
            </w:r>
            <w:r>
              <w:rPr>
                <w:rFonts w:hint="eastAsia" w:ascii="Times New Roman" w:hAnsi="Times New Roman" w:eastAsia="宋体" w:cs="Times New Roman"/>
                <w:b w:val="0"/>
                <w:color w:val="auto"/>
                <w:kern w:val="2"/>
                <w:sz w:val="24"/>
                <w:szCs w:val="24"/>
                <w:highlight w:val="none"/>
                <w:lang w:val="en-US" w:eastAsia="zh-CN" w:bidi="ar-SA"/>
              </w:rPr>
              <w:t>100</w:t>
            </w:r>
            <w:r>
              <w:rPr>
                <w:rFonts w:hint="default" w:ascii="Times New Roman" w:hAnsi="Times New Roman" w:eastAsia="宋体" w:cs="Times New Roman"/>
                <w:b w:val="0"/>
                <w:color w:val="auto"/>
                <w:kern w:val="2"/>
                <w:sz w:val="24"/>
                <w:szCs w:val="24"/>
                <w:highlight w:val="none"/>
                <w:lang w:val="en-US" w:eastAsia="zh-CN" w:bidi="ar-SA"/>
              </w:rPr>
              <w:t>m范围内无高压线及其它永久性设施，</w:t>
            </w:r>
            <w:r>
              <w:rPr>
                <w:rFonts w:hint="eastAsia" w:ascii="Times New Roman" w:hAnsi="Times New Roman" w:eastAsia="宋体" w:cs="Times New Roman"/>
                <w:b w:val="0"/>
                <w:color w:val="auto"/>
                <w:kern w:val="2"/>
                <w:sz w:val="24"/>
                <w:szCs w:val="24"/>
                <w:highlight w:val="none"/>
                <w:lang w:val="en-US" w:eastAsia="zh-CN" w:bidi="ar-SA"/>
              </w:rPr>
              <w:t>2</w:t>
            </w:r>
            <w:r>
              <w:rPr>
                <w:rFonts w:hint="default" w:ascii="Times New Roman" w:hAnsi="Times New Roman" w:eastAsia="宋体" w:cs="Times New Roman"/>
                <w:b w:val="0"/>
                <w:color w:val="auto"/>
                <w:kern w:val="2"/>
                <w:sz w:val="24"/>
                <w:szCs w:val="24"/>
                <w:highlight w:val="none"/>
                <w:lang w:val="en-US" w:eastAsia="zh-CN" w:bidi="ar-SA"/>
              </w:rPr>
              <w:t>00m范围内无铁路、高速公路等，</w:t>
            </w:r>
            <w:r>
              <w:rPr>
                <w:rFonts w:hint="eastAsia" w:ascii="Times New Roman" w:hAnsi="Times New Roman" w:eastAsia="宋体" w:cs="Times New Roman"/>
                <w:b w:val="0"/>
                <w:color w:val="auto"/>
                <w:kern w:val="2"/>
                <w:sz w:val="24"/>
                <w:szCs w:val="24"/>
                <w:highlight w:val="none"/>
                <w:lang w:val="en-US" w:eastAsia="zh-CN" w:bidi="ar-SA"/>
              </w:rPr>
              <w:t>100m范围内无居民点，探井选址</w:t>
            </w:r>
            <w:r>
              <w:rPr>
                <w:rFonts w:hint="default" w:ascii="Times New Roman" w:hAnsi="Times New Roman" w:cs="Times New Roman"/>
                <w:color w:val="auto"/>
                <w:sz w:val="24"/>
                <w:highlight w:val="none"/>
              </w:rPr>
              <w:t>符合《钻前工程及井场布置技术要求》（SY/T5466-2013）中3.2.2节规定。</w:t>
            </w:r>
            <w:r>
              <w:rPr>
                <w:rFonts w:hint="eastAsia" w:ascii="Times New Roman" w:hAnsi="Times New Roman" w:cs="Times New Roman"/>
                <w:color w:val="auto"/>
                <w:sz w:val="24"/>
                <w:highlight w:val="none"/>
                <w:lang w:val="en-US" w:eastAsia="zh-CN"/>
              </w:rPr>
              <w:t>根据项目施工期平面布置图，放喷罐位于井场下风向，与井口距离大于30m，备用放散管位于井场外下风向，与井口距离大于50m，</w:t>
            </w:r>
            <w:r>
              <w:rPr>
                <w:rFonts w:hint="default" w:ascii="Times New Roman" w:hAnsi="Times New Roman" w:cs="Times New Roman"/>
                <w:color w:val="auto"/>
                <w:sz w:val="24"/>
                <w:highlight w:val="none"/>
              </w:rPr>
              <w:t>符合《钻前工程及井场布置技术要求》（SY/T5466-2013）</w:t>
            </w:r>
            <w:r>
              <w:rPr>
                <w:rFonts w:hint="eastAsia" w:ascii="Times New Roman" w:hAnsi="Times New Roman" w:cs="Times New Roman"/>
                <w:color w:val="auto"/>
                <w:sz w:val="24"/>
                <w:highlight w:val="none"/>
                <w:lang w:val="en-US" w:eastAsia="zh-CN"/>
              </w:rPr>
              <w:t>相关</w:t>
            </w:r>
            <w:r>
              <w:rPr>
                <w:rFonts w:hint="default" w:ascii="Times New Roman" w:hAnsi="Times New Roman" w:cs="Times New Roman"/>
                <w:color w:val="auto"/>
                <w:sz w:val="24"/>
                <w:highlight w:val="none"/>
              </w:rPr>
              <w:t>规定</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放喷罐和放散管选址合理</w:t>
            </w:r>
            <w:r>
              <w:rPr>
                <w:rFonts w:hint="eastAsia" w:ascii="Times New Roman" w:hAnsi="Times New Roman" w:cs="Times New Roman"/>
                <w:color w:val="auto"/>
                <w:sz w:val="24"/>
                <w:highlight w:val="none"/>
                <w:lang w:eastAsia="zh-CN"/>
              </w:rPr>
              <w:t>。</w:t>
            </w:r>
          </w:p>
          <w:p w14:paraId="5AA73503">
            <w:pPr>
              <w:keepNext w:val="0"/>
              <w:keepLines w:val="0"/>
              <w:pageBreakBefore w:val="0"/>
              <w:widowControl w:val="0"/>
              <w:suppressLineNumbers w:val="0"/>
              <w:kinsoku/>
              <w:wordWrap/>
              <w:overflowPunct/>
              <w:topLinePunct w:val="0"/>
              <w:bidi w:val="0"/>
              <w:adjustRightInd w:val="0"/>
              <w:spacing w:before="0" w:beforeAutospacing="0" w:after="0" w:afterAutospacing="0" w:line="360" w:lineRule="auto"/>
              <w:ind w:left="0" w:leftChars="0" w:right="0" w:rightChars="0" w:firstLine="480" w:firstLineChars="200"/>
              <w:jc w:val="left"/>
              <w:outlineLvl w:val="9"/>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b w:val="0"/>
                <w:color w:val="auto"/>
                <w:kern w:val="2"/>
                <w:sz w:val="24"/>
                <w:szCs w:val="24"/>
                <w:highlight w:val="none"/>
                <w:lang w:val="en-US" w:eastAsia="zh-CN" w:bidi="ar-SA"/>
              </w:rPr>
              <w:t>项目选址与重要设施或民宅的距离下表4-</w:t>
            </w:r>
            <w:r>
              <w:rPr>
                <w:rFonts w:hint="eastAsia" w:ascii="Times New Roman" w:hAnsi="Times New Roman" w:eastAsia="宋体" w:cs="Times New Roman"/>
                <w:b w:val="0"/>
                <w:color w:val="auto"/>
                <w:kern w:val="2"/>
                <w:sz w:val="24"/>
                <w:szCs w:val="24"/>
                <w:highlight w:val="none"/>
                <w:lang w:val="en-US" w:eastAsia="zh-CN" w:bidi="ar-SA"/>
              </w:rPr>
              <w:t>13</w:t>
            </w:r>
            <w:r>
              <w:rPr>
                <w:rFonts w:hint="default" w:ascii="Times New Roman" w:hAnsi="Times New Roman" w:eastAsia="宋体" w:cs="Times New Roman"/>
                <w:b w:val="0"/>
                <w:color w:val="auto"/>
                <w:kern w:val="2"/>
                <w:sz w:val="24"/>
                <w:szCs w:val="24"/>
                <w:highlight w:val="none"/>
                <w:lang w:val="en-US" w:eastAsia="zh-CN" w:bidi="ar-SA"/>
              </w:rPr>
              <w:t>。</w:t>
            </w:r>
          </w:p>
          <w:p w14:paraId="34B6CD51">
            <w:pPr>
              <w:keepNext/>
              <w:keepLines/>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表</w:t>
            </w:r>
            <w:r>
              <w:rPr>
                <w:rFonts w:hint="default" w:ascii="Times New Roman" w:hAnsi="Times New Roman" w:eastAsia="宋体" w:cs="Times New Roman"/>
                <w:b/>
                <w:bCs/>
                <w:color w:val="auto"/>
                <w:sz w:val="24"/>
                <w:szCs w:val="24"/>
                <w:highlight w:val="none"/>
                <w:lang w:val="en-US"/>
              </w:rPr>
              <w:t>4-1</w:t>
            </w:r>
            <w:r>
              <w:rPr>
                <w:rFonts w:hint="eastAsia" w:ascii="Times New Roman" w:hAnsi="Times New Roman"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rPr>
              <w:t xml:space="preserve"> </w:t>
            </w:r>
            <w:r>
              <w:rPr>
                <w:rFonts w:hint="default" w:ascii="Times New Roman" w:hAnsi="Times New Roman" w:eastAsia="宋体" w:cs="Times New Roman"/>
                <w:b/>
                <w:bCs/>
                <w:color w:val="auto"/>
                <w:sz w:val="24"/>
                <w:szCs w:val="24"/>
                <w:highlight w:val="none"/>
                <w:lang w:eastAsia="zh-CN"/>
              </w:rPr>
              <w:t>项目钻井井口周边</w:t>
            </w:r>
            <w:r>
              <w:rPr>
                <w:rFonts w:hint="default" w:ascii="Times New Roman" w:hAnsi="Times New Roman" w:eastAsia="宋体" w:cs="Times New Roman"/>
                <w:b/>
                <w:bCs/>
                <w:color w:val="auto"/>
                <w:sz w:val="24"/>
                <w:szCs w:val="24"/>
                <w:highlight w:val="none"/>
                <w:lang w:val="en-US" w:eastAsia="zh-CN"/>
              </w:rPr>
              <w:t>关注建筑物</w:t>
            </w:r>
            <w:r>
              <w:rPr>
                <w:rFonts w:hint="default" w:ascii="Times New Roman" w:hAnsi="Times New Roman" w:eastAsia="宋体" w:cs="Times New Roman"/>
                <w:b/>
                <w:bCs/>
                <w:color w:val="auto"/>
                <w:sz w:val="24"/>
                <w:szCs w:val="24"/>
                <w:highlight w:val="none"/>
                <w:lang w:eastAsia="zh-CN"/>
              </w:rPr>
              <w:t>调查表</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722"/>
              <w:gridCol w:w="975"/>
              <w:gridCol w:w="623"/>
              <w:gridCol w:w="653"/>
              <w:gridCol w:w="615"/>
              <w:gridCol w:w="721"/>
              <w:gridCol w:w="620"/>
              <w:gridCol w:w="600"/>
              <w:gridCol w:w="682"/>
              <w:gridCol w:w="662"/>
              <w:gridCol w:w="710"/>
            </w:tblGrid>
            <w:tr w14:paraId="3D441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 w:type="pct"/>
                  <w:vMerge w:val="restart"/>
                  <w:tcBorders>
                    <w:tl2br w:val="nil"/>
                    <w:tr2bl w:val="nil"/>
                  </w:tcBorders>
                  <w:noWrap w:val="0"/>
                  <w:vAlign w:val="center"/>
                </w:tcPr>
                <w:p w14:paraId="4D38AE2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井号</w:t>
                  </w:r>
                </w:p>
              </w:tc>
              <w:tc>
                <w:tcPr>
                  <w:tcW w:w="1013" w:type="pct"/>
                  <w:gridSpan w:val="2"/>
                  <w:tcBorders>
                    <w:tl2br w:val="nil"/>
                    <w:tr2bl w:val="nil"/>
                  </w:tcBorders>
                  <w:noWrap w:val="0"/>
                  <w:vAlign w:val="center"/>
                </w:tcPr>
                <w:p w14:paraId="31536C2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学校、医院和大型油库等密集型、高危性场所</w:t>
                  </w:r>
                </w:p>
              </w:tc>
              <w:tc>
                <w:tcPr>
                  <w:tcW w:w="762" w:type="pct"/>
                  <w:gridSpan w:val="2"/>
                  <w:tcBorders>
                    <w:tl2br w:val="nil"/>
                    <w:tr2bl w:val="nil"/>
                  </w:tcBorders>
                  <w:noWrap w:val="0"/>
                  <w:vAlign w:val="center"/>
                </w:tcPr>
                <w:p w14:paraId="4F699D9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民宅</w:t>
                  </w:r>
                </w:p>
              </w:tc>
              <w:tc>
                <w:tcPr>
                  <w:tcW w:w="797" w:type="pct"/>
                  <w:gridSpan w:val="2"/>
                  <w:tcBorders>
                    <w:tl2br w:val="nil"/>
                    <w:tr2bl w:val="nil"/>
                  </w:tcBorders>
                  <w:noWrap w:val="0"/>
                  <w:vAlign w:val="center"/>
                </w:tcPr>
                <w:p w14:paraId="5B0CD40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高压线及其他永久性设施</w:t>
                  </w:r>
                </w:p>
              </w:tc>
              <w:tc>
                <w:tcPr>
                  <w:tcW w:w="728" w:type="pct"/>
                  <w:gridSpan w:val="2"/>
                  <w:tcBorders>
                    <w:tl2br w:val="nil"/>
                    <w:tr2bl w:val="nil"/>
                  </w:tcBorders>
                  <w:noWrap w:val="0"/>
                  <w:vAlign w:val="center"/>
                </w:tcPr>
                <w:p w14:paraId="01D248D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铁路</w:t>
                  </w:r>
                </w:p>
              </w:tc>
              <w:tc>
                <w:tcPr>
                  <w:tcW w:w="802" w:type="pct"/>
                  <w:gridSpan w:val="2"/>
                  <w:tcBorders>
                    <w:tl2br w:val="nil"/>
                    <w:tr2bl w:val="nil"/>
                  </w:tcBorders>
                  <w:noWrap w:val="0"/>
                  <w:vAlign w:val="center"/>
                </w:tcPr>
                <w:p w14:paraId="7CB8CF5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高速公路</w:t>
                  </w:r>
                </w:p>
              </w:tc>
              <w:tc>
                <w:tcPr>
                  <w:tcW w:w="424" w:type="pct"/>
                  <w:vMerge w:val="restart"/>
                  <w:tcBorders>
                    <w:tl2br w:val="nil"/>
                    <w:tr2bl w:val="nil"/>
                  </w:tcBorders>
                  <w:noWrap w:val="0"/>
                  <w:vAlign w:val="center"/>
                </w:tcPr>
                <w:p w14:paraId="6C24263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
                      <w:color w:val="auto"/>
                      <w:szCs w:val="21"/>
                      <w:highlight w:val="none"/>
                    </w:rPr>
                    <w:t>是否符合要求</w:t>
                  </w:r>
                </w:p>
              </w:tc>
            </w:tr>
            <w:tr w14:paraId="2A341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70" w:type="pct"/>
                  <w:vMerge w:val="continue"/>
                  <w:tcBorders>
                    <w:tl2br w:val="nil"/>
                    <w:tr2bl w:val="nil"/>
                  </w:tcBorders>
                  <w:noWrap w:val="0"/>
                  <w:vAlign w:val="center"/>
                </w:tcPr>
                <w:p w14:paraId="76F9C7B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Cs w:val="21"/>
                      <w:highlight w:val="none"/>
                    </w:rPr>
                  </w:pPr>
                </w:p>
              </w:tc>
              <w:tc>
                <w:tcPr>
                  <w:tcW w:w="431" w:type="pct"/>
                  <w:tcBorders>
                    <w:tl2br w:val="nil"/>
                    <w:tr2bl w:val="nil"/>
                  </w:tcBorders>
                  <w:noWrap w:val="0"/>
                  <w:vAlign w:val="center"/>
                </w:tcPr>
                <w:p w14:paraId="7FEFA4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名称</w:t>
                  </w:r>
                </w:p>
              </w:tc>
              <w:tc>
                <w:tcPr>
                  <w:tcW w:w="581" w:type="pct"/>
                  <w:tcBorders>
                    <w:tl2br w:val="nil"/>
                    <w:tr2bl w:val="nil"/>
                  </w:tcBorders>
                  <w:noWrap w:val="0"/>
                  <w:vAlign w:val="center"/>
                </w:tcPr>
                <w:p w14:paraId="08CFF3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距离</w:t>
                  </w:r>
                </w:p>
              </w:tc>
              <w:tc>
                <w:tcPr>
                  <w:tcW w:w="372" w:type="pct"/>
                  <w:tcBorders>
                    <w:tl2br w:val="nil"/>
                    <w:tr2bl w:val="nil"/>
                  </w:tcBorders>
                  <w:noWrap w:val="0"/>
                  <w:vAlign w:val="center"/>
                </w:tcPr>
                <w:p w14:paraId="080B3B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名称</w:t>
                  </w:r>
                </w:p>
              </w:tc>
              <w:tc>
                <w:tcPr>
                  <w:tcW w:w="390" w:type="pct"/>
                  <w:tcBorders>
                    <w:tl2br w:val="nil"/>
                    <w:tr2bl w:val="nil"/>
                  </w:tcBorders>
                  <w:noWrap w:val="0"/>
                  <w:vAlign w:val="center"/>
                </w:tcPr>
                <w:p w14:paraId="04C011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距离</w:t>
                  </w:r>
                </w:p>
              </w:tc>
              <w:tc>
                <w:tcPr>
                  <w:tcW w:w="367" w:type="pct"/>
                  <w:tcBorders>
                    <w:tl2br w:val="nil"/>
                    <w:tr2bl w:val="nil"/>
                  </w:tcBorders>
                  <w:noWrap w:val="0"/>
                  <w:vAlign w:val="center"/>
                </w:tcPr>
                <w:p w14:paraId="1FC7F7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名称</w:t>
                  </w:r>
                </w:p>
              </w:tc>
              <w:tc>
                <w:tcPr>
                  <w:tcW w:w="430" w:type="pct"/>
                  <w:tcBorders>
                    <w:tl2br w:val="nil"/>
                    <w:tr2bl w:val="nil"/>
                  </w:tcBorders>
                  <w:noWrap w:val="0"/>
                  <w:vAlign w:val="center"/>
                </w:tcPr>
                <w:p w14:paraId="4DD1F1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距离</w:t>
                  </w:r>
                </w:p>
              </w:tc>
              <w:tc>
                <w:tcPr>
                  <w:tcW w:w="370" w:type="pct"/>
                  <w:tcBorders>
                    <w:tl2br w:val="nil"/>
                    <w:tr2bl w:val="nil"/>
                  </w:tcBorders>
                  <w:noWrap w:val="0"/>
                  <w:vAlign w:val="center"/>
                </w:tcPr>
                <w:p w14:paraId="3BFEB2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名称</w:t>
                  </w:r>
                </w:p>
              </w:tc>
              <w:tc>
                <w:tcPr>
                  <w:tcW w:w="358" w:type="pct"/>
                  <w:tcBorders>
                    <w:tl2br w:val="nil"/>
                    <w:tr2bl w:val="nil"/>
                  </w:tcBorders>
                  <w:noWrap w:val="0"/>
                  <w:vAlign w:val="center"/>
                </w:tcPr>
                <w:p w14:paraId="2BDA40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距离</w:t>
                  </w:r>
                </w:p>
              </w:tc>
              <w:tc>
                <w:tcPr>
                  <w:tcW w:w="407" w:type="pct"/>
                  <w:tcBorders>
                    <w:tl2br w:val="nil"/>
                    <w:tr2bl w:val="nil"/>
                  </w:tcBorders>
                  <w:noWrap w:val="0"/>
                  <w:vAlign w:val="center"/>
                </w:tcPr>
                <w:p w14:paraId="41624A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名称</w:t>
                  </w:r>
                </w:p>
              </w:tc>
              <w:tc>
                <w:tcPr>
                  <w:tcW w:w="395" w:type="pct"/>
                  <w:tcBorders>
                    <w:tl2br w:val="nil"/>
                    <w:tr2bl w:val="nil"/>
                  </w:tcBorders>
                  <w:noWrap w:val="0"/>
                  <w:vAlign w:val="center"/>
                </w:tcPr>
                <w:p w14:paraId="1CAEC9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距离</w:t>
                  </w:r>
                </w:p>
              </w:tc>
              <w:tc>
                <w:tcPr>
                  <w:tcW w:w="424" w:type="pct"/>
                  <w:vMerge w:val="continue"/>
                  <w:tcBorders>
                    <w:tl2br w:val="nil"/>
                    <w:tr2bl w:val="nil"/>
                  </w:tcBorders>
                  <w:noWrap w:val="0"/>
                  <w:vAlign w:val="center"/>
                </w:tcPr>
                <w:p w14:paraId="2A8ED23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Cs w:val="21"/>
                      <w:highlight w:val="none"/>
                    </w:rPr>
                  </w:pPr>
                </w:p>
              </w:tc>
            </w:tr>
            <w:tr w14:paraId="2DC79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0" w:type="pct"/>
                  <w:tcBorders>
                    <w:tl2br w:val="nil"/>
                    <w:tr2bl w:val="nil"/>
                  </w:tcBorders>
                  <w:noWrap w:val="0"/>
                  <w:vAlign w:val="center"/>
                </w:tcPr>
                <w:p w14:paraId="10953B19">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米75-3M</w:t>
                  </w:r>
                </w:p>
              </w:tc>
              <w:tc>
                <w:tcPr>
                  <w:tcW w:w="1013" w:type="pct"/>
                  <w:gridSpan w:val="2"/>
                  <w:tcBorders>
                    <w:tl2br w:val="nil"/>
                    <w:tr2bl w:val="nil"/>
                  </w:tcBorders>
                  <w:noWrap w:val="0"/>
                  <w:vAlign w:val="center"/>
                </w:tcPr>
                <w:p w14:paraId="59722C1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Cs w:val="21"/>
                      <w:highlight w:val="none"/>
                    </w:rPr>
                    <w:t>500m内无上述敏感建筑</w:t>
                  </w:r>
                </w:p>
              </w:tc>
              <w:tc>
                <w:tcPr>
                  <w:tcW w:w="762" w:type="pct"/>
                  <w:gridSpan w:val="2"/>
                  <w:tcBorders>
                    <w:tl2br w:val="nil"/>
                    <w:tr2bl w:val="nil"/>
                  </w:tcBorders>
                  <w:noWrap w:val="0"/>
                  <w:vAlign w:val="center"/>
                </w:tcPr>
                <w:p w14:paraId="256637C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Cs w:val="21"/>
                      <w:highlight w:val="none"/>
                    </w:rPr>
                    <w:t>100m内无民宅</w:t>
                  </w:r>
                </w:p>
              </w:tc>
              <w:tc>
                <w:tcPr>
                  <w:tcW w:w="797" w:type="pct"/>
                  <w:gridSpan w:val="2"/>
                  <w:tcBorders>
                    <w:tl2br w:val="nil"/>
                    <w:tr2bl w:val="nil"/>
                  </w:tcBorders>
                  <w:noWrap w:val="0"/>
                  <w:vAlign w:val="center"/>
                </w:tcPr>
                <w:p w14:paraId="37FA220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Cs w:val="21"/>
                      <w:highlight w:val="none"/>
                    </w:rPr>
                    <w:t>100m内无高压线</w:t>
                  </w:r>
                  <w:r>
                    <w:rPr>
                      <w:rFonts w:hint="default" w:ascii="Times New Roman" w:hAnsi="Times New Roman" w:eastAsia="宋体" w:cs="Times New Roman"/>
                      <w:bCs/>
                      <w:color w:val="auto"/>
                      <w:szCs w:val="21"/>
                      <w:highlight w:val="none"/>
                      <w:lang w:eastAsia="zh-CN"/>
                    </w:rPr>
                    <w:t>及其他</w:t>
                  </w:r>
                  <w:r>
                    <w:rPr>
                      <w:rFonts w:hint="default" w:ascii="Times New Roman" w:hAnsi="Times New Roman" w:eastAsia="宋体" w:cs="Times New Roman"/>
                      <w:bCs/>
                      <w:color w:val="auto"/>
                      <w:szCs w:val="21"/>
                      <w:highlight w:val="none"/>
                    </w:rPr>
                    <w:t>永久性设施</w:t>
                  </w:r>
                </w:p>
              </w:tc>
              <w:tc>
                <w:tcPr>
                  <w:tcW w:w="728" w:type="pct"/>
                  <w:gridSpan w:val="2"/>
                  <w:tcBorders>
                    <w:tl2br w:val="nil"/>
                    <w:tr2bl w:val="nil"/>
                  </w:tcBorders>
                  <w:noWrap w:val="0"/>
                  <w:vAlign w:val="center"/>
                </w:tcPr>
                <w:p w14:paraId="705D327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rPr>
                    <w:t>200m内无铁路</w:t>
                  </w:r>
                </w:p>
              </w:tc>
              <w:tc>
                <w:tcPr>
                  <w:tcW w:w="802" w:type="pct"/>
                  <w:gridSpan w:val="2"/>
                  <w:tcBorders>
                    <w:tl2br w:val="nil"/>
                    <w:tr2bl w:val="nil"/>
                  </w:tcBorders>
                  <w:noWrap w:val="0"/>
                  <w:vAlign w:val="center"/>
                </w:tcPr>
                <w:p w14:paraId="5A6AB70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rPr>
                    <w:t>200m内无高速公路</w:t>
                  </w:r>
                </w:p>
              </w:tc>
              <w:tc>
                <w:tcPr>
                  <w:tcW w:w="424" w:type="pct"/>
                  <w:tcBorders>
                    <w:tl2br w:val="nil"/>
                    <w:tr2bl w:val="nil"/>
                  </w:tcBorders>
                  <w:noWrap w:val="0"/>
                  <w:vAlign w:val="center"/>
                </w:tcPr>
                <w:p w14:paraId="7116A09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Cs w:val="21"/>
                      <w:highlight w:val="none"/>
                      <w:lang w:val="en-US" w:eastAsia="zh-CN"/>
                    </w:rPr>
                    <w:t>是</w:t>
                  </w:r>
                </w:p>
              </w:tc>
            </w:tr>
            <w:tr w14:paraId="4E843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 w:type="pct"/>
                  <w:tcBorders>
                    <w:tl2br w:val="nil"/>
                    <w:tr2bl w:val="nil"/>
                  </w:tcBorders>
                  <w:noWrap w:val="0"/>
                  <w:vAlign w:val="center"/>
                </w:tcPr>
                <w:p w14:paraId="737645F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规范要求</w:t>
                  </w:r>
                </w:p>
              </w:tc>
              <w:tc>
                <w:tcPr>
                  <w:tcW w:w="1013" w:type="pct"/>
                  <w:gridSpan w:val="2"/>
                  <w:tcBorders>
                    <w:tl2br w:val="nil"/>
                    <w:tr2bl w:val="nil"/>
                  </w:tcBorders>
                  <w:noWrap w:val="0"/>
                  <w:vAlign w:val="center"/>
                </w:tcPr>
                <w:p w14:paraId="080865B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≥500</w:t>
                  </w:r>
                </w:p>
              </w:tc>
              <w:tc>
                <w:tcPr>
                  <w:tcW w:w="762" w:type="pct"/>
                  <w:gridSpan w:val="2"/>
                  <w:tcBorders>
                    <w:tl2br w:val="nil"/>
                    <w:tr2bl w:val="nil"/>
                  </w:tcBorders>
                  <w:noWrap w:val="0"/>
                  <w:vAlign w:val="center"/>
                </w:tcPr>
                <w:p w14:paraId="03753D9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≥100</w:t>
                  </w:r>
                </w:p>
              </w:tc>
              <w:tc>
                <w:tcPr>
                  <w:tcW w:w="797" w:type="pct"/>
                  <w:gridSpan w:val="2"/>
                  <w:tcBorders>
                    <w:tl2br w:val="nil"/>
                    <w:tr2bl w:val="nil"/>
                  </w:tcBorders>
                  <w:noWrap w:val="0"/>
                  <w:vAlign w:val="center"/>
                </w:tcPr>
                <w:p w14:paraId="65E5E47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≥75</w:t>
                  </w:r>
                </w:p>
              </w:tc>
              <w:tc>
                <w:tcPr>
                  <w:tcW w:w="728" w:type="pct"/>
                  <w:gridSpan w:val="2"/>
                  <w:tcBorders>
                    <w:tl2br w:val="nil"/>
                    <w:tr2bl w:val="nil"/>
                  </w:tcBorders>
                  <w:noWrap w:val="0"/>
                  <w:vAlign w:val="center"/>
                </w:tcPr>
                <w:p w14:paraId="37EE828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≥200</w:t>
                  </w:r>
                </w:p>
              </w:tc>
              <w:tc>
                <w:tcPr>
                  <w:tcW w:w="802" w:type="pct"/>
                  <w:gridSpan w:val="2"/>
                  <w:tcBorders>
                    <w:tl2br w:val="nil"/>
                    <w:tr2bl w:val="nil"/>
                  </w:tcBorders>
                  <w:noWrap w:val="0"/>
                  <w:vAlign w:val="center"/>
                </w:tcPr>
                <w:p w14:paraId="7456871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≥200</w:t>
                  </w:r>
                </w:p>
              </w:tc>
              <w:tc>
                <w:tcPr>
                  <w:tcW w:w="424" w:type="pct"/>
                  <w:tcBorders>
                    <w:tl2br w:val="nil"/>
                    <w:tr2bl w:val="nil"/>
                  </w:tcBorders>
                  <w:noWrap w:val="0"/>
                  <w:vAlign w:val="center"/>
                </w:tcPr>
                <w:p w14:paraId="6EF5D94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r>
          </w:tbl>
          <w:p w14:paraId="46F09E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32"/>
                <w:highlight w:val="none"/>
                <w:lang w:val="en-US" w:eastAsia="zh-CN" w:bidi="ar"/>
              </w:rPr>
              <w:t>综上所述，本工程的建设选址具有环境合理性</w:t>
            </w:r>
            <w:r>
              <w:rPr>
                <w:rFonts w:hint="default" w:ascii="Times New Roman" w:hAnsi="Times New Roman" w:eastAsia="宋体" w:cs="Times New Roman"/>
                <w:color w:val="auto"/>
                <w:kern w:val="0"/>
                <w:sz w:val="24"/>
                <w:szCs w:val="24"/>
                <w:highlight w:val="none"/>
                <w:lang w:val="en-US" w:eastAsia="zh-CN" w:bidi="ar"/>
              </w:rPr>
              <w:t>。</w:t>
            </w:r>
          </w:p>
        </w:tc>
      </w:tr>
      <w:bookmarkEnd w:id="4"/>
    </w:tbl>
    <w:p w14:paraId="72D5F0A8">
      <w:pPr>
        <w:keepNext w:val="0"/>
        <w:keepLines w:val="0"/>
        <w:widowControl w:val="0"/>
        <w:suppressLineNumbers w:val="0"/>
        <w:spacing w:before="0" w:beforeAutospacing="0" w:after="0" w:afterAutospacing="0"/>
        <w:ind w:left="0" w:right="0"/>
        <w:jc w:val="center"/>
        <w:outlineLvl w:val="1"/>
        <w:rPr>
          <w:rFonts w:hint="default" w:ascii="Times New Roman" w:hAnsi="Times New Roman" w:eastAsia="黑体" w:cs="Times New Roman"/>
          <w:color w:val="auto"/>
          <w:kern w:val="0"/>
          <w:sz w:val="28"/>
          <w:szCs w:val="28"/>
          <w:highlight w:val="none"/>
          <w:lang w:val="en-US" w:eastAsia="zh-CN" w:bidi="ar"/>
        </w:rPr>
      </w:pPr>
      <w:r>
        <w:rPr>
          <w:rFonts w:hint="default" w:ascii="Times New Roman" w:hAnsi="Times New Roman" w:eastAsia="黑体" w:cs="Times New Roman"/>
          <w:color w:val="auto"/>
          <w:sz w:val="28"/>
          <w:szCs w:val="28"/>
          <w:highlight w:val="none"/>
          <w:lang w:val="en-US" w:eastAsia="zh-CN" w:bidi="ar"/>
        </w:rPr>
        <w:br w:type="page"/>
      </w:r>
      <w:bookmarkStart w:id="5" w:name="_Toc19919"/>
      <w:r>
        <w:rPr>
          <w:rFonts w:hint="default" w:ascii="Times New Roman" w:hAnsi="Times New Roman" w:eastAsia="黑体" w:cs="Times New Roman"/>
          <w:color w:val="auto"/>
          <w:kern w:val="0"/>
          <w:sz w:val="28"/>
          <w:szCs w:val="28"/>
          <w:highlight w:val="none"/>
          <w:lang w:val="en-US" w:eastAsia="zh-CN" w:bidi="ar"/>
        </w:rPr>
        <w:t>五、主要生态环境保护措施</w:t>
      </w:r>
      <w:bookmarkEnd w:id="5"/>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8410"/>
      </w:tblGrid>
      <w:tr w14:paraId="740FA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dxa"/>
            <w:tcBorders>
              <w:top w:val="single" w:color="auto" w:sz="4" w:space="0"/>
              <w:left w:val="single" w:color="auto" w:sz="4" w:space="0"/>
              <w:bottom w:val="single" w:color="auto" w:sz="4" w:space="0"/>
              <w:right w:val="single" w:color="auto" w:sz="4" w:space="0"/>
            </w:tcBorders>
            <w:noWrap w:val="0"/>
            <w:vAlign w:val="center"/>
          </w:tcPr>
          <w:p w14:paraId="23CEB8B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施工期生态环境保护措施</w:t>
            </w:r>
          </w:p>
        </w:tc>
        <w:tc>
          <w:tcPr>
            <w:tcW w:w="8410" w:type="dxa"/>
            <w:tcBorders>
              <w:top w:val="single" w:color="auto" w:sz="4" w:space="0"/>
              <w:left w:val="single" w:color="auto" w:sz="4" w:space="0"/>
              <w:bottom w:val="single" w:color="auto" w:sz="4" w:space="0"/>
              <w:right w:val="single" w:color="auto" w:sz="4" w:space="0"/>
            </w:tcBorders>
            <w:noWrap w:val="0"/>
            <w:vAlign w:val="top"/>
          </w:tcPr>
          <w:p w14:paraId="24BCD01D">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一、生态环境保护措施</w:t>
            </w:r>
          </w:p>
          <w:p w14:paraId="7BDC7488">
            <w:pPr>
              <w:pStyle w:val="15"/>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根据土地利用现状分析本项目井场</w:t>
            </w:r>
            <w:r>
              <w:rPr>
                <w:rFonts w:hint="default" w:ascii="Times New Roman" w:hAnsi="Times New Roman" w:eastAsia="宋体" w:cs="Times New Roman"/>
                <w:b w:val="0"/>
                <w:bCs w:val="0"/>
                <w:color w:val="auto"/>
                <w:sz w:val="24"/>
                <w:szCs w:val="24"/>
                <w:highlight w:val="none"/>
                <w:vertAlign w:val="baseline"/>
                <w:lang w:val="en-US" w:eastAsia="zh-CN"/>
              </w:rPr>
              <w:t>土地利用现状类型主要为种植园用地、</w:t>
            </w:r>
            <w:r>
              <w:rPr>
                <w:rFonts w:hint="eastAsia" w:ascii="Times New Roman" w:hAnsi="Times New Roman" w:eastAsia="宋体" w:cs="Times New Roman"/>
                <w:b w:val="0"/>
                <w:bCs w:val="0"/>
                <w:color w:val="auto"/>
                <w:sz w:val="24"/>
                <w:szCs w:val="24"/>
                <w:highlight w:val="none"/>
                <w:vertAlign w:val="baseline"/>
                <w:lang w:val="en-US" w:eastAsia="zh-CN"/>
              </w:rPr>
              <w:t>草地</w:t>
            </w:r>
            <w:r>
              <w:rPr>
                <w:rFonts w:hint="default" w:ascii="Times New Roman" w:hAnsi="Times New Roman" w:eastAsia="宋体" w:cs="Times New Roman"/>
                <w:b w:val="0"/>
                <w:bCs w:val="0"/>
                <w:color w:val="auto"/>
                <w:sz w:val="24"/>
                <w:szCs w:val="24"/>
                <w:highlight w:val="none"/>
                <w:vertAlign w:val="baseline"/>
                <w:lang w:val="en-US" w:eastAsia="zh-CN"/>
              </w:rPr>
              <w:t>。若永久封井，本项目采取人工干预的手段进行生态恢复，规划为</w:t>
            </w:r>
            <w:r>
              <w:rPr>
                <w:rFonts w:hint="eastAsia" w:ascii="Times New Roman" w:hAnsi="Times New Roman" w:eastAsia="宋体" w:cs="Times New Roman"/>
                <w:b w:val="0"/>
                <w:bCs w:val="0"/>
                <w:color w:val="auto"/>
                <w:sz w:val="24"/>
                <w:szCs w:val="24"/>
                <w:highlight w:val="none"/>
                <w:vertAlign w:val="baseline"/>
                <w:lang w:val="en-US" w:eastAsia="zh-CN"/>
              </w:rPr>
              <w:t>草地</w:t>
            </w:r>
            <w:r>
              <w:rPr>
                <w:rFonts w:hint="default" w:ascii="Times New Roman" w:hAnsi="Times New Roman" w:eastAsia="宋体" w:cs="Times New Roman"/>
                <w:b w:val="0"/>
                <w:bCs w:val="0"/>
                <w:color w:val="auto"/>
                <w:sz w:val="24"/>
                <w:szCs w:val="24"/>
                <w:highlight w:val="none"/>
                <w:vertAlign w:val="baseline"/>
                <w:lang w:val="en-US" w:eastAsia="zh-CN"/>
              </w:rPr>
              <w:t>的区域恢复为</w:t>
            </w:r>
            <w:r>
              <w:rPr>
                <w:rFonts w:hint="eastAsia" w:ascii="Times New Roman" w:hAnsi="Times New Roman" w:eastAsia="宋体" w:cs="Times New Roman"/>
                <w:b w:val="0"/>
                <w:bCs w:val="0"/>
                <w:color w:val="auto"/>
                <w:sz w:val="24"/>
                <w:szCs w:val="24"/>
                <w:highlight w:val="none"/>
                <w:vertAlign w:val="baseline"/>
                <w:lang w:val="en-US" w:eastAsia="zh-CN"/>
              </w:rPr>
              <w:t>草地</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种植园用地</w:t>
            </w:r>
            <w:r>
              <w:rPr>
                <w:rFonts w:hint="default" w:ascii="Times New Roman" w:hAnsi="Times New Roman" w:eastAsia="宋体" w:cs="Times New Roman"/>
                <w:b w:val="0"/>
                <w:bCs w:val="0"/>
                <w:color w:val="auto"/>
                <w:sz w:val="24"/>
                <w:szCs w:val="24"/>
                <w:highlight w:val="none"/>
                <w:vertAlign w:val="baseline"/>
                <w:lang w:val="en-US" w:eastAsia="zh-CN"/>
              </w:rPr>
              <w:t>种植原有果树</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恢复为原有生态类型。</w:t>
            </w:r>
          </w:p>
          <w:p w14:paraId="31F80BD2">
            <w:pPr>
              <w:pStyle w:val="15"/>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bCs/>
                <w:color w:val="auto"/>
                <w:highlight w:val="none"/>
                <w:lang w:val="en-US" w:eastAsia="zh-CN"/>
              </w:rPr>
            </w:pPr>
            <w:r>
              <w:rPr>
                <w:rFonts w:hint="default" w:ascii="Times New Roman" w:hAnsi="Times New Roman" w:eastAsia="Calibri" w:cs="Times New Roman"/>
                <w:b/>
                <w:bCs/>
                <w:color w:val="auto"/>
                <w:kern w:val="0"/>
                <w:sz w:val="24"/>
                <w:szCs w:val="21"/>
                <w:highlight w:val="none"/>
                <w:lang w:val="en-US" w:eastAsia="zh-CN" w:bidi="ar"/>
              </w:rPr>
              <w:t>（1）施工期生态环境保护措施</w:t>
            </w:r>
          </w:p>
          <w:p w14:paraId="0CA8BFE4">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r>
              <w:rPr>
                <w:rFonts w:hint="default" w:ascii="Times New Roman" w:hAnsi="Times New Roman" w:eastAsia="宋体" w:cs="Times New Roman"/>
                <w:color w:val="auto"/>
                <w:highlight w:val="none"/>
                <w:lang w:val="en-US" w:eastAsia="zh-CN"/>
              </w:rPr>
              <w:t>施工期</w:t>
            </w:r>
            <w:r>
              <w:rPr>
                <w:rFonts w:hint="default" w:ascii="Times New Roman" w:hAnsi="Times New Roman" w:eastAsia="宋体" w:cs="Times New Roman"/>
                <w:color w:val="auto"/>
                <w:highlight w:val="none"/>
              </w:rPr>
              <w:t>生态环境保护措施</w:t>
            </w:r>
          </w:p>
          <w:p w14:paraId="07E123C1">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w:t>
            </w:r>
            <w:r>
              <w:rPr>
                <w:rFonts w:hint="default" w:ascii="Times New Roman" w:hAnsi="Times New Roman" w:eastAsia="宋体" w:cs="Times New Roman"/>
                <w:color w:val="auto"/>
                <w:highlight w:val="none"/>
                <w:lang w:val="en-US" w:eastAsia="zh-CN"/>
              </w:rPr>
              <w:t>本项目</w:t>
            </w:r>
            <w:r>
              <w:rPr>
                <w:rFonts w:hint="default" w:ascii="Times New Roman" w:hAnsi="Times New Roman" w:eastAsia="宋体" w:cs="Times New Roman"/>
                <w:color w:val="auto"/>
                <w:highlight w:val="none"/>
              </w:rPr>
              <w:t>在施工组织设计中严格控制占地范围；施工活动需严格控制在施工区域内，并将临时占地面积控制在最低限度，尽量使用既有道路，以免对土壤与植被造成不必要破坏。项目施工时首先应剥离表土。在剥离表土前，对开挖区域内的植被等有碍物进行彻底清除，然后采用人工开挖，先把表层土按预定厚度剥离后，在井场</w:t>
            </w:r>
            <w:r>
              <w:rPr>
                <w:rFonts w:hint="default" w:ascii="Times New Roman" w:hAnsi="Times New Roman" w:eastAsia="宋体" w:cs="Times New Roman"/>
                <w:color w:val="auto"/>
                <w:highlight w:val="none"/>
                <w:lang w:val="en-US" w:eastAsia="zh-CN"/>
              </w:rPr>
              <w:t>和生活区</w:t>
            </w:r>
            <w:r>
              <w:rPr>
                <w:rFonts w:hint="default" w:ascii="Times New Roman" w:hAnsi="Times New Roman" w:eastAsia="宋体" w:cs="Times New Roman"/>
                <w:color w:val="auto"/>
                <w:highlight w:val="none"/>
              </w:rPr>
              <w:t>内临时占地区内</w:t>
            </w:r>
            <w:r>
              <w:rPr>
                <w:rFonts w:hint="default" w:ascii="Times New Roman" w:hAnsi="Times New Roman" w:eastAsia="宋体" w:cs="Times New Roman"/>
                <w:color w:val="auto"/>
                <w:highlight w:val="none"/>
                <w:lang w:val="en-US" w:eastAsia="zh-CN"/>
              </w:rPr>
              <w:t>各</w:t>
            </w:r>
            <w:r>
              <w:rPr>
                <w:rFonts w:hint="default" w:ascii="Times New Roman" w:hAnsi="Times New Roman" w:eastAsia="宋体" w:cs="Times New Roman"/>
                <w:color w:val="auto"/>
                <w:highlight w:val="none"/>
              </w:rPr>
              <w:t>选定一处作为表土临时堆土区</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临时道路剥离的表土就近</w:t>
            </w:r>
            <w:r>
              <w:rPr>
                <w:rFonts w:hint="default" w:ascii="Times New Roman" w:hAnsi="Times New Roman" w:eastAsia="宋体" w:cs="Times New Roman"/>
                <w:b w:val="0"/>
                <w:bCs w:val="0"/>
                <w:color w:val="auto"/>
                <w:sz w:val="24"/>
                <w:szCs w:val="24"/>
                <w:highlight w:val="none"/>
                <w:vertAlign w:val="baseline"/>
                <w:lang w:val="en-US" w:eastAsia="zh-CN"/>
              </w:rPr>
              <w:t>放置</w:t>
            </w:r>
            <w:r>
              <w:rPr>
                <w:rFonts w:hint="default" w:ascii="Times New Roman" w:hAnsi="Times New Roman" w:eastAsia="宋体" w:cs="Times New Roman"/>
                <w:color w:val="auto"/>
                <w:highlight w:val="none"/>
              </w:rPr>
              <w:t>，用于开采结束后的复垦覆土。表土临时堆场周边应设置挡土墙，控制边坡坡降比1:2左右，适时对表土堆场表面进行防尘网遮盖、洒水浸润，同时于表土堆场表面覆盖篷布（防尘、防雨水冲刷），覆盖率需达100%。在堆场周围开挖排水沟，排水沟易采用梯形断面，底宽30cm，高30cm，内坡比1:1，内壁夯实，排水沟与附近已有沟渠相通。在施工结束、场地清理完成后随即采取地表平整、表土回覆、绿化等恢复措施，减少施工期对生态环境影响。</w:t>
            </w:r>
          </w:p>
          <w:p w14:paraId="5444B5E4">
            <w:pPr>
              <w:pStyle w:val="20"/>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4817745" cy="2139950"/>
                  <wp:effectExtent l="0" t="0" r="1905" b="1270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25"/>
                          <a:stretch>
                            <a:fillRect/>
                          </a:stretch>
                        </pic:blipFill>
                        <pic:spPr>
                          <a:xfrm>
                            <a:off x="0" y="0"/>
                            <a:ext cx="4817745" cy="2139950"/>
                          </a:xfrm>
                          <a:prstGeom prst="rect">
                            <a:avLst/>
                          </a:prstGeom>
                          <a:noFill/>
                          <a:ln>
                            <a:noFill/>
                          </a:ln>
                        </pic:spPr>
                      </pic:pic>
                    </a:graphicData>
                  </a:graphic>
                </wp:inline>
              </w:drawing>
            </w:r>
          </w:p>
          <w:p w14:paraId="1059518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color w:val="auto"/>
                <w:sz w:val="21"/>
                <w:szCs w:val="20"/>
                <w:highlight w:val="none"/>
              </w:rPr>
              <w:t xml:space="preserve">图5-1 </w:t>
            </w:r>
            <w:r>
              <w:rPr>
                <w:rFonts w:hint="default" w:ascii="Times New Roman" w:hAnsi="Times New Roman" w:eastAsia="宋体" w:cs="Times New Roman"/>
                <w:b/>
                <w:color w:val="auto"/>
                <w:sz w:val="21"/>
                <w:szCs w:val="20"/>
                <w:highlight w:val="none"/>
                <w:lang w:val="en-US" w:eastAsia="zh-CN"/>
              </w:rPr>
              <w:t xml:space="preserve"> </w:t>
            </w:r>
            <w:r>
              <w:rPr>
                <w:rFonts w:hint="default" w:ascii="Times New Roman" w:hAnsi="Times New Roman" w:eastAsia="宋体" w:cs="Times New Roman"/>
                <w:b/>
                <w:color w:val="auto"/>
                <w:sz w:val="21"/>
                <w:szCs w:val="20"/>
                <w:highlight w:val="none"/>
              </w:rPr>
              <w:t>施工期表土剥离临时堆土区防护措施断面</w:t>
            </w:r>
            <w:r>
              <w:rPr>
                <w:rFonts w:hint="eastAsia" w:ascii="Times New Roman" w:hAnsi="Times New Roman" w:cs="Times New Roman"/>
                <w:b/>
                <w:color w:val="auto"/>
                <w:sz w:val="21"/>
                <w:szCs w:val="20"/>
                <w:highlight w:val="none"/>
                <w:lang w:val="en-US" w:eastAsia="zh-CN"/>
              </w:rPr>
              <w:t>示意图</w:t>
            </w:r>
          </w:p>
          <w:p w14:paraId="4DFC84C3">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②</w:t>
            </w:r>
            <w:r>
              <w:rPr>
                <w:rFonts w:hint="default" w:ascii="Times New Roman" w:hAnsi="Times New Roman" w:eastAsia="宋体" w:cs="Times New Roman"/>
                <w:color w:val="auto"/>
                <w:highlight w:val="none"/>
              </w:rPr>
              <w:t>施工中尽量缩小影响范围，合理布置井场，选择合适的设备搬迁路线，合理布置钻井设备，减少井场占地面积。缩短施工时间，提高工程施工效率，减少工程在空间上、时间上对生态环境的影响；</w:t>
            </w:r>
          </w:p>
          <w:p w14:paraId="33BE5CC1">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③施工完毕应尽快整理施工现场，恢复原有用地性质；施工期间对建筑材料的堆放采取篷布苫盖措施，防止雨水冲刷；</w:t>
            </w:r>
          </w:p>
          <w:p w14:paraId="09619806">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④制定严格的施工操作规范，建立施工期环境管理制度；相对固定运输路线，严禁施工车辆随意开辟施工便道，严禁随意砍伐植被；</w:t>
            </w:r>
          </w:p>
          <w:p w14:paraId="0ED554D6">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⑤迅速恢复植被破坏前的地表形态，填埋废土坑、平整作业现场、改善植被更新生长条件，防止局部土地退化；</w:t>
            </w:r>
          </w:p>
          <w:p w14:paraId="5FDBAAE6">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⑥为防止井场作业加剧水土流失，进场前集中收集表土，并进行遮盖围堵以防风吹雨淋流失，作业结束后再覆盖表土等措施后，可有效减少水土流失；</w:t>
            </w:r>
          </w:p>
          <w:p w14:paraId="025C9638">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⑦井场内禁止废水、废弃泥浆、废弃岩屑以及其他废物流失和乱排放，严禁机油等各种油料落地，擦洗设备和更换的废油品料要集中到废油回收罐，如果发现外溢和散落必须及时清理；</w:t>
            </w:r>
          </w:p>
          <w:p w14:paraId="49E370BE">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⑧完井后回收各种原料，清理井场上散落的泥浆、污水、油料和各种废弃物。泥浆药品等泥浆材料及废油必须全部回收，不得随意遗弃于井场，完井后做到作业现场整洁、平整、卫生、无油污、无固废。</w:t>
            </w:r>
          </w:p>
          <w:p w14:paraId="0DC7C291">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⑨项目开发建设前，做好施工规划前期工作，尽量缩小施工范围，减少临时占地面积；施工机械应严格按照规定的施工道路行驶，严禁占用施工区域外的土地；加强施工人员的各类管理；做好工程完井后生态环境的恢复工作；加强环境管理和监理制度；加强生态保护宣传教育，以尽量减少植被破坏及水土流失等不利影响。</w:t>
            </w:r>
          </w:p>
          <w:p w14:paraId="54437EE9">
            <w:pPr>
              <w:pStyle w:val="15"/>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color w:val="auto"/>
                <w:highlight w:val="none"/>
              </w:rPr>
              <w:t>通过采取相应的生态保护措施，项目建设对区域生态系统的完整性、稳定性影响较小，不会对生态环境造成显著的影响。</w:t>
            </w:r>
          </w:p>
          <w:p w14:paraId="569CF632">
            <w:pPr>
              <w:pStyle w:val="15"/>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kern w:val="0"/>
                <w:sz w:val="24"/>
                <w:szCs w:val="21"/>
                <w:highlight w:val="none"/>
                <w:lang w:val="en-US" w:eastAsia="zh-CN" w:bidi="ar"/>
              </w:rPr>
              <w:t>（2）封井期生态环境保护措施</w:t>
            </w:r>
          </w:p>
          <w:p w14:paraId="1572858B">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本工程为</w:t>
            </w:r>
            <w:r>
              <w:rPr>
                <w:rFonts w:hint="default" w:ascii="Times New Roman" w:hAnsi="Times New Roman" w:eastAsia="宋体" w:cs="Times New Roman"/>
                <w:color w:val="auto"/>
                <w:highlight w:val="none"/>
                <w:lang w:val="en-US" w:eastAsia="zh-CN"/>
              </w:rPr>
              <w:t>天然气</w:t>
            </w:r>
            <w:r>
              <w:rPr>
                <w:rFonts w:hint="default" w:ascii="Times New Roman" w:hAnsi="Times New Roman" w:eastAsia="宋体" w:cs="Times New Roman"/>
                <w:color w:val="auto"/>
                <w:highlight w:val="none"/>
                <w:lang w:eastAsia="zh-CN"/>
              </w:rPr>
              <w:t>评价井，钻井结束后，通过完井测试评价</w:t>
            </w:r>
            <w:r>
              <w:rPr>
                <w:rFonts w:hint="default" w:ascii="Times New Roman" w:hAnsi="Times New Roman" w:eastAsia="宋体" w:cs="Times New Roman"/>
                <w:color w:val="auto"/>
                <w:highlight w:val="none"/>
                <w:lang w:val="en-US" w:eastAsia="zh-CN"/>
              </w:rPr>
              <w:t>气</w:t>
            </w:r>
            <w:r>
              <w:rPr>
                <w:rFonts w:hint="default" w:ascii="Times New Roman" w:hAnsi="Times New Roman" w:eastAsia="宋体" w:cs="Times New Roman"/>
                <w:color w:val="auto"/>
                <w:highlight w:val="none"/>
                <w:lang w:eastAsia="zh-CN"/>
              </w:rPr>
              <w:t>藏情况，</w:t>
            </w:r>
            <w:r>
              <w:rPr>
                <w:rFonts w:hint="default" w:ascii="Times New Roman" w:hAnsi="Times New Roman" w:eastAsia="宋体" w:cs="Times New Roman"/>
                <w:color w:val="auto"/>
                <w:highlight w:val="none"/>
                <w:lang w:val="en-US" w:eastAsia="zh-CN"/>
              </w:rPr>
              <w:t>若</w:t>
            </w:r>
            <w:r>
              <w:rPr>
                <w:rFonts w:hint="default" w:ascii="Times New Roman" w:hAnsi="Times New Roman" w:eastAsia="宋体" w:cs="Times New Roman"/>
                <w:color w:val="auto"/>
                <w:highlight w:val="none"/>
                <w:lang w:eastAsia="zh-CN"/>
              </w:rPr>
              <w:t>不具备开采价值，进行永久封井，场地恢复原状；若测试具有工业产能，临时封井，移交给长庆油田分公司第二采气厂按标准化井场进行建设和管理</w:t>
            </w:r>
            <w:r>
              <w:rPr>
                <w:rFonts w:hint="default" w:ascii="Times New Roman" w:hAnsi="Times New Roman" w:eastAsia="宋体" w:cs="Times New Roman"/>
                <w:color w:val="auto"/>
                <w:sz w:val="24"/>
                <w:szCs w:val="24"/>
                <w:highlight w:val="none"/>
                <w:lang w:val="en-US" w:eastAsia="zh-CN"/>
              </w:rPr>
              <w:t>，无论临时封井还是永久封井都需进行生态恢复</w:t>
            </w:r>
            <w:r>
              <w:rPr>
                <w:rFonts w:hint="default" w:ascii="Times New Roman" w:hAnsi="Times New Roman" w:eastAsia="宋体" w:cs="Times New Roman"/>
                <w:color w:val="auto"/>
                <w:sz w:val="24"/>
                <w:highlight w:val="none"/>
              </w:rPr>
              <w:t>。</w:t>
            </w:r>
          </w:p>
          <w:p w14:paraId="68072ED4">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封井作业将对设备、基础进行拆除、搬迁、封井口作业。封井口环境影响因素不再存在，无三废排放，无噪声影响。</w:t>
            </w:r>
          </w:p>
          <w:p w14:paraId="18B0E642">
            <w:pPr>
              <w:pStyle w:val="15"/>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封井原因主要包括地质报废与工程报废。一般地质报废是指在钻井过程中，未遇到含</w:t>
            </w:r>
            <w:r>
              <w:rPr>
                <w:rFonts w:hint="default" w:ascii="Times New Roman" w:hAnsi="Times New Roman" w:eastAsia="宋体" w:cs="Times New Roman"/>
                <w:color w:val="auto"/>
                <w:highlight w:val="none"/>
                <w:lang w:val="en-US" w:eastAsia="zh-CN"/>
              </w:rPr>
              <w:t>采</w:t>
            </w:r>
            <w:r>
              <w:rPr>
                <w:rFonts w:hint="default" w:ascii="Times New Roman" w:hAnsi="Times New Roman" w:eastAsia="宋体" w:cs="Times New Roman"/>
                <w:color w:val="auto"/>
                <w:highlight w:val="none"/>
                <w:lang w:eastAsia="zh-CN"/>
              </w:rPr>
              <w:t>气层，无任何油气显示的情况。地质勘探过程属于钻井的前端工序，因此一旦无含</w:t>
            </w:r>
            <w:r>
              <w:rPr>
                <w:rFonts w:hint="default" w:ascii="Times New Roman" w:hAnsi="Times New Roman" w:eastAsia="宋体" w:cs="Times New Roman"/>
                <w:color w:val="auto"/>
                <w:highlight w:val="none"/>
                <w:lang w:val="en-US" w:eastAsia="zh-CN"/>
              </w:rPr>
              <w:t>采</w:t>
            </w:r>
            <w:r>
              <w:rPr>
                <w:rFonts w:hint="default" w:ascii="Times New Roman" w:hAnsi="Times New Roman" w:eastAsia="宋体" w:cs="Times New Roman"/>
                <w:color w:val="auto"/>
                <w:highlight w:val="none"/>
                <w:lang w:eastAsia="zh-CN"/>
              </w:rPr>
              <w:t>气层，直接将其井口进行封堵，封堵后对井场进行恢复，修复后场内无钻探痕迹。恢复过程主要为：对钻井设施进行拆除；土地平整；对井场土壤进行重构，在井场宜绿区域进行绿化种植。工程报废是指已经下设套管后，通过试</w:t>
            </w:r>
            <w:r>
              <w:rPr>
                <w:rFonts w:hint="default" w:ascii="Times New Roman" w:hAnsi="Times New Roman" w:eastAsia="宋体" w:cs="Times New Roman"/>
                <w:color w:val="auto"/>
                <w:highlight w:val="none"/>
                <w:lang w:val="en-US" w:eastAsia="zh-CN"/>
              </w:rPr>
              <w:t>气</w:t>
            </w:r>
            <w:r>
              <w:rPr>
                <w:rFonts w:hint="default" w:ascii="Times New Roman" w:hAnsi="Times New Roman" w:eastAsia="宋体" w:cs="Times New Roman"/>
                <w:color w:val="auto"/>
                <w:highlight w:val="none"/>
                <w:lang w:eastAsia="zh-CN"/>
              </w:rPr>
              <w:t>，未达到可开发利用的</w:t>
            </w:r>
            <w:r>
              <w:rPr>
                <w:rFonts w:hint="default" w:ascii="Times New Roman" w:hAnsi="Times New Roman" w:eastAsia="宋体" w:cs="Times New Roman"/>
                <w:color w:val="auto"/>
                <w:highlight w:val="none"/>
                <w:lang w:val="en-US" w:eastAsia="zh-CN"/>
              </w:rPr>
              <w:t>天然气</w:t>
            </w:r>
            <w:r>
              <w:rPr>
                <w:rFonts w:hint="default" w:ascii="Times New Roman" w:hAnsi="Times New Roman" w:eastAsia="宋体" w:cs="Times New Roman"/>
                <w:color w:val="auto"/>
                <w:highlight w:val="none"/>
                <w:lang w:eastAsia="zh-CN"/>
              </w:rPr>
              <w:t>，则进行封场处理。封井后地面将留有井口封堵痕迹，对井场恢复原有地貌类型。封井期生态具体恢复措施步骤见图5-</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eastAsia="zh-CN"/>
              </w:rPr>
              <w:t>。</w:t>
            </w:r>
          </w:p>
          <w:p w14:paraId="449D0DA3">
            <w:pPr>
              <w:pStyle w:val="15"/>
              <w:keepNext w:val="0"/>
              <w:keepLines w:val="0"/>
              <w:widowControl w:val="0"/>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kern w:val="0"/>
                <w:sz w:val="24"/>
                <w:szCs w:val="21"/>
                <w:highlight w:val="none"/>
                <w:lang w:val="en-US" w:eastAsia="zh-CN" w:bidi="ar"/>
              </w:rPr>
              <w:drawing>
                <wp:inline distT="0" distB="0" distL="114300" distR="114300">
                  <wp:extent cx="2305050" cy="3209925"/>
                  <wp:effectExtent l="0" t="0" r="0" b="9525"/>
                  <wp:docPr id="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pic:cNvPicPr>
                            <a:picLocks noChangeAspect="1"/>
                          </pic:cNvPicPr>
                        </pic:nvPicPr>
                        <pic:blipFill>
                          <a:blip r:embed="rId26"/>
                          <a:stretch>
                            <a:fillRect/>
                          </a:stretch>
                        </pic:blipFill>
                        <pic:spPr>
                          <a:xfrm>
                            <a:off x="0" y="0"/>
                            <a:ext cx="2305050" cy="3209925"/>
                          </a:xfrm>
                          <a:prstGeom prst="rect">
                            <a:avLst/>
                          </a:prstGeom>
                          <a:noFill/>
                          <a:ln>
                            <a:noFill/>
                          </a:ln>
                        </pic:spPr>
                      </pic:pic>
                    </a:graphicData>
                  </a:graphic>
                </wp:inline>
              </w:drawing>
            </w:r>
          </w:p>
          <w:p w14:paraId="6C0D3B03">
            <w:pPr>
              <w:pStyle w:val="1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val="0"/>
                <w:color w:val="auto"/>
                <w:kern w:val="0"/>
                <w:sz w:val="24"/>
                <w:szCs w:val="24"/>
                <w:highlight w:val="none"/>
                <w:lang w:val="en-US" w:eastAsia="zh-CN" w:bidi="ar"/>
              </w:rPr>
              <w:t>图5-2   井场生态恢复步骤</w:t>
            </w:r>
          </w:p>
          <w:p w14:paraId="730C58EE">
            <w:pPr>
              <w:pStyle w:val="15"/>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kern w:val="0"/>
                <w:sz w:val="24"/>
                <w:szCs w:val="21"/>
                <w:highlight w:val="none"/>
                <w:lang w:val="en-US" w:eastAsia="zh-CN" w:bidi="ar"/>
              </w:rPr>
              <w:t>（3）生态恢复要求</w:t>
            </w:r>
          </w:p>
          <w:p w14:paraId="1C6E9D01">
            <w:pPr>
              <w:pStyle w:val="15"/>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当</w:t>
            </w:r>
            <w:r>
              <w:rPr>
                <w:rFonts w:hint="default" w:ascii="Times New Roman" w:hAnsi="Times New Roman" w:eastAsia="宋体" w:cs="Times New Roman"/>
                <w:color w:val="auto"/>
                <w:highlight w:val="none"/>
                <w:lang w:eastAsia="zh-CN"/>
              </w:rPr>
              <w:t>评价井</w:t>
            </w:r>
            <w:r>
              <w:rPr>
                <w:rFonts w:hint="default" w:ascii="Times New Roman" w:hAnsi="Times New Roman" w:eastAsia="宋体" w:cs="Times New Roman"/>
                <w:color w:val="auto"/>
                <w:highlight w:val="none"/>
              </w:rPr>
              <w:t>具有开发价值时，采取临时封井，</w:t>
            </w:r>
            <w:r>
              <w:rPr>
                <w:rFonts w:hint="default" w:ascii="Times New Roman" w:hAnsi="Times New Roman" w:eastAsia="宋体" w:cs="Times New Roman"/>
                <w:color w:val="auto"/>
                <w:highlight w:val="none"/>
                <w:lang w:val="en-US" w:eastAsia="zh-CN"/>
              </w:rPr>
              <w:t>临时占地</w:t>
            </w:r>
            <w:r>
              <w:rPr>
                <w:rFonts w:hint="default" w:ascii="Times New Roman" w:hAnsi="Times New Roman" w:eastAsia="宋体" w:cs="Times New Roman"/>
                <w:color w:val="auto"/>
                <w:highlight w:val="none"/>
              </w:rPr>
              <w:t>暂不进行生态恢复</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bCs/>
                <w:color w:val="auto"/>
                <w:sz w:val="24"/>
                <w:highlight w:val="none"/>
                <w:lang w:val="en-US" w:eastAsia="zh-CN"/>
              </w:rPr>
              <w:t>若不具有工业生产价值，则对井场临时占地进行生态恢复，</w:t>
            </w:r>
            <w:r>
              <w:rPr>
                <w:rFonts w:hint="default" w:ascii="Times New Roman" w:hAnsi="Times New Roman" w:eastAsia="宋体" w:cs="Times New Roman"/>
                <w:bCs/>
                <w:color w:val="auto"/>
                <w:sz w:val="24"/>
                <w:highlight w:val="none"/>
              </w:rPr>
              <w:t>以达到与周边生态系统一致。</w:t>
            </w:r>
          </w:p>
          <w:p w14:paraId="08E43F99">
            <w:pPr>
              <w:pStyle w:val="15"/>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kern w:val="0"/>
                <w:sz w:val="24"/>
                <w:szCs w:val="21"/>
                <w:highlight w:val="none"/>
                <w:lang w:val="en-US" w:eastAsia="zh-CN" w:bidi="ar"/>
              </w:rPr>
              <w:t>（4）生态恢复整治方案及恢复用地控制指标</w:t>
            </w:r>
          </w:p>
          <w:p w14:paraId="65DB7FEA">
            <w:pPr>
              <w:pStyle w:val="2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本</w:t>
            </w:r>
            <w:r>
              <w:rPr>
                <w:rFonts w:hint="default" w:ascii="Times New Roman" w:hAnsi="Times New Roman" w:eastAsia="宋体" w:cs="Times New Roman"/>
                <w:color w:val="auto"/>
                <w:highlight w:val="none"/>
              </w:rPr>
              <w:t>项目仅涉及施工期，不涉及运营期，</w:t>
            </w:r>
            <w:r>
              <w:rPr>
                <w:rFonts w:hint="default" w:ascii="Times New Roman" w:hAnsi="Times New Roman" w:eastAsia="宋体" w:cs="Times New Roman"/>
                <w:color w:val="auto"/>
                <w:highlight w:val="none"/>
                <w:lang w:val="en-US" w:eastAsia="zh-CN"/>
              </w:rPr>
              <w:t>本项目钻井结束封井后即开展生态恢复，</w:t>
            </w:r>
            <w:r>
              <w:rPr>
                <w:rFonts w:hint="default" w:ascii="Times New Roman" w:hAnsi="Times New Roman" w:eastAsia="宋体" w:cs="Times New Roman"/>
                <w:color w:val="auto"/>
                <w:highlight w:val="none"/>
              </w:rPr>
              <w:t>本次评价仅针对施工期提出相关生态恢复措施，具体生态恢复方案如下：</w:t>
            </w:r>
          </w:p>
          <w:p w14:paraId="594F1942">
            <w:pPr>
              <w:pStyle w:val="2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①场地清理</w:t>
            </w:r>
          </w:p>
          <w:p w14:paraId="056E0D9C">
            <w:pPr>
              <w:pStyle w:val="2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拆除工程</w:t>
            </w:r>
          </w:p>
          <w:p w14:paraId="2ABF536B">
            <w:pPr>
              <w:pStyle w:val="2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钻井设施均为撬装，例如材料房，值班室等，开钻时由钻井队运至井场。因此，封井期由钻井队拆除，外运。临时</w:t>
            </w:r>
            <w:r>
              <w:rPr>
                <w:rFonts w:hint="default" w:ascii="Times New Roman" w:hAnsi="Times New Roman" w:eastAsia="宋体" w:cs="Times New Roman"/>
                <w:color w:val="auto"/>
                <w:highlight w:val="none"/>
                <w:lang w:eastAsia="zh-CN"/>
              </w:rPr>
              <w:t>危废贮存点</w:t>
            </w:r>
            <w:r>
              <w:rPr>
                <w:rFonts w:hint="default" w:ascii="Times New Roman" w:hAnsi="Times New Roman" w:eastAsia="宋体" w:cs="Times New Roman"/>
                <w:color w:val="auto"/>
                <w:highlight w:val="none"/>
              </w:rPr>
              <w:t>需将危废按照要求处置完毕后，对其拆除，外运；水泥墩、钢架等支撑物彻底拆除、外运，为土地平整创造条件。</w:t>
            </w:r>
          </w:p>
          <w:p w14:paraId="3976D948">
            <w:pPr>
              <w:pStyle w:val="2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B</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场地地表清理</w:t>
            </w:r>
          </w:p>
          <w:p w14:paraId="19AC1494">
            <w:pPr>
              <w:pStyle w:val="2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据统计，本项目临时占地</w:t>
            </w:r>
            <w:r>
              <w:rPr>
                <w:rFonts w:hint="default" w:ascii="Times New Roman" w:hAnsi="Times New Roman" w:eastAsia="宋体" w:cs="Times New Roman"/>
                <w:color w:val="auto"/>
                <w:highlight w:val="none"/>
                <w:lang w:val="en-US" w:eastAsia="zh-CN"/>
              </w:rPr>
              <w:t>总</w:t>
            </w:r>
            <w:r>
              <w:rPr>
                <w:rFonts w:hint="default" w:ascii="Times New Roman" w:hAnsi="Times New Roman" w:eastAsia="宋体" w:cs="Times New Roman"/>
                <w:color w:val="auto"/>
                <w:highlight w:val="none"/>
              </w:rPr>
              <w:t>面积</w:t>
            </w:r>
            <w:r>
              <w:rPr>
                <w:rFonts w:hint="default" w:ascii="Times New Roman" w:hAnsi="Times New Roman" w:eastAsia="宋体" w:cs="Times New Roman"/>
                <w:color w:val="auto"/>
                <w:highlight w:val="none"/>
                <w:lang w:val="en-US" w:eastAsia="zh-CN"/>
              </w:rPr>
              <w:t>约</w:t>
            </w:r>
            <w:r>
              <w:rPr>
                <w:rFonts w:hint="eastAsia" w:ascii="Times New Roman" w:hAnsi="Times New Roman" w:eastAsia="宋体" w:cs="Times New Roman"/>
                <w:color w:val="auto"/>
                <w:kern w:val="0"/>
                <w:sz w:val="24"/>
                <w:szCs w:val="24"/>
                <w:highlight w:val="none"/>
                <w:lang w:val="en-US" w:eastAsia="zh-CN" w:bidi="ar"/>
              </w:rPr>
              <w:t>16559</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，施工场地、井场表面铺满碎石，在进行覆土前需要清理，场地恢复后的土壤需清洁平整。</w:t>
            </w:r>
          </w:p>
          <w:p w14:paraId="16E6813B">
            <w:pPr>
              <w:pStyle w:val="2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土地平整</w:t>
            </w:r>
          </w:p>
          <w:p w14:paraId="4E18D061">
            <w:pPr>
              <w:pStyle w:val="2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井场经过建筑物拆除后，对井场内的土地进行整体的平整，部分拆除后的凹地，采用临时</w:t>
            </w:r>
            <w:r>
              <w:rPr>
                <w:rFonts w:hint="default" w:ascii="Times New Roman" w:hAnsi="Times New Roman" w:eastAsia="宋体" w:cs="Times New Roman"/>
                <w:color w:val="auto"/>
                <w:highlight w:val="none"/>
                <w:lang w:eastAsia="zh-CN"/>
              </w:rPr>
              <w:t>堆土场</w:t>
            </w:r>
            <w:r>
              <w:rPr>
                <w:rFonts w:hint="default" w:ascii="Times New Roman" w:hAnsi="Times New Roman" w:eastAsia="宋体" w:cs="Times New Roman"/>
                <w:color w:val="auto"/>
                <w:highlight w:val="none"/>
              </w:rPr>
              <w:t>的表土进行平整。</w:t>
            </w:r>
          </w:p>
          <w:p w14:paraId="549DC7A4">
            <w:pPr>
              <w:pStyle w:val="2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D</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恢复工程</w:t>
            </w:r>
          </w:p>
          <w:p w14:paraId="2D3858BE">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井场经过建筑物压占，车辆流动，板结严重。地表建筑物和地表碎石清除后，</w:t>
            </w:r>
            <w:r>
              <w:rPr>
                <w:rFonts w:hint="default" w:ascii="Times New Roman" w:hAnsi="Times New Roman" w:eastAsia="宋体" w:cs="Times New Roman"/>
                <w:color w:val="auto"/>
                <w:highlight w:val="none"/>
                <w:lang w:val="en-US" w:eastAsia="zh-CN"/>
              </w:rPr>
              <w:t>若永久封井，则</w:t>
            </w:r>
            <w:r>
              <w:rPr>
                <w:rFonts w:hint="default" w:ascii="Times New Roman" w:hAnsi="Times New Roman" w:eastAsia="宋体" w:cs="Times New Roman"/>
                <w:color w:val="auto"/>
                <w:highlight w:val="none"/>
              </w:rPr>
              <w:t>通过深翻耕松土透气，能够满足井场宜绿区域种植生长的要求</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若临时封井，</w:t>
            </w:r>
            <w:r>
              <w:rPr>
                <w:rFonts w:hint="default" w:ascii="Times New Roman" w:hAnsi="Times New Roman" w:eastAsia="宋体" w:cs="Times New Roman"/>
                <w:color w:val="auto"/>
                <w:sz w:val="24"/>
                <w:highlight w:val="none"/>
                <w:lang w:val="en-US" w:eastAsia="zh-CN"/>
              </w:rPr>
              <w:t>移交给</w:t>
            </w:r>
            <w:r>
              <w:rPr>
                <w:rFonts w:hint="default" w:ascii="Times New Roman" w:hAnsi="Times New Roman" w:eastAsia="宋体" w:cs="Times New Roman"/>
                <w:color w:val="auto"/>
                <w:sz w:val="24"/>
                <w:szCs w:val="24"/>
                <w:highlight w:val="none"/>
                <w:lang w:val="en-US" w:eastAsia="zh-CN"/>
              </w:rPr>
              <w:t>长庆油田分公司第二采气厂按标准化井场进行建设和管理，无论临时封井还是永久封井都需进行生态恢复</w:t>
            </w:r>
            <w:r>
              <w:rPr>
                <w:rFonts w:hint="default" w:ascii="Times New Roman" w:hAnsi="Times New Roman" w:eastAsia="宋体" w:cs="Times New Roman"/>
                <w:color w:val="auto"/>
                <w:sz w:val="24"/>
                <w:highlight w:val="none"/>
              </w:rPr>
              <w:t>。</w:t>
            </w:r>
          </w:p>
          <w:p w14:paraId="469988F8">
            <w:pPr>
              <w:pStyle w:val="2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②土壤修复</w:t>
            </w:r>
          </w:p>
          <w:p w14:paraId="48466942">
            <w:pPr>
              <w:pStyle w:val="2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若施工过程对土地造成污染，首先应清理污染土壤运至有资质单位处置，然后则开展土壤修复工作。</w:t>
            </w:r>
          </w:p>
          <w:p w14:paraId="1F2A3C82">
            <w:pPr>
              <w:pStyle w:val="2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生物措施</w:t>
            </w:r>
          </w:p>
          <w:p w14:paraId="62406086">
            <w:pPr>
              <w:pStyle w:val="2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结合当地的气候条件进行相关污染土壤治理修复工作，</w:t>
            </w:r>
            <w:r>
              <w:rPr>
                <w:rFonts w:hint="default" w:ascii="Times New Roman" w:hAnsi="Times New Roman" w:eastAsia="宋体" w:cs="Times New Roman"/>
                <w:color w:val="auto"/>
                <w:highlight w:val="none"/>
                <w:lang w:val="en-US" w:eastAsia="zh-CN"/>
              </w:rPr>
              <w:t>如在污染区块</w:t>
            </w:r>
            <w:r>
              <w:rPr>
                <w:rFonts w:hint="default" w:ascii="Times New Roman" w:hAnsi="Times New Roman" w:eastAsia="宋体" w:cs="Times New Roman"/>
                <w:color w:val="auto"/>
                <w:highlight w:val="none"/>
              </w:rPr>
              <w:t>种植对石油类及有机物等具有较强富集能力的绿色植物进行植被修复。</w:t>
            </w:r>
          </w:p>
          <w:p w14:paraId="2DACCD0D">
            <w:pPr>
              <w:pStyle w:val="2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B</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土壤培肥措施</w:t>
            </w:r>
          </w:p>
          <w:p w14:paraId="247BD6FF">
            <w:pPr>
              <w:pStyle w:val="2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井场勘探后如未发现</w:t>
            </w:r>
            <w:r>
              <w:rPr>
                <w:rFonts w:hint="default" w:ascii="Times New Roman" w:hAnsi="Times New Roman" w:eastAsia="宋体" w:cs="Times New Roman"/>
                <w:color w:val="auto"/>
                <w:highlight w:val="none"/>
                <w:lang w:val="en-US" w:eastAsia="zh-CN"/>
              </w:rPr>
              <w:t>天然气或不具开采价值</w:t>
            </w:r>
            <w:r>
              <w:rPr>
                <w:rFonts w:hint="default" w:ascii="Times New Roman" w:hAnsi="Times New Roman" w:eastAsia="宋体" w:cs="Times New Roman"/>
                <w:color w:val="auto"/>
                <w:highlight w:val="none"/>
              </w:rPr>
              <w:t>，进行土地复垦，复垦为</w:t>
            </w:r>
            <w:r>
              <w:rPr>
                <w:rFonts w:hint="default" w:ascii="Times New Roman" w:hAnsi="Times New Roman" w:eastAsia="宋体" w:cs="Times New Roman"/>
                <w:color w:val="auto"/>
                <w:highlight w:val="none"/>
                <w:lang w:val="en-US" w:eastAsia="zh-CN"/>
              </w:rPr>
              <w:t>原有土地利用类型</w:t>
            </w:r>
            <w:r>
              <w:rPr>
                <w:rFonts w:hint="default" w:ascii="Times New Roman" w:hAnsi="Times New Roman" w:eastAsia="宋体" w:cs="Times New Roman"/>
                <w:color w:val="auto"/>
                <w:highlight w:val="none"/>
              </w:rPr>
              <w:t>。根据场地的地形地貌因子、土壤物理性质、土壤化学性质、生物因子等指标，判定影响区域土壤修复与植被恢复的主要限制性因子，适量有机施肥，保障生产力水平不下降。</w:t>
            </w:r>
          </w:p>
          <w:p w14:paraId="5A595D0C">
            <w:pPr>
              <w:pStyle w:val="2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③生态人工恢复</w:t>
            </w:r>
          </w:p>
          <w:p w14:paraId="5519C968">
            <w:pPr>
              <w:pStyle w:val="2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钻井工程结束后，若临时封井，</w:t>
            </w:r>
            <w:r>
              <w:rPr>
                <w:rFonts w:hint="default" w:ascii="Times New Roman" w:hAnsi="Times New Roman" w:eastAsia="宋体" w:cs="Times New Roman"/>
                <w:color w:val="auto"/>
                <w:sz w:val="24"/>
                <w:highlight w:val="none"/>
                <w:lang w:val="en-US" w:eastAsia="zh-CN"/>
              </w:rPr>
              <w:t>移交给</w:t>
            </w:r>
            <w:r>
              <w:rPr>
                <w:rFonts w:hint="default" w:ascii="Times New Roman" w:hAnsi="Times New Roman" w:eastAsia="宋体" w:cs="Times New Roman"/>
                <w:color w:val="auto"/>
                <w:sz w:val="24"/>
                <w:szCs w:val="24"/>
                <w:highlight w:val="none"/>
                <w:lang w:val="en-US" w:eastAsia="zh-CN"/>
              </w:rPr>
              <w:t>长庆油田分公司第二采气厂按标准化井场进行建设和管理，无论临时封井还是永久封井都需进行生态恢复</w:t>
            </w:r>
            <w:r>
              <w:rPr>
                <w:rFonts w:hint="default" w:ascii="Times New Roman" w:hAnsi="Times New Roman" w:eastAsia="宋体" w:cs="Times New Roman"/>
                <w:color w:val="auto"/>
                <w:sz w:val="24"/>
                <w:highlight w:val="none"/>
              </w:rPr>
              <w:t>。</w:t>
            </w:r>
          </w:p>
          <w:p w14:paraId="4ED80B9E">
            <w:pPr>
              <w:pStyle w:val="2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若永久封井，</w:t>
            </w:r>
            <w:r>
              <w:rPr>
                <w:rFonts w:hint="default" w:ascii="Times New Roman" w:hAnsi="Times New Roman" w:eastAsia="宋体" w:cs="Times New Roman"/>
                <w:color w:val="auto"/>
                <w:highlight w:val="none"/>
              </w:rPr>
              <w:t>采取人工干预的手段进行生态恢复。生态人工恢复主要工序为：土地平整→植被种植→植被养护。</w:t>
            </w:r>
            <w:r>
              <w:rPr>
                <w:rFonts w:hint="default" w:ascii="Times New Roman" w:hAnsi="Times New Roman" w:eastAsia="宋体" w:cs="Times New Roman"/>
                <w:color w:val="auto"/>
                <w:highlight w:val="none"/>
                <w:lang w:val="en-US" w:eastAsia="zh-CN"/>
              </w:rPr>
              <w:t>具体恢复措施见下：</w:t>
            </w:r>
          </w:p>
          <w:p w14:paraId="693065B6">
            <w:pPr>
              <w:pStyle w:val="2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若永久封井，</w:t>
            </w:r>
            <w:r>
              <w:rPr>
                <w:rFonts w:hint="default" w:ascii="Times New Roman" w:hAnsi="Times New Roman" w:eastAsia="宋体" w:cs="Times New Roman"/>
                <w:color w:val="auto"/>
                <w:highlight w:val="none"/>
              </w:rPr>
              <w:t>施工结束后，</w:t>
            </w:r>
            <w:r>
              <w:rPr>
                <w:rFonts w:hint="default" w:ascii="Times New Roman" w:hAnsi="Times New Roman" w:eastAsia="宋体" w:cs="Times New Roman"/>
                <w:color w:val="auto"/>
                <w:highlight w:val="none"/>
                <w:lang w:val="en-US" w:eastAsia="zh-CN"/>
              </w:rPr>
              <w:t>进行</w:t>
            </w:r>
            <w:r>
              <w:rPr>
                <w:rFonts w:hint="eastAsia" w:ascii="Times New Roman" w:hAnsi="Times New Roman" w:eastAsia="宋体" w:cs="Times New Roman"/>
                <w:color w:val="auto"/>
                <w:highlight w:val="none"/>
                <w:lang w:val="en-US" w:eastAsia="zh-CN"/>
              </w:rPr>
              <w:t>生态人工</w:t>
            </w:r>
            <w:r>
              <w:rPr>
                <w:rFonts w:hint="default" w:ascii="Times New Roman" w:hAnsi="Times New Roman" w:eastAsia="宋体" w:cs="Times New Roman"/>
                <w:color w:val="auto"/>
                <w:highlight w:val="none"/>
                <w:lang w:val="en-US" w:eastAsia="zh-CN"/>
              </w:rPr>
              <w:t>恢复</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恢复面积为</w:t>
            </w:r>
            <w:r>
              <w:rPr>
                <w:rFonts w:hint="eastAsia" w:ascii="Times New Roman" w:hAnsi="Times New Roman" w:eastAsia="宋体" w:cs="Times New Roman"/>
                <w:color w:val="auto"/>
                <w:kern w:val="0"/>
                <w:sz w:val="24"/>
                <w:szCs w:val="24"/>
                <w:highlight w:val="none"/>
                <w:lang w:val="en-US" w:eastAsia="zh-CN" w:bidi="ar"/>
              </w:rPr>
              <w:t>1.6559</w:t>
            </w:r>
            <w:r>
              <w:rPr>
                <w:rFonts w:hint="default" w:ascii="Times New Roman" w:hAnsi="Times New Roman" w:eastAsia="宋体" w:cs="Times New Roman"/>
                <w:color w:val="auto"/>
                <w:highlight w:val="none"/>
                <w:lang w:val="en-US" w:eastAsia="zh-CN"/>
              </w:rPr>
              <w:t>公顷</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生态恢复植被应选用</w:t>
            </w:r>
            <w:r>
              <w:rPr>
                <w:rFonts w:hint="eastAsia" w:ascii="Times New Roman" w:hAnsi="Times New Roman" w:eastAsia="宋体" w:cs="Times New Roman"/>
                <w:color w:val="auto"/>
                <w:highlight w:val="none"/>
                <w:lang w:val="en-US" w:eastAsia="zh-CN"/>
              </w:rPr>
              <w:t>原有</w:t>
            </w:r>
            <w:r>
              <w:rPr>
                <w:rFonts w:hint="default" w:ascii="Times New Roman" w:hAnsi="Times New Roman" w:eastAsia="宋体" w:cs="Times New Roman"/>
                <w:color w:val="auto"/>
                <w:highlight w:val="none"/>
              </w:rPr>
              <w:t>物种</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恢复率不低于95%</w:t>
            </w:r>
            <w:r>
              <w:rPr>
                <w:rFonts w:hint="default" w:ascii="Times New Roman" w:hAnsi="Times New Roman" w:eastAsia="宋体" w:cs="Times New Roman"/>
                <w:color w:val="auto"/>
                <w:highlight w:val="none"/>
                <w:lang w:eastAsia="zh-CN"/>
              </w:rPr>
              <w:t>。</w:t>
            </w:r>
          </w:p>
          <w:p w14:paraId="7EC492C4">
            <w:pPr>
              <w:pStyle w:val="1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val="0"/>
                <w:color w:val="auto"/>
                <w:kern w:val="0"/>
                <w:sz w:val="24"/>
                <w:szCs w:val="24"/>
                <w:highlight w:val="none"/>
                <w:lang w:val="en-US" w:eastAsia="zh-CN" w:bidi="ar"/>
              </w:rPr>
              <w:t>表5-</w:t>
            </w:r>
            <w:r>
              <w:rPr>
                <w:rFonts w:hint="eastAsia" w:ascii="Times New Roman" w:hAnsi="Times New Roman" w:cs="Times New Roman"/>
                <w:b/>
                <w:bCs w:val="0"/>
                <w:color w:val="auto"/>
                <w:kern w:val="0"/>
                <w:sz w:val="24"/>
                <w:szCs w:val="24"/>
                <w:highlight w:val="none"/>
                <w:lang w:val="en-US" w:eastAsia="zh-CN" w:bidi="ar"/>
              </w:rPr>
              <w:t>1</w:t>
            </w:r>
            <w:r>
              <w:rPr>
                <w:rFonts w:hint="default" w:ascii="Times New Roman" w:hAnsi="Times New Roman" w:eastAsia="宋体" w:cs="Times New Roman"/>
                <w:b/>
                <w:bCs w:val="0"/>
                <w:color w:val="auto"/>
                <w:kern w:val="0"/>
                <w:sz w:val="24"/>
                <w:szCs w:val="24"/>
                <w:highlight w:val="none"/>
                <w:lang w:val="en-US" w:eastAsia="zh-CN" w:bidi="ar"/>
              </w:rPr>
              <w:t xml:space="preserve"> 植被恢复措施一览表</w:t>
            </w:r>
          </w:p>
          <w:tbl>
            <w:tblPr>
              <w:tblStyle w:val="17"/>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2325"/>
              <w:gridCol w:w="1637"/>
              <w:gridCol w:w="2683"/>
            </w:tblGrid>
            <w:tr w14:paraId="31728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926" w:type="pct"/>
                  <w:tcBorders>
                    <w:top w:val="single" w:color="auto" w:sz="4" w:space="0"/>
                    <w:left w:val="single" w:color="auto" w:sz="4" w:space="0"/>
                    <w:bottom w:val="single" w:color="auto" w:sz="4" w:space="0"/>
                    <w:right w:val="single" w:color="auto" w:sz="4" w:space="0"/>
                  </w:tcBorders>
                  <w:noWrap w:val="0"/>
                  <w:vAlign w:val="center"/>
                </w:tcPr>
                <w:p w14:paraId="7A4FC545">
                  <w:pPr>
                    <w:pStyle w:val="15"/>
                    <w:keepNext w:val="0"/>
                    <w:keepLines w:val="0"/>
                    <w:widowControl/>
                    <w:suppressLineNumbers w:val="0"/>
                    <w:spacing w:before="0" w:beforeAutospacing="0" w:after="0" w:afterAutospacing="0"/>
                    <w:ind w:left="-105" w:leftChars="-50" w:right="-105" w:rightChars="-50"/>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eastAsia="zh-CN"/>
                    </w:rPr>
                    <w:t>现状占地类型</w:t>
                  </w:r>
                </w:p>
              </w:tc>
              <w:tc>
                <w:tcPr>
                  <w:tcW w:w="1425" w:type="pct"/>
                  <w:tcBorders>
                    <w:top w:val="single" w:color="auto" w:sz="4" w:space="0"/>
                    <w:left w:val="single" w:color="auto" w:sz="4" w:space="0"/>
                    <w:bottom w:val="single" w:color="auto" w:sz="4" w:space="0"/>
                    <w:right w:val="single" w:color="auto" w:sz="4" w:space="0"/>
                  </w:tcBorders>
                  <w:noWrap w:val="0"/>
                  <w:vAlign w:val="center"/>
                </w:tcPr>
                <w:p w14:paraId="149C65E8">
                  <w:pPr>
                    <w:pStyle w:val="15"/>
                    <w:keepNext w:val="0"/>
                    <w:keepLines w:val="0"/>
                    <w:widowControl/>
                    <w:suppressLineNumbers w:val="0"/>
                    <w:spacing w:before="0" w:beforeAutospacing="0" w:after="0" w:afterAutospacing="0"/>
                    <w:ind w:left="-105" w:leftChars="-50" w:right="-105" w:rightChars="-50"/>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eastAsia="zh-CN"/>
                    </w:rPr>
                    <w:t>恢复类型及面积</w:t>
                  </w:r>
                </w:p>
              </w:tc>
              <w:tc>
                <w:tcPr>
                  <w:tcW w:w="1003" w:type="pct"/>
                  <w:tcBorders>
                    <w:top w:val="single" w:color="auto" w:sz="4" w:space="0"/>
                    <w:left w:val="single" w:color="auto" w:sz="4" w:space="0"/>
                    <w:bottom w:val="single" w:color="auto" w:sz="4" w:space="0"/>
                    <w:right w:val="single" w:color="auto" w:sz="4" w:space="0"/>
                  </w:tcBorders>
                  <w:noWrap w:val="0"/>
                  <w:vAlign w:val="center"/>
                </w:tcPr>
                <w:p w14:paraId="1184FAA2">
                  <w:pPr>
                    <w:pStyle w:val="15"/>
                    <w:keepNext w:val="0"/>
                    <w:keepLines w:val="0"/>
                    <w:widowControl/>
                    <w:suppressLineNumbers w:val="0"/>
                    <w:spacing w:before="0" w:beforeAutospacing="0" w:after="0" w:afterAutospacing="0"/>
                    <w:ind w:left="-105" w:leftChars="-50" w:right="-105" w:rightChars="-50"/>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eastAsia="zh-CN"/>
                    </w:rPr>
                    <w:t>恢复种植</w:t>
                  </w:r>
                </w:p>
              </w:tc>
              <w:tc>
                <w:tcPr>
                  <w:tcW w:w="1644" w:type="pct"/>
                  <w:tcBorders>
                    <w:top w:val="single" w:color="auto" w:sz="4" w:space="0"/>
                    <w:left w:val="single" w:color="auto" w:sz="4" w:space="0"/>
                    <w:bottom w:val="single" w:color="auto" w:sz="4" w:space="0"/>
                    <w:right w:val="single" w:color="auto" w:sz="4" w:space="0"/>
                  </w:tcBorders>
                  <w:noWrap w:val="0"/>
                  <w:vAlign w:val="center"/>
                </w:tcPr>
                <w:p w14:paraId="6D9D0D09">
                  <w:pPr>
                    <w:pStyle w:val="15"/>
                    <w:keepNext w:val="0"/>
                    <w:keepLines w:val="0"/>
                    <w:widowControl/>
                    <w:suppressLineNumbers w:val="0"/>
                    <w:spacing w:before="0" w:beforeAutospacing="0" w:after="0" w:afterAutospacing="0"/>
                    <w:ind w:left="-105" w:leftChars="-50" w:right="-105" w:rightChars="-50"/>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eastAsia="zh-CN"/>
                    </w:rPr>
                    <w:t>恢复时间</w:t>
                  </w:r>
                </w:p>
              </w:tc>
            </w:tr>
            <w:tr w14:paraId="687B9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26" w:type="pct"/>
                  <w:tcBorders>
                    <w:top w:val="single" w:color="auto" w:sz="4" w:space="0"/>
                    <w:left w:val="single" w:color="auto" w:sz="4" w:space="0"/>
                    <w:bottom w:val="single" w:color="auto" w:sz="4" w:space="0"/>
                    <w:right w:val="single" w:color="auto" w:sz="4" w:space="0"/>
                  </w:tcBorders>
                  <w:noWrap w:val="0"/>
                  <w:vAlign w:val="center"/>
                </w:tcPr>
                <w:p w14:paraId="5D362E93">
                  <w:pPr>
                    <w:pStyle w:val="15"/>
                    <w:keepNext w:val="0"/>
                    <w:keepLines w:val="0"/>
                    <w:widowControl/>
                    <w:suppressLineNumbers w:val="0"/>
                    <w:spacing w:before="0" w:beforeAutospacing="0" w:after="0" w:afterAutospacing="0"/>
                    <w:ind w:left="-105" w:leftChars="-50" w:right="-105" w:rightChars="-50"/>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种植园用地</w:t>
                  </w:r>
                  <w:r>
                    <w:rPr>
                      <w:rFonts w:hint="default" w:ascii="Times New Roman" w:hAnsi="Times New Roman" w:eastAsia="宋体" w:cs="Times New Roman"/>
                      <w:color w:val="auto"/>
                      <w:sz w:val="21"/>
                      <w:szCs w:val="21"/>
                      <w:highlight w:val="none"/>
                      <w:vertAlign w:val="baseline"/>
                      <w:lang w:eastAsia="zh-CN"/>
                    </w:rPr>
                    <w:t>、草地</w:t>
                  </w:r>
                </w:p>
              </w:tc>
              <w:tc>
                <w:tcPr>
                  <w:tcW w:w="1425" w:type="pct"/>
                  <w:tcBorders>
                    <w:top w:val="single" w:color="auto" w:sz="4" w:space="0"/>
                    <w:left w:val="single" w:color="auto" w:sz="4" w:space="0"/>
                    <w:bottom w:val="single" w:color="auto" w:sz="4" w:space="0"/>
                    <w:right w:val="single" w:color="auto" w:sz="4" w:space="0"/>
                  </w:tcBorders>
                  <w:noWrap w:val="0"/>
                  <w:vAlign w:val="center"/>
                </w:tcPr>
                <w:p w14:paraId="4A53EF85">
                  <w:pPr>
                    <w:pStyle w:val="15"/>
                    <w:keepNext w:val="0"/>
                    <w:keepLines w:val="0"/>
                    <w:widowControl/>
                    <w:suppressLineNumbers w:val="0"/>
                    <w:spacing w:before="0" w:beforeAutospacing="0" w:after="0" w:afterAutospacing="0"/>
                    <w:ind w:left="-105" w:leftChars="-50" w:right="-105" w:rightChars="-50"/>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井场建设阶段</w:t>
                  </w:r>
                  <w:r>
                    <w:rPr>
                      <w:rFonts w:hint="default" w:ascii="Times New Roman" w:hAnsi="Times New Roman" w:eastAsia="宋体" w:cs="Times New Roman"/>
                      <w:color w:val="auto"/>
                      <w:sz w:val="21"/>
                      <w:szCs w:val="21"/>
                      <w:highlight w:val="none"/>
                      <w:vertAlign w:val="baseline"/>
                      <w:lang w:eastAsia="zh-CN"/>
                    </w:rPr>
                    <w:t>临时占地</w:t>
                  </w:r>
                  <w:r>
                    <w:rPr>
                      <w:rFonts w:hint="eastAsia" w:ascii="Times New Roman" w:hAnsi="Times New Roman" w:cs="Times New Roman"/>
                      <w:color w:val="auto"/>
                      <w:sz w:val="21"/>
                      <w:szCs w:val="21"/>
                      <w:highlight w:val="none"/>
                      <w:vertAlign w:val="baseline"/>
                      <w:lang w:eastAsia="zh-CN"/>
                    </w:rPr>
                    <w:t>16559</w:t>
                  </w:r>
                  <w:r>
                    <w:rPr>
                      <w:rFonts w:hint="default" w:ascii="Times New Roman" w:hAnsi="Times New Roman" w:eastAsia="宋体" w:cs="Times New Roman"/>
                      <w:color w:val="auto"/>
                      <w:sz w:val="21"/>
                      <w:szCs w:val="21"/>
                      <w:highlight w:val="none"/>
                      <w:vertAlign w:val="baseli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eastAsia="zh-CN"/>
                    </w:rPr>
                    <w:t>，临时用地恢复原状，草地恢复为草地，种植园用地恢复为种植园用地。</w:t>
                  </w:r>
                </w:p>
              </w:tc>
              <w:tc>
                <w:tcPr>
                  <w:tcW w:w="1003" w:type="pct"/>
                  <w:tcBorders>
                    <w:top w:val="single" w:color="auto" w:sz="4" w:space="0"/>
                    <w:left w:val="single" w:color="auto" w:sz="4" w:space="0"/>
                    <w:bottom w:val="single" w:color="auto" w:sz="4" w:space="0"/>
                    <w:right w:val="single" w:color="auto" w:sz="4" w:space="0"/>
                  </w:tcBorders>
                  <w:noWrap w:val="0"/>
                  <w:vAlign w:val="center"/>
                </w:tcPr>
                <w:p w14:paraId="388E40DF">
                  <w:pPr>
                    <w:pStyle w:val="15"/>
                    <w:keepNext w:val="0"/>
                    <w:keepLines w:val="0"/>
                    <w:widowControl/>
                    <w:suppressLineNumbers w:val="0"/>
                    <w:spacing w:before="0" w:beforeAutospacing="0" w:after="0" w:afterAutospacing="0"/>
                    <w:ind w:left="-105" w:leftChars="-50" w:right="-105" w:rightChars="-50"/>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eastAsia="zh-CN"/>
                    </w:rPr>
                    <w:t>种植园用地优先考虑</w:t>
                  </w:r>
                  <w:r>
                    <w:rPr>
                      <w:rFonts w:hint="eastAsia" w:ascii="Times New Roman" w:hAnsi="Times New Roman" w:cs="Times New Roman"/>
                      <w:color w:val="auto"/>
                      <w:sz w:val="21"/>
                      <w:szCs w:val="21"/>
                      <w:highlight w:val="none"/>
                      <w:vertAlign w:val="baseline"/>
                      <w:lang w:val="en-US" w:eastAsia="zh-CN"/>
                    </w:rPr>
                    <w:t>原有种植</w:t>
                  </w:r>
                  <w:r>
                    <w:rPr>
                      <w:rFonts w:hint="default" w:ascii="Times New Roman" w:hAnsi="Times New Roman" w:eastAsia="宋体" w:cs="Times New Roman"/>
                      <w:color w:val="auto"/>
                      <w:sz w:val="21"/>
                      <w:szCs w:val="21"/>
                      <w:highlight w:val="none"/>
                      <w:vertAlign w:val="baseline"/>
                      <w:lang w:eastAsia="zh-CN"/>
                    </w:rPr>
                    <w:t>树种；草本有</w:t>
                  </w:r>
                  <w:r>
                    <w:rPr>
                      <w:rFonts w:hint="eastAsia" w:ascii="Times New Roman" w:hAnsi="Times New Roman" w:cs="Times New Roman"/>
                      <w:color w:val="auto"/>
                      <w:sz w:val="21"/>
                      <w:szCs w:val="21"/>
                      <w:highlight w:val="none"/>
                      <w:vertAlign w:val="baseline"/>
                      <w:lang w:val="en-US" w:eastAsia="zh-CN"/>
                    </w:rPr>
                    <w:t>旱蒿</w:t>
                  </w:r>
                  <w:r>
                    <w:rPr>
                      <w:rFonts w:hint="default" w:ascii="Times New Roman" w:hAnsi="Times New Roman" w:eastAsia="宋体" w:cs="Times New Roman"/>
                      <w:color w:val="auto"/>
                      <w:sz w:val="21"/>
                      <w:szCs w:val="21"/>
                      <w:highlight w:val="none"/>
                      <w:vertAlign w:val="baseline"/>
                      <w:lang w:eastAsia="zh-CN"/>
                    </w:rPr>
                    <w:t>、沙打旺等。</w:t>
                  </w:r>
                </w:p>
              </w:tc>
              <w:tc>
                <w:tcPr>
                  <w:tcW w:w="1644" w:type="pct"/>
                  <w:tcBorders>
                    <w:top w:val="single" w:color="auto" w:sz="4" w:space="0"/>
                    <w:left w:val="single" w:color="auto" w:sz="4" w:space="0"/>
                    <w:bottom w:val="single" w:color="auto" w:sz="4" w:space="0"/>
                    <w:right w:val="single" w:color="auto" w:sz="4" w:space="0"/>
                  </w:tcBorders>
                  <w:noWrap w:val="0"/>
                  <w:vAlign w:val="center"/>
                </w:tcPr>
                <w:p w14:paraId="3CB714E7">
                  <w:pPr>
                    <w:pStyle w:val="15"/>
                    <w:keepNext w:val="0"/>
                    <w:keepLines w:val="0"/>
                    <w:widowControl/>
                    <w:suppressLineNumbers w:val="0"/>
                    <w:spacing w:before="0" w:beforeAutospacing="0" w:after="0" w:afterAutospacing="0"/>
                    <w:ind w:left="-105" w:leftChars="-50" w:right="-105" w:rightChars="-50"/>
                    <w:jc w:val="both"/>
                    <w:textAlignment w:val="baseline"/>
                    <w:rPr>
                      <w:rFonts w:hint="default" w:ascii="Times New Roman" w:hAnsi="Times New Roman" w:eastAsia="宋体" w:cs="Times New Roman"/>
                      <w:color w:val="auto"/>
                      <w:sz w:val="21"/>
                      <w:szCs w:val="21"/>
                      <w:highlight w:val="none"/>
                      <w:vertAlign w:val="baseline"/>
                      <w:lang w:val="en-US" w:eastAsia="zh-CN" w:bidi="ar"/>
                    </w:rPr>
                  </w:pPr>
                  <w:r>
                    <w:rPr>
                      <w:rFonts w:hint="default" w:ascii="Times New Roman" w:hAnsi="Times New Roman" w:eastAsia="宋体" w:cs="Times New Roman"/>
                      <w:color w:val="auto"/>
                      <w:sz w:val="21"/>
                      <w:szCs w:val="21"/>
                      <w:highlight w:val="none"/>
                      <w:vertAlign w:val="baseline"/>
                      <w:lang w:eastAsia="zh-CN" w:bidi="ar"/>
                    </w:rPr>
                    <w:t>施工结合后根据气候条件适时开展生态恢复工作，确保</w:t>
                  </w:r>
                  <w:r>
                    <w:rPr>
                      <w:rFonts w:hint="default" w:ascii="Times New Roman" w:hAnsi="Times New Roman" w:eastAsia="宋体" w:cs="Times New Roman"/>
                      <w:color w:val="auto"/>
                      <w:sz w:val="21"/>
                      <w:szCs w:val="21"/>
                      <w:highlight w:val="none"/>
                      <w:vertAlign w:val="baseline"/>
                      <w:lang w:val="en-US" w:eastAsia="zh-CN" w:bidi="ar"/>
                    </w:rPr>
                    <w:t>2-3</w:t>
                  </w:r>
                  <w:r>
                    <w:rPr>
                      <w:rFonts w:hint="default" w:ascii="Times New Roman" w:hAnsi="Times New Roman" w:eastAsia="宋体" w:cs="Times New Roman"/>
                      <w:color w:val="auto"/>
                      <w:sz w:val="21"/>
                      <w:szCs w:val="21"/>
                      <w:highlight w:val="none"/>
                      <w:vertAlign w:val="baseline"/>
                      <w:lang w:eastAsia="zh-CN" w:bidi="ar"/>
                    </w:rPr>
                    <w:t>年内临时占地恢复到原有植被类型和覆盖度。</w:t>
                  </w:r>
                </w:p>
              </w:tc>
            </w:tr>
          </w:tbl>
          <w:p w14:paraId="4DD06DB5">
            <w:pPr>
              <w:keepNext w:val="0"/>
              <w:keepLines w:val="0"/>
              <w:widowControl w:val="0"/>
              <w:suppressLineNumbers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kern w:val="0"/>
                <w:sz w:val="24"/>
                <w:szCs w:val="22"/>
                <w:highlight w:val="none"/>
                <w:lang w:val="en-US" w:eastAsia="zh-CN" w:bidi="ar"/>
              </w:rPr>
              <w:t>永久封井时，井场建设时的临时占地生态恢复措施设计图见下图。</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4"/>
            </w:tblGrid>
            <w:tr w14:paraId="484D2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auto" w:sz="4" w:space="0"/>
                    <w:left w:val="single" w:color="auto" w:sz="4" w:space="0"/>
                    <w:bottom w:val="single" w:color="auto" w:sz="4" w:space="0"/>
                    <w:right w:val="single" w:color="auto" w:sz="4" w:space="0"/>
                  </w:tcBorders>
                  <w:noWrap w:val="0"/>
                  <w:vAlign w:val="top"/>
                </w:tcPr>
                <w:p w14:paraId="28426ACD">
                  <w:pPr>
                    <w:keepNext/>
                    <w:keepLines/>
                    <w:widowControl w:val="0"/>
                    <w:suppressLineNumbers w:val="0"/>
                    <w:adjustRightInd w:val="0"/>
                    <w:snapToGrid w:val="0"/>
                    <w:spacing w:before="0" w:beforeAutospacing="0" w:after="0" w:afterAutospacing="0"/>
                    <w:ind w:left="-105" w:leftChars="-50" w:right="-105" w:rightChars="-50"/>
                    <w:jc w:val="both"/>
                    <w:rPr>
                      <w:rFonts w:hint="default" w:ascii="Times New Roman" w:hAnsi="Times New Roman" w:cs="Times New Roman"/>
                      <w:color w:val="auto"/>
                      <w:highlight w:val="none"/>
                      <w:lang w:val="en-US" w:eastAsia="zh-CN"/>
                    </w:rPr>
                  </w:pPr>
                  <w:r>
                    <w:rPr>
                      <w:rFonts w:hint="default" w:ascii="Times New Roman" w:hAnsi="Times New Roman" w:eastAsia="Calibri" w:cs="Times New Roman"/>
                      <w:color w:val="auto"/>
                      <w:kern w:val="0"/>
                      <w:sz w:val="22"/>
                      <w:szCs w:val="22"/>
                      <w:highlight w:val="none"/>
                      <w:lang w:val="en-US" w:eastAsia="zh-CN" w:bidi="ar"/>
                    </w:rPr>
                    <w:drawing>
                      <wp:inline distT="0" distB="0" distL="114300" distR="114300">
                        <wp:extent cx="5324475" cy="1857375"/>
                        <wp:effectExtent l="0" t="0" r="9525" b="9525"/>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pic:cNvPicPr>
                                  <a:picLocks noChangeAspect="1"/>
                                </pic:cNvPicPr>
                              </pic:nvPicPr>
                              <pic:blipFill>
                                <a:blip r:embed="rId27"/>
                                <a:stretch>
                                  <a:fillRect/>
                                </a:stretch>
                              </pic:blipFill>
                              <pic:spPr>
                                <a:xfrm>
                                  <a:off x="0" y="0"/>
                                  <a:ext cx="5324475" cy="1857375"/>
                                </a:xfrm>
                                <a:prstGeom prst="rect">
                                  <a:avLst/>
                                </a:prstGeom>
                                <a:noFill/>
                                <a:ln>
                                  <a:noFill/>
                                </a:ln>
                              </pic:spPr>
                            </pic:pic>
                          </a:graphicData>
                        </a:graphic>
                      </wp:inline>
                    </w:drawing>
                  </w:r>
                </w:p>
              </w:tc>
            </w:tr>
            <w:tr w14:paraId="07C9B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auto" w:sz="4" w:space="0"/>
                    <w:left w:val="single" w:color="auto" w:sz="4" w:space="0"/>
                    <w:bottom w:val="single" w:color="auto" w:sz="4" w:space="0"/>
                    <w:right w:val="single" w:color="auto" w:sz="4" w:space="0"/>
                  </w:tcBorders>
                  <w:noWrap w:val="0"/>
                  <w:vAlign w:val="top"/>
                </w:tcPr>
                <w:p w14:paraId="098B99A3">
                  <w:pPr>
                    <w:keepNext/>
                    <w:keepLines/>
                    <w:widowControl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eastAsia="Calibri" w:cs="Times New Roman"/>
                      <w:b/>
                      <w:bCs/>
                      <w:color w:val="auto"/>
                      <w:kern w:val="0"/>
                      <w:sz w:val="21"/>
                      <w:szCs w:val="21"/>
                      <w:highlight w:val="none"/>
                      <w:lang w:val="en-US" w:eastAsia="zh-CN" w:bidi="ar"/>
                    </w:rPr>
                    <w:t>种植园用地恢复为种植园用地</w:t>
                  </w:r>
                  <w:r>
                    <w:rPr>
                      <w:rFonts w:hint="default" w:ascii="Times New Roman" w:hAnsi="Times New Roman" w:eastAsia="宋体" w:cs="Times New Roman"/>
                      <w:b/>
                      <w:bCs/>
                      <w:color w:val="auto"/>
                      <w:kern w:val="0"/>
                      <w:sz w:val="21"/>
                      <w:szCs w:val="21"/>
                      <w:highlight w:val="none"/>
                      <w:lang w:val="en-US" w:eastAsia="zh-CN" w:bidi="ar"/>
                    </w:rPr>
                    <w:t>。</w:t>
                  </w:r>
                </w:p>
              </w:tc>
            </w:tr>
            <w:tr w14:paraId="2F7FE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auto" w:sz="4" w:space="0"/>
                    <w:left w:val="single" w:color="auto" w:sz="4" w:space="0"/>
                    <w:bottom w:val="single" w:color="auto" w:sz="4" w:space="0"/>
                    <w:right w:val="single" w:color="auto" w:sz="4" w:space="0"/>
                  </w:tcBorders>
                  <w:noWrap w:val="0"/>
                  <w:vAlign w:val="top"/>
                </w:tcPr>
                <w:p w14:paraId="795050A4">
                  <w:pPr>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both"/>
                    <w:textAlignment w:val="auto"/>
                    <w:rPr>
                      <w:rFonts w:hint="default" w:ascii="Times New Roman" w:hAnsi="Times New Roman" w:cs="Times New Roman"/>
                      <w:color w:val="auto"/>
                      <w:highlight w:val="none"/>
                      <w:lang w:val="en-US" w:eastAsia="zh-CN"/>
                    </w:rPr>
                  </w:pPr>
                  <w:r>
                    <w:rPr>
                      <w:rFonts w:hint="default" w:ascii="Times New Roman" w:hAnsi="Times New Roman" w:eastAsia="Calibri" w:cs="Times New Roman"/>
                      <w:color w:val="auto"/>
                      <w:kern w:val="0"/>
                      <w:sz w:val="22"/>
                      <w:szCs w:val="22"/>
                      <w:highlight w:val="none"/>
                      <w:lang w:val="en-US" w:eastAsia="zh-CN" w:bidi="ar"/>
                    </w:rPr>
                    <w:drawing>
                      <wp:inline distT="0" distB="0" distL="114300" distR="114300">
                        <wp:extent cx="5438775" cy="1962150"/>
                        <wp:effectExtent l="0" t="0" r="9525" b="0"/>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28"/>
                                <a:stretch>
                                  <a:fillRect/>
                                </a:stretch>
                              </pic:blipFill>
                              <pic:spPr>
                                <a:xfrm>
                                  <a:off x="0" y="0"/>
                                  <a:ext cx="5438775" cy="1962150"/>
                                </a:xfrm>
                                <a:prstGeom prst="rect">
                                  <a:avLst/>
                                </a:prstGeom>
                                <a:noFill/>
                                <a:ln>
                                  <a:noFill/>
                                </a:ln>
                              </pic:spPr>
                            </pic:pic>
                          </a:graphicData>
                        </a:graphic>
                      </wp:inline>
                    </w:drawing>
                  </w:r>
                </w:p>
              </w:tc>
            </w:tr>
            <w:tr w14:paraId="1B34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auto" w:sz="4" w:space="0"/>
                    <w:left w:val="single" w:color="auto" w:sz="4" w:space="0"/>
                    <w:bottom w:val="single" w:color="auto" w:sz="4" w:space="0"/>
                    <w:right w:val="single" w:color="auto" w:sz="4" w:space="0"/>
                  </w:tcBorders>
                  <w:noWrap w:val="0"/>
                  <w:vAlign w:val="top"/>
                </w:tcPr>
                <w:p w14:paraId="4E897B7C">
                  <w:pPr>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eastAsia="Calibri" w:cs="Times New Roman"/>
                      <w:b/>
                      <w:bCs/>
                      <w:color w:val="auto"/>
                      <w:kern w:val="0"/>
                      <w:sz w:val="21"/>
                      <w:szCs w:val="21"/>
                      <w:highlight w:val="none"/>
                      <w:lang w:val="en-US" w:eastAsia="zh-CN" w:bidi="ar"/>
                    </w:rPr>
                    <w:t>草地恢复为草地</w:t>
                  </w:r>
                </w:p>
              </w:tc>
            </w:tr>
          </w:tbl>
          <w:p w14:paraId="61925E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图5-3  项目所在井场占地生态恢复措施图</w:t>
            </w:r>
          </w:p>
          <w:p w14:paraId="18B8C85A">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kern w:val="0"/>
                <w:sz w:val="24"/>
                <w:szCs w:val="21"/>
                <w:highlight w:val="none"/>
                <w:lang w:val="en-US" w:eastAsia="zh-CN" w:bidi="ar"/>
              </w:rPr>
              <w:t>（5）生态环境综合整治后效果</w:t>
            </w:r>
          </w:p>
          <w:p w14:paraId="46F4C57E">
            <w:pPr>
              <w:pStyle w:val="20"/>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由工程分析和影响分析可知，工程建设对生态环境的影响主要表现在对局部植被以及土壤环境等的影响。本项目为临时占地，植被的破坏为临时性影响，钻井结束后，对临时占用的土地进行植被恢复。通过类比调查同类探井项目土地和植被的恢复情况可知，植被恢复较好，植物生长未受到影响，不会破坏生态系统的结构和稳定性，具体治理后植被恢复效果要不低于周边其他区域。</w:t>
            </w:r>
          </w:p>
          <w:p w14:paraId="69F50E09">
            <w:pPr>
              <w:pStyle w:val="20"/>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工程占地</w:t>
            </w:r>
            <w:r>
              <w:rPr>
                <w:rFonts w:hint="default" w:ascii="Times New Roman" w:hAnsi="Times New Roman" w:eastAsia="宋体" w:cs="Times New Roman"/>
                <w:color w:val="auto"/>
                <w:highlight w:val="none"/>
                <w:lang w:val="en-US" w:eastAsia="zh-CN"/>
              </w:rPr>
              <w:t>为</w:t>
            </w:r>
            <w:r>
              <w:rPr>
                <w:rFonts w:hint="default" w:ascii="Times New Roman" w:hAnsi="Times New Roman" w:eastAsia="宋体" w:cs="Times New Roman"/>
                <w:color w:val="auto"/>
                <w:highlight w:val="none"/>
              </w:rPr>
              <w:t>临时占地，当</w:t>
            </w:r>
            <w:r>
              <w:rPr>
                <w:rFonts w:hint="default" w:ascii="Times New Roman" w:hAnsi="Times New Roman" w:eastAsia="宋体" w:cs="Times New Roman"/>
                <w:color w:val="auto"/>
                <w:highlight w:val="none"/>
                <w:lang w:eastAsia="zh-CN"/>
              </w:rPr>
              <w:t>评价井</w:t>
            </w:r>
            <w:r>
              <w:rPr>
                <w:rFonts w:hint="default" w:ascii="Times New Roman" w:hAnsi="Times New Roman" w:eastAsia="宋体" w:cs="Times New Roman"/>
                <w:color w:val="auto"/>
                <w:highlight w:val="none"/>
              </w:rPr>
              <w:t>不具有开发价值时，采取永久封井，对临时占地区域恢复原有植被和生态景观，使区域生态景观和谐一致恢复原状；当</w:t>
            </w:r>
            <w:r>
              <w:rPr>
                <w:rFonts w:hint="default" w:ascii="Times New Roman" w:hAnsi="Times New Roman" w:eastAsia="宋体" w:cs="Times New Roman"/>
                <w:color w:val="auto"/>
                <w:highlight w:val="none"/>
                <w:lang w:eastAsia="zh-CN"/>
              </w:rPr>
              <w:t>评价井</w:t>
            </w:r>
            <w:r>
              <w:rPr>
                <w:rFonts w:hint="default" w:ascii="Times New Roman" w:hAnsi="Times New Roman" w:eastAsia="宋体" w:cs="Times New Roman"/>
                <w:color w:val="auto"/>
                <w:highlight w:val="none"/>
              </w:rPr>
              <w:t>具有开发价值时，采取临时封井，</w:t>
            </w:r>
            <w:r>
              <w:rPr>
                <w:rFonts w:hint="default" w:ascii="Times New Roman" w:hAnsi="Times New Roman" w:eastAsia="宋体" w:cs="Times New Roman"/>
                <w:color w:val="auto"/>
                <w:sz w:val="24"/>
                <w:highlight w:val="none"/>
                <w:lang w:val="en-US" w:eastAsia="zh-CN"/>
              </w:rPr>
              <w:t>移交给</w:t>
            </w:r>
            <w:r>
              <w:rPr>
                <w:rFonts w:hint="default" w:ascii="Times New Roman" w:hAnsi="Times New Roman" w:eastAsia="宋体" w:cs="Times New Roman"/>
                <w:color w:val="auto"/>
                <w:sz w:val="24"/>
                <w:szCs w:val="24"/>
                <w:highlight w:val="none"/>
                <w:lang w:val="en-US" w:eastAsia="zh-CN"/>
              </w:rPr>
              <w:t>长庆油田分公司第二采气厂按标准化井场进行建设和管理，无论临时封井还是永久封井都需进行生态恢复</w:t>
            </w:r>
            <w:r>
              <w:rPr>
                <w:rFonts w:hint="default" w:ascii="Times New Roman" w:hAnsi="Times New Roman" w:eastAsia="宋体" w:cs="Times New Roman"/>
                <w:color w:val="auto"/>
                <w:sz w:val="24"/>
                <w:highlight w:val="none"/>
              </w:rPr>
              <w:t>。</w:t>
            </w:r>
          </w:p>
          <w:p w14:paraId="5A16CC1D">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环评要求项目生态恢复过程必须将地面所有与采气无关的设施、设备及地面硬化的砖瓦等必须全部拆除，恢复原有土地类型，覆盖场地保留的表土后对场地进行绿化。不得在原有场地直接覆盖表土后直接对场地绿化。</w:t>
            </w:r>
          </w:p>
          <w:p w14:paraId="2701A7B9">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kern w:val="0"/>
                <w:sz w:val="24"/>
                <w:szCs w:val="21"/>
                <w:highlight w:val="none"/>
                <w:lang w:val="en-US" w:eastAsia="zh-CN" w:bidi="ar"/>
              </w:rPr>
              <w:t>（6）防沙治沙保护措施</w:t>
            </w:r>
          </w:p>
          <w:p w14:paraId="25A82032">
            <w:pPr>
              <w:pStyle w:val="20"/>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根据</w:t>
            </w:r>
            <w:r>
              <w:rPr>
                <w:rFonts w:hint="default" w:ascii="Times New Roman" w:hAnsi="Times New Roman" w:eastAsia="宋体" w:cs="Times New Roman"/>
                <w:color w:val="auto"/>
                <w:highlight w:val="none"/>
              </w:rPr>
              <w:t>《榆林市防止二次沙化及国土绿化五年行动方案（2021-2025年）》要求，坚持生态优先、绿色发展原则，顺应自然，保护自然，以自然恢复为主、人工促进为辅，坚持人与自然和谐共生，坚持保护与发展并进。坚持因地制宜、科学施策原则，严禁违规占用耕地造林绿化，做好防风治沙措施；榆林市《关于加强生态文明建设打造黄土高原生态文明示范区的决定》要求，因地制宜建设乔灌草相结合的防护林体系，引进适宜性经济林树种，实现从防沙治沙到养沙用沙。</w:t>
            </w:r>
          </w:p>
          <w:p w14:paraId="0EFA779A">
            <w:pPr>
              <w:pStyle w:val="20"/>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本项目施工过程中开挖会扰动地面，损坏植被，引发土地沙化。本次评价提出以下防沙治沙措施：</w:t>
            </w:r>
          </w:p>
          <w:p w14:paraId="77241AF7">
            <w:pPr>
              <w:pStyle w:val="20"/>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①</w:t>
            </w:r>
            <w:r>
              <w:rPr>
                <w:rFonts w:hint="default" w:ascii="Times New Roman" w:hAnsi="Times New Roman" w:eastAsia="宋体" w:cs="Times New Roman"/>
                <w:color w:val="auto"/>
                <w:highlight w:val="none"/>
              </w:rPr>
              <w:t>土方开挖保护措施</w:t>
            </w:r>
          </w:p>
          <w:p w14:paraId="5A999832">
            <w:pPr>
              <w:pStyle w:val="20"/>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A、</w:t>
            </w:r>
            <w:r>
              <w:rPr>
                <w:rFonts w:hint="default" w:ascii="Times New Roman" w:hAnsi="Times New Roman" w:eastAsia="宋体" w:cs="Times New Roman"/>
                <w:color w:val="auto"/>
                <w:highlight w:val="none"/>
              </w:rPr>
              <w:t>施工土方全部用于场地平整，严禁随意堆置；</w:t>
            </w:r>
          </w:p>
          <w:p w14:paraId="5E9C20E6">
            <w:pPr>
              <w:pStyle w:val="20"/>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B、</w:t>
            </w:r>
            <w:r>
              <w:rPr>
                <w:rFonts w:hint="default" w:ascii="Times New Roman" w:hAnsi="Times New Roman" w:eastAsia="宋体" w:cs="Times New Roman"/>
                <w:color w:val="auto"/>
                <w:highlight w:val="none"/>
              </w:rPr>
              <w:t>采取有效措施减缓施工扬尘，遇到干燥、易起尘的土方施工作业时，应辅以洒水压尘，尽量缩短起尘操作时间，遇到四级及以上大风天气，应停止土方作业，同时作业处覆以防尘网；</w:t>
            </w:r>
          </w:p>
          <w:p w14:paraId="59BE5467">
            <w:pPr>
              <w:pStyle w:val="20"/>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C、</w:t>
            </w:r>
            <w:r>
              <w:rPr>
                <w:rFonts w:hint="default" w:ascii="Times New Roman" w:hAnsi="Times New Roman" w:eastAsia="宋体" w:cs="Times New Roman"/>
                <w:color w:val="auto"/>
                <w:highlight w:val="none"/>
              </w:rPr>
              <w:t>施工期及时采取临时拦挡苫盖措施，工程结束后，及时实施水土保持工程措施和植物措施，提高水土保持防治措施标准，有效的防治水土流失。</w:t>
            </w:r>
          </w:p>
          <w:p w14:paraId="210645DE">
            <w:pPr>
              <w:pStyle w:val="20"/>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②</w:t>
            </w:r>
            <w:r>
              <w:rPr>
                <w:rFonts w:hint="default" w:ascii="Times New Roman" w:hAnsi="Times New Roman" w:eastAsia="宋体" w:cs="Times New Roman"/>
                <w:color w:val="auto"/>
                <w:highlight w:val="none"/>
              </w:rPr>
              <w:t>植物措施</w:t>
            </w:r>
          </w:p>
          <w:p w14:paraId="2A142D8A">
            <w:pPr>
              <w:pStyle w:val="20"/>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A、</w:t>
            </w:r>
            <w:r>
              <w:rPr>
                <w:rFonts w:hint="default" w:ascii="Times New Roman" w:hAnsi="Times New Roman" w:eastAsia="宋体" w:cs="Times New Roman"/>
                <w:color w:val="auto"/>
                <w:highlight w:val="none"/>
              </w:rPr>
              <w:t>施工过程中，严格控制施工占地范围，尽可能减少对植被的破坏；</w:t>
            </w:r>
          </w:p>
          <w:p w14:paraId="394815EE">
            <w:pPr>
              <w:pStyle w:val="20"/>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B、</w:t>
            </w:r>
            <w:r>
              <w:rPr>
                <w:rFonts w:hint="default" w:ascii="Times New Roman" w:hAnsi="Times New Roman" w:eastAsia="宋体" w:cs="Times New Roman"/>
                <w:color w:val="auto"/>
                <w:highlight w:val="none"/>
              </w:rPr>
              <w:t>项目施工结束后，</w:t>
            </w:r>
            <w:r>
              <w:rPr>
                <w:rFonts w:hint="default" w:ascii="Times New Roman" w:hAnsi="Times New Roman" w:eastAsia="宋体" w:cs="Times New Roman"/>
                <w:color w:val="auto"/>
                <w:highlight w:val="none"/>
                <w:lang w:val="en-US" w:eastAsia="zh-CN"/>
              </w:rPr>
              <w:t>对临时</w:t>
            </w:r>
            <w:r>
              <w:rPr>
                <w:rFonts w:hint="default" w:ascii="Times New Roman" w:hAnsi="Times New Roman" w:eastAsia="宋体" w:cs="Times New Roman"/>
                <w:color w:val="auto"/>
                <w:highlight w:val="none"/>
              </w:rPr>
              <w:t>占用的园地种植原有果树</w:t>
            </w:r>
            <w:r>
              <w:rPr>
                <w:rFonts w:hint="default" w:ascii="Times New Roman" w:hAnsi="Times New Roman" w:eastAsia="宋体" w:cs="Times New Roman"/>
                <w:color w:val="auto"/>
                <w:highlight w:val="none"/>
                <w:lang w:eastAsia="zh-CN"/>
              </w:rPr>
              <w:t>，草地植被恢复</w:t>
            </w:r>
            <w:r>
              <w:rPr>
                <w:rFonts w:hint="default" w:ascii="Times New Roman" w:hAnsi="Times New Roman" w:eastAsia="宋体" w:cs="Times New Roman"/>
                <w:color w:val="auto"/>
                <w:highlight w:val="none"/>
              </w:rPr>
              <w:t>。草本有冰草、沙打旺、沙嵩、黄蒿等。项目及时采取撒播草籽、种植灌木等措施，恢复原地貌，通过种植草灌木，实现抗风固土防沙效果。</w:t>
            </w:r>
          </w:p>
          <w:p w14:paraId="43873D3E">
            <w:pPr>
              <w:pStyle w:val="20"/>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③</w:t>
            </w:r>
            <w:r>
              <w:rPr>
                <w:rFonts w:hint="default" w:ascii="Times New Roman" w:hAnsi="Times New Roman" w:eastAsia="宋体" w:cs="Times New Roman"/>
                <w:color w:val="auto"/>
                <w:highlight w:val="none"/>
              </w:rPr>
              <w:t>管理措施</w:t>
            </w:r>
          </w:p>
          <w:p w14:paraId="4D7C9F94">
            <w:pPr>
              <w:pStyle w:val="20"/>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A、</w:t>
            </w:r>
            <w:r>
              <w:rPr>
                <w:rFonts w:hint="default" w:ascii="Times New Roman" w:hAnsi="Times New Roman" w:eastAsia="宋体" w:cs="Times New Roman"/>
                <w:color w:val="auto"/>
                <w:highlight w:val="none"/>
              </w:rPr>
              <w:t>施工期间应划定施工活动范围，严格控制地表扰动范围，严格控制和管理运输车辆及重型机械的运行线路和范围，合理确定施工期运输路线，避免车辆随意碾压破坏地表，由专人负责，以防破坏周边土壤和植被，加剧土地荒漠化。</w:t>
            </w:r>
          </w:p>
          <w:p w14:paraId="7F7681F6">
            <w:pPr>
              <w:pStyle w:val="20"/>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B、</w:t>
            </w:r>
            <w:r>
              <w:rPr>
                <w:rFonts w:hint="default" w:ascii="Times New Roman" w:hAnsi="Times New Roman" w:eastAsia="宋体" w:cs="Times New Roman"/>
                <w:color w:val="auto"/>
                <w:highlight w:val="none"/>
              </w:rPr>
              <w:t>在施工过程中，不得随意碾压项目周边其他固沙植被。施工结束后，对施工迹地及时进行整治、恢复，减轻水土流失，使其受影响的程度降到最低。</w:t>
            </w:r>
          </w:p>
          <w:p w14:paraId="507669DB">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C、</w:t>
            </w:r>
            <w:r>
              <w:rPr>
                <w:rFonts w:hint="default" w:ascii="Times New Roman" w:hAnsi="Times New Roman" w:eastAsia="宋体" w:cs="Times New Roman"/>
                <w:color w:val="auto"/>
                <w:highlight w:val="none"/>
              </w:rPr>
              <w:t>建设单位应牵头组织专业的护林、护草人员，对新栽植的树木、草灌统一进行管护，包括管护期内对幼树的抚育管理，确保树木成活。落实绿化管护责任。发现问题及时补栽补救。</w:t>
            </w:r>
          </w:p>
          <w:p w14:paraId="70207C5A">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二、施工期废气防治措施</w:t>
            </w:r>
          </w:p>
          <w:p w14:paraId="2FC2C2C0">
            <w:pPr>
              <w:keepNext w:val="0"/>
              <w:keepLines w:val="0"/>
              <w:widowControl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1、钻前工程扬尘</w:t>
            </w:r>
          </w:p>
          <w:p w14:paraId="10D97275">
            <w:pPr>
              <w:pStyle w:val="15"/>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为进一步改善环境空气质量，加强扬尘污染控制，本项目应严格执行《国务院关于印发大气污染防治行动计划的通知》（国发〔2013〕37号）、《陕西省大气污染防治条例》（2014.1.1）、《陕西省建筑施工扬尘治理行动方案》、《建筑施工扬尘治理措施》、《佳县2025年生态环境保护铁腕治污攻坚行动方案》（佳办字〔2025〕3号）等相关规定，并采取以下控制措施，以减缓施工扬尘对周边大气环境的影响。</w:t>
            </w:r>
          </w:p>
          <w:p w14:paraId="2E958B30">
            <w:pPr>
              <w:pStyle w:val="15"/>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①施工工地周围按照规范设置硬质材料密闭围挡；</w:t>
            </w:r>
          </w:p>
          <w:p w14:paraId="559B5F75">
            <w:pPr>
              <w:pStyle w:val="15"/>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②禁止在大风天施工作业，尤其引起地面扰动的作业；</w:t>
            </w:r>
          </w:p>
          <w:p w14:paraId="4CC180AE">
            <w:pPr>
              <w:pStyle w:val="15"/>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③</w:t>
            </w:r>
            <w:r>
              <w:rPr>
                <w:rFonts w:hint="default" w:ascii="Times New Roman" w:hAnsi="Times New Roman" w:eastAsia="宋体" w:cs="Times New Roman"/>
                <w:color w:val="auto"/>
                <w:kern w:val="0"/>
                <w:sz w:val="24"/>
                <w:highlight w:val="none"/>
              </w:rPr>
              <w:t>运输水泥等易产生扬尘的车辆覆盖</w:t>
            </w:r>
            <w:r>
              <w:rPr>
                <w:rFonts w:hint="default" w:ascii="Times New Roman" w:hAnsi="Times New Roman" w:eastAsia="宋体" w:cs="Times New Roman"/>
                <w:color w:val="auto"/>
                <w:kern w:val="0"/>
                <w:sz w:val="24"/>
                <w:highlight w:val="none"/>
                <w:lang w:val="en-US" w:eastAsia="zh-CN"/>
              </w:rPr>
              <w:t>篷布</w:t>
            </w:r>
            <w:r>
              <w:rPr>
                <w:rFonts w:hint="default" w:ascii="Times New Roman" w:hAnsi="Times New Roman" w:eastAsia="宋体" w:cs="Times New Roman"/>
                <w:color w:val="auto"/>
                <w:kern w:val="0"/>
                <w:sz w:val="24"/>
                <w:szCs w:val="21"/>
                <w:highlight w:val="none"/>
                <w:lang w:val="en-US" w:eastAsia="zh-CN" w:bidi="ar"/>
              </w:rPr>
              <w:t>；</w:t>
            </w:r>
          </w:p>
          <w:p w14:paraId="63253480">
            <w:pPr>
              <w:pStyle w:val="15"/>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1"/>
                <w:highlight w:val="none"/>
                <w:lang w:val="en-US" w:eastAsia="zh-CN" w:bidi="ar"/>
              </w:rPr>
            </w:pPr>
            <w:r>
              <w:rPr>
                <w:rFonts w:hint="default" w:ascii="Times New Roman" w:hAnsi="Times New Roman" w:eastAsia="宋体" w:cs="Times New Roman"/>
                <w:color w:val="auto"/>
                <w:kern w:val="0"/>
                <w:sz w:val="24"/>
                <w:szCs w:val="21"/>
                <w:highlight w:val="none"/>
                <w:lang w:val="en-US" w:eastAsia="zh-CN" w:bidi="ar"/>
              </w:rPr>
              <w:t>④</w:t>
            </w:r>
            <w:r>
              <w:rPr>
                <w:rFonts w:hint="default" w:ascii="Times New Roman" w:hAnsi="Times New Roman" w:eastAsia="宋体" w:cs="Times New Roman"/>
                <w:color w:val="auto"/>
                <w:kern w:val="0"/>
                <w:sz w:val="24"/>
                <w:highlight w:val="none"/>
              </w:rPr>
              <w:t>建筑材料轻装轻卸，尽量降低装卸高度，对洒落的散装物料及时清除；</w:t>
            </w:r>
          </w:p>
          <w:p w14:paraId="42025980">
            <w:pPr>
              <w:pStyle w:val="15"/>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⑤</w:t>
            </w:r>
            <w:r>
              <w:rPr>
                <w:rFonts w:hint="default" w:ascii="Times New Roman" w:hAnsi="Times New Roman" w:eastAsia="宋体" w:cs="Times New Roman"/>
                <w:color w:val="auto"/>
                <w:kern w:val="0"/>
                <w:sz w:val="24"/>
                <w:highlight w:val="none"/>
              </w:rPr>
              <w:t>对易</w:t>
            </w:r>
            <w:r>
              <w:rPr>
                <w:rFonts w:hint="default" w:ascii="Times New Roman" w:hAnsi="Times New Roman" w:eastAsia="宋体" w:cs="Times New Roman"/>
                <w:color w:val="auto"/>
                <w:kern w:val="0"/>
                <w:sz w:val="24"/>
                <w:highlight w:val="none"/>
                <w:lang w:val="en-US" w:eastAsia="zh-CN"/>
              </w:rPr>
              <w:t>产生</w:t>
            </w:r>
            <w:r>
              <w:rPr>
                <w:rFonts w:hint="default" w:ascii="Times New Roman" w:hAnsi="Times New Roman" w:eastAsia="宋体" w:cs="Times New Roman"/>
                <w:color w:val="auto"/>
                <w:kern w:val="0"/>
                <w:sz w:val="24"/>
                <w:highlight w:val="none"/>
              </w:rPr>
              <w:t>扬尘散装物料堆放点，在天气干燥、风速较大时，用帆布或塑料布覆盖或设简易材料棚；</w:t>
            </w:r>
          </w:p>
          <w:p w14:paraId="2905D4A9">
            <w:pPr>
              <w:pStyle w:val="15"/>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⑥施工场地出入口必须进行车辆清洗设备及配套的排水、泥浆沉淀设施；加强运输车辆的管理，不得超载，同时需采取密封、遮盖等措施；</w:t>
            </w:r>
          </w:p>
          <w:p w14:paraId="1FE23AF4">
            <w:pPr>
              <w:pStyle w:val="15"/>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⑦气象预报风速达到四级以上或出现重污染天气状况时，严禁覆土等可能产生扬尘的施工作业，同时要对现场采取覆盖、洒水等降尘措施；</w:t>
            </w:r>
          </w:p>
          <w:p w14:paraId="4854FF54">
            <w:pPr>
              <w:pStyle w:val="15"/>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1"/>
                <w:highlight w:val="none"/>
                <w:lang w:val="en-US" w:eastAsia="zh-CN" w:bidi="ar"/>
              </w:rPr>
            </w:pPr>
            <w:r>
              <w:rPr>
                <w:rFonts w:hint="default" w:ascii="Times New Roman" w:hAnsi="Times New Roman" w:eastAsia="宋体" w:cs="Times New Roman"/>
                <w:color w:val="auto"/>
                <w:kern w:val="0"/>
                <w:sz w:val="24"/>
                <w:szCs w:val="21"/>
                <w:highlight w:val="none"/>
                <w:lang w:val="en-US" w:eastAsia="zh-CN" w:bidi="ar"/>
              </w:rPr>
              <w:fldChar w:fldCharType="begin"/>
            </w:r>
            <w:r>
              <w:rPr>
                <w:rFonts w:hint="default" w:ascii="Times New Roman" w:hAnsi="Times New Roman" w:eastAsia="宋体" w:cs="Times New Roman"/>
                <w:color w:val="auto"/>
                <w:kern w:val="0"/>
                <w:sz w:val="24"/>
                <w:szCs w:val="21"/>
                <w:highlight w:val="none"/>
                <w:lang w:val="en-US" w:eastAsia="zh-CN" w:bidi="ar"/>
              </w:rPr>
              <w:instrText xml:space="preserve"> = 8 \* GB3 \* MERGEFORMAT </w:instrText>
            </w:r>
            <w:r>
              <w:rPr>
                <w:rFonts w:hint="default" w:ascii="Times New Roman" w:hAnsi="Times New Roman" w:eastAsia="宋体" w:cs="Times New Roman"/>
                <w:color w:val="auto"/>
                <w:kern w:val="0"/>
                <w:sz w:val="24"/>
                <w:szCs w:val="21"/>
                <w:highlight w:val="none"/>
                <w:lang w:val="en-US" w:eastAsia="zh-CN" w:bidi="ar"/>
              </w:rPr>
              <w:fldChar w:fldCharType="separate"/>
            </w:r>
            <w:r>
              <w:rPr>
                <w:rFonts w:hint="default" w:ascii="Times New Roman" w:hAnsi="Times New Roman" w:eastAsia="宋体" w:cs="Times New Roman"/>
                <w:color w:val="auto"/>
                <w:highlight w:val="none"/>
              </w:rPr>
              <w:t>⑧</w:t>
            </w:r>
            <w:r>
              <w:rPr>
                <w:rFonts w:hint="default" w:ascii="Times New Roman" w:hAnsi="Times New Roman" w:eastAsia="宋体" w:cs="Times New Roman"/>
                <w:color w:val="auto"/>
                <w:kern w:val="0"/>
                <w:sz w:val="24"/>
                <w:szCs w:val="21"/>
                <w:highlight w:val="none"/>
                <w:lang w:val="en-US" w:eastAsia="zh-CN" w:bidi="ar"/>
              </w:rPr>
              <w:fldChar w:fldCharType="end"/>
            </w:r>
            <w:r>
              <w:rPr>
                <w:rFonts w:hint="default" w:ascii="Times New Roman" w:hAnsi="Times New Roman" w:eastAsia="宋体" w:cs="Times New Roman"/>
                <w:color w:val="auto"/>
                <w:kern w:val="0"/>
                <w:sz w:val="24"/>
                <w:szCs w:val="21"/>
                <w:highlight w:val="none"/>
                <w:lang w:val="en-US" w:eastAsia="zh-CN" w:bidi="ar"/>
              </w:rPr>
              <w:t>施工现场禁止将包装物、可燃垃圾等固体废弃物就地焚烧。</w:t>
            </w:r>
          </w:p>
          <w:p w14:paraId="66FAE0D8">
            <w:pPr>
              <w:pStyle w:val="15"/>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1"/>
                <w:highlight w:val="none"/>
                <w:lang w:val="en-US" w:eastAsia="zh-CN" w:bidi="ar"/>
              </w:rPr>
            </w:pPr>
            <w:r>
              <w:rPr>
                <w:rFonts w:hint="default" w:ascii="Times New Roman" w:hAnsi="Times New Roman" w:eastAsia="宋体" w:cs="Times New Roman"/>
                <w:color w:val="auto"/>
                <w:kern w:val="0"/>
                <w:sz w:val="24"/>
                <w:szCs w:val="21"/>
                <w:highlight w:val="none"/>
                <w:lang w:val="en-US" w:eastAsia="zh-CN" w:bidi="ar"/>
              </w:rPr>
              <w:t>评价认为，只要加强管理、切实落实好上述措施，达到《施工场界扬尘排放限值》（DB61/1078-2017）的相关要求，施工场地扬尘对环境的影响将会大大降低，同时其对环境的影响也将随施工的结束而消失。</w:t>
            </w:r>
          </w:p>
          <w:p w14:paraId="4E40F5E6">
            <w:pPr>
              <w:keepNext w:val="0"/>
              <w:keepLines w:val="0"/>
              <w:widowControl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2、完井测试放喷废气</w:t>
            </w:r>
          </w:p>
          <w:p w14:paraId="31C2301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测试放喷采用空中灼烧降低废气的毒性。放喷废气通过燃烧后进行排放。本项目放喷罐选址位于距离井口50m外的场地上，附近</w:t>
            </w:r>
            <w:r>
              <w:rPr>
                <w:rFonts w:hint="default" w:ascii="Times New Roman" w:hAnsi="Times New Roman" w:eastAsia="宋体" w:cs="Times New Roman"/>
                <w:color w:val="auto"/>
                <w:sz w:val="24"/>
                <w:szCs w:val="24"/>
                <w:highlight w:val="none"/>
                <w:lang w:val="en-US" w:eastAsia="zh-CN"/>
              </w:rPr>
              <w:t>居民反方向</w:t>
            </w:r>
            <w:r>
              <w:rPr>
                <w:rFonts w:hint="default" w:ascii="Times New Roman" w:hAnsi="Times New Roman" w:eastAsia="宋体" w:cs="Times New Roman"/>
                <w:b w:val="0"/>
                <w:bCs w:val="0"/>
                <w:color w:val="auto"/>
                <w:sz w:val="24"/>
                <w:szCs w:val="24"/>
                <w:highlight w:val="none"/>
                <w:vertAlign w:val="baseline"/>
                <w:lang w:val="en-US" w:eastAsia="zh-CN"/>
              </w:rPr>
              <w:t>的场地上，放喷罐周边200m范围内无居民，周边50m范围植被以</w:t>
            </w:r>
            <w:r>
              <w:rPr>
                <w:rFonts w:hint="eastAsia" w:ascii="Times New Roman" w:hAnsi="Times New Roman" w:cs="Times New Roman"/>
                <w:b w:val="0"/>
                <w:bCs w:val="0"/>
                <w:color w:val="auto"/>
                <w:sz w:val="24"/>
                <w:szCs w:val="24"/>
                <w:highlight w:val="none"/>
                <w:vertAlign w:val="baseline"/>
                <w:lang w:val="en-US" w:eastAsia="zh-CN"/>
              </w:rPr>
              <w:t>种植园地和草地</w:t>
            </w:r>
            <w:r>
              <w:rPr>
                <w:rFonts w:hint="default" w:ascii="Times New Roman" w:hAnsi="Times New Roman" w:eastAsia="宋体" w:cs="Times New Roman"/>
                <w:b w:val="0"/>
                <w:bCs w:val="0"/>
                <w:color w:val="auto"/>
                <w:sz w:val="24"/>
                <w:szCs w:val="24"/>
                <w:highlight w:val="none"/>
                <w:vertAlign w:val="baseline"/>
                <w:lang w:val="en-US" w:eastAsia="zh-CN"/>
              </w:rPr>
              <w:t>为主，无高大林木，地势空旷便于废气扩散，且放喷罐位于当地常年风向的下风向处。</w:t>
            </w:r>
          </w:p>
          <w:p w14:paraId="7B07C92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为了最大程度降低测试放喷废气对环境的影响，放喷前应进行清表，测试放喷时，要选择合适的时间，在天气晴朗，且风较大的天气进行，便于废气扩散。加之测试放喷时间短，对大气环境的影响较短，测试完毕，影响很快消除，因此对环境的影响不大。</w:t>
            </w:r>
          </w:p>
          <w:p w14:paraId="00E18A3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项目放喷罐周边200m范围内无居民居住，为减轻工程放喷对附近农户的影响，环评建议在放喷前，建设方应根据安全需求对距放喷口200m范围建立警戒点并进行24小时警戒，在放喷期间告诫附近村民不要在项目区周边活动，减轻放喷废气对附近农户的影响。在放喷时，虽然采用放喷罐放喷，但是放喷天然气燃烧产生的热辐射会对测试区周围的土壤和植被会造成灼伤，这种影响需要一定的时间才能逐步恢复。</w:t>
            </w:r>
          </w:p>
          <w:p w14:paraId="38FE896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由上分析，本项目除了在放喷时由于热辐射会对放喷罐周围的土壤和植被造成灼伤外，其产生的废气对当地大气环境影响甚微。</w:t>
            </w:r>
          </w:p>
          <w:p w14:paraId="3DD838F9">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综上所述，在严格执行《石油天然气钻井、开发、储运、防火防爆安全生产技术规程》（SY5225-2012）关于放喷罐选址要求及放喷撤离要求的前提下。本项目的实施不会造成该区域的环境空气质量发生改变，不会对周边保护目标造成明显不利影响。</w:t>
            </w:r>
          </w:p>
          <w:p w14:paraId="08668879">
            <w:pPr>
              <w:keepNext w:val="0"/>
              <w:keepLines w:val="0"/>
              <w:widowControl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3、事故放喷废气</w:t>
            </w:r>
          </w:p>
          <w:p w14:paraId="4DC70F8B">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钻井进入气层后，有可能遇到异常高压气流，如果井内泥浆密度值过低，达不到平衡井内压力要求，就可能发生井喷。此时利用防喷器迅速封闭井口，若井口压力过高，则打开放喷管线阀门泄压，即事故放喷，事故放喷在石油天然气行业是低概率事件。事故放喷主产物是天然气燃烧后产生的SO</w:t>
            </w:r>
            <w:r>
              <w:rPr>
                <w:rFonts w:hint="default" w:ascii="Times New Roman" w:hAnsi="Times New Roman" w:eastAsia="宋体" w:cs="Times New Roman"/>
                <w:b w:val="0"/>
                <w:bCs w:val="0"/>
                <w:color w:val="auto"/>
                <w:sz w:val="24"/>
                <w:szCs w:val="24"/>
                <w:highlight w:val="none"/>
                <w:vertAlign w:val="subscript"/>
                <w:lang w:val="en-US" w:eastAsia="zh-CN"/>
              </w:rPr>
              <w:t>2</w:t>
            </w:r>
            <w:r>
              <w:rPr>
                <w:rFonts w:hint="default" w:ascii="Times New Roman" w:hAnsi="Times New Roman" w:eastAsia="宋体" w:cs="Times New Roman"/>
                <w:b w:val="0"/>
                <w:bCs w:val="0"/>
                <w:color w:val="auto"/>
                <w:sz w:val="24"/>
                <w:szCs w:val="24"/>
                <w:highlight w:val="none"/>
                <w:vertAlign w:val="baseline"/>
                <w:lang w:val="en-US" w:eastAsia="zh-CN"/>
              </w:rPr>
              <w:t>、NOx、CO、H</w:t>
            </w:r>
            <w:r>
              <w:rPr>
                <w:rFonts w:hint="default" w:ascii="Times New Roman" w:hAnsi="Times New Roman" w:eastAsia="宋体" w:cs="Times New Roman"/>
                <w:b w:val="0"/>
                <w:bCs w:val="0"/>
                <w:color w:val="auto"/>
                <w:sz w:val="24"/>
                <w:szCs w:val="24"/>
                <w:highlight w:val="none"/>
                <w:vertAlign w:val="subscript"/>
                <w:lang w:val="en-US" w:eastAsia="zh-CN"/>
              </w:rPr>
              <w:t>2</w:t>
            </w:r>
            <w:r>
              <w:rPr>
                <w:rFonts w:hint="default" w:ascii="Times New Roman" w:hAnsi="Times New Roman" w:eastAsia="宋体" w:cs="Times New Roman"/>
                <w:b w:val="0"/>
                <w:bCs w:val="0"/>
                <w:color w:val="auto"/>
                <w:sz w:val="24"/>
                <w:szCs w:val="24"/>
                <w:highlight w:val="none"/>
                <w:vertAlign w:val="baseline"/>
                <w:lang w:val="en-US" w:eastAsia="zh-CN"/>
              </w:rPr>
              <w:t>S、烃类。事故放喷时间持续较短，且通过专用的放喷管线将天然气引至放喷罐进行点火放喷，事故放喷时间段，属临时排放，放喷完毕，影响很快消除，环评要求建设单位在发生事故时对周边居民实施临时疏散，因此事故放喷对周边人群健康基本无影响，对环境影响也较小。</w:t>
            </w:r>
          </w:p>
          <w:p w14:paraId="761D840F">
            <w:pPr>
              <w:keepNext w:val="0"/>
              <w:keepLines w:val="0"/>
              <w:widowControl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4、机械废气（运输车辆废气）防治措施</w:t>
            </w:r>
          </w:p>
          <w:p w14:paraId="71DDE889">
            <w:pPr>
              <w:pStyle w:val="2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本项目施工期间各类机械均采用电驱动，属于清洁能源，施工机械不会产生大气污染物。</w:t>
            </w:r>
          </w:p>
          <w:p w14:paraId="6A75B296">
            <w:pPr>
              <w:pStyle w:val="2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施工车辆废气的主要污染物为氮氧化物、二氧化硫和一氧化碳</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其特点是排放量小，属间断性无组织排放，加之施工场地开阔，扩散条件良好，而且废气排放是小范围的短期影响，随着施工期的结束，影响将会消失，因此对周围环境空气影响较小。</w:t>
            </w:r>
          </w:p>
          <w:p w14:paraId="7D9534C0">
            <w:pPr>
              <w:pStyle w:val="2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为</w:t>
            </w:r>
            <w:r>
              <w:rPr>
                <w:rFonts w:hint="default" w:ascii="Times New Roman" w:hAnsi="Times New Roman" w:eastAsia="宋体" w:cs="Times New Roman"/>
                <w:color w:val="auto"/>
                <w:highlight w:val="none"/>
              </w:rPr>
              <w:t>进一步降低施工过程中机械设备、运输车辆废气对环境的影响，本次环评提出：</w:t>
            </w:r>
          </w:p>
          <w:p w14:paraId="551975D3">
            <w:pPr>
              <w:pStyle w:val="2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①定期对机械设备、运输车辆检修、维护，提高机械的正常使用率，尽量减少车辆怠速空档；</w:t>
            </w:r>
          </w:p>
          <w:p w14:paraId="0DD4C8E7">
            <w:pPr>
              <w:pStyle w:val="2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②应定期对施工期机械设备和运输车辆排放的废气进行检查监测，机动车污染物排放超标的不得上路行驶；</w:t>
            </w:r>
          </w:p>
          <w:p w14:paraId="5AA98433">
            <w:pPr>
              <w:pStyle w:val="20"/>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③严禁使用劣质油，运输车辆优先使用</w:t>
            </w:r>
            <w:r>
              <w:rPr>
                <w:rFonts w:hint="default" w:ascii="Times New Roman" w:hAnsi="Times New Roman" w:eastAsia="宋体" w:cs="Times New Roman"/>
                <w:color w:val="auto"/>
                <w:highlight w:val="none"/>
                <w:lang w:val="en-US" w:eastAsia="zh-CN"/>
              </w:rPr>
              <w:t>含硫量低于10ppm的</w:t>
            </w:r>
            <w:r>
              <w:rPr>
                <w:rFonts w:hint="default" w:ascii="Times New Roman" w:hAnsi="Times New Roman" w:eastAsia="宋体" w:cs="Times New Roman"/>
                <w:color w:val="auto"/>
                <w:highlight w:val="none"/>
              </w:rPr>
              <w:t>的低硫汽油</w:t>
            </w:r>
            <w:r>
              <w:rPr>
                <w:rFonts w:hint="default" w:ascii="Times New Roman" w:hAnsi="Times New Roman" w:eastAsia="宋体" w:cs="Times New Roman"/>
                <w:color w:val="auto"/>
                <w:highlight w:val="none"/>
                <w:lang w:eastAsia="zh-CN"/>
              </w:rPr>
              <w:t>；</w:t>
            </w:r>
          </w:p>
          <w:p w14:paraId="605B7A7F">
            <w:pPr>
              <w:pStyle w:val="20"/>
              <w:bidi w:val="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highlight w:val="none"/>
                <w:lang w:eastAsia="zh-CN"/>
              </w:rPr>
              <w:t>④</w:t>
            </w:r>
            <w:r>
              <w:rPr>
                <w:rFonts w:hint="default" w:ascii="Times New Roman" w:hAnsi="Times New Roman" w:eastAsia="宋体" w:cs="Times New Roman"/>
                <w:color w:val="auto"/>
                <w:sz w:val="24"/>
                <w:szCs w:val="21"/>
                <w:highlight w:val="none"/>
              </w:rPr>
              <w:t>施工机械</w:t>
            </w:r>
            <w:r>
              <w:rPr>
                <w:rFonts w:hint="default" w:ascii="Times New Roman" w:hAnsi="Times New Roman" w:eastAsia="宋体" w:cs="Times New Roman"/>
                <w:snapToGrid w:val="0"/>
                <w:color w:val="auto"/>
                <w:sz w:val="24"/>
                <w:szCs w:val="21"/>
                <w:highlight w:val="none"/>
              </w:rPr>
              <w:t>废气</w:t>
            </w:r>
            <w:r>
              <w:rPr>
                <w:rFonts w:hint="default" w:ascii="Times New Roman" w:hAnsi="Times New Roman" w:eastAsia="宋体" w:cs="Times New Roman"/>
                <w:snapToGrid w:val="0"/>
                <w:color w:val="auto"/>
                <w:sz w:val="24"/>
                <w:szCs w:val="21"/>
                <w:highlight w:val="none"/>
                <w:lang w:val="en-US" w:eastAsia="zh-CN"/>
              </w:rPr>
              <w:t>达到</w:t>
            </w:r>
            <w:r>
              <w:rPr>
                <w:rFonts w:hint="default" w:ascii="Times New Roman" w:hAnsi="Times New Roman" w:eastAsia="宋体" w:cs="Times New Roman"/>
                <w:snapToGrid w:val="0"/>
                <w:color w:val="auto"/>
                <w:sz w:val="24"/>
                <w:szCs w:val="21"/>
                <w:highlight w:val="none"/>
              </w:rPr>
              <w:t>《</w:t>
            </w:r>
            <w:r>
              <w:rPr>
                <w:rFonts w:hint="default" w:ascii="Times New Roman" w:hAnsi="Times New Roman" w:eastAsia="宋体" w:cs="Times New Roman"/>
                <w:color w:val="auto"/>
                <w:sz w:val="24"/>
                <w:highlight w:val="none"/>
              </w:rPr>
              <w:t>非道路移动机械用柴油机排气污染物排放限值及测量方法（中国第三、四阶段）》及2020年修改单中第四阶段的标准限值</w:t>
            </w:r>
            <w:r>
              <w:rPr>
                <w:rFonts w:hint="default" w:ascii="Times New Roman" w:hAnsi="Times New Roman" w:eastAsia="宋体" w:cs="Times New Roman"/>
                <w:color w:val="auto"/>
                <w:sz w:val="24"/>
                <w:highlight w:val="none"/>
                <w:lang w:eastAsia="zh-CN"/>
              </w:rPr>
              <w:t>。</w:t>
            </w:r>
          </w:p>
          <w:p w14:paraId="79C71867">
            <w:pPr>
              <w:pStyle w:val="15"/>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highlight w:val="none"/>
              </w:rPr>
              <w:t>综上，施工期应多加注意施工设备的维护，确保设备正常运行，提高设备原料的利用率。同时合理安排工序，选取优质燃料，禁止运输车辆超载运行等，定期进行车辆尾气检测，对超标排放车辆进行有效的尾气治理，确保所有施工车辆、机械的废气排放达标。</w:t>
            </w:r>
          </w:p>
          <w:p w14:paraId="65143EA1">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三、废水防治措施</w:t>
            </w:r>
          </w:p>
          <w:p w14:paraId="09A40016">
            <w:pPr>
              <w:pStyle w:val="20"/>
              <w:widowControl/>
              <w:ind w:left="0" w:firstLine="48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1、</w:t>
            </w:r>
            <w:r>
              <w:rPr>
                <w:rFonts w:hint="default" w:ascii="Times New Roman" w:hAnsi="Times New Roman" w:eastAsia="宋体" w:cs="Times New Roman"/>
                <w:b/>
                <w:bCs/>
                <w:color w:val="auto"/>
                <w:highlight w:val="none"/>
                <w:lang w:eastAsia="zh-CN"/>
              </w:rPr>
              <w:t>废水治理措施</w:t>
            </w:r>
          </w:p>
          <w:p w14:paraId="7D25F23D">
            <w:pPr>
              <w:pStyle w:val="20"/>
              <w:widowControl/>
              <w:ind w:left="0"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项目勘探期产生的废水主要为生产废水（钻井废水、洗井废水、压裂返排液、</w:t>
            </w:r>
            <w:r>
              <w:rPr>
                <w:rFonts w:hint="default" w:ascii="Times New Roman" w:hAnsi="Times New Roman" w:eastAsia="宋体" w:cs="Times New Roman"/>
                <w:b w:val="0"/>
                <w:bCs w:val="0"/>
                <w:color w:val="auto"/>
                <w:sz w:val="24"/>
                <w:szCs w:val="24"/>
                <w:highlight w:val="none"/>
                <w:vertAlign w:val="baseline"/>
                <w:lang w:val="en-US" w:eastAsia="zh-CN"/>
              </w:rPr>
              <w:t>射孔废水、</w:t>
            </w:r>
            <w:r>
              <w:rPr>
                <w:rFonts w:hint="default" w:ascii="Times New Roman" w:hAnsi="Times New Roman" w:eastAsia="宋体" w:cs="Times New Roman"/>
                <w:color w:val="auto"/>
                <w:highlight w:val="none"/>
                <w:lang w:val="en-US" w:eastAsia="zh-CN"/>
              </w:rPr>
              <w:t>放喷冷却水、放喷废水）和生活污水。钻井结束后最终不能回用的钻井废水、洗井废水、压裂返排液分别收集至专用收集罐，定期委托</w:t>
            </w:r>
            <w:r>
              <w:rPr>
                <w:rFonts w:hint="eastAsia" w:ascii="Times New Roman" w:hAnsi="Times New Roman" w:eastAsia="宋体" w:cs="Times New Roman"/>
                <w:color w:val="auto"/>
                <w:highlight w:val="none"/>
                <w:lang w:val="en-US" w:eastAsia="zh-CN"/>
              </w:rPr>
              <w:t>协议的有能力单位</w:t>
            </w:r>
            <w:r>
              <w:rPr>
                <w:rFonts w:hint="default" w:ascii="Times New Roman" w:hAnsi="Times New Roman" w:eastAsia="宋体" w:cs="Times New Roman"/>
                <w:color w:val="auto"/>
                <w:highlight w:val="none"/>
                <w:lang w:val="en-US" w:eastAsia="zh-CN"/>
              </w:rPr>
              <w:t>采用防渗漏、防溢流的罐车外运处置，不外排。气液分离器分离出的采出水交长庆油田分公司第二采气厂米7天然气采出水处理及储存站处理。放喷罐降温废水冷却后用于场地洒水抑尘。放喷废水收集至井场内放喷罐暂存，委托</w:t>
            </w:r>
            <w:r>
              <w:rPr>
                <w:rFonts w:hint="eastAsia" w:ascii="Times New Roman" w:hAnsi="Times New Roman" w:eastAsia="宋体" w:cs="Times New Roman"/>
                <w:color w:val="auto"/>
                <w:highlight w:val="none"/>
                <w:lang w:val="en-US" w:eastAsia="zh-CN"/>
              </w:rPr>
              <w:t>协议的有能力单位</w:t>
            </w:r>
            <w:r>
              <w:rPr>
                <w:rFonts w:hint="default" w:ascii="Times New Roman" w:hAnsi="Times New Roman" w:eastAsia="宋体" w:cs="Times New Roman"/>
                <w:color w:val="auto"/>
                <w:highlight w:val="none"/>
                <w:lang w:val="en-US" w:eastAsia="zh-CN"/>
              </w:rPr>
              <w:t>外运处理。施工营地设旱厕，定期清掏肥田。通过采取以上措施后，能够保证污染物不外排，</w:t>
            </w:r>
            <w:r>
              <w:rPr>
                <w:rFonts w:hint="default" w:ascii="Times New Roman" w:hAnsi="Times New Roman" w:eastAsia="宋体" w:cs="Times New Roman"/>
                <w:color w:val="auto"/>
                <w:highlight w:val="none"/>
              </w:rPr>
              <w:t>对地表水环境影响</w:t>
            </w:r>
            <w:r>
              <w:rPr>
                <w:rFonts w:hint="default" w:ascii="Times New Roman" w:hAnsi="Times New Roman" w:eastAsia="宋体" w:cs="Times New Roman"/>
                <w:color w:val="auto"/>
                <w:highlight w:val="none"/>
                <w:lang w:val="en-US" w:eastAsia="zh-CN"/>
              </w:rPr>
              <w:t>较小</w:t>
            </w:r>
            <w:r>
              <w:rPr>
                <w:rFonts w:hint="default" w:ascii="Times New Roman" w:hAnsi="Times New Roman" w:eastAsia="宋体" w:cs="Times New Roman"/>
                <w:color w:val="auto"/>
                <w:highlight w:val="none"/>
              </w:rPr>
              <w:t>。</w:t>
            </w:r>
          </w:p>
          <w:p w14:paraId="523F7E13">
            <w:pPr>
              <w:pStyle w:val="20"/>
              <w:widowControl/>
              <w:ind w:left="0" w:firstLine="48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lang w:eastAsia="zh-CN"/>
              </w:rPr>
              <w:t>废水依托处置可行性分析</w:t>
            </w:r>
          </w:p>
          <w:p w14:paraId="472DF0DB">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本项目单井气液分离器分离出的采出水量约为5m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，交长庆油田分公司第二采气厂米7天然气采出水处理及储存站处理。长庆油田分公司第二采气厂米7天然气采出水处理及储存站项目工程位于陕西省榆林市米脂县印斗镇流崛峪村，本项目</w:t>
            </w:r>
            <w:r>
              <w:rPr>
                <w:rFonts w:hint="eastAsia" w:ascii="Times New Roman" w:hAnsi="Times New Roman" w:eastAsia="宋体" w:cs="Times New Roman"/>
                <w:color w:val="auto"/>
                <w:highlight w:val="none"/>
                <w:lang w:val="en-US" w:eastAsia="zh-CN"/>
              </w:rPr>
              <w:t>探勘</w:t>
            </w:r>
            <w:r>
              <w:rPr>
                <w:rFonts w:hint="default" w:ascii="Times New Roman" w:hAnsi="Times New Roman" w:eastAsia="宋体" w:cs="Times New Roman"/>
                <w:color w:val="auto"/>
                <w:highlight w:val="none"/>
                <w:lang w:val="en-US" w:eastAsia="zh-CN"/>
              </w:rPr>
              <w:t>井分别距长庆油田分公司第二采气厂米7天然气采出水处理及储存站约24千米，中间县道、村道建设完整，运输路线通畅，可保证采出水能正常运输至该站。该采出水处理站服务范围为长庆油田分公司第二采气厂米脂气田米脂区块采气井场采出水，采出水处理系统设计规模500m³/d，目前仅收集米35-32、米34-34、米45-30、米41-37四座井场的采出水，尚留有一定的采出水处理能力。该项目已于2025年12月9日取得榆林市生态环境局米脂分局下发的环评批复（米环批复〔2025〕13号），项目施工工期为3个月，目前正在施工中。本项目2026年</w:t>
            </w:r>
            <w:r>
              <w:rPr>
                <w:rFonts w:hint="eastAsia"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lang w:val="en-US" w:eastAsia="zh-CN"/>
              </w:rPr>
              <w:t>月份开始施工，依托可行。</w:t>
            </w:r>
          </w:p>
          <w:p w14:paraId="2B7E17B8">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项目施工期</w:t>
            </w:r>
            <w:r>
              <w:rPr>
                <w:rFonts w:hint="default" w:ascii="Times New Roman" w:hAnsi="Times New Roman" w:eastAsia="宋体" w:cs="Times New Roman"/>
                <w:color w:val="auto"/>
                <w:highlight w:val="none"/>
                <w:lang w:val="en-US" w:eastAsia="zh-CN"/>
              </w:rPr>
              <w:t>其他</w:t>
            </w:r>
            <w:r>
              <w:rPr>
                <w:rFonts w:hint="default" w:ascii="Times New Roman" w:hAnsi="Times New Roman" w:eastAsia="宋体" w:cs="Times New Roman"/>
                <w:color w:val="auto"/>
                <w:highlight w:val="none"/>
              </w:rPr>
              <w:t>生产废水</w:t>
            </w:r>
            <w:r>
              <w:rPr>
                <w:rFonts w:hint="default" w:ascii="Times New Roman" w:hAnsi="Times New Roman" w:eastAsia="宋体" w:cs="Times New Roman"/>
                <w:color w:val="auto"/>
                <w:highlight w:val="none"/>
                <w:lang w:val="en-US" w:eastAsia="zh-CN"/>
              </w:rPr>
              <w:t>委托</w:t>
            </w:r>
            <w:r>
              <w:rPr>
                <w:rFonts w:hint="eastAsia" w:ascii="Times New Roman" w:hAnsi="Times New Roman" w:eastAsia="宋体" w:cs="Times New Roman"/>
                <w:color w:val="auto"/>
                <w:highlight w:val="none"/>
                <w:lang w:val="en-US" w:eastAsia="zh-CN"/>
              </w:rPr>
              <w:t>协议的有能力单位</w:t>
            </w:r>
            <w:r>
              <w:rPr>
                <w:rFonts w:hint="default" w:ascii="Times New Roman" w:hAnsi="Times New Roman" w:eastAsia="宋体" w:cs="Times New Roman"/>
                <w:color w:val="auto"/>
                <w:highlight w:val="none"/>
                <w:lang w:val="en-US" w:eastAsia="zh-CN"/>
              </w:rPr>
              <w:t>采用防渗漏、防溢流的罐车外运处理</w:t>
            </w:r>
            <w:r>
              <w:rPr>
                <w:rFonts w:hint="default" w:ascii="Times New Roman" w:hAnsi="Times New Roman" w:eastAsia="宋体" w:cs="Times New Roman"/>
                <w:color w:val="auto"/>
                <w:highlight w:val="none"/>
              </w:rPr>
              <w:t>，不外排。</w:t>
            </w:r>
          </w:p>
          <w:p w14:paraId="2D9E4A6F">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四、噪声防治措施</w:t>
            </w:r>
          </w:p>
          <w:p w14:paraId="3058AD37">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钻井过程中噪声主要为钻井噪声和完井测试噪声，钻井噪声主要来源于钻井设备、泥浆泵、振动筛、压裂车等连续性噪声，噪声源强在</w:t>
            </w:r>
            <w:r>
              <w:rPr>
                <w:rFonts w:hint="default" w:ascii="Times New Roman" w:hAnsi="Times New Roman" w:eastAsia="宋体" w:cs="Times New Roman"/>
                <w:b w:val="0"/>
                <w:bCs w:val="0"/>
                <w:color w:val="auto"/>
                <w:sz w:val="24"/>
                <w:szCs w:val="24"/>
                <w:highlight w:val="none"/>
                <w:vertAlign w:val="baseline"/>
                <w:lang w:val="en-US" w:eastAsia="zh-CN"/>
              </w:rPr>
              <w:t>65~95</w:t>
            </w:r>
            <w:r>
              <w:rPr>
                <w:rFonts w:hint="default" w:ascii="Times New Roman" w:hAnsi="Times New Roman" w:eastAsia="宋体" w:cs="Times New Roman"/>
                <w:color w:val="auto"/>
                <w:kern w:val="0"/>
                <w:sz w:val="24"/>
                <w:szCs w:val="24"/>
                <w:highlight w:val="none"/>
                <w:lang w:val="en-US" w:eastAsia="zh-CN" w:bidi="ar"/>
              </w:rPr>
              <w:t>dB（A），为减轻本项目施工期噪声对周围环境的影响，要求采取必要的噪声控制措施。具体措施如下：</w:t>
            </w:r>
          </w:p>
          <w:p w14:paraId="25E5B078">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1、严格控制施工时间，合理安排施工计划，尽可能避开午休时间动用高噪声设备。</w:t>
            </w:r>
          </w:p>
          <w:p w14:paraId="391828A5">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2、钻机应选用低噪声设备，安装基础减振垫，场区四周应设置围挡，压裂车设置隔声设备，仅在白天运行，控制压裂作业频率，以进一步降低该部分噪声对周围环境的影响。</w:t>
            </w:r>
          </w:p>
          <w:p w14:paraId="138F2BF0">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3、优化运输路线，车辆应避免经过敏感路段；车辆在经过周边村庄时应减速，减少鸣笛等，避免出现扰民现象。</w:t>
            </w:r>
          </w:p>
          <w:p w14:paraId="17C11F24">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4、降低施工设备噪声，尽量采用低噪声设备；注意对施工机械定期维修保养，使机械保持最佳工作状态，噪声降低到最低水平。</w:t>
            </w:r>
          </w:p>
          <w:p w14:paraId="39F3E984">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5、同一施工地点应避免安排大量动力机械设备，以免局部累积声级过高。选择低噪声设备。</w:t>
            </w:r>
          </w:p>
          <w:p w14:paraId="7FC8C574">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通过采取上述综合降噪措施，可有效降低施工过程噪声对周围环境的影响，确保施工期各项施工活动产生的噪声达到</w:t>
            </w:r>
            <w:r>
              <w:rPr>
                <w:rFonts w:hint="default" w:ascii="Times New Roman" w:hAnsi="Times New Roman" w:eastAsia="宋体" w:cs="Times New Roman"/>
                <w:color w:val="auto"/>
                <w:sz w:val="24"/>
                <w:highlight w:val="none"/>
              </w:rPr>
              <w:t>《建筑施工噪声排放标准》（GB12523-20</w:t>
            </w:r>
            <w:r>
              <w:rPr>
                <w:rFonts w:hint="default" w:ascii="Times New Roman" w:hAnsi="Times New Roman" w:eastAsia="宋体" w:cs="Times New Roman"/>
                <w:color w:val="auto"/>
                <w:sz w:val="24"/>
                <w:highlight w:val="none"/>
                <w:lang w:val="en-US" w:eastAsia="zh-CN"/>
              </w:rPr>
              <w:t>25</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kern w:val="0"/>
                <w:sz w:val="24"/>
                <w:szCs w:val="24"/>
                <w:highlight w:val="none"/>
                <w:lang w:val="en-US" w:eastAsia="zh-CN" w:bidi="ar"/>
              </w:rPr>
              <w:t>中的相关规定限值要求，对周围环境影响较小。</w:t>
            </w:r>
          </w:p>
          <w:p w14:paraId="5EDDADDB">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五、地下水防治措施</w:t>
            </w:r>
          </w:p>
          <w:p w14:paraId="6105175B">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本项目采取的地下水污染防治措施如下：</w:t>
            </w:r>
          </w:p>
          <w:p w14:paraId="4B14B839">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1、表层固井要求：表层固井必须封固含水层。</w:t>
            </w:r>
          </w:p>
          <w:p w14:paraId="54A1418C">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2、固井作业要求：为了确保地层的承压能力能够满足固井时防漏及打开气层时安全钻井的需要，在进入气层前必须按工程设计要求进行转化钻井液和工艺堵漏；固井所用水泥、外掺料、外加剂及水泥浆配方必须经长庆油田分公司天然气评价项目部工程技术管理部检验认可备案后，方可使用。</w:t>
            </w:r>
          </w:p>
          <w:p w14:paraId="36344F02">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3、生产套管固井钻水泥塞要求：生产套管固井后，必须用大排量循环冲洗干净水泥塞连接处的胶皮及铝片。</w:t>
            </w:r>
          </w:p>
          <w:p w14:paraId="3BC7AFF6">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4、其他要求：</w:t>
            </w:r>
          </w:p>
          <w:p w14:paraId="4C5E4132">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（1）钻井中遇到潜水层，下套管时应注水泥封固，防止地下水层被地层其它流体或钻井泥浆污染。</w:t>
            </w:r>
          </w:p>
          <w:p w14:paraId="34678886">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2）固井要求水泥环有可靠的密封，环空封固段不窜、不漏、胶结良好，能承受高压；套管的设计必须完全符合整个井生命周期中的钻井、完井和生产过程中所有的技术要求，要求套管有足够的强度，在整个井生命周期内能够承受各种外力作用，抗腐蚀、不断、不裂、不变形。固井水泥的返高也是封隔井筒与地下水的主要措施，本项目导管和一开固井水泥均返高至地面，可以多层防护与隔绝井内流体与含水层之间的联系。</w:t>
            </w:r>
          </w:p>
          <w:p w14:paraId="396C3B48">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评价要求施工全程定期对井内套管和井壁进行渗漏检查、修缮，防止套管和井壁发生损坏钻导致钻井液的漏失污染地下水。</w:t>
            </w:r>
          </w:p>
          <w:p w14:paraId="02AD4D15">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（3）钻井过程中采取平衡钻进，避免因压力挤动和开泵过猛使泥浆憋入地层；</w:t>
            </w:r>
          </w:p>
          <w:p w14:paraId="278801B9">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4）井场储备足够的封堵剂（水泥），钻井过程中应密切注意钻井液的漏失情况，一旦出现漏失，应立即采取堵漏措施，防止钻井液的漏失污染地下水；堵漏剂的选取应考虑清洁、无毒、对人体无害、环境污染轻的种类，建议使用水泥堵漏。</w:t>
            </w:r>
          </w:p>
          <w:p w14:paraId="11ED1AA6">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（5）在井下作业过程中，钻井液和压裂液应集中配置，洗井废水、压裂返排液应100%回收。</w:t>
            </w:r>
          </w:p>
          <w:p w14:paraId="7FF8F9FF">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（6）钻井、压裂作业和试井过程应采取防喷、地面管线防刺、防漏、防溢等措施。</w:t>
            </w:r>
          </w:p>
          <w:p w14:paraId="2517373B">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（7）应定期对井内套管和井壁进行检查、修缮，防止套管和井壁发生损坏。</w:t>
            </w:r>
          </w:p>
          <w:p w14:paraId="3FBEE3BC">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5、防渗措施</w:t>
            </w:r>
          </w:p>
          <w:p w14:paraId="45742E66">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为进一步减少工程建设对地下水环境的影响，环评建议对井场各区域切实做好防渗措施，具体要求见下表。</w:t>
            </w:r>
          </w:p>
          <w:p w14:paraId="3BF1F62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表5-</w:t>
            </w:r>
            <w:r>
              <w:rPr>
                <w:rFonts w:hint="eastAsia" w:ascii="Times New Roman" w:hAnsi="Times New Roman" w:cs="Times New Roman"/>
                <w:b/>
                <w:bCs/>
                <w:color w:val="auto"/>
                <w:kern w:val="0"/>
                <w:sz w:val="24"/>
                <w:szCs w:val="24"/>
                <w:highlight w:val="none"/>
                <w:lang w:val="en-US" w:eastAsia="zh-CN" w:bidi="ar"/>
              </w:rPr>
              <w:t>2</w:t>
            </w:r>
            <w:r>
              <w:rPr>
                <w:rFonts w:hint="default" w:ascii="Times New Roman" w:hAnsi="Times New Roman" w:eastAsia="宋体" w:cs="Times New Roman"/>
                <w:b/>
                <w:bCs/>
                <w:color w:val="auto"/>
                <w:kern w:val="0"/>
                <w:sz w:val="24"/>
                <w:szCs w:val="24"/>
                <w:highlight w:val="none"/>
                <w:lang w:val="en-US" w:eastAsia="zh-CN" w:bidi="ar"/>
              </w:rPr>
              <w:t xml:space="preserve">   项目分区防渗措施要求</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64"/>
              <w:gridCol w:w="1898"/>
              <w:gridCol w:w="5522"/>
            </w:tblGrid>
            <w:tr w14:paraId="23010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64" w:type="dxa"/>
                  <w:tcBorders>
                    <w:top w:val="single" w:color="auto" w:sz="4" w:space="0"/>
                    <w:left w:val="single" w:color="auto" w:sz="4" w:space="0"/>
                    <w:bottom w:val="single" w:color="auto" w:sz="4" w:space="0"/>
                    <w:right w:val="single" w:color="auto" w:sz="4" w:space="0"/>
                  </w:tcBorders>
                  <w:noWrap w:val="0"/>
                  <w:vAlign w:val="center"/>
                </w:tcPr>
                <w:p w14:paraId="0D77EF7C">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分区</w:t>
                  </w:r>
                </w:p>
              </w:tc>
              <w:tc>
                <w:tcPr>
                  <w:tcW w:w="1898" w:type="dxa"/>
                  <w:tcBorders>
                    <w:top w:val="single" w:color="auto" w:sz="4" w:space="0"/>
                    <w:left w:val="single" w:color="auto" w:sz="4" w:space="0"/>
                    <w:bottom w:val="single" w:color="auto" w:sz="4" w:space="0"/>
                    <w:right w:val="single" w:color="auto" w:sz="4" w:space="0"/>
                  </w:tcBorders>
                  <w:noWrap w:val="0"/>
                  <w:vAlign w:val="center"/>
                </w:tcPr>
                <w:p w14:paraId="3D56473A">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位置</w:t>
                  </w:r>
                </w:p>
              </w:tc>
              <w:tc>
                <w:tcPr>
                  <w:tcW w:w="5522" w:type="dxa"/>
                  <w:tcBorders>
                    <w:top w:val="single" w:color="auto" w:sz="4" w:space="0"/>
                    <w:left w:val="single" w:color="auto" w:sz="4" w:space="0"/>
                    <w:bottom w:val="single" w:color="auto" w:sz="4" w:space="0"/>
                    <w:right w:val="single" w:color="auto" w:sz="4" w:space="0"/>
                  </w:tcBorders>
                  <w:noWrap w:val="0"/>
                  <w:vAlign w:val="center"/>
                </w:tcPr>
                <w:p w14:paraId="637A59B3">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防渗要求</w:t>
                  </w:r>
                </w:p>
              </w:tc>
            </w:tr>
            <w:tr w14:paraId="0C8C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86" w:hRule="atLeast"/>
                <w:jc w:val="center"/>
              </w:trPr>
              <w:tc>
                <w:tcPr>
                  <w:tcW w:w="764" w:type="dxa"/>
                  <w:vMerge w:val="restart"/>
                  <w:tcBorders>
                    <w:top w:val="single" w:color="auto" w:sz="4" w:space="0"/>
                    <w:left w:val="single" w:color="auto" w:sz="4" w:space="0"/>
                    <w:right w:val="single" w:color="auto" w:sz="4" w:space="0"/>
                  </w:tcBorders>
                  <w:noWrap w:val="0"/>
                  <w:vAlign w:val="center"/>
                </w:tcPr>
                <w:p w14:paraId="29FDD28C">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重点防渗区</w:t>
                  </w:r>
                </w:p>
              </w:tc>
              <w:tc>
                <w:tcPr>
                  <w:tcW w:w="1898" w:type="dxa"/>
                  <w:tcBorders>
                    <w:top w:val="single" w:color="auto" w:sz="4" w:space="0"/>
                    <w:left w:val="single" w:color="auto" w:sz="4" w:space="0"/>
                    <w:bottom w:val="single" w:color="auto" w:sz="4" w:space="0"/>
                    <w:right w:val="single" w:color="auto" w:sz="4" w:space="0"/>
                  </w:tcBorders>
                  <w:noWrap w:val="0"/>
                  <w:vAlign w:val="center"/>
                </w:tcPr>
                <w:p w14:paraId="4DF2B5A2">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钻井工作区、泥浆不落地系统区、钻井液材料房、储罐区+放喷灌</w:t>
                  </w:r>
                </w:p>
              </w:tc>
              <w:tc>
                <w:tcPr>
                  <w:tcW w:w="5522" w:type="dxa"/>
                  <w:tcBorders>
                    <w:top w:val="single" w:color="auto" w:sz="4" w:space="0"/>
                    <w:left w:val="single" w:color="auto" w:sz="4" w:space="0"/>
                    <w:right w:val="single" w:color="auto" w:sz="4" w:space="0"/>
                  </w:tcBorders>
                  <w:noWrap w:val="0"/>
                  <w:vAlign w:val="center"/>
                </w:tcPr>
                <w:p w14:paraId="55320D51">
                  <w:pPr>
                    <w:pStyle w:val="15"/>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
                    </w:rPr>
                    <w:t>地面底部利用机械将衬层压实，四周用土堆成简易围堰，围堰内地面连同四周的土质简易围堰整体铺设防渗材料（双侧HDPE膜或单层复合HDPE膜，厚度不低于2mm），等效黏土防渗层Mb≥6.0m，K≤1×10</w:t>
                  </w:r>
                  <w:r>
                    <w:rPr>
                      <w:rFonts w:hint="default" w:ascii="Times New Roman" w:hAnsi="Times New Roman" w:eastAsia="宋体" w:cs="Times New Roman"/>
                      <w:color w:val="auto"/>
                      <w:sz w:val="21"/>
                      <w:szCs w:val="21"/>
                      <w:highlight w:val="none"/>
                      <w:vertAlign w:val="superscript"/>
                      <w:lang w:val="en-US" w:eastAsia="zh-CN" w:bidi="ar"/>
                    </w:rPr>
                    <w:t>-7</w:t>
                  </w:r>
                  <w:r>
                    <w:rPr>
                      <w:rFonts w:hint="default" w:ascii="Times New Roman" w:hAnsi="Times New Roman" w:eastAsia="宋体" w:cs="Times New Roman"/>
                      <w:color w:val="auto"/>
                      <w:sz w:val="21"/>
                      <w:szCs w:val="21"/>
                      <w:highlight w:val="none"/>
                      <w:lang w:val="en-US" w:eastAsia="zh-CN" w:bidi="ar"/>
                    </w:rPr>
                    <w:t>cm/s，HDPE膜敷设面积应适当扩大，覆盖围堰区外延1.0m范围。</w:t>
                  </w:r>
                </w:p>
              </w:tc>
            </w:tr>
            <w:tr w14:paraId="281C8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64" w:type="dxa"/>
                  <w:tcBorders>
                    <w:top w:val="single" w:color="auto" w:sz="4" w:space="0"/>
                    <w:left w:val="single" w:color="auto" w:sz="4" w:space="0"/>
                    <w:bottom w:val="single" w:color="auto" w:sz="4" w:space="0"/>
                    <w:right w:val="single" w:color="auto" w:sz="4" w:space="0"/>
                  </w:tcBorders>
                  <w:noWrap w:val="0"/>
                  <w:vAlign w:val="center"/>
                </w:tcPr>
                <w:p w14:paraId="17BA7C25">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一般防渗区</w:t>
                  </w:r>
                </w:p>
              </w:tc>
              <w:tc>
                <w:tcPr>
                  <w:tcW w:w="1898" w:type="dxa"/>
                  <w:tcBorders>
                    <w:top w:val="single" w:color="auto" w:sz="4" w:space="0"/>
                    <w:left w:val="single" w:color="auto" w:sz="4" w:space="0"/>
                    <w:bottom w:val="single" w:color="auto" w:sz="4" w:space="0"/>
                    <w:right w:val="single" w:color="auto" w:sz="4" w:space="0"/>
                  </w:tcBorders>
                  <w:noWrap w:val="0"/>
                  <w:vAlign w:val="center"/>
                </w:tcPr>
                <w:p w14:paraId="68926171">
                  <w:pPr>
                    <w:pStyle w:val="15"/>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卫生旱厕、</w:t>
                  </w:r>
                  <w:r>
                    <w:rPr>
                      <w:rFonts w:hint="default" w:ascii="Times New Roman" w:hAnsi="Times New Roman" w:eastAsia="宋体" w:cs="Times New Roman"/>
                      <w:color w:val="auto"/>
                      <w:sz w:val="21"/>
                      <w:szCs w:val="21"/>
                      <w:highlight w:val="none"/>
                      <w:lang w:val="en-US" w:eastAsia="zh-CN" w:bidi="ar"/>
                    </w:rPr>
                    <w:t>材料房</w:t>
                  </w:r>
                </w:p>
              </w:tc>
              <w:tc>
                <w:tcPr>
                  <w:tcW w:w="5522" w:type="dxa"/>
                  <w:tcBorders>
                    <w:top w:val="single" w:color="auto" w:sz="4" w:space="0"/>
                    <w:left w:val="single" w:color="auto" w:sz="4" w:space="0"/>
                    <w:bottom w:val="single" w:color="auto" w:sz="4" w:space="0"/>
                    <w:right w:val="single" w:color="auto" w:sz="4" w:space="0"/>
                  </w:tcBorders>
                  <w:noWrap w:val="0"/>
                  <w:vAlign w:val="center"/>
                </w:tcPr>
                <w:p w14:paraId="5C8DC1CF">
                  <w:pPr>
                    <w:pStyle w:val="15"/>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地面底部利用机械将衬层压实，单层高密度聚乙烯（HDPE）防渗土工膜；等效黏土防渗层Mb≥1.5m，K≤1×10</w:t>
                  </w:r>
                  <w:r>
                    <w:rPr>
                      <w:rFonts w:hint="default" w:ascii="Times New Roman" w:hAnsi="Times New Roman" w:eastAsia="宋体" w:cs="Times New Roman"/>
                      <w:color w:val="auto"/>
                      <w:kern w:val="0"/>
                      <w:sz w:val="21"/>
                      <w:szCs w:val="21"/>
                      <w:highlight w:val="none"/>
                      <w:vertAlign w:val="superscript"/>
                      <w:lang w:val="en-US" w:eastAsia="zh-CN" w:bidi="ar"/>
                    </w:rPr>
                    <w:t>-7</w:t>
                  </w:r>
                  <w:r>
                    <w:rPr>
                      <w:rFonts w:hint="default" w:ascii="Times New Roman" w:hAnsi="Times New Roman" w:eastAsia="宋体" w:cs="Times New Roman"/>
                      <w:color w:val="auto"/>
                      <w:kern w:val="0"/>
                      <w:sz w:val="21"/>
                      <w:szCs w:val="21"/>
                      <w:highlight w:val="none"/>
                      <w:lang w:val="en-US" w:eastAsia="zh-CN" w:bidi="ar"/>
                    </w:rPr>
                    <w:t>cm/s，或参考GB16689执行。</w:t>
                  </w:r>
                </w:p>
              </w:tc>
            </w:tr>
            <w:tr w14:paraId="0377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64" w:type="dxa"/>
                  <w:tcBorders>
                    <w:top w:val="single" w:color="auto" w:sz="4" w:space="0"/>
                    <w:left w:val="single" w:color="auto" w:sz="4" w:space="0"/>
                    <w:bottom w:val="single" w:color="auto" w:sz="4" w:space="0"/>
                    <w:right w:val="single" w:color="auto" w:sz="4" w:space="0"/>
                  </w:tcBorders>
                  <w:noWrap w:val="0"/>
                  <w:vAlign w:val="center"/>
                </w:tcPr>
                <w:p w14:paraId="27EE92C3">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简单防渗区</w:t>
                  </w:r>
                </w:p>
              </w:tc>
              <w:tc>
                <w:tcPr>
                  <w:tcW w:w="1898" w:type="dxa"/>
                  <w:tcBorders>
                    <w:top w:val="single" w:color="auto" w:sz="4" w:space="0"/>
                    <w:left w:val="single" w:color="auto" w:sz="4" w:space="0"/>
                    <w:bottom w:val="single" w:color="auto" w:sz="4" w:space="0"/>
                    <w:right w:val="single" w:color="auto" w:sz="4" w:space="0"/>
                  </w:tcBorders>
                  <w:noWrap w:val="0"/>
                  <w:vAlign w:val="center"/>
                </w:tcPr>
                <w:p w14:paraId="36EC7E7E">
                  <w:pPr>
                    <w:pStyle w:val="15"/>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生活区、物料区等其他区域</w:t>
                  </w:r>
                </w:p>
              </w:tc>
              <w:tc>
                <w:tcPr>
                  <w:tcW w:w="5522" w:type="dxa"/>
                  <w:tcBorders>
                    <w:top w:val="single" w:color="auto" w:sz="4" w:space="0"/>
                    <w:left w:val="single" w:color="auto" w:sz="4" w:space="0"/>
                    <w:bottom w:val="single" w:color="auto" w:sz="4" w:space="0"/>
                    <w:right w:val="single" w:color="auto" w:sz="4" w:space="0"/>
                  </w:tcBorders>
                  <w:noWrap w:val="0"/>
                  <w:vAlign w:val="center"/>
                </w:tcPr>
                <w:p w14:paraId="15484BA0">
                  <w:pPr>
                    <w:pStyle w:val="15"/>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采用黏土碾压方式进行防渗。</w:t>
                  </w:r>
                </w:p>
              </w:tc>
            </w:tr>
            <w:tr w14:paraId="6B1DC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2662" w:type="dxa"/>
                  <w:gridSpan w:val="2"/>
                  <w:tcBorders>
                    <w:top w:val="single" w:color="auto" w:sz="4" w:space="0"/>
                    <w:left w:val="single" w:color="auto" w:sz="4" w:space="0"/>
                    <w:bottom w:val="single" w:color="auto" w:sz="4" w:space="0"/>
                    <w:right w:val="single" w:color="auto" w:sz="4" w:space="0"/>
                  </w:tcBorders>
                  <w:noWrap w:val="0"/>
                  <w:vAlign w:val="center"/>
                </w:tcPr>
                <w:p w14:paraId="72597C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危废贮存库防渗措施</w:t>
                  </w:r>
                </w:p>
              </w:tc>
              <w:tc>
                <w:tcPr>
                  <w:tcW w:w="5522" w:type="dxa"/>
                  <w:tcBorders>
                    <w:top w:val="single" w:color="auto" w:sz="4" w:space="0"/>
                    <w:left w:val="single" w:color="auto" w:sz="4" w:space="0"/>
                    <w:bottom w:val="single" w:color="auto" w:sz="4" w:space="0"/>
                    <w:right w:val="single" w:color="auto" w:sz="4" w:space="0"/>
                  </w:tcBorders>
                  <w:noWrap w:val="0"/>
                  <w:vAlign w:val="center"/>
                </w:tcPr>
                <w:p w14:paraId="30F2931D">
                  <w:pPr>
                    <w:keepNext w:val="0"/>
                    <w:keepLines w:val="0"/>
                    <w:widowControl/>
                    <w:suppressLineNumbers w:val="0"/>
                    <w:spacing w:before="0" w:beforeAutospacing="0" w:after="0" w:afterAutospacing="0"/>
                    <w:ind w:left="0" w:leftChars="0" w:right="0" w:rightChars="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采用撬装式危废贮存库，防渗同时可满足《危险废物贮存污染控制标准》（GB18597-2023）相关要求，防渗层为</w:t>
                  </w:r>
                  <w:r>
                    <w:rPr>
                      <w:rFonts w:hint="default" w:ascii="Times New Roman" w:hAnsi="Times New Roman" w:eastAsia="宋体" w:cs="Times New Roman"/>
                      <w:color w:val="auto"/>
                      <w:sz w:val="21"/>
                      <w:szCs w:val="21"/>
                      <w:highlight w:val="none"/>
                      <w:lang w:val="en-US" w:eastAsia="zh-CN" w:bidi="ar"/>
                    </w:rPr>
                    <w:t>双侧HDPE膜或单层复合HDPE膜</w:t>
                  </w:r>
                  <w:r>
                    <w:rPr>
                      <w:rFonts w:hint="default" w:ascii="Times New Roman" w:hAnsi="Times New Roman" w:eastAsia="宋体" w:cs="Times New Roman"/>
                      <w:color w:val="auto"/>
                      <w:kern w:val="0"/>
                      <w:sz w:val="21"/>
                      <w:szCs w:val="21"/>
                      <w:highlight w:val="none"/>
                      <w:lang w:val="en-US" w:eastAsia="zh-CN" w:bidi="ar"/>
                    </w:rPr>
                    <w:t>等人工防渗材料（渗透系数不大于10</w:t>
                  </w:r>
                  <w:r>
                    <w:rPr>
                      <w:rFonts w:hint="default" w:ascii="Times New Roman" w:hAnsi="Times New Roman" w:eastAsia="宋体" w:cs="Times New Roman"/>
                      <w:color w:val="auto"/>
                      <w:kern w:val="0"/>
                      <w:sz w:val="21"/>
                      <w:szCs w:val="21"/>
                      <w:highlight w:val="none"/>
                      <w:vertAlign w:val="superscript"/>
                      <w:lang w:val="en-US" w:eastAsia="zh-CN" w:bidi="ar"/>
                    </w:rPr>
                    <w:t>-10</w:t>
                  </w:r>
                  <w:r>
                    <w:rPr>
                      <w:rFonts w:hint="default" w:ascii="Times New Roman" w:hAnsi="Times New Roman" w:eastAsia="宋体" w:cs="Times New Roman"/>
                      <w:color w:val="auto"/>
                      <w:kern w:val="0"/>
                      <w:sz w:val="21"/>
                      <w:szCs w:val="21"/>
                      <w:highlight w:val="none"/>
                      <w:lang w:val="en-US" w:eastAsia="zh-CN" w:bidi="ar"/>
                    </w:rPr>
                    <w:t>cm/s，厚膜不少于2mm），铺在贮存库内地面上</w:t>
                  </w:r>
                </w:p>
              </w:tc>
            </w:tr>
          </w:tbl>
          <w:p w14:paraId="100216BB">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六、固体废物防治措施</w:t>
            </w:r>
          </w:p>
          <w:p w14:paraId="1D6EBF83">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项目钻井过程中产生的固体废物主要有一般固体废物（废弃泥浆及钻井废屑、废纯碱及膨润土包装袋、不含油废防渗膜）、危险废物（废机油、含油废防渗膜）和生活垃圾等。</w:t>
            </w:r>
          </w:p>
          <w:p w14:paraId="0B86806C">
            <w:pPr>
              <w:keepNext w:val="0"/>
              <w:keepLines w:val="0"/>
              <w:widowControl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1、一般固体废物</w:t>
            </w:r>
          </w:p>
          <w:p w14:paraId="7F3E7E0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（1）</w:t>
            </w:r>
            <w:r>
              <w:rPr>
                <w:rFonts w:hint="default" w:ascii="Times New Roman" w:hAnsi="Times New Roman" w:eastAsia="宋体" w:cs="Times New Roman"/>
                <w:b/>
                <w:bCs/>
                <w:color w:val="auto"/>
                <w:kern w:val="0"/>
                <w:sz w:val="24"/>
                <w:szCs w:val="21"/>
                <w:highlight w:val="none"/>
                <w:lang w:val="en-US" w:eastAsia="zh-CN" w:bidi="ar"/>
              </w:rPr>
              <w:t>废弃泥浆（</w:t>
            </w:r>
            <w:r>
              <w:rPr>
                <w:rFonts w:hint="default" w:ascii="Times New Roman" w:hAnsi="Times New Roman" w:eastAsia="宋体" w:cs="Times New Roman"/>
                <w:b/>
                <w:bCs/>
                <w:color w:val="auto"/>
                <w:kern w:val="0"/>
                <w:sz w:val="24"/>
                <w:szCs w:val="24"/>
                <w:highlight w:val="none"/>
                <w:lang w:val="en-US" w:eastAsia="zh-CN" w:bidi="ar"/>
              </w:rPr>
              <w:t>泥饼</w:t>
            </w:r>
            <w:r>
              <w:rPr>
                <w:rFonts w:hint="default" w:ascii="Times New Roman" w:hAnsi="Times New Roman" w:eastAsia="宋体" w:cs="Times New Roman"/>
                <w:b/>
                <w:bCs/>
                <w:color w:val="auto"/>
                <w:kern w:val="0"/>
                <w:sz w:val="24"/>
                <w:szCs w:val="21"/>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、钻井岩屑</w:t>
            </w:r>
          </w:p>
          <w:p w14:paraId="071C4BE3">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kern w:val="0"/>
                <w:sz w:val="24"/>
                <w:szCs w:val="21"/>
                <w:highlight w:val="none"/>
                <w:lang w:val="en-US" w:eastAsia="zh-CN" w:bidi="ar"/>
              </w:rPr>
              <w:t>①废弃泥浆</w:t>
            </w:r>
          </w:p>
          <w:p w14:paraId="0B1B0C8D">
            <w:pPr>
              <w:pStyle w:val="15"/>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废弃钻井泥浆是指在钻井过程中无法利用的剩余泥浆，按照《榆林市油（气）开采废弃物处置环保暂行管理办法》（榆政环发〔2015〕170号）的相关要求进行收集，经场地内泥浆不落地系统配套的移动式收集罐暂存，委托</w:t>
            </w:r>
            <w:r>
              <w:rPr>
                <w:rFonts w:hint="eastAsia" w:ascii="Times New Roman" w:hAnsi="Times New Roman" w:cs="Times New Roman"/>
                <w:color w:val="auto"/>
                <w:kern w:val="0"/>
                <w:sz w:val="24"/>
                <w:szCs w:val="21"/>
                <w:highlight w:val="none"/>
                <w:lang w:val="en-US" w:eastAsia="zh-CN" w:bidi="ar"/>
              </w:rPr>
              <w:t>协议的有能力单位</w:t>
            </w:r>
            <w:r>
              <w:rPr>
                <w:rFonts w:hint="default" w:ascii="Times New Roman" w:hAnsi="Times New Roman" w:eastAsia="宋体" w:cs="Times New Roman"/>
                <w:color w:val="auto"/>
                <w:kern w:val="0"/>
                <w:sz w:val="24"/>
                <w:szCs w:val="21"/>
                <w:highlight w:val="none"/>
                <w:lang w:val="en-US" w:eastAsia="zh-CN" w:bidi="ar"/>
              </w:rPr>
              <w:t>外运处置。</w:t>
            </w:r>
          </w:p>
          <w:p w14:paraId="5E5F5064">
            <w:pPr>
              <w:pStyle w:val="15"/>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项目钻井过程采用移动式污水罐，按照钻井过程中液相及固相落地点，进行点对点式收集、储存，实现液相和固相的不落地。收集的废钻井液利用高效固液分离技术，形成再生钻井液，实现废弃钻井液重复利用。</w:t>
            </w:r>
          </w:p>
          <w:p w14:paraId="74224772">
            <w:pPr>
              <w:pStyle w:val="15"/>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本项目泥浆循环利用工艺流程见下图。</w:t>
            </w:r>
          </w:p>
          <w:p w14:paraId="6F0654C1">
            <w:pPr>
              <w:pStyle w:val="15"/>
              <w:keepNext w:val="0"/>
              <w:keepLines w:val="0"/>
              <w:widowControl w:val="0"/>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highlight w:val="none"/>
                <w:lang w:val="en-US" w:bidi="ar"/>
              </w:rPr>
            </w:pPr>
          </w:p>
          <w:p w14:paraId="3DEDE29B">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4"/>
                <w:highlight w:val="none"/>
                <w:lang w:bidi="ar"/>
              </w:rPr>
            </w:pPr>
            <w:r>
              <w:rPr>
                <w:rFonts w:hint="default" w:ascii="Times New Roman" w:hAnsi="Times New Roman" w:eastAsia="宋体" w:cs="Times New Roman"/>
                <w:color w:val="auto"/>
                <w:sz w:val="24"/>
                <w:highlight w:val="none"/>
                <w:lang w:bidi="ar"/>
              </w:rPr>
              <w:drawing>
                <wp:inline distT="0" distB="0" distL="114300" distR="114300">
                  <wp:extent cx="3602355" cy="1932940"/>
                  <wp:effectExtent l="0" t="0" r="17145" b="10160"/>
                  <wp:docPr id="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pic:cNvPicPr>
                            <a:picLocks noChangeAspect="1"/>
                          </pic:cNvPicPr>
                        </pic:nvPicPr>
                        <pic:blipFill>
                          <a:blip r:embed="rId29"/>
                          <a:stretch>
                            <a:fillRect/>
                          </a:stretch>
                        </pic:blipFill>
                        <pic:spPr>
                          <a:xfrm>
                            <a:off x="0" y="0"/>
                            <a:ext cx="3602355" cy="1932940"/>
                          </a:xfrm>
                          <a:prstGeom prst="rect">
                            <a:avLst/>
                          </a:prstGeom>
                          <a:noFill/>
                          <a:ln>
                            <a:noFill/>
                          </a:ln>
                        </pic:spPr>
                      </pic:pic>
                    </a:graphicData>
                  </a:graphic>
                </wp:inline>
              </w:drawing>
            </w:r>
          </w:p>
          <w:p w14:paraId="3C192813">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160" w:afterLines="50" w:afterAutospacing="0"/>
              <w:ind w:left="0" w:right="0"/>
              <w:jc w:val="center"/>
              <w:textAlignment w:val="auto"/>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b/>
                <w:bCs w:val="0"/>
                <w:color w:val="auto"/>
                <w:kern w:val="0"/>
                <w:sz w:val="24"/>
                <w:szCs w:val="24"/>
                <w:highlight w:val="none"/>
                <w:lang w:val="en-US" w:eastAsia="zh-CN" w:bidi="ar"/>
              </w:rPr>
              <w:t>图5-5  泥浆循环利用工艺流程图</w:t>
            </w:r>
          </w:p>
          <w:p w14:paraId="66AC484A">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泥浆不落地工艺流程如下：</w:t>
            </w:r>
          </w:p>
          <w:p w14:paraId="2FF2CDA0">
            <w:pPr>
              <w:pStyle w:val="20"/>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泥浆经过振动筛筛分，岩屑成分通过螺旋输送机收集输送至甩干机顶部的进料口进行甩干。甩干机内，岩屑在离心力的作用将上面附着的液体脱出，从振动筛的缝隙中飞入甩干机的液体收集区，然后流入缓冲罐。脱液后的钻屑被刮刀刮下，在离心力作用下沿锥形筛篮的内壁下落，进入岩屑收集罐。</w:t>
            </w:r>
          </w:p>
          <w:p w14:paraId="403FCF65">
            <w:pPr>
              <w:pStyle w:val="20"/>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经振动筛筛分排出的泥浆成分送除泥除沙器和离心机进行泥沙分离，分离后的液相组分送至泥浆循环罐循环利用。</w:t>
            </w:r>
          </w:p>
          <w:p w14:paraId="21239A77">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当除泥除砂器和离心机含液量较高时，分离物进入缓冲罐中，汇同岩屑甩干机产生的液相泵送入高速变频离心机中，进行二次固液分离，固相存放于岩屑收集罐，液相进入储备罐用于重新配制泥浆。</w:t>
            </w:r>
          </w:p>
          <w:p w14:paraId="1B67CEF9">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
              </w:rPr>
            </w:pPr>
            <w:r>
              <w:rPr>
                <w:rFonts w:hint="default" w:ascii="Times New Roman" w:hAnsi="Times New Roman" w:eastAsia="宋体" w:cs="Times New Roman"/>
                <w:color w:val="auto"/>
                <w:highlight w:val="none"/>
              </w:rPr>
              <w:t>岩屑收集罐内的岩屑和钻井结束后剩余的钻井泥浆交</w:t>
            </w:r>
            <w:r>
              <w:rPr>
                <w:rFonts w:hint="default" w:ascii="Times New Roman" w:hAnsi="Times New Roman" w:eastAsia="宋体" w:cs="Times New Roman"/>
                <w:color w:val="auto"/>
                <w:kern w:val="0"/>
                <w:sz w:val="24"/>
                <w:szCs w:val="21"/>
                <w:highlight w:val="none"/>
                <w:lang w:val="en-US" w:eastAsia="zh-CN" w:bidi="ar"/>
              </w:rPr>
              <w:t>由</w:t>
            </w:r>
            <w:r>
              <w:rPr>
                <w:rFonts w:hint="eastAsia" w:ascii="Times New Roman" w:hAnsi="Times New Roman" w:cs="Times New Roman"/>
                <w:color w:val="auto"/>
                <w:kern w:val="0"/>
                <w:sz w:val="24"/>
                <w:szCs w:val="21"/>
                <w:highlight w:val="none"/>
                <w:lang w:val="en-US" w:eastAsia="zh-CN" w:bidi="ar"/>
              </w:rPr>
              <w:t>协议的有能力单位</w:t>
            </w:r>
            <w:r>
              <w:rPr>
                <w:rFonts w:hint="default" w:ascii="Times New Roman" w:hAnsi="Times New Roman" w:eastAsia="宋体" w:cs="Times New Roman"/>
                <w:color w:val="auto"/>
                <w:kern w:val="0"/>
                <w:sz w:val="24"/>
                <w:szCs w:val="21"/>
                <w:highlight w:val="none"/>
                <w:lang w:val="en-US" w:eastAsia="zh-CN" w:bidi="ar"/>
              </w:rPr>
              <w:t>进行处置。</w:t>
            </w:r>
          </w:p>
          <w:p w14:paraId="2E3517A6">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钻井过程中，井场作业区域地面全部铺设土工布进行地面防渗，井场内不开挖泥浆池，泥浆存于循环罐内，岩屑暂存在钢制收集罐内，储罐底部均铺设防渗布。施工期间在井场对钻井各环节产生的废弃泥浆收集，采取“铺设作业、带罐上岗”的模式作业，规范处理，井场作业完成3天内废弃钻井泥浆交由</w:t>
            </w:r>
            <w:r>
              <w:rPr>
                <w:rFonts w:hint="eastAsia" w:ascii="Times New Roman" w:hAnsi="Times New Roman" w:cs="Times New Roman"/>
                <w:color w:val="auto"/>
                <w:highlight w:val="none"/>
                <w:lang w:eastAsia="zh-CN"/>
              </w:rPr>
              <w:t>协议的有能力单位</w:t>
            </w:r>
            <w:r>
              <w:rPr>
                <w:rFonts w:hint="default" w:ascii="Times New Roman" w:hAnsi="Times New Roman" w:eastAsia="宋体" w:cs="Times New Roman"/>
                <w:color w:val="auto"/>
                <w:highlight w:val="none"/>
              </w:rPr>
              <w:t>处置，对环境影响较小。废弃钻井泥浆在井场经罐车拉运至集中处理场地，谨防抛洒。</w:t>
            </w:r>
          </w:p>
          <w:p w14:paraId="7E3320B0">
            <w:pPr>
              <w:pStyle w:val="15"/>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kern w:val="0"/>
                <w:sz w:val="24"/>
                <w:szCs w:val="21"/>
                <w:highlight w:val="none"/>
                <w:lang w:val="en-US" w:eastAsia="zh-CN" w:bidi="ar"/>
              </w:rPr>
              <w:t>②钻井岩屑</w:t>
            </w:r>
          </w:p>
          <w:p w14:paraId="59EAF6AB">
            <w:pPr>
              <w:pStyle w:val="15"/>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钻井过程中，岩石被钻头破碎成岩屑，随着泥浆经循环泵带出井口，经地面的泥浆不落地系统处理分离，根据</w:t>
            </w:r>
            <w:r>
              <w:rPr>
                <w:rFonts w:hint="default" w:ascii="Times New Roman" w:hAnsi="Times New Roman"/>
                <w:color w:val="auto"/>
                <w:kern w:val="0"/>
                <w:szCs w:val="21"/>
                <w:highlight w:val="none"/>
                <w:lang w:bidi="ar"/>
              </w:rPr>
              <w:t>危险废物排除管理清单(2026年版)</w:t>
            </w:r>
            <w:r>
              <w:rPr>
                <w:rFonts w:hint="default" w:ascii="Times New Roman" w:hAnsi="Times New Roman" w:eastAsia="宋体" w:cs="Times New Roman"/>
                <w:color w:val="auto"/>
                <w:kern w:val="0"/>
                <w:sz w:val="24"/>
                <w:szCs w:val="21"/>
                <w:highlight w:val="none"/>
                <w:lang w:val="en-US" w:eastAsia="zh-CN" w:bidi="ar"/>
              </w:rPr>
              <w:t>，钻井岩屑属于一般固废，委托</w:t>
            </w:r>
            <w:r>
              <w:rPr>
                <w:rFonts w:hint="eastAsia" w:ascii="Times New Roman" w:hAnsi="Times New Roman" w:cs="Times New Roman"/>
                <w:color w:val="auto"/>
                <w:kern w:val="0"/>
                <w:sz w:val="24"/>
                <w:szCs w:val="21"/>
                <w:highlight w:val="none"/>
                <w:lang w:val="en-US" w:eastAsia="zh-CN" w:bidi="ar"/>
              </w:rPr>
              <w:t>协议的有能力单位</w:t>
            </w:r>
            <w:r>
              <w:rPr>
                <w:rFonts w:hint="default" w:ascii="Times New Roman" w:hAnsi="Times New Roman" w:eastAsia="宋体" w:cs="Times New Roman"/>
                <w:color w:val="auto"/>
                <w:kern w:val="0"/>
                <w:sz w:val="24"/>
                <w:szCs w:val="21"/>
                <w:highlight w:val="none"/>
                <w:lang w:val="en-US" w:eastAsia="zh-CN" w:bidi="ar"/>
              </w:rPr>
              <w:t>外运处置。本项目使用水基泥浆，钻井岩屑按照《榆林市油（气）开采废弃物处置环保暂行管理办法》（榆政环发〔2015〕170号）的相关要求进行收集。</w:t>
            </w:r>
          </w:p>
          <w:p w14:paraId="0D2678EF">
            <w:pPr>
              <w:keepNext w:val="0"/>
              <w:keepLines w:val="0"/>
              <w:widowControl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（2）废纯碱、膨润土包装袋、不含油废防渗膜</w:t>
            </w:r>
          </w:p>
          <w:p w14:paraId="3D85EFE8">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废纯碱、膨润土包装袋、不含油废防渗膜集中收集后交由物资回收公司进行回收再利用。</w:t>
            </w:r>
          </w:p>
          <w:p w14:paraId="5FE98DB1">
            <w:pPr>
              <w:pStyle w:val="14"/>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2、生活垃圾</w:t>
            </w:r>
          </w:p>
          <w:p w14:paraId="3974A6BF">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探井人员生活垃圾由生活垃圾桶收集，委托当地环卫部门清运处置。</w:t>
            </w:r>
          </w:p>
          <w:p w14:paraId="348E330F">
            <w:pPr>
              <w:pStyle w:val="14"/>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3、危险废物</w:t>
            </w:r>
          </w:p>
          <w:p w14:paraId="18708991">
            <w:pPr>
              <w:keepNext w:val="0"/>
              <w:keepLines w:val="0"/>
              <w:widowControl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（1）废机油</w:t>
            </w:r>
          </w:p>
          <w:p w14:paraId="4BAF792F">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主要来源于清洗钻具、套管时产生的废机油，暂存于危废贮存库，委托有资质的单位进行处置。</w:t>
            </w:r>
          </w:p>
          <w:p w14:paraId="2690E2A8">
            <w:pPr>
              <w:keepNext w:val="0"/>
              <w:keepLines w:val="0"/>
              <w:widowControl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（2）含油废防渗膜</w:t>
            </w:r>
          </w:p>
          <w:p w14:paraId="200758F2">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含油废防渗膜井场集中收集后，暂存于危废贮存库，委托有资质单位进行处置。</w:t>
            </w:r>
          </w:p>
          <w:p w14:paraId="73F92F08">
            <w:pPr>
              <w:keepNext w:val="0"/>
              <w:keepLines w:val="0"/>
              <w:widowControl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（3）废破胶剂包装袋</w:t>
            </w:r>
          </w:p>
          <w:p w14:paraId="4D17FC0A">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废破胶剂包装袋在井场集中收集后，暂存于危废贮存库，委托有资质单位进行处置。</w:t>
            </w:r>
          </w:p>
          <w:p w14:paraId="554E2D54">
            <w:pPr>
              <w:keepNext w:val="0"/>
              <w:keepLines w:val="0"/>
              <w:widowControl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危废贮存库贮存要求：</w:t>
            </w:r>
          </w:p>
          <w:p w14:paraId="16816A3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为防止危险废物在场内临时存储过程中对环境产生污染影响，根据《危险废物贮存污染控制标准》（GB18597-2023）的相关内容，本次评价要求：</w:t>
            </w:r>
          </w:p>
          <w:p w14:paraId="15BB5BE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①按照危险废物贮存污染控制标准要求，废机油、沾染危险废物的废防渗膜</w:t>
            </w:r>
            <w:r>
              <w:rPr>
                <w:rFonts w:hint="eastAsia" w:ascii="Times New Roman" w:hAnsi="Times New Roman" w:cs="Times New Roman"/>
                <w:b w:val="0"/>
                <w:bCs w:val="0"/>
                <w:color w:val="auto"/>
                <w:sz w:val="24"/>
                <w:szCs w:val="24"/>
                <w:highlight w:val="none"/>
                <w:vertAlign w:val="baseline"/>
                <w:lang w:val="en-US" w:eastAsia="zh-CN"/>
              </w:rPr>
              <w:t>、</w:t>
            </w:r>
            <w:r>
              <w:rPr>
                <w:rFonts w:hint="default" w:ascii="Times New Roman" w:hAnsi="Times New Roman" w:eastAsia="宋体" w:cs="Times New Roman"/>
                <w:color w:val="auto"/>
                <w:kern w:val="0"/>
                <w:sz w:val="24"/>
                <w:szCs w:val="24"/>
                <w:highlight w:val="none"/>
                <w:lang w:val="en-US" w:eastAsia="zh-CN" w:bidi="ar"/>
              </w:rPr>
              <w:t>废破胶剂包装袋</w:t>
            </w:r>
            <w:r>
              <w:rPr>
                <w:rFonts w:hint="default" w:ascii="Times New Roman" w:hAnsi="Times New Roman" w:eastAsia="宋体" w:cs="Times New Roman"/>
                <w:b w:val="0"/>
                <w:bCs w:val="0"/>
                <w:color w:val="auto"/>
                <w:sz w:val="24"/>
                <w:szCs w:val="24"/>
                <w:highlight w:val="none"/>
                <w:vertAlign w:val="baseline"/>
                <w:lang w:val="en-US" w:eastAsia="zh-CN"/>
              </w:rPr>
              <w:t>采用专用的容器存放，并置于专用危废贮存库，防止风吹雨淋和日晒。危废贮存库设立危险废物警示标志，由专人进行管理，做好危险废物排放量及处置记录。</w:t>
            </w:r>
          </w:p>
          <w:p w14:paraId="3E15623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②危废贮存库应设置围墙或其它防护栅栏。</w:t>
            </w:r>
          </w:p>
          <w:p w14:paraId="5EAE3B4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③项目采用撬装式危废贮存库，防渗可满足《危险废物贮存污染控制标准》（GB18597-2023）的相关要求，防渗层渗透系数小于1×10</w:t>
            </w:r>
            <w:r>
              <w:rPr>
                <w:rFonts w:hint="default" w:ascii="Times New Roman" w:hAnsi="Times New Roman" w:eastAsia="宋体" w:cs="Times New Roman"/>
                <w:b w:val="0"/>
                <w:bCs w:val="0"/>
                <w:color w:val="auto"/>
                <w:sz w:val="24"/>
                <w:szCs w:val="24"/>
                <w:highlight w:val="none"/>
                <w:vertAlign w:val="superscript"/>
                <w:lang w:val="en-US" w:eastAsia="zh-CN"/>
              </w:rPr>
              <w:t>-10</w:t>
            </w:r>
            <w:r>
              <w:rPr>
                <w:rFonts w:hint="default" w:ascii="Times New Roman" w:hAnsi="Times New Roman" w:eastAsia="宋体" w:cs="Times New Roman"/>
                <w:b w:val="0"/>
                <w:bCs w:val="0"/>
                <w:color w:val="auto"/>
                <w:sz w:val="24"/>
                <w:szCs w:val="24"/>
                <w:highlight w:val="none"/>
                <w:vertAlign w:val="baseline"/>
                <w:lang w:val="en-US" w:eastAsia="zh-CN"/>
              </w:rPr>
              <w:t>cm/s。</w:t>
            </w:r>
          </w:p>
          <w:p w14:paraId="78EBEA3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④对装有危废的容器进行定期检查，容器泄漏损坏时必须立即处理，并将危废装入完好容器内。</w:t>
            </w:r>
          </w:p>
          <w:p w14:paraId="54AF28A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⑤危险废物贮存过程中在下部设置防渗托盘，可有效防止危险废物泄漏至外界；</w:t>
            </w:r>
          </w:p>
          <w:p w14:paraId="3AE4B3C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⑥危险废物的转移应遵从《危险废物转移管理办法》（生态环境部公安部交通运输部部令第23号）及其它有关规定的要求。评价要求企业在勘探结束后需立即委托资质单位接收、转移勘探期间产生的危险废物，不得私自转运至其他井场危废贮存库储存。</w:t>
            </w:r>
          </w:p>
          <w:p w14:paraId="444AE0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⑦危险废物转移建立台账，并且按照相关规定要求进行申报。固体废物规范运输的管理要求：</w:t>
            </w:r>
          </w:p>
          <w:p w14:paraId="434CD36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A.合理规划固体废物运输路线，选择人员稀少的路线，并减少鸣笛，以减轻对周边居民的影响；</w:t>
            </w:r>
          </w:p>
          <w:p w14:paraId="7C74AA1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B.项目产生的废弃岩屑、泥饼运输过程实施全程GPS定位及监控，严禁运输过程中随意掩埋、抛洒废弃钻井岩屑、泥饼；</w:t>
            </w:r>
          </w:p>
          <w:p w14:paraId="3D59770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C.项目选择防渗漏、防溢流的运输车辆进行固体废物的运输。</w:t>
            </w:r>
          </w:p>
          <w:p w14:paraId="01E658B6">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综上所述，在加强施工过程固体废物管理的前提下，固体废物环境影响可以得到有效控制和治理，环境影响较小。</w:t>
            </w:r>
          </w:p>
          <w:p w14:paraId="0DB776EE">
            <w:pPr>
              <w:keepNext w:val="0"/>
              <w:keepLines w:val="0"/>
              <w:widowControl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七、土壤环境保护措施</w:t>
            </w:r>
          </w:p>
          <w:p w14:paraId="0C2724B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项目施工过程中将产生施工垃圾、生活垃圾和污水，包括泥浆、废弃余料、施工人员的一次性餐具、饮料瓶等，若不及时收集或随意丢弃会使固废残留于土壤中，对井场附近土壤造成一定程度的污染。</w:t>
            </w:r>
          </w:p>
          <w:p w14:paraId="102B19D7">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因此，施工时必须对产生的固体废物实施严格管理措施，进行统一回收和处置，严禁就地固化掩埋、严禁随意堆放抛洒；洗井废水罐和压裂返排液罐储存区均应进行防渗处理，生产废水在井场内不落地、不外排，采取以上措施后，项目对周边土壤环境造成的影响较小。</w:t>
            </w:r>
          </w:p>
          <w:p w14:paraId="0F831D10">
            <w:pPr>
              <w:keepNext w:val="0"/>
              <w:keepLines w:val="0"/>
              <w:widowControl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八、风险防范措施</w:t>
            </w:r>
          </w:p>
          <w:p w14:paraId="0FA9AAED">
            <w:pPr>
              <w:pStyle w:val="15"/>
              <w:keepNext w:val="0"/>
              <w:keepLines w:val="0"/>
              <w:widowControl w:val="0"/>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项目拟采取的风险防范措施如下：</w:t>
            </w:r>
          </w:p>
          <w:p w14:paraId="7B937E06">
            <w:pPr>
              <w:pStyle w:val="15"/>
              <w:keepNext w:val="0"/>
              <w:keepLines w:val="0"/>
              <w:widowControl w:val="0"/>
              <w:suppressLineNumbers w:val="0"/>
              <w:adjustRightInd/>
              <w:snapToGrid/>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kern w:val="0"/>
                <w:sz w:val="24"/>
                <w:szCs w:val="21"/>
                <w:highlight w:val="none"/>
                <w:lang w:val="en-US" w:eastAsia="zh-CN" w:bidi="ar"/>
              </w:rPr>
              <w:t>1、收集罐渗漏及废水</w:t>
            </w:r>
            <w:r>
              <w:rPr>
                <w:rFonts w:hint="eastAsia" w:ascii="Times New Roman" w:hAnsi="Times New Roman" w:cs="Times New Roman"/>
                <w:b/>
                <w:bCs/>
                <w:color w:val="auto"/>
                <w:kern w:val="0"/>
                <w:sz w:val="24"/>
                <w:szCs w:val="21"/>
                <w:highlight w:val="none"/>
                <w:lang w:val="en-US" w:eastAsia="zh-CN" w:bidi="ar"/>
              </w:rPr>
              <w:t>外溢</w:t>
            </w:r>
            <w:r>
              <w:rPr>
                <w:rFonts w:hint="default" w:ascii="Times New Roman" w:hAnsi="Times New Roman" w:eastAsia="宋体" w:cs="Times New Roman"/>
                <w:b/>
                <w:bCs/>
                <w:color w:val="auto"/>
                <w:kern w:val="0"/>
                <w:sz w:val="24"/>
                <w:szCs w:val="21"/>
                <w:highlight w:val="none"/>
                <w:lang w:val="en-US" w:eastAsia="zh-CN" w:bidi="ar"/>
              </w:rPr>
              <w:t>的防范措施</w:t>
            </w:r>
          </w:p>
          <w:p w14:paraId="191C24AD">
            <w:pPr>
              <w:pStyle w:val="15"/>
              <w:keepNext w:val="0"/>
              <w:keepLines w:val="0"/>
              <w:widowControl w:val="0"/>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①储罐设置应避开不良地质或岩土松散等地质结构不稳定的地方；</w:t>
            </w:r>
          </w:p>
          <w:p w14:paraId="4AE03B65">
            <w:pPr>
              <w:pStyle w:val="15"/>
              <w:keepNext w:val="0"/>
              <w:keepLines w:val="0"/>
              <w:widowControl w:val="0"/>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②储罐储存区均进行防渗处理；</w:t>
            </w:r>
          </w:p>
          <w:p w14:paraId="2D9BCC88">
            <w:pPr>
              <w:pStyle w:val="15"/>
              <w:keepNext w:val="0"/>
              <w:keepLines w:val="0"/>
              <w:widowControl w:val="0"/>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③加强员工操作规范管理，尽量避免废水装车失误。装车过程若遇到废水泄漏，立即停止装车作业，减少废水泄漏量，并利用井场内的污水沟将泄漏废水收集至废水箱内，不外流。</w:t>
            </w:r>
          </w:p>
          <w:p w14:paraId="3890770E">
            <w:pPr>
              <w:pStyle w:val="15"/>
              <w:keepNext w:val="0"/>
              <w:keepLines w:val="0"/>
              <w:widowControl w:val="0"/>
              <w:suppressLineNumbers w:val="0"/>
              <w:adjustRightInd/>
              <w:snapToGrid/>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kern w:val="0"/>
                <w:sz w:val="24"/>
                <w:szCs w:val="21"/>
                <w:highlight w:val="none"/>
                <w:lang w:val="en-US" w:eastAsia="zh-CN" w:bidi="ar"/>
              </w:rPr>
              <w:t>2、井喷事故风险防范措施</w:t>
            </w:r>
          </w:p>
          <w:p w14:paraId="646481FF">
            <w:pPr>
              <w:pStyle w:val="15"/>
              <w:keepNext w:val="0"/>
              <w:keepLines w:val="0"/>
              <w:widowControl w:val="0"/>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①钻井地质设计、工程设计和施工设计中应有井控和防有害气体的内容，并按标准要求提供相关资料。</w:t>
            </w:r>
          </w:p>
          <w:p w14:paraId="51E26092">
            <w:pPr>
              <w:pStyle w:val="15"/>
              <w:keepNext w:val="0"/>
              <w:keepLines w:val="0"/>
              <w:widowControl w:val="0"/>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②在工程设计书中应有可操作性的安全（HSE）设计篇章。其安全（HSE）设计以国家有关法律、法规、国家标准、行业标准以及安全预评价报告和环境影响评价报告为设计依据。</w:t>
            </w:r>
          </w:p>
          <w:p w14:paraId="02497B47">
            <w:pPr>
              <w:pStyle w:val="15"/>
              <w:keepNext w:val="0"/>
              <w:keepLines w:val="0"/>
              <w:widowControl w:val="0"/>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③设计书必须按照有关审批程序进行严格审批。钻井承包商在未收到设计书前禁止组织施工。</w:t>
            </w:r>
          </w:p>
          <w:p w14:paraId="3C538E36">
            <w:pPr>
              <w:pStyle w:val="15"/>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④应利用各种作业所获得直接或间接地层压力数据进行数理统计分析资料，划分出不同地层压力区带，与邻井可比地层压力进行分析对比，提供地层压力预测或监测曲线（值），并对漏失层段、浅层气分布情况、油气水显示和其他复杂情况进行预告。</w:t>
            </w:r>
          </w:p>
          <w:p w14:paraId="5E3049DD">
            <w:pPr>
              <w:pStyle w:val="15"/>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⑤井场平面布置应按照《钻前工程及井场布置技术要求》（SY/T5466-2013）的规定进行设置，保证能满足井喷时人员和设备撤离的要求。</w:t>
            </w:r>
          </w:p>
          <w:p w14:paraId="6BF65BE7">
            <w:pPr>
              <w:pStyle w:val="15"/>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⑥钻至天然气层前100m，应将可能发生的危害、安全事项、撤离程序等告知3km范围内人员。</w:t>
            </w:r>
          </w:p>
          <w:p w14:paraId="1AC1FF26">
            <w:pPr>
              <w:pStyle w:val="15"/>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⑦应在钻井周边地区设置广播设施、警示牌和风向标，使周边居民在第一时间得知井喷事故发生时逃离危险区域。</w:t>
            </w:r>
          </w:p>
          <w:p w14:paraId="2A3726E2">
            <w:pPr>
              <w:pStyle w:val="15"/>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kern w:val="0"/>
                <w:sz w:val="24"/>
                <w:szCs w:val="21"/>
                <w:highlight w:val="none"/>
                <w:lang w:val="en-US" w:eastAsia="zh-CN" w:bidi="ar"/>
              </w:rPr>
              <w:t>3、井喷应急处理预案</w:t>
            </w:r>
          </w:p>
          <w:p w14:paraId="2E1A3336">
            <w:pPr>
              <w:pStyle w:val="15"/>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根据事态发展变化情况，事故现场抢险指挥部根据应急领导小组的指令并充分考虑专家和有关意见的基础上，依法采取紧急措施，并注意做好以下工作：</w:t>
            </w:r>
          </w:p>
          <w:p w14:paraId="148ACD95">
            <w:pPr>
              <w:pStyle w:val="15"/>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①井喷失控后严防着火和爆炸。应立即停钻机、切断井架、钻台、机泵房等处全部照明灯和用电设备的电源，熄灭一切火源，需要时打开专用探照灯，并组织警戒。</w:t>
            </w:r>
          </w:p>
          <w:p w14:paraId="230F7631">
            <w:pPr>
              <w:pStyle w:val="15"/>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②立即向当地政府报告，通知3km范围内的厂矿企业立刻进行沿反方向进行撤离，协助当地政府作好井口500m范围内居民的疏散工作。</w:t>
            </w:r>
          </w:p>
          <w:p w14:paraId="75E1239A">
            <w:pPr>
              <w:pStyle w:val="15"/>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③设置观察点，定时取样，监测大气中的天然气、H</w:t>
            </w:r>
            <w:r>
              <w:rPr>
                <w:rFonts w:hint="default" w:ascii="Times New Roman" w:hAnsi="Times New Roman" w:eastAsia="宋体" w:cs="Times New Roman"/>
                <w:color w:val="auto"/>
                <w:kern w:val="0"/>
                <w:sz w:val="24"/>
                <w:szCs w:val="21"/>
                <w:highlight w:val="none"/>
                <w:vertAlign w:val="subscript"/>
                <w:lang w:val="en-US" w:eastAsia="zh-CN" w:bidi="ar"/>
              </w:rPr>
              <w:t>2</w:t>
            </w:r>
            <w:r>
              <w:rPr>
                <w:rFonts w:hint="default" w:ascii="Times New Roman" w:hAnsi="Times New Roman" w:eastAsia="宋体" w:cs="Times New Roman"/>
                <w:color w:val="auto"/>
                <w:kern w:val="0"/>
                <w:sz w:val="24"/>
                <w:szCs w:val="21"/>
                <w:highlight w:val="none"/>
                <w:lang w:val="en-US" w:eastAsia="zh-CN" w:bidi="ar"/>
              </w:rPr>
              <w:t>S和CO含量，划分安全范围。</w:t>
            </w:r>
          </w:p>
          <w:p w14:paraId="614C5523">
            <w:pPr>
              <w:pStyle w:val="15"/>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④迅速成立现场抢险领导小组，根据失控状况制定抢险方案，统一指挥、组织和协调抢险工作。抢险方案制订及实施，同时实施，防止出现次生环境事故。</w:t>
            </w:r>
          </w:p>
          <w:p w14:paraId="63964267">
            <w:pPr>
              <w:pStyle w:val="15"/>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⑤继续监测污染区有毒有害气体的浓度，根据监测情况决定是否扩大撤离范围。</w:t>
            </w:r>
          </w:p>
          <w:p w14:paraId="26A41970">
            <w:pPr>
              <w:pStyle w:val="15"/>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⑥当井喷失控时，应：a、关停生产设施；b、请求援助。</w:t>
            </w:r>
          </w:p>
          <w:p w14:paraId="0FB78F9E">
            <w:pPr>
              <w:pStyle w:val="15"/>
              <w:keepNext w:val="0"/>
              <w:keepLines w:val="0"/>
              <w:widowControl w:val="0"/>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⑦井喷发生后，及时安排消防车、救护车、医护人员到现场救援。</w:t>
            </w:r>
          </w:p>
          <w:p w14:paraId="5ED591F4">
            <w:pPr>
              <w:pStyle w:val="15"/>
              <w:keepNext w:val="0"/>
              <w:keepLines w:val="0"/>
              <w:widowControl w:val="0"/>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⑧在事故处理结束后，确认作业现场及其周边环境安全的情况与和地方政府商定撤离群众的返回时间。</w:t>
            </w:r>
          </w:p>
          <w:p w14:paraId="1AC13CB8">
            <w:pPr>
              <w:pStyle w:val="15"/>
              <w:keepNext w:val="0"/>
              <w:keepLines w:val="0"/>
              <w:widowControl w:val="0"/>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综合以上分析，本工程的环境风险措施切实可行。在落实各种风险防范措施的前提下，其发生事故的概率低，环境危害较小，环境风险达到可以接受水平。</w:t>
            </w:r>
          </w:p>
          <w:p w14:paraId="636DAD80">
            <w:pPr>
              <w:keepNext w:val="0"/>
              <w:keepLines w:val="0"/>
              <w:widowControl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九、弃井封井措施及生态恢复措施</w:t>
            </w:r>
          </w:p>
          <w:p w14:paraId="4763204D">
            <w:pPr>
              <w:pStyle w:val="15"/>
              <w:keepNext w:val="0"/>
              <w:keepLines w:val="0"/>
              <w:widowControl w:val="0"/>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1"/>
                <w:highlight w:val="none"/>
                <w:lang w:val="en-US" w:eastAsia="zh-CN" w:bidi="ar"/>
              </w:rPr>
            </w:pPr>
            <w:r>
              <w:rPr>
                <w:rFonts w:hint="default" w:ascii="Times New Roman" w:hAnsi="Times New Roman" w:eastAsia="宋体" w:cs="Times New Roman"/>
                <w:color w:val="auto"/>
                <w:kern w:val="0"/>
                <w:sz w:val="24"/>
                <w:szCs w:val="21"/>
                <w:highlight w:val="none"/>
                <w:lang w:val="en-US" w:eastAsia="zh-CN" w:bidi="ar"/>
              </w:rPr>
              <w:t>本项目封井后，长庆油田分公司天然气评价项目部应按照《</w:t>
            </w:r>
            <w:r>
              <w:rPr>
                <w:rFonts w:hint="eastAsia" w:ascii="Times New Roman" w:hAnsi="Times New Roman" w:cs="Times New Roman"/>
                <w:color w:val="auto"/>
                <w:kern w:val="0"/>
                <w:sz w:val="24"/>
                <w:szCs w:val="24"/>
                <w:highlight w:val="none"/>
                <w:lang w:val="en-US" w:eastAsia="zh-CN" w:bidi="ar"/>
              </w:rPr>
              <w:t>米75-3M天然气评价井建设项目</w:t>
            </w:r>
            <w:r>
              <w:rPr>
                <w:rFonts w:hint="default" w:ascii="Times New Roman" w:hAnsi="Times New Roman" w:eastAsia="宋体" w:cs="Times New Roman"/>
                <w:color w:val="auto"/>
                <w:kern w:val="0"/>
                <w:sz w:val="24"/>
                <w:szCs w:val="24"/>
                <w:highlight w:val="none"/>
                <w:lang w:val="en-US" w:eastAsia="zh-CN" w:bidi="ar"/>
              </w:rPr>
              <w:t>环境影响报告表</w:t>
            </w:r>
            <w:r>
              <w:rPr>
                <w:rFonts w:hint="default" w:ascii="Times New Roman" w:hAnsi="Times New Roman" w:eastAsia="宋体" w:cs="Times New Roman"/>
                <w:color w:val="auto"/>
                <w:kern w:val="0"/>
                <w:sz w:val="24"/>
                <w:szCs w:val="21"/>
                <w:highlight w:val="none"/>
                <w:lang w:val="en-US" w:eastAsia="zh-CN" w:bidi="ar"/>
              </w:rPr>
              <w:t>》中对项目所在井场提出的生态恢复措施开展生态恢复：</w:t>
            </w:r>
          </w:p>
          <w:p w14:paraId="2DF8254F">
            <w:pPr>
              <w:pStyle w:val="15"/>
              <w:keepNext w:val="0"/>
              <w:keepLines w:val="0"/>
              <w:widowControl w:val="0"/>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1、若为临时封井，除预留转成生产井所需的面积外，长庆油田分公司天然气评价项目部按照《</w:t>
            </w:r>
            <w:r>
              <w:rPr>
                <w:rFonts w:hint="eastAsia" w:ascii="Times New Roman" w:hAnsi="Times New Roman" w:cs="Times New Roman"/>
                <w:color w:val="auto"/>
                <w:kern w:val="0"/>
                <w:sz w:val="24"/>
                <w:szCs w:val="24"/>
                <w:highlight w:val="none"/>
                <w:lang w:val="en-US" w:eastAsia="zh-CN" w:bidi="ar"/>
              </w:rPr>
              <w:t>米75-3M天然气评价井建设项目</w:t>
            </w:r>
            <w:r>
              <w:rPr>
                <w:rFonts w:hint="default" w:ascii="Times New Roman" w:hAnsi="Times New Roman" w:eastAsia="宋体" w:cs="Times New Roman"/>
                <w:color w:val="auto"/>
                <w:kern w:val="0"/>
                <w:sz w:val="24"/>
                <w:szCs w:val="24"/>
                <w:highlight w:val="none"/>
                <w:lang w:val="en-US" w:eastAsia="zh-CN" w:bidi="ar"/>
              </w:rPr>
              <w:t>环境影响报告表</w:t>
            </w:r>
            <w:r>
              <w:rPr>
                <w:rFonts w:hint="default" w:ascii="Times New Roman" w:hAnsi="Times New Roman" w:eastAsia="宋体" w:cs="Times New Roman"/>
                <w:color w:val="auto"/>
                <w:kern w:val="0"/>
                <w:sz w:val="24"/>
                <w:szCs w:val="21"/>
                <w:highlight w:val="none"/>
                <w:lang w:val="en-US" w:eastAsia="zh-CN" w:bidi="ar"/>
              </w:rPr>
              <w:t>》要求对项目所在井场其余临时占地覆土并恢复为原有植被和生态景观，使区域生态景观和谐一致；若为永久封井，对整个施工区域覆土并恢复为原有植被和生态景观，使区域生态景观和谐一致。</w:t>
            </w:r>
          </w:p>
          <w:p w14:paraId="0E6733AA">
            <w:pPr>
              <w:pStyle w:val="15"/>
              <w:keepNext w:val="0"/>
              <w:keepLines w:val="0"/>
              <w:widowControl w:val="0"/>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2、气井测试完毕后，拆除放喷罐并进行回收。清除放喷测试留下的痕迹，再用现有井场堆存的表层土进行覆盖，然后按照井场环评要求进行植被恢复。</w:t>
            </w:r>
          </w:p>
          <w:p w14:paraId="5F15DFA4">
            <w:pPr>
              <w:pStyle w:val="15"/>
              <w:keepNext w:val="0"/>
              <w:keepLines w:val="0"/>
              <w:widowControl w:val="0"/>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3、拆除所有临时占地基础（设备及地面硬化的砖瓦等）后将井场堆存的表层土摊铺覆盖于场面上，然后按照井场环评要求进行植被恢复。</w:t>
            </w:r>
          </w:p>
          <w:p w14:paraId="51B1FD41">
            <w:pPr>
              <w:pStyle w:val="15"/>
              <w:keepNext w:val="0"/>
              <w:keepLines w:val="0"/>
              <w:widowControl w:val="0"/>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4、为尽快恢复土地功能，可增施肥料，加强灌溉，以改良土壤结构及其理化性质，提高土壤的保肥保水能力，恢复土壤生产能力。</w:t>
            </w:r>
          </w:p>
          <w:p w14:paraId="5EF1370E">
            <w:pPr>
              <w:pStyle w:val="15"/>
              <w:keepNext w:val="0"/>
              <w:keepLines w:val="0"/>
              <w:widowControl w:val="0"/>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具体恢复措施如下：</w:t>
            </w:r>
          </w:p>
          <w:p w14:paraId="34D828F4">
            <w:pPr>
              <w:pStyle w:val="15"/>
              <w:keepNext w:val="0"/>
              <w:keepLines w:val="0"/>
              <w:widowControl w:val="0"/>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①植被恢复系数＞95%，林草覆盖率＞85%，复垦区单位面积产草量达到周边地区同等土地利用类型水平，具有生态稳定性和自我维持力。</w:t>
            </w:r>
          </w:p>
          <w:p w14:paraId="427A2FC6">
            <w:pPr>
              <w:pStyle w:val="15"/>
              <w:keepNext w:val="0"/>
              <w:keepLines w:val="0"/>
              <w:widowControl w:val="0"/>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1"/>
                <w:highlight w:val="none"/>
                <w:lang w:val="en-US" w:eastAsia="zh-CN" w:bidi="ar"/>
              </w:rPr>
            </w:pPr>
            <w:r>
              <w:rPr>
                <w:rFonts w:hint="default" w:ascii="Times New Roman" w:hAnsi="Times New Roman" w:eastAsia="宋体" w:cs="Times New Roman"/>
                <w:color w:val="auto"/>
                <w:kern w:val="0"/>
                <w:sz w:val="24"/>
                <w:szCs w:val="21"/>
                <w:highlight w:val="none"/>
                <w:lang w:val="en-US" w:eastAsia="zh-CN" w:bidi="ar"/>
              </w:rPr>
              <w:t>②植被选用当地耐寒、保水固土能力强根系发达的物种，优先考虑</w:t>
            </w:r>
            <w:r>
              <w:rPr>
                <w:rFonts w:hint="eastAsia" w:ascii="Times New Roman" w:hAnsi="Times New Roman" w:cs="Times New Roman"/>
                <w:color w:val="auto"/>
                <w:kern w:val="0"/>
                <w:sz w:val="24"/>
                <w:szCs w:val="21"/>
                <w:highlight w:val="none"/>
                <w:lang w:val="en-US" w:eastAsia="zh-CN" w:bidi="ar"/>
              </w:rPr>
              <w:t>原土地植被种类</w:t>
            </w:r>
            <w:r>
              <w:rPr>
                <w:rFonts w:hint="default" w:ascii="Times New Roman" w:hAnsi="Times New Roman" w:eastAsia="宋体" w:cs="Times New Roman"/>
                <w:color w:val="auto"/>
                <w:kern w:val="0"/>
                <w:sz w:val="24"/>
                <w:szCs w:val="21"/>
                <w:highlight w:val="none"/>
                <w:lang w:val="en-US" w:eastAsia="zh-CN" w:bidi="ar"/>
              </w:rPr>
              <w:t>。</w:t>
            </w:r>
          </w:p>
          <w:p w14:paraId="57ECADC8">
            <w:pPr>
              <w:pStyle w:val="15"/>
              <w:keepNext w:val="0"/>
              <w:keepLines w:val="0"/>
              <w:widowControl w:val="0"/>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kern w:val="0"/>
                <w:sz w:val="24"/>
                <w:szCs w:val="21"/>
                <w:highlight w:val="none"/>
                <w:lang w:val="en-US" w:eastAsia="zh-CN" w:bidi="ar"/>
              </w:rPr>
              <w:t>③探井场地弃土弃渣边坡土地整治后，在外边坡采取植物防护措施，种植草灌混交林。可选择披碱草、柠条、紫花苜蓿、白三叶等，披碱草、紫花苜蓿、白三叶撒播量45kg/hm</w:t>
            </w:r>
            <w:r>
              <w:rPr>
                <w:rFonts w:hint="default" w:ascii="Times New Roman" w:hAnsi="Times New Roman" w:eastAsia="宋体" w:cs="Times New Roman"/>
                <w:color w:val="auto"/>
                <w:kern w:val="0"/>
                <w:sz w:val="24"/>
                <w:szCs w:val="21"/>
                <w:highlight w:val="none"/>
                <w:vertAlign w:val="superscript"/>
                <w:lang w:val="en-US" w:eastAsia="zh-CN" w:bidi="ar"/>
              </w:rPr>
              <w:t>2</w:t>
            </w:r>
            <w:r>
              <w:rPr>
                <w:rFonts w:hint="default" w:ascii="Times New Roman" w:hAnsi="Times New Roman" w:eastAsia="宋体" w:cs="Times New Roman"/>
                <w:color w:val="auto"/>
                <w:kern w:val="0"/>
                <w:sz w:val="24"/>
                <w:szCs w:val="21"/>
                <w:highlight w:val="none"/>
                <w:lang w:val="en-US" w:eastAsia="zh-CN" w:bidi="ar"/>
              </w:rPr>
              <w:t>，灌木株行距2×2m，行间种植三百叶。</w:t>
            </w:r>
          </w:p>
        </w:tc>
      </w:tr>
      <w:tr w14:paraId="6AAE1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dxa"/>
            <w:tcBorders>
              <w:top w:val="single" w:color="auto" w:sz="4" w:space="0"/>
              <w:left w:val="single" w:color="auto" w:sz="4" w:space="0"/>
              <w:bottom w:val="single" w:color="auto" w:sz="4" w:space="0"/>
              <w:right w:val="single" w:color="auto" w:sz="4" w:space="0"/>
            </w:tcBorders>
            <w:noWrap w:val="0"/>
            <w:vAlign w:val="center"/>
          </w:tcPr>
          <w:p w14:paraId="49C134C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运营期生态环境保护措施</w:t>
            </w:r>
          </w:p>
        </w:tc>
        <w:tc>
          <w:tcPr>
            <w:tcW w:w="8410" w:type="dxa"/>
            <w:tcBorders>
              <w:top w:val="single" w:color="auto" w:sz="4" w:space="0"/>
              <w:left w:val="single" w:color="auto" w:sz="4" w:space="0"/>
              <w:bottom w:val="single" w:color="auto" w:sz="4" w:space="0"/>
              <w:right w:val="single" w:color="auto" w:sz="4" w:space="0"/>
            </w:tcBorders>
            <w:noWrap w:val="0"/>
            <w:vAlign w:val="center"/>
          </w:tcPr>
          <w:p w14:paraId="03A794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本项目为天然气评价井的钻井工程，使用功能为天然气勘探、完井并测试，不涉及运营期。</w:t>
            </w:r>
          </w:p>
        </w:tc>
      </w:tr>
      <w:tr w14:paraId="63259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dxa"/>
            <w:tcBorders>
              <w:top w:val="single" w:color="auto" w:sz="4" w:space="0"/>
              <w:left w:val="single" w:color="auto" w:sz="4" w:space="0"/>
              <w:bottom w:val="single" w:color="auto" w:sz="4" w:space="0"/>
              <w:right w:val="single" w:color="auto" w:sz="4" w:space="0"/>
            </w:tcBorders>
            <w:noWrap w:val="0"/>
            <w:vAlign w:val="center"/>
          </w:tcPr>
          <w:p w14:paraId="2DB667F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其他</w:t>
            </w:r>
          </w:p>
        </w:tc>
        <w:tc>
          <w:tcPr>
            <w:tcW w:w="8410" w:type="dxa"/>
            <w:tcBorders>
              <w:top w:val="single" w:color="auto" w:sz="4" w:space="0"/>
              <w:left w:val="single" w:color="auto" w:sz="4" w:space="0"/>
              <w:bottom w:val="single" w:color="auto" w:sz="4" w:space="0"/>
              <w:right w:val="single" w:color="auto" w:sz="4" w:space="0"/>
            </w:tcBorders>
            <w:noWrap w:val="0"/>
            <w:vAlign w:val="center"/>
          </w:tcPr>
          <w:p w14:paraId="00D58E7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1、环境管理</w:t>
            </w:r>
          </w:p>
          <w:p w14:paraId="7033E635">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（1）环境管理体系</w:t>
            </w:r>
          </w:p>
          <w:p w14:paraId="40C89192">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按HSE管理体系要求，中国石油天然气股份有限公司长庆油田分公司设质量安全环保科，设专职人员进行安全环保管理，对企业安全环保进行归档管理。项目在施工期制定安全环境管理制度，贯彻执行国家和地方各项环保方针、政策和法规。</w:t>
            </w:r>
          </w:p>
          <w:p w14:paraId="5B156CED">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（2）要求根据《陕北油气田开采清洁文明井场验收标准》、《榆林市油（气）开采废弃物处置环保暂行管理办法》，建设单位应该在管理中严格按照以下要求执行：</w:t>
            </w:r>
          </w:p>
          <w:p w14:paraId="75A30371">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油（气）开发企业须在井场钻井作业前15日内，向当地环保局进行申报登记，申报登记内容包括废弃钻井泥浆、井下作业废水及其它污染物的产生量、去向及处理处置方式等，实际情况发生紧急重大改变的，必须在改变后3天内进行排污申报登记变更。</w:t>
            </w:r>
          </w:p>
          <w:p w14:paraId="40E5BFB3">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②油（气）井场要在钻井前配备废弃钻井泥浆岩屑地上移动式收集设施，对钻井过程中废弃钻井泥浆岩屑进行不落地收集，收集设施不得收集其它废弃物；未配备废弃钻井泥浆收集设施的井场不得钻井作业。</w:t>
            </w:r>
          </w:p>
          <w:p w14:paraId="2175E660">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③油（气）井场要在压裂及其它井下作业前配备废水地上收集罐，对压裂返排液及其它废水进行统一收集；未配备废水收集罐的井场不得开展相关作业。</w:t>
            </w:r>
          </w:p>
          <w:p w14:paraId="24B673D4">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④油（气）开发企业要在油（气）井建设过程中建立</w:t>
            </w:r>
            <w:r>
              <w:rPr>
                <w:rFonts w:hint="eastAsia" w:ascii="Times New Roman" w:hAnsi="Times New Roman" w:eastAsia="宋体" w:cs="Times New Roman"/>
                <w:color w:val="auto"/>
                <w:highlight w:val="none"/>
                <w:lang w:eastAsia="zh-CN"/>
              </w:rPr>
              <w:t>天然气评价井</w:t>
            </w:r>
            <w:r>
              <w:rPr>
                <w:rFonts w:hint="default" w:ascii="Times New Roman" w:hAnsi="Times New Roman" w:eastAsia="宋体" w:cs="Times New Roman"/>
                <w:color w:val="auto"/>
                <w:highlight w:val="none"/>
              </w:rPr>
              <w:t>废弃钻井泥浆岩屑、压裂返排液及其它作业废水管理台帐，如实记录钻井泥浆及压裂液添加剂成分、用量及废弃钻井泥浆岩屑、压裂返排液及其它作业废水的产生量、循环利用量、去向及处理处置方式。</w:t>
            </w:r>
          </w:p>
          <w:p w14:paraId="7E216D7C">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⑤废弃钻井泥浆岩屑须在油（气）井完井后3天内，由防渗漏、防抛洒、防扬尘的运输车辆统一运至油（气）开采废弃物集中处置场所处置；严禁废弃钻井泥浆岩屑井场处理、就地固化或随意抛洒、掩埋。</w:t>
            </w:r>
          </w:p>
          <w:p w14:paraId="63B1F8A3">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⑥油（气）井下作业废水须在井下作业完成后3天内，洗井废水由专用收集罐临时收集贮存后委托</w:t>
            </w:r>
            <w:r>
              <w:rPr>
                <w:rFonts w:hint="eastAsia" w:ascii="Times New Roman" w:hAnsi="Times New Roman" w:eastAsia="宋体" w:cs="Times New Roman"/>
                <w:color w:val="auto"/>
                <w:highlight w:val="none"/>
                <w:lang w:val="en-US" w:eastAsia="zh-CN"/>
              </w:rPr>
              <w:t>协议的有能力单位</w:t>
            </w:r>
            <w:r>
              <w:rPr>
                <w:rFonts w:hint="default" w:ascii="Times New Roman" w:hAnsi="Times New Roman" w:eastAsia="宋体" w:cs="Times New Roman"/>
                <w:color w:val="auto"/>
                <w:highlight w:val="none"/>
                <w:lang w:val="en-US" w:eastAsia="zh-CN"/>
              </w:rPr>
              <w:t>外运</w:t>
            </w:r>
            <w:r>
              <w:rPr>
                <w:rFonts w:hint="default" w:ascii="Times New Roman" w:hAnsi="Times New Roman" w:eastAsia="宋体" w:cs="Times New Roman"/>
                <w:color w:val="auto"/>
                <w:highlight w:val="none"/>
              </w:rPr>
              <w:t>处置；严禁井下作业废水排入废弃钻井泥浆岩屑收集设施或随意排放。</w:t>
            </w:r>
          </w:p>
          <w:p w14:paraId="77A03DE8">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⑦废弃钻井泥浆岩屑和井下作业废水转移前须向市级环保部门申领《榆林市油（气）开采废弃物转移联单》，运输过程实施全程GPS定位及监控；严禁运输过程中随意掩埋、抛洒废弃钻井泥浆岩屑和井下作业废水。</w:t>
            </w:r>
          </w:p>
          <w:p w14:paraId="6C4CFAD1">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⑧油（气）开采废弃物集中处置项目选址要避开重点生态功能区、环境敏感区和限制开发区，要选择清洁生产、高效环保的处理工艺，要完成建设项目环境影响评价审批，通过环保设施竣工验收，取得相关手续，具备收集、处置能力。</w:t>
            </w:r>
          </w:p>
          <w:p w14:paraId="1449F0C3">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⑨未取得相关资质的单位或者个人，禁止从事油（气）开采废弃物的收集、运输和处置活动。</w:t>
            </w:r>
          </w:p>
          <w:p w14:paraId="1BA3B8A1">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⑩井场四周必须修建挡水墙，大门或通行处应设有砖石拱形挡水设施，保证场外雨水不进场，场内雨水不出场。</w:t>
            </w:r>
          </w:p>
          <w:p w14:paraId="0778D026">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⑪井场要平整清洁，建有雨水收集池。雨水收集池应参照当地最大暴雨量设计容积（最大暴雨量×井场面积）。</w:t>
            </w:r>
          </w:p>
          <w:p w14:paraId="4E43E0E1">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⑫井场必须设置垃圾桶，不得将含油污泥等危废混入，垃圾应及时清运，分类定点处理。</w:t>
            </w:r>
          </w:p>
          <w:p w14:paraId="567F6492">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⑬井场的道路两侧和围墙内外宜绿化区域应实现林草覆盖，有效覆盖面积不低于98</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w:t>
            </w:r>
          </w:p>
          <w:p w14:paraId="386AD8E7">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⑭修路和开挖井场造成植被破坏或地表裸露的，必须采取有效的修复措施，所有生态措施应在井场投运半年内完成。</w:t>
            </w:r>
          </w:p>
          <w:p w14:paraId="5EE677A5">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⑮关闭油（气）井应封堵油（气）层、封闭井口，并同步实施井场复垦还田或植树种草工程措施。</w:t>
            </w:r>
          </w:p>
          <w:p w14:paraId="66554974">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⑯井场应做到清洁卫生，无跑、冒、滴、漏现象，场外无油污、无垃圾，杜绝污染物乱堆乱放。</w:t>
            </w:r>
          </w:p>
          <w:p w14:paraId="25F90E94">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⑰按照环境事故应急预案，要对井场操作人员进行应急培训，并储备相应抢险应急物资。</w:t>
            </w:r>
          </w:p>
          <w:p w14:paraId="73DFF48B">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⑱井场实行动态管理。县级环保部门负责日常监督管理，市级环保部门负责验收并颁发统一制式的清洁文明井场牌匾。出现达不到本标准情况的，由市级环保部门收回牌匾。</w:t>
            </w:r>
          </w:p>
          <w:p w14:paraId="7B178B37">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⑲不得调整井口坐标，确保钻井井口距居民住宅距离大于100m，加强施工机械噪声管理，保证不影响周边居民生活。</w:t>
            </w:r>
          </w:p>
          <w:p w14:paraId="634D5428">
            <w:pPr>
              <w:pStyle w:val="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（3）探井井场生态恢复后续按照《建设项目竣工环境保护验收技术规范 生态影响类》（HJ/T394-2007）、《建设项目竣工环境保护验收技术规范 石油天然气开采》（HJ612-2011）等相关规范开展竣工环境保护验收。</w:t>
            </w:r>
          </w:p>
          <w:p w14:paraId="65873246">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lang w:val="en-US" w:eastAsia="zh-CN"/>
              </w:rPr>
            </w:pPr>
          </w:p>
          <w:p w14:paraId="7E014327">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lang w:val="en-US" w:eastAsia="zh-CN"/>
              </w:rPr>
            </w:pPr>
          </w:p>
        </w:tc>
      </w:tr>
      <w:tr w14:paraId="1306E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dxa"/>
            <w:tcBorders>
              <w:top w:val="single" w:color="auto" w:sz="4" w:space="0"/>
              <w:left w:val="single" w:color="auto" w:sz="4" w:space="0"/>
              <w:bottom w:val="single" w:color="auto" w:sz="4" w:space="0"/>
              <w:right w:val="single" w:color="auto" w:sz="4" w:space="0"/>
            </w:tcBorders>
            <w:noWrap w:val="0"/>
            <w:vAlign w:val="center"/>
          </w:tcPr>
          <w:p w14:paraId="01E653A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环保投资</w:t>
            </w:r>
          </w:p>
        </w:tc>
        <w:tc>
          <w:tcPr>
            <w:tcW w:w="8410" w:type="dxa"/>
            <w:tcBorders>
              <w:top w:val="single" w:color="auto" w:sz="4" w:space="0"/>
              <w:left w:val="single" w:color="auto" w:sz="4" w:space="0"/>
              <w:bottom w:val="single" w:color="auto" w:sz="4" w:space="0"/>
              <w:right w:val="single" w:color="auto" w:sz="4" w:space="0"/>
            </w:tcBorders>
            <w:noWrap w:val="0"/>
            <w:vAlign w:val="top"/>
          </w:tcPr>
          <w:p w14:paraId="07B29C90">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本项目总投资</w:t>
            </w:r>
            <w:r>
              <w:rPr>
                <w:rFonts w:hint="eastAsia" w:ascii="Times New Roman" w:hAnsi="Times New Roman"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00万元，其中环保投资</w:t>
            </w:r>
            <w:r>
              <w:rPr>
                <w:rFonts w:hint="eastAsia" w:ascii="Times New Roman" w:hAnsi="Times New Roman" w:cs="Times New Roman"/>
                <w:color w:val="auto"/>
                <w:kern w:val="0"/>
                <w:sz w:val="24"/>
                <w:szCs w:val="24"/>
                <w:highlight w:val="none"/>
                <w:lang w:val="en-US" w:eastAsia="zh-CN" w:bidi="ar"/>
              </w:rPr>
              <w:t>72</w:t>
            </w:r>
            <w:r>
              <w:rPr>
                <w:rFonts w:hint="default" w:ascii="Times New Roman" w:hAnsi="Times New Roman" w:eastAsia="宋体" w:cs="Times New Roman"/>
                <w:color w:val="auto"/>
                <w:kern w:val="0"/>
                <w:sz w:val="24"/>
                <w:szCs w:val="24"/>
                <w:highlight w:val="none"/>
                <w:lang w:val="en-US" w:eastAsia="zh-CN" w:bidi="ar"/>
              </w:rPr>
              <w:t>万元，占总投资的</w:t>
            </w:r>
            <w:r>
              <w:rPr>
                <w:rFonts w:hint="eastAsia" w:ascii="Times New Roman" w:hAnsi="Times New Roman" w:cs="Times New Roman"/>
                <w:color w:val="auto"/>
                <w:kern w:val="0"/>
                <w:sz w:val="24"/>
                <w:szCs w:val="24"/>
                <w:highlight w:val="none"/>
                <w:lang w:val="en-US" w:eastAsia="zh-CN" w:bidi="ar"/>
              </w:rPr>
              <w:t>14.4</w:t>
            </w:r>
            <w:r>
              <w:rPr>
                <w:rFonts w:hint="default" w:ascii="Times New Roman" w:hAnsi="Times New Roman" w:eastAsia="宋体" w:cs="Times New Roman"/>
                <w:color w:val="auto"/>
                <w:kern w:val="0"/>
                <w:sz w:val="24"/>
                <w:szCs w:val="24"/>
                <w:highlight w:val="none"/>
                <w:lang w:val="en-US" w:eastAsia="zh-CN" w:bidi="ar"/>
              </w:rPr>
              <w:t>%。</w:t>
            </w:r>
          </w:p>
          <w:p w14:paraId="47EBDA37">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kern w:val="0"/>
                <w:sz w:val="24"/>
                <w:szCs w:val="24"/>
                <w:highlight w:val="none"/>
                <w:lang w:val="en-US" w:eastAsia="zh-CN" w:bidi="ar"/>
              </w:rPr>
            </w:pPr>
          </w:p>
          <w:p w14:paraId="62F0407B">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表5-</w:t>
            </w:r>
            <w:r>
              <w:rPr>
                <w:rFonts w:hint="eastAsia" w:ascii="Times New Roman" w:hAnsi="Times New Roman" w:cs="Times New Roman"/>
                <w:b/>
                <w:bCs/>
                <w:color w:val="auto"/>
                <w:kern w:val="0"/>
                <w:sz w:val="24"/>
                <w:szCs w:val="24"/>
                <w:highlight w:val="none"/>
                <w:lang w:val="en-US" w:eastAsia="zh-CN" w:bidi="ar"/>
              </w:rPr>
              <w:t>3</w:t>
            </w:r>
            <w:r>
              <w:rPr>
                <w:rFonts w:hint="default" w:ascii="Times New Roman" w:hAnsi="Times New Roman" w:eastAsia="宋体" w:cs="Times New Roman"/>
                <w:b/>
                <w:bCs/>
                <w:color w:val="auto"/>
                <w:kern w:val="0"/>
                <w:sz w:val="24"/>
                <w:szCs w:val="24"/>
                <w:highlight w:val="none"/>
                <w:lang w:val="en-US" w:eastAsia="zh-CN" w:bidi="ar"/>
              </w:rPr>
              <w:t>本项目主要环保投资一览表</w:t>
            </w:r>
          </w:p>
          <w:tbl>
            <w:tblPr>
              <w:tblStyle w:val="1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88"/>
              <w:gridCol w:w="1213"/>
              <w:gridCol w:w="3676"/>
              <w:gridCol w:w="1203"/>
              <w:gridCol w:w="1503"/>
            </w:tblGrid>
            <w:tr w14:paraId="31871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01" w:type="dxa"/>
                  <w:gridSpan w:val="2"/>
                  <w:tcBorders>
                    <w:top w:val="single" w:color="auto" w:sz="4" w:space="0"/>
                    <w:left w:val="single" w:color="auto" w:sz="4" w:space="0"/>
                    <w:bottom w:val="single" w:color="auto" w:sz="4" w:space="0"/>
                    <w:right w:val="single" w:color="auto" w:sz="4" w:space="0"/>
                  </w:tcBorders>
                  <w:noWrap w:val="0"/>
                  <w:vAlign w:val="center"/>
                </w:tcPr>
                <w:p w14:paraId="0F968696">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项目</w:t>
                  </w:r>
                </w:p>
              </w:tc>
              <w:tc>
                <w:tcPr>
                  <w:tcW w:w="3676" w:type="dxa"/>
                  <w:tcBorders>
                    <w:top w:val="single" w:color="auto" w:sz="4" w:space="0"/>
                    <w:left w:val="single" w:color="auto" w:sz="4" w:space="0"/>
                    <w:bottom w:val="single" w:color="auto" w:sz="4" w:space="0"/>
                    <w:right w:val="single" w:color="auto" w:sz="4" w:space="0"/>
                  </w:tcBorders>
                  <w:noWrap w:val="0"/>
                  <w:vAlign w:val="center"/>
                </w:tcPr>
                <w:p w14:paraId="439A72C3">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治理措施</w:t>
                  </w:r>
                </w:p>
              </w:tc>
              <w:tc>
                <w:tcPr>
                  <w:tcW w:w="1203" w:type="dxa"/>
                  <w:tcBorders>
                    <w:top w:val="single" w:color="auto" w:sz="4" w:space="0"/>
                    <w:left w:val="single" w:color="auto" w:sz="4" w:space="0"/>
                    <w:bottom w:val="single" w:color="auto" w:sz="4" w:space="0"/>
                    <w:right w:val="single" w:color="auto" w:sz="4" w:space="0"/>
                  </w:tcBorders>
                  <w:noWrap w:val="0"/>
                  <w:vAlign w:val="center"/>
                </w:tcPr>
                <w:p w14:paraId="44671C4C">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数量</w:t>
                  </w:r>
                </w:p>
              </w:tc>
              <w:tc>
                <w:tcPr>
                  <w:tcW w:w="1503" w:type="dxa"/>
                  <w:tcBorders>
                    <w:top w:val="single" w:color="auto" w:sz="4" w:space="0"/>
                    <w:left w:val="single" w:color="auto" w:sz="4" w:space="0"/>
                    <w:bottom w:val="single" w:color="auto" w:sz="4" w:space="0"/>
                    <w:right w:val="single" w:color="auto" w:sz="4" w:space="0"/>
                  </w:tcBorders>
                  <w:noWrap w:val="0"/>
                  <w:vAlign w:val="center"/>
                </w:tcPr>
                <w:p w14:paraId="1DA6C776">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费用（万元）</w:t>
                  </w:r>
                </w:p>
              </w:tc>
            </w:tr>
            <w:tr w14:paraId="1BD3E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01"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7E4C39FD">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废气</w:t>
                  </w:r>
                </w:p>
              </w:tc>
              <w:tc>
                <w:tcPr>
                  <w:tcW w:w="3676" w:type="dxa"/>
                  <w:tcBorders>
                    <w:top w:val="single" w:color="auto" w:sz="4" w:space="0"/>
                    <w:left w:val="single" w:color="auto" w:sz="4" w:space="0"/>
                    <w:bottom w:val="single" w:color="auto" w:sz="4" w:space="0"/>
                    <w:right w:val="single" w:color="auto" w:sz="4" w:space="0"/>
                  </w:tcBorders>
                  <w:noWrap w:val="0"/>
                  <w:vAlign w:val="center"/>
                </w:tcPr>
                <w:p w14:paraId="3CD8209B">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洒水设备、设置挡板、车辆运输遮盖苫布</w:t>
                  </w:r>
                </w:p>
              </w:tc>
              <w:tc>
                <w:tcPr>
                  <w:tcW w:w="1203" w:type="dxa"/>
                  <w:tcBorders>
                    <w:top w:val="single" w:color="auto" w:sz="4" w:space="0"/>
                    <w:left w:val="single" w:color="auto" w:sz="4" w:space="0"/>
                    <w:bottom w:val="single" w:color="auto" w:sz="4" w:space="0"/>
                    <w:right w:val="single" w:color="auto" w:sz="4" w:space="0"/>
                  </w:tcBorders>
                  <w:noWrap w:val="0"/>
                  <w:vAlign w:val="center"/>
                </w:tcPr>
                <w:p w14:paraId="0598DA41">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1503" w:type="dxa"/>
                  <w:tcBorders>
                    <w:top w:val="single" w:color="auto" w:sz="4" w:space="0"/>
                    <w:left w:val="single" w:color="auto" w:sz="4" w:space="0"/>
                    <w:bottom w:val="single" w:color="auto" w:sz="4" w:space="0"/>
                    <w:right w:val="single" w:color="auto" w:sz="4" w:space="0"/>
                  </w:tcBorders>
                  <w:noWrap w:val="0"/>
                  <w:vAlign w:val="center"/>
                </w:tcPr>
                <w:p w14:paraId="373A29CE">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2</w:t>
                  </w:r>
                </w:p>
              </w:tc>
            </w:tr>
            <w:tr w14:paraId="5A610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01"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6AE9BC45">
                  <w:pPr>
                    <w:keepNext w:val="0"/>
                    <w:keepLines w:val="0"/>
                    <w:suppressLineNumbers w:val="0"/>
                    <w:spacing w:before="0" w:beforeAutospacing="0" w:after="0" w:afterAutospacing="0"/>
                    <w:ind w:left="0" w:right="0"/>
                    <w:jc w:val="both"/>
                    <w:rPr>
                      <w:rFonts w:hint="default" w:ascii="Times New Roman" w:hAnsi="Times New Roman" w:cs="Times New Roman"/>
                      <w:color w:val="auto"/>
                      <w:sz w:val="20"/>
                      <w:szCs w:val="20"/>
                      <w:highlight w:val="none"/>
                    </w:rPr>
                  </w:pPr>
                </w:p>
              </w:tc>
              <w:tc>
                <w:tcPr>
                  <w:tcW w:w="3676" w:type="dxa"/>
                  <w:tcBorders>
                    <w:top w:val="single" w:color="auto" w:sz="4" w:space="0"/>
                    <w:left w:val="single" w:color="auto" w:sz="4" w:space="0"/>
                    <w:bottom w:val="single" w:color="auto" w:sz="4" w:space="0"/>
                    <w:right w:val="single" w:color="auto" w:sz="4" w:space="0"/>
                  </w:tcBorders>
                  <w:noWrap w:val="0"/>
                  <w:vAlign w:val="center"/>
                </w:tcPr>
                <w:p w14:paraId="73E3E2FF">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放空设施</w:t>
                  </w:r>
                </w:p>
              </w:tc>
              <w:tc>
                <w:tcPr>
                  <w:tcW w:w="1203" w:type="dxa"/>
                  <w:tcBorders>
                    <w:top w:val="single" w:color="auto" w:sz="4" w:space="0"/>
                    <w:left w:val="single" w:color="auto" w:sz="4" w:space="0"/>
                    <w:bottom w:val="single" w:color="auto" w:sz="4" w:space="0"/>
                    <w:right w:val="single" w:color="auto" w:sz="4" w:space="0"/>
                  </w:tcBorders>
                  <w:noWrap w:val="0"/>
                  <w:vAlign w:val="center"/>
                </w:tcPr>
                <w:p w14:paraId="0274EEB5">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套</w:t>
                  </w:r>
                </w:p>
              </w:tc>
              <w:tc>
                <w:tcPr>
                  <w:tcW w:w="1503" w:type="dxa"/>
                  <w:vMerge w:val="restart"/>
                  <w:tcBorders>
                    <w:top w:val="single" w:color="auto" w:sz="4" w:space="0"/>
                    <w:left w:val="single" w:color="auto" w:sz="4" w:space="0"/>
                    <w:bottom w:val="single" w:color="auto" w:sz="4" w:space="0"/>
                    <w:right w:val="single" w:color="auto" w:sz="4" w:space="0"/>
                  </w:tcBorders>
                  <w:noWrap w:val="0"/>
                  <w:vAlign w:val="center"/>
                </w:tcPr>
                <w:p w14:paraId="589DD7C1">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计入主体工程</w:t>
                  </w:r>
                </w:p>
              </w:tc>
            </w:tr>
            <w:tr w14:paraId="0D418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01"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24AABCA3">
                  <w:pPr>
                    <w:keepNext w:val="0"/>
                    <w:keepLines w:val="0"/>
                    <w:suppressLineNumbers w:val="0"/>
                    <w:spacing w:before="0" w:beforeAutospacing="0" w:after="0" w:afterAutospacing="0"/>
                    <w:ind w:left="0" w:right="0"/>
                    <w:jc w:val="both"/>
                    <w:rPr>
                      <w:rFonts w:hint="default" w:ascii="Times New Roman" w:hAnsi="Times New Roman" w:cs="Times New Roman"/>
                      <w:color w:val="auto"/>
                      <w:sz w:val="20"/>
                      <w:szCs w:val="20"/>
                      <w:highlight w:val="none"/>
                    </w:rPr>
                  </w:pPr>
                </w:p>
              </w:tc>
              <w:tc>
                <w:tcPr>
                  <w:tcW w:w="3676" w:type="dxa"/>
                  <w:tcBorders>
                    <w:top w:val="single" w:color="auto" w:sz="4" w:space="0"/>
                    <w:left w:val="single" w:color="auto" w:sz="4" w:space="0"/>
                    <w:bottom w:val="single" w:color="auto" w:sz="4" w:space="0"/>
                    <w:right w:val="single" w:color="auto" w:sz="4" w:space="0"/>
                  </w:tcBorders>
                  <w:noWrap w:val="0"/>
                  <w:vAlign w:val="center"/>
                </w:tcPr>
                <w:p w14:paraId="09F40EDE">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eastAsia" w:ascii="Times New Roman" w:hAnsi="Times New Roman" w:cs="Times New Roman"/>
                      <w:color w:val="auto"/>
                      <w:kern w:val="0"/>
                      <w:sz w:val="21"/>
                      <w:szCs w:val="21"/>
                      <w:highlight w:val="none"/>
                      <w:lang w:val="en-US" w:eastAsia="zh-CN" w:bidi="ar"/>
                    </w:rPr>
                    <w:t>放喷罐20</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kern w:val="0"/>
                      <w:sz w:val="21"/>
                      <w:szCs w:val="21"/>
                      <w:highlight w:val="none"/>
                      <w:vertAlign w:val="superscript"/>
                      <w:lang w:val="en-US" w:eastAsia="zh-CN" w:bidi="ar"/>
                    </w:rPr>
                    <w:t>3</w:t>
                  </w:r>
                </w:p>
              </w:tc>
              <w:tc>
                <w:tcPr>
                  <w:tcW w:w="1203" w:type="dxa"/>
                  <w:tcBorders>
                    <w:top w:val="single" w:color="auto" w:sz="4" w:space="0"/>
                    <w:left w:val="single" w:color="auto" w:sz="4" w:space="0"/>
                    <w:bottom w:val="single" w:color="auto" w:sz="4" w:space="0"/>
                    <w:right w:val="single" w:color="auto" w:sz="4" w:space="0"/>
                  </w:tcBorders>
                  <w:noWrap w:val="0"/>
                  <w:vAlign w:val="center"/>
                </w:tcPr>
                <w:p w14:paraId="06F2698C">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座</w:t>
                  </w:r>
                </w:p>
              </w:tc>
              <w:tc>
                <w:tcPr>
                  <w:tcW w:w="1503" w:type="dxa"/>
                  <w:vMerge w:val="continue"/>
                  <w:tcBorders>
                    <w:top w:val="single" w:color="auto" w:sz="4" w:space="0"/>
                    <w:left w:val="single" w:color="auto" w:sz="4" w:space="0"/>
                    <w:bottom w:val="single" w:color="auto" w:sz="4" w:space="0"/>
                    <w:right w:val="single" w:color="auto" w:sz="4" w:space="0"/>
                  </w:tcBorders>
                  <w:noWrap w:val="0"/>
                  <w:vAlign w:val="center"/>
                </w:tcPr>
                <w:p w14:paraId="5BDC52E1">
                  <w:pPr>
                    <w:keepNext w:val="0"/>
                    <w:keepLines w:val="0"/>
                    <w:suppressLineNumbers w:val="0"/>
                    <w:spacing w:before="0" w:beforeAutospacing="0" w:after="0" w:afterAutospacing="0"/>
                    <w:ind w:left="0" w:right="0"/>
                    <w:jc w:val="both"/>
                    <w:rPr>
                      <w:rFonts w:hint="default" w:ascii="Times New Roman" w:hAnsi="Times New Roman" w:cs="Times New Roman"/>
                      <w:color w:val="auto"/>
                      <w:sz w:val="20"/>
                      <w:szCs w:val="20"/>
                      <w:highlight w:val="none"/>
                    </w:rPr>
                  </w:pPr>
                </w:p>
              </w:tc>
            </w:tr>
            <w:tr w14:paraId="03D9B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88" w:type="dxa"/>
                  <w:vMerge w:val="restart"/>
                  <w:tcBorders>
                    <w:top w:val="single" w:color="auto" w:sz="4" w:space="0"/>
                    <w:left w:val="single" w:color="auto" w:sz="4" w:space="0"/>
                    <w:bottom w:val="single" w:color="auto" w:sz="4" w:space="0"/>
                    <w:right w:val="single" w:color="auto" w:sz="4" w:space="0"/>
                  </w:tcBorders>
                  <w:noWrap w:val="0"/>
                  <w:vAlign w:val="center"/>
                </w:tcPr>
                <w:p w14:paraId="2790BEE2">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废水</w:t>
                  </w:r>
                </w:p>
              </w:tc>
              <w:tc>
                <w:tcPr>
                  <w:tcW w:w="1213" w:type="dxa"/>
                  <w:tcBorders>
                    <w:top w:val="single" w:color="auto" w:sz="4" w:space="0"/>
                    <w:left w:val="single" w:color="auto" w:sz="4" w:space="0"/>
                    <w:bottom w:val="single" w:color="auto" w:sz="4" w:space="0"/>
                    <w:right w:val="single" w:color="auto" w:sz="4" w:space="0"/>
                  </w:tcBorders>
                  <w:noWrap w:val="0"/>
                  <w:vAlign w:val="center"/>
                </w:tcPr>
                <w:p w14:paraId="1B391F55">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洗井废水</w:t>
                  </w:r>
                </w:p>
              </w:tc>
              <w:tc>
                <w:tcPr>
                  <w:tcW w:w="3676" w:type="dxa"/>
                  <w:tcBorders>
                    <w:top w:val="single" w:color="auto" w:sz="4" w:space="0"/>
                    <w:left w:val="single" w:color="auto" w:sz="4" w:space="0"/>
                    <w:bottom w:val="single" w:color="auto" w:sz="4" w:space="0"/>
                    <w:right w:val="single" w:color="auto" w:sz="4" w:space="0"/>
                  </w:tcBorders>
                  <w:noWrap w:val="0"/>
                  <w:vAlign w:val="center"/>
                </w:tcPr>
                <w:p w14:paraId="28165975">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专用收集罐75m</w:t>
                  </w:r>
                  <w:r>
                    <w:rPr>
                      <w:rFonts w:hint="default" w:ascii="Times New Roman" w:hAnsi="Times New Roman" w:eastAsia="宋体" w:cs="Times New Roman"/>
                      <w:color w:val="auto"/>
                      <w:kern w:val="0"/>
                      <w:sz w:val="21"/>
                      <w:szCs w:val="21"/>
                      <w:highlight w:val="none"/>
                      <w:vertAlign w:val="superscript"/>
                      <w:lang w:val="en-US" w:eastAsia="zh-CN" w:bidi="ar"/>
                    </w:rPr>
                    <w:t>3</w:t>
                  </w:r>
                </w:p>
              </w:tc>
              <w:tc>
                <w:tcPr>
                  <w:tcW w:w="1203" w:type="dxa"/>
                  <w:tcBorders>
                    <w:top w:val="single" w:color="auto" w:sz="4" w:space="0"/>
                    <w:left w:val="single" w:color="auto" w:sz="4" w:space="0"/>
                    <w:bottom w:val="single" w:color="auto" w:sz="4" w:space="0"/>
                    <w:right w:val="single" w:color="auto" w:sz="4" w:space="0"/>
                  </w:tcBorders>
                  <w:noWrap w:val="0"/>
                  <w:vAlign w:val="center"/>
                </w:tcPr>
                <w:p w14:paraId="238D19A7">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个</w:t>
                  </w:r>
                </w:p>
              </w:tc>
              <w:tc>
                <w:tcPr>
                  <w:tcW w:w="1503" w:type="dxa"/>
                  <w:tcBorders>
                    <w:top w:val="single" w:color="auto" w:sz="4" w:space="0"/>
                    <w:left w:val="single" w:color="auto" w:sz="4" w:space="0"/>
                    <w:bottom w:val="single" w:color="auto" w:sz="4" w:space="0"/>
                    <w:right w:val="single" w:color="auto" w:sz="4" w:space="0"/>
                  </w:tcBorders>
                  <w:noWrap w:val="0"/>
                  <w:vAlign w:val="center"/>
                </w:tcPr>
                <w:p w14:paraId="303D4C90">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6</w:t>
                  </w:r>
                </w:p>
              </w:tc>
            </w:tr>
            <w:tr w14:paraId="55D85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88" w:type="dxa"/>
                  <w:vMerge w:val="continue"/>
                  <w:tcBorders>
                    <w:left w:val="single" w:color="auto" w:sz="4" w:space="0"/>
                    <w:right w:val="single" w:color="auto" w:sz="4" w:space="0"/>
                  </w:tcBorders>
                  <w:noWrap w:val="0"/>
                  <w:vAlign w:val="center"/>
                </w:tcPr>
                <w:p w14:paraId="6EB0451D">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721A8926">
                  <w:pPr>
                    <w:pStyle w:val="15"/>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钻井废水</w:t>
                  </w:r>
                </w:p>
              </w:tc>
              <w:tc>
                <w:tcPr>
                  <w:tcW w:w="3676" w:type="dxa"/>
                  <w:tcBorders>
                    <w:top w:val="single" w:color="auto" w:sz="4" w:space="0"/>
                    <w:left w:val="single" w:color="auto" w:sz="4" w:space="0"/>
                    <w:bottom w:val="single" w:color="auto" w:sz="4" w:space="0"/>
                    <w:right w:val="single" w:color="auto" w:sz="4" w:space="0"/>
                  </w:tcBorders>
                  <w:noWrap w:val="0"/>
                  <w:vAlign w:val="center"/>
                </w:tcPr>
                <w:p w14:paraId="676B7780">
                  <w:pPr>
                    <w:pStyle w:val="15"/>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移动式地上污水罐</w:t>
                  </w:r>
                </w:p>
              </w:tc>
              <w:tc>
                <w:tcPr>
                  <w:tcW w:w="1203" w:type="dxa"/>
                  <w:tcBorders>
                    <w:top w:val="single" w:color="auto" w:sz="4" w:space="0"/>
                    <w:left w:val="single" w:color="auto" w:sz="4" w:space="0"/>
                    <w:bottom w:val="single" w:color="auto" w:sz="4" w:space="0"/>
                    <w:right w:val="single" w:color="auto" w:sz="4" w:space="0"/>
                  </w:tcBorders>
                  <w:noWrap w:val="0"/>
                  <w:vAlign w:val="center"/>
                </w:tcPr>
                <w:p w14:paraId="7D9A6A17">
                  <w:pPr>
                    <w:pStyle w:val="15"/>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1套</w:t>
                  </w:r>
                </w:p>
              </w:tc>
              <w:tc>
                <w:tcPr>
                  <w:tcW w:w="1503" w:type="dxa"/>
                  <w:tcBorders>
                    <w:top w:val="single" w:color="auto" w:sz="4" w:space="0"/>
                    <w:left w:val="single" w:color="auto" w:sz="4" w:space="0"/>
                    <w:bottom w:val="single" w:color="auto" w:sz="4" w:space="0"/>
                    <w:right w:val="single" w:color="auto" w:sz="4" w:space="0"/>
                  </w:tcBorders>
                  <w:noWrap w:val="0"/>
                  <w:vAlign w:val="center"/>
                </w:tcPr>
                <w:p w14:paraId="645033D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7</w:t>
                  </w:r>
                </w:p>
              </w:tc>
            </w:tr>
            <w:tr w14:paraId="07A02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88" w:type="dxa"/>
                  <w:vMerge w:val="continue"/>
                  <w:tcBorders>
                    <w:top w:val="single" w:color="auto" w:sz="4" w:space="0"/>
                    <w:left w:val="single" w:color="auto" w:sz="4" w:space="0"/>
                    <w:bottom w:val="single" w:color="auto" w:sz="4" w:space="0"/>
                    <w:right w:val="single" w:color="auto" w:sz="4" w:space="0"/>
                  </w:tcBorders>
                  <w:noWrap w:val="0"/>
                  <w:vAlign w:val="center"/>
                </w:tcPr>
                <w:p w14:paraId="43B327B8">
                  <w:pPr>
                    <w:keepNext w:val="0"/>
                    <w:keepLines w:val="0"/>
                    <w:suppressLineNumbers w:val="0"/>
                    <w:spacing w:before="0" w:beforeAutospacing="0" w:after="0" w:afterAutospacing="0"/>
                    <w:ind w:left="0" w:right="0"/>
                    <w:jc w:val="both"/>
                    <w:rPr>
                      <w:rFonts w:hint="default" w:ascii="Times New Roman" w:hAnsi="Times New Roman" w:cs="Times New Roman"/>
                      <w:color w:val="auto"/>
                      <w:sz w:val="20"/>
                      <w:szCs w:val="20"/>
                      <w:highlight w:val="none"/>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1B9596F6">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压裂返排液</w:t>
                  </w:r>
                </w:p>
              </w:tc>
              <w:tc>
                <w:tcPr>
                  <w:tcW w:w="3676" w:type="dxa"/>
                  <w:tcBorders>
                    <w:top w:val="single" w:color="auto" w:sz="4" w:space="0"/>
                    <w:left w:val="single" w:color="auto" w:sz="4" w:space="0"/>
                    <w:bottom w:val="single" w:color="auto" w:sz="4" w:space="0"/>
                    <w:right w:val="single" w:color="auto" w:sz="4" w:space="0"/>
                  </w:tcBorders>
                  <w:noWrap w:val="0"/>
                  <w:vAlign w:val="center"/>
                </w:tcPr>
                <w:p w14:paraId="52DE8DB4">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专用收集罐75m</w:t>
                  </w:r>
                  <w:r>
                    <w:rPr>
                      <w:rFonts w:hint="default" w:ascii="Times New Roman" w:hAnsi="Times New Roman" w:eastAsia="宋体" w:cs="Times New Roman"/>
                      <w:color w:val="auto"/>
                      <w:kern w:val="0"/>
                      <w:sz w:val="21"/>
                      <w:szCs w:val="21"/>
                      <w:highlight w:val="none"/>
                      <w:vertAlign w:val="superscript"/>
                      <w:lang w:val="en-US" w:eastAsia="zh-CN" w:bidi="ar"/>
                    </w:rPr>
                    <w:t>3</w:t>
                  </w:r>
                </w:p>
              </w:tc>
              <w:tc>
                <w:tcPr>
                  <w:tcW w:w="1203" w:type="dxa"/>
                  <w:tcBorders>
                    <w:top w:val="single" w:color="auto" w:sz="4" w:space="0"/>
                    <w:left w:val="single" w:color="auto" w:sz="4" w:space="0"/>
                    <w:bottom w:val="single" w:color="auto" w:sz="4" w:space="0"/>
                    <w:right w:val="single" w:color="auto" w:sz="4" w:space="0"/>
                  </w:tcBorders>
                  <w:noWrap w:val="0"/>
                  <w:vAlign w:val="center"/>
                </w:tcPr>
                <w:p w14:paraId="2DB481EA">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13个</w:t>
                  </w:r>
                </w:p>
              </w:tc>
              <w:tc>
                <w:tcPr>
                  <w:tcW w:w="1503" w:type="dxa"/>
                  <w:tcBorders>
                    <w:top w:val="single" w:color="auto" w:sz="4" w:space="0"/>
                    <w:left w:val="single" w:color="auto" w:sz="4" w:space="0"/>
                    <w:bottom w:val="single" w:color="auto" w:sz="4" w:space="0"/>
                    <w:right w:val="single" w:color="auto" w:sz="4" w:space="0"/>
                  </w:tcBorders>
                  <w:noWrap w:val="0"/>
                  <w:vAlign w:val="center"/>
                </w:tcPr>
                <w:p w14:paraId="75588FF6">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12</w:t>
                  </w:r>
                </w:p>
              </w:tc>
            </w:tr>
            <w:tr w14:paraId="10340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88" w:type="dxa"/>
                  <w:vMerge w:val="continue"/>
                  <w:tcBorders>
                    <w:top w:val="single" w:color="auto" w:sz="4" w:space="0"/>
                    <w:left w:val="single" w:color="auto" w:sz="4" w:space="0"/>
                    <w:bottom w:val="single" w:color="auto" w:sz="4" w:space="0"/>
                    <w:right w:val="single" w:color="auto" w:sz="4" w:space="0"/>
                  </w:tcBorders>
                  <w:noWrap w:val="0"/>
                  <w:vAlign w:val="center"/>
                </w:tcPr>
                <w:p w14:paraId="247EB224">
                  <w:pPr>
                    <w:keepNext w:val="0"/>
                    <w:keepLines w:val="0"/>
                    <w:suppressLineNumbers w:val="0"/>
                    <w:spacing w:before="0" w:beforeAutospacing="0" w:after="0" w:afterAutospacing="0"/>
                    <w:ind w:left="0" w:right="0"/>
                    <w:jc w:val="both"/>
                    <w:rPr>
                      <w:rFonts w:hint="default" w:ascii="Times New Roman" w:hAnsi="Times New Roman" w:cs="Times New Roman"/>
                      <w:color w:val="auto"/>
                      <w:sz w:val="20"/>
                      <w:szCs w:val="20"/>
                      <w:highlight w:val="none"/>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1F696FC5">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b w:val="0"/>
                      <w:bCs w:val="0"/>
                      <w:color w:val="auto"/>
                      <w:sz w:val="21"/>
                      <w:szCs w:val="21"/>
                      <w:highlight w:val="none"/>
                      <w:vertAlign w:val="baseline"/>
                      <w:lang w:val="en-US" w:eastAsia="zh-CN"/>
                    </w:rPr>
                    <w:t>放喷废水、</w:t>
                  </w:r>
                  <w:r>
                    <w:rPr>
                      <w:rFonts w:hint="default" w:ascii="Times New Roman" w:hAnsi="Times New Roman" w:eastAsia="宋体" w:cs="Times New Roman"/>
                      <w:b w:val="0"/>
                      <w:bCs w:val="0"/>
                      <w:color w:val="auto"/>
                      <w:sz w:val="21"/>
                      <w:szCs w:val="21"/>
                      <w:highlight w:val="none"/>
                      <w:vertAlign w:val="baseline"/>
                      <w:lang w:val="en-US" w:eastAsia="zh-CN"/>
                    </w:rPr>
                    <w:t>放喷</w:t>
                  </w:r>
                  <w:r>
                    <w:rPr>
                      <w:rFonts w:hint="eastAsia" w:ascii="Times New Roman" w:hAnsi="Times New Roman" w:eastAsia="宋体" w:cs="Times New Roman"/>
                      <w:b w:val="0"/>
                      <w:bCs w:val="0"/>
                      <w:color w:val="auto"/>
                      <w:sz w:val="21"/>
                      <w:szCs w:val="21"/>
                      <w:highlight w:val="none"/>
                      <w:vertAlign w:val="baseline"/>
                      <w:lang w:val="en-US" w:eastAsia="zh-CN"/>
                    </w:rPr>
                    <w:t>冷却水</w:t>
                  </w:r>
                </w:p>
              </w:tc>
              <w:tc>
                <w:tcPr>
                  <w:tcW w:w="3676" w:type="dxa"/>
                  <w:tcBorders>
                    <w:top w:val="single" w:color="auto" w:sz="4" w:space="0"/>
                    <w:left w:val="single" w:color="auto" w:sz="4" w:space="0"/>
                    <w:bottom w:val="single" w:color="auto" w:sz="4" w:space="0"/>
                    <w:right w:val="single" w:color="auto" w:sz="4" w:space="0"/>
                  </w:tcBorders>
                  <w:noWrap w:val="0"/>
                  <w:vAlign w:val="center"/>
                </w:tcPr>
                <w:p w14:paraId="3FF3E6F9">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放喷罐20</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eastAsia" w:ascii="Times New Roman" w:hAnsi="Times New Roman" w:eastAsia="宋体" w:cs="Times New Roman"/>
                      <w:b w:val="0"/>
                      <w:bCs w:val="0"/>
                      <w:color w:val="auto"/>
                      <w:sz w:val="21"/>
                      <w:szCs w:val="21"/>
                      <w:highlight w:val="none"/>
                      <w:vertAlign w:val="baseline"/>
                      <w:lang w:val="en-US" w:eastAsia="zh-CN"/>
                    </w:rPr>
                    <w:t>（放喷罐为双层罐，罐体中间隔层暂存放喷冷却水，内层暂存放喷废水）</w:t>
                  </w:r>
                </w:p>
              </w:tc>
              <w:tc>
                <w:tcPr>
                  <w:tcW w:w="1203" w:type="dxa"/>
                  <w:tcBorders>
                    <w:top w:val="single" w:color="auto" w:sz="4" w:space="0"/>
                    <w:left w:val="single" w:color="auto" w:sz="4" w:space="0"/>
                    <w:bottom w:val="single" w:color="auto" w:sz="4" w:space="0"/>
                    <w:right w:val="single" w:color="auto" w:sz="4" w:space="0"/>
                  </w:tcBorders>
                  <w:noWrap w:val="0"/>
                  <w:vAlign w:val="center"/>
                </w:tcPr>
                <w:p w14:paraId="3EDB3D24">
                  <w:pPr>
                    <w:pStyle w:val="15"/>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座</w:t>
                  </w:r>
                </w:p>
              </w:tc>
              <w:tc>
                <w:tcPr>
                  <w:tcW w:w="1503" w:type="dxa"/>
                  <w:tcBorders>
                    <w:top w:val="single" w:color="auto" w:sz="4" w:space="0"/>
                    <w:left w:val="single" w:color="auto" w:sz="4" w:space="0"/>
                    <w:bottom w:val="single" w:color="auto" w:sz="4" w:space="0"/>
                    <w:right w:val="single" w:color="auto" w:sz="4" w:space="0"/>
                  </w:tcBorders>
                  <w:noWrap w:val="0"/>
                  <w:vAlign w:val="center"/>
                </w:tcPr>
                <w:p w14:paraId="6874A318">
                  <w:pPr>
                    <w:pStyle w:val="15"/>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计入主体工程</w:t>
                  </w:r>
                </w:p>
              </w:tc>
            </w:tr>
            <w:tr w14:paraId="3E4AC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88" w:type="dxa"/>
                  <w:vMerge w:val="continue"/>
                  <w:tcBorders>
                    <w:top w:val="single" w:color="auto" w:sz="4" w:space="0"/>
                    <w:left w:val="single" w:color="auto" w:sz="4" w:space="0"/>
                    <w:bottom w:val="single" w:color="auto" w:sz="4" w:space="0"/>
                    <w:right w:val="single" w:color="auto" w:sz="4" w:space="0"/>
                  </w:tcBorders>
                  <w:noWrap w:val="0"/>
                  <w:vAlign w:val="center"/>
                </w:tcPr>
                <w:p w14:paraId="0A2EEC7D">
                  <w:pPr>
                    <w:keepNext w:val="0"/>
                    <w:keepLines w:val="0"/>
                    <w:suppressLineNumbers w:val="0"/>
                    <w:spacing w:before="0" w:beforeAutospacing="0" w:after="0" w:afterAutospacing="0"/>
                    <w:ind w:left="0" w:right="0"/>
                    <w:jc w:val="both"/>
                    <w:rPr>
                      <w:rFonts w:hint="default" w:ascii="Times New Roman" w:hAnsi="Times New Roman" w:cs="Times New Roman"/>
                      <w:color w:val="auto"/>
                      <w:sz w:val="20"/>
                      <w:szCs w:val="20"/>
                      <w:highlight w:val="none"/>
                    </w:rPr>
                  </w:pPr>
                </w:p>
              </w:tc>
              <w:tc>
                <w:tcPr>
                  <w:tcW w:w="1213" w:type="dxa"/>
                  <w:vMerge w:val="restart"/>
                  <w:tcBorders>
                    <w:top w:val="single" w:color="auto" w:sz="4" w:space="0"/>
                    <w:left w:val="single" w:color="auto" w:sz="4" w:space="0"/>
                    <w:bottom w:val="single" w:color="auto" w:sz="4" w:space="0"/>
                    <w:right w:val="single" w:color="auto" w:sz="4" w:space="0"/>
                  </w:tcBorders>
                  <w:noWrap w:val="0"/>
                  <w:vAlign w:val="center"/>
                </w:tcPr>
                <w:p w14:paraId="340C23BC">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生活污水</w:t>
                  </w:r>
                </w:p>
              </w:tc>
              <w:tc>
                <w:tcPr>
                  <w:tcW w:w="3676" w:type="dxa"/>
                  <w:tcBorders>
                    <w:top w:val="single" w:color="auto" w:sz="4" w:space="0"/>
                    <w:left w:val="single" w:color="auto" w:sz="4" w:space="0"/>
                    <w:bottom w:val="single" w:color="auto" w:sz="4" w:space="0"/>
                    <w:right w:val="single" w:color="auto" w:sz="4" w:space="0"/>
                  </w:tcBorders>
                  <w:noWrap w:val="0"/>
                  <w:vAlign w:val="center"/>
                </w:tcPr>
                <w:p w14:paraId="6B980934">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eastAsia" w:ascii="Times New Roman" w:hAnsi="Times New Roman" w:cs="Times New Roman"/>
                      <w:color w:val="auto"/>
                      <w:kern w:val="0"/>
                      <w:sz w:val="21"/>
                      <w:szCs w:val="21"/>
                      <w:highlight w:val="none"/>
                      <w:lang w:val="en-US" w:eastAsia="zh-CN" w:bidi="ar"/>
                    </w:rPr>
                    <w:t>卫生</w:t>
                  </w:r>
                  <w:r>
                    <w:rPr>
                      <w:rFonts w:hint="default" w:ascii="Times New Roman" w:hAnsi="Times New Roman" w:eastAsia="宋体" w:cs="Times New Roman"/>
                      <w:color w:val="auto"/>
                      <w:kern w:val="0"/>
                      <w:sz w:val="21"/>
                      <w:szCs w:val="21"/>
                      <w:highlight w:val="none"/>
                      <w:lang w:val="en-US" w:eastAsia="zh-CN" w:bidi="ar"/>
                    </w:rPr>
                    <w:t>旱厕</w:t>
                  </w:r>
                </w:p>
              </w:tc>
              <w:tc>
                <w:tcPr>
                  <w:tcW w:w="1203" w:type="dxa"/>
                  <w:tcBorders>
                    <w:top w:val="single" w:color="auto" w:sz="4" w:space="0"/>
                    <w:left w:val="single" w:color="auto" w:sz="4" w:space="0"/>
                    <w:bottom w:val="single" w:color="auto" w:sz="4" w:space="0"/>
                    <w:right w:val="single" w:color="auto" w:sz="4" w:space="0"/>
                  </w:tcBorders>
                  <w:noWrap w:val="0"/>
                  <w:vAlign w:val="center"/>
                </w:tcPr>
                <w:p w14:paraId="53C9BCC9">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个</w:t>
                  </w:r>
                </w:p>
              </w:tc>
              <w:tc>
                <w:tcPr>
                  <w:tcW w:w="1503" w:type="dxa"/>
                  <w:tcBorders>
                    <w:top w:val="single" w:color="auto" w:sz="4" w:space="0"/>
                    <w:left w:val="single" w:color="auto" w:sz="4" w:space="0"/>
                    <w:bottom w:val="single" w:color="auto" w:sz="4" w:space="0"/>
                    <w:right w:val="single" w:color="auto" w:sz="4" w:space="0"/>
                  </w:tcBorders>
                  <w:noWrap w:val="0"/>
                  <w:vAlign w:val="center"/>
                </w:tcPr>
                <w:p w14:paraId="6B017251">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1</w:t>
                  </w:r>
                </w:p>
              </w:tc>
            </w:tr>
            <w:tr w14:paraId="1127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88" w:type="dxa"/>
                  <w:vMerge w:val="continue"/>
                  <w:tcBorders>
                    <w:top w:val="single" w:color="auto" w:sz="4" w:space="0"/>
                    <w:left w:val="single" w:color="auto" w:sz="4" w:space="0"/>
                    <w:bottom w:val="single" w:color="auto" w:sz="4" w:space="0"/>
                    <w:right w:val="single" w:color="auto" w:sz="4" w:space="0"/>
                  </w:tcBorders>
                  <w:noWrap w:val="0"/>
                  <w:vAlign w:val="center"/>
                </w:tcPr>
                <w:p w14:paraId="0CE1067D">
                  <w:pPr>
                    <w:keepNext w:val="0"/>
                    <w:keepLines w:val="0"/>
                    <w:suppressLineNumbers w:val="0"/>
                    <w:spacing w:before="0" w:beforeAutospacing="0" w:after="0" w:afterAutospacing="0"/>
                    <w:ind w:left="0" w:right="0"/>
                    <w:jc w:val="both"/>
                    <w:rPr>
                      <w:rFonts w:hint="default" w:ascii="Times New Roman" w:hAnsi="Times New Roman" w:cs="Times New Roman"/>
                      <w:color w:val="auto"/>
                      <w:sz w:val="20"/>
                      <w:szCs w:val="20"/>
                      <w:highlight w:val="none"/>
                    </w:rPr>
                  </w:pPr>
                </w:p>
              </w:tc>
              <w:tc>
                <w:tcPr>
                  <w:tcW w:w="1213" w:type="dxa"/>
                  <w:vMerge w:val="continue"/>
                  <w:tcBorders>
                    <w:top w:val="single" w:color="auto" w:sz="4" w:space="0"/>
                    <w:left w:val="single" w:color="auto" w:sz="4" w:space="0"/>
                    <w:bottom w:val="single" w:color="auto" w:sz="4" w:space="0"/>
                    <w:right w:val="single" w:color="auto" w:sz="4" w:space="0"/>
                  </w:tcBorders>
                  <w:noWrap w:val="0"/>
                  <w:vAlign w:val="center"/>
                </w:tcPr>
                <w:p w14:paraId="12BA0824">
                  <w:pPr>
                    <w:keepNext w:val="0"/>
                    <w:keepLines w:val="0"/>
                    <w:suppressLineNumbers w:val="0"/>
                    <w:spacing w:before="0" w:beforeAutospacing="0" w:after="0" w:afterAutospacing="0"/>
                    <w:ind w:left="0" w:right="0"/>
                    <w:jc w:val="both"/>
                    <w:rPr>
                      <w:rFonts w:hint="default" w:ascii="Times New Roman" w:hAnsi="Times New Roman" w:cs="Times New Roman"/>
                      <w:color w:val="auto"/>
                      <w:sz w:val="20"/>
                      <w:szCs w:val="20"/>
                      <w:highlight w:val="none"/>
                    </w:rPr>
                  </w:pPr>
                </w:p>
              </w:tc>
              <w:tc>
                <w:tcPr>
                  <w:tcW w:w="3676" w:type="dxa"/>
                  <w:tcBorders>
                    <w:top w:val="single" w:color="auto" w:sz="4" w:space="0"/>
                    <w:left w:val="single" w:color="auto" w:sz="4" w:space="0"/>
                    <w:bottom w:val="single" w:color="auto" w:sz="4" w:space="0"/>
                    <w:right w:val="single" w:color="auto" w:sz="4" w:space="0"/>
                  </w:tcBorders>
                  <w:noWrap w:val="0"/>
                  <w:vAlign w:val="center"/>
                </w:tcPr>
                <w:p w14:paraId="29B24C13">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沉淀</w:t>
                  </w:r>
                  <w:r>
                    <w:rPr>
                      <w:rFonts w:hint="eastAsia" w:ascii="Times New Roman" w:hAnsi="Times New Roman" w:cs="Times New Roman"/>
                      <w:color w:val="auto"/>
                      <w:kern w:val="0"/>
                      <w:sz w:val="21"/>
                      <w:szCs w:val="21"/>
                      <w:highlight w:val="none"/>
                      <w:lang w:val="en-US" w:eastAsia="zh-CN" w:bidi="ar"/>
                    </w:rPr>
                    <w:t>罐</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cs="Times New Roman"/>
                      <w:color w:val="auto"/>
                      <w:kern w:val="0"/>
                      <w:sz w:val="21"/>
                      <w:szCs w:val="21"/>
                      <w:highlight w:val="none"/>
                      <w:lang w:val="en-US" w:eastAsia="zh-CN" w:bidi="ar"/>
                    </w:rPr>
                    <w:t>15</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w:t>
                  </w:r>
                </w:p>
              </w:tc>
              <w:tc>
                <w:tcPr>
                  <w:tcW w:w="1203" w:type="dxa"/>
                  <w:tcBorders>
                    <w:top w:val="single" w:color="auto" w:sz="4" w:space="0"/>
                    <w:left w:val="single" w:color="auto" w:sz="4" w:space="0"/>
                    <w:bottom w:val="single" w:color="auto" w:sz="4" w:space="0"/>
                    <w:right w:val="single" w:color="auto" w:sz="4" w:space="0"/>
                  </w:tcBorders>
                  <w:noWrap w:val="0"/>
                  <w:vAlign w:val="center"/>
                </w:tcPr>
                <w:p w14:paraId="6E49AC7E">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座</w:t>
                  </w:r>
                </w:p>
              </w:tc>
              <w:tc>
                <w:tcPr>
                  <w:tcW w:w="1503" w:type="dxa"/>
                  <w:tcBorders>
                    <w:top w:val="single" w:color="auto" w:sz="4" w:space="0"/>
                    <w:left w:val="single" w:color="auto" w:sz="4" w:space="0"/>
                    <w:bottom w:val="single" w:color="auto" w:sz="4" w:space="0"/>
                    <w:right w:val="single" w:color="auto" w:sz="4" w:space="0"/>
                  </w:tcBorders>
                  <w:noWrap w:val="0"/>
                  <w:vAlign w:val="center"/>
                </w:tcPr>
                <w:p w14:paraId="3A5D5CD1">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0.5</w:t>
                  </w:r>
                </w:p>
              </w:tc>
            </w:tr>
            <w:tr w14:paraId="0A248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4" w:hRule="atLeast"/>
                <w:jc w:val="center"/>
              </w:trPr>
              <w:tc>
                <w:tcPr>
                  <w:tcW w:w="588" w:type="dxa"/>
                  <w:tcBorders>
                    <w:top w:val="single" w:color="auto" w:sz="4" w:space="0"/>
                    <w:left w:val="single" w:color="auto" w:sz="4" w:space="0"/>
                    <w:bottom w:val="single" w:color="auto" w:sz="4" w:space="0"/>
                    <w:right w:val="single" w:color="auto" w:sz="4" w:space="0"/>
                  </w:tcBorders>
                  <w:noWrap w:val="0"/>
                  <w:vAlign w:val="center"/>
                </w:tcPr>
                <w:p w14:paraId="2117C1F4">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噪声</w:t>
                  </w:r>
                </w:p>
              </w:tc>
              <w:tc>
                <w:tcPr>
                  <w:tcW w:w="1213" w:type="dxa"/>
                  <w:tcBorders>
                    <w:top w:val="single" w:color="auto" w:sz="4" w:space="0"/>
                    <w:left w:val="single" w:color="auto" w:sz="4" w:space="0"/>
                    <w:bottom w:val="single" w:color="auto" w:sz="4" w:space="0"/>
                    <w:right w:val="single" w:color="auto" w:sz="4" w:space="0"/>
                  </w:tcBorders>
                  <w:noWrap w:val="0"/>
                  <w:vAlign w:val="center"/>
                </w:tcPr>
                <w:p w14:paraId="068E3FF3">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钻井设备</w:t>
                  </w:r>
                </w:p>
              </w:tc>
              <w:tc>
                <w:tcPr>
                  <w:tcW w:w="3676" w:type="dxa"/>
                  <w:tcBorders>
                    <w:top w:val="single" w:color="auto" w:sz="4" w:space="0"/>
                    <w:left w:val="single" w:color="auto" w:sz="4" w:space="0"/>
                    <w:bottom w:val="single" w:color="auto" w:sz="4" w:space="0"/>
                    <w:right w:val="single" w:color="auto" w:sz="4" w:space="0"/>
                  </w:tcBorders>
                  <w:noWrap w:val="0"/>
                  <w:vAlign w:val="center"/>
                </w:tcPr>
                <w:p w14:paraId="510488DF">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选用低噪声设备、基础减振</w:t>
                  </w:r>
                  <w:r>
                    <w:rPr>
                      <w:rFonts w:hint="eastAsia" w:ascii="Times New Roman" w:hAnsi="Times New Roman" w:cs="Times New Roman"/>
                      <w:color w:val="auto"/>
                      <w:kern w:val="0"/>
                      <w:sz w:val="21"/>
                      <w:szCs w:val="21"/>
                      <w:highlight w:val="none"/>
                      <w:lang w:val="en-US" w:eastAsia="zh-CN" w:bidi="ar"/>
                    </w:rPr>
                    <w:t>、</w:t>
                  </w:r>
                  <w:r>
                    <w:rPr>
                      <w:rFonts w:hint="default" w:ascii="Times New Roman" w:hAnsi="Times New Roman" w:cs="Times New Roman"/>
                      <w:color w:val="auto"/>
                      <w:sz w:val="21"/>
                      <w:szCs w:val="21"/>
                      <w:highlight w:val="none"/>
                      <w:lang w:val="en-US" w:eastAsia="zh-CN"/>
                    </w:rPr>
                    <w:t>设置隔声墙</w:t>
                  </w:r>
                </w:p>
              </w:tc>
              <w:tc>
                <w:tcPr>
                  <w:tcW w:w="1203" w:type="dxa"/>
                  <w:tcBorders>
                    <w:top w:val="single" w:color="auto" w:sz="4" w:space="0"/>
                    <w:left w:val="single" w:color="auto" w:sz="4" w:space="0"/>
                    <w:bottom w:val="single" w:color="auto" w:sz="4" w:space="0"/>
                    <w:right w:val="single" w:color="auto" w:sz="4" w:space="0"/>
                  </w:tcBorders>
                  <w:noWrap w:val="0"/>
                  <w:vAlign w:val="center"/>
                </w:tcPr>
                <w:p w14:paraId="0ED0D0AB">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1503" w:type="dxa"/>
                  <w:tcBorders>
                    <w:top w:val="single" w:color="auto" w:sz="4" w:space="0"/>
                    <w:left w:val="single" w:color="auto" w:sz="4" w:space="0"/>
                    <w:bottom w:val="single" w:color="auto" w:sz="4" w:space="0"/>
                    <w:right w:val="single" w:color="auto" w:sz="4" w:space="0"/>
                  </w:tcBorders>
                  <w:noWrap w:val="0"/>
                  <w:vAlign w:val="center"/>
                </w:tcPr>
                <w:p w14:paraId="5D085FE5">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5</w:t>
                  </w:r>
                </w:p>
              </w:tc>
            </w:tr>
            <w:tr w14:paraId="4C063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88" w:type="dxa"/>
                  <w:vMerge w:val="restart"/>
                  <w:tcBorders>
                    <w:top w:val="single" w:color="auto" w:sz="4" w:space="0"/>
                    <w:left w:val="single" w:color="auto" w:sz="4" w:space="0"/>
                    <w:bottom w:val="single" w:color="auto" w:sz="4" w:space="0"/>
                    <w:right w:val="single" w:color="auto" w:sz="4" w:space="0"/>
                  </w:tcBorders>
                  <w:noWrap w:val="0"/>
                  <w:vAlign w:val="center"/>
                </w:tcPr>
                <w:p w14:paraId="77597031">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固体废物</w:t>
                  </w:r>
                </w:p>
              </w:tc>
              <w:tc>
                <w:tcPr>
                  <w:tcW w:w="1213" w:type="dxa"/>
                  <w:tcBorders>
                    <w:top w:val="single" w:color="auto" w:sz="4" w:space="0"/>
                    <w:left w:val="single" w:color="auto" w:sz="4" w:space="0"/>
                    <w:right w:val="single" w:color="auto" w:sz="4" w:space="0"/>
                  </w:tcBorders>
                  <w:noWrap w:val="0"/>
                  <w:vAlign w:val="center"/>
                </w:tcPr>
                <w:p w14:paraId="591B048D">
                  <w:pPr>
                    <w:pStyle w:val="15"/>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危险废物</w:t>
                  </w:r>
                </w:p>
              </w:tc>
              <w:tc>
                <w:tcPr>
                  <w:tcW w:w="3676" w:type="dxa"/>
                  <w:tcBorders>
                    <w:top w:val="single" w:color="auto" w:sz="4" w:space="0"/>
                    <w:left w:val="single" w:color="auto" w:sz="4" w:space="0"/>
                    <w:bottom w:val="single" w:color="auto" w:sz="4" w:space="0"/>
                    <w:right w:val="single" w:color="auto" w:sz="4" w:space="0"/>
                  </w:tcBorders>
                  <w:noWrap w:val="0"/>
                  <w:vAlign w:val="center"/>
                </w:tcPr>
                <w:p w14:paraId="7871D676">
                  <w:pPr>
                    <w:pStyle w:val="15"/>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
                    </w:rPr>
                    <w:t>危废贮存库</w:t>
                  </w:r>
                </w:p>
              </w:tc>
              <w:tc>
                <w:tcPr>
                  <w:tcW w:w="1203" w:type="dxa"/>
                  <w:tcBorders>
                    <w:top w:val="single" w:color="auto" w:sz="4" w:space="0"/>
                    <w:left w:val="single" w:color="auto" w:sz="4" w:space="0"/>
                    <w:bottom w:val="single" w:color="auto" w:sz="4" w:space="0"/>
                    <w:right w:val="single" w:color="auto" w:sz="4" w:space="0"/>
                  </w:tcBorders>
                  <w:noWrap w:val="0"/>
                  <w:vAlign w:val="center"/>
                </w:tcPr>
                <w:p w14:paraId="6F3809AA">
                  <w:pPr>
                    <w:pStyle w:val="15"/>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个</w:t>
                  </w:r>
                </w:p>
              </w:tc>
              <w:tc>
                <w:tcPr>
                  <w:tcW w:w="1503" w:type="dxa"/>
                  <w:tcBorders>
                    <w:top w:val="single" w:color="auto" w:sz="4" w:space="0"/>
                    <w:left w:val="single" w:color="auto" w:sz="4" w:space="0"/>
                    <w:bottom w:val="single" w:color="auto" w:sz="4" w:space="0"/>
                    <w:right w:val="single" w:color="auto" w:sz="4" w:space="0"/>
                  </w:tcBorders>
                  <w:noWrap w:val="0"/>
                  <w:vAlign w:val="center"/>
                </w:tcPr>
                <w:p w14:paraId="7F759EDF">
                  <w:pPr>
                    <w:pStyle w:val="15"/>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
                    </w:rPr>
                    <w:t>5</w:t>
                  </w:r>
                </w:p>
              </w:tc>
            </w:tr>
            <w:tr w14:paraId="5FE73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88" w:type="dxa"/>
                  <w:vMerge w:val="continue"/>
                  <w:tcBorders>
                    <w:top w:val="single" w:color="auto" w:sz="4" w:space="0"/>
                    <w:left w:val="single" w:color="auto" w:sz="4" w:space="0"/>
                    <w:bottom w:val="single" w:color="auto" w:sz="4" w:space="0"/>
                    <w:right w:val="single" w:color="auto" w:sz="4" w:space="0"/>
                  </w:tcBorders>
                  <w:noWrap w:val="0"/>
                  <w:vAlign w:val="center"/>
                </w:tcPr>
                <w:p w14:paraId="0914A724">
                  <w:pPr>
                    <w:keepNext w:val="0"/>
                    <w:keepLines w:val="0"/>
                    <w:suppressLineNumbers w:val="0"/>
                    <w:spacing w:before="0" w:beforeAutospacing="0" w:after="0" w:afterAutospacing="0"/>
                    <w:ind w:left="0" w:right="0"/>
                    <w:jc w:val="both"/>
                    <w:rPr>
                      <w:rFonts w:hint="default" w:ascii="Times New Roman" w:hAnsi="Times New Roman" w:cs="Times New Roman"/>
                      <w:color w:val="auto"/>
                      <w:sz w:val="20"/>
                      <w:szCs w:val="20"/>
                      <w:highlight w:val="none"/>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4848320D">
                  <w:pPr>
                    <w:pStyle w:val="15"/>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生活垃圾</w:t>
                  </w:r>
                </w:p>
              </w:tc>
              <w:tc>
                <w:tcPr>
                  <w:tcW w:w="3676" w:type="dxa"/>
                  <w:tcBorders>
                    <w:top w:val="single" w:color="auto" w:sz="4" w:space="0"/>
                    <w:left w:val="single" w:color="auto" w:sz="4" w:space="0"/>
                    <w:bottom w:val="single" w:color="auto" w:sz="4" w:space="0"/>
                    <w:right w:val="single" w:color="auto" w:sz="4" w:space="0"/>
                  </w:tcBorders>
                  <w:noWrap w:val="0"/>
                  <w:vAlign w:val="center"/>
                </w:tcPr>
                <w:p w14:paraId="12801191">
                  <w:pPr>
                    <w:pStyle w:val="15"/>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经垃圾桶集中收集后由交由当地环卫部门集中处置。</w:t>
                  </w:r>
                </w:p>
              </w:tc>
              <w:tc>
                <w:tcPr>
                  <w:tcW w:w="1203" w:type="dxa"/>
                  <w:tcBorders>
                    <w:top w:val="single" w:color="auto" w:sz="4" w:space="0"/>
                    <w:left w:val="single" w:color="auto" w:sz="4" w:space="0"/>
                    <w:bottom w:val="single" w:color="auto" w:sz="4" w:space="0"/>
                    <w:right w:val="single" w:color="auto" w:sz="4" w:space="0"/>
                  </w:tcBorders>
                  <w:noWrap w:val="0"/>
                  <w:vAlign w:val="center"/>
                </w:tcPr>
                <w:p w14:paraId="44EB1463">
                  <w:pPr>
                    <w:pStyle w:val="15"/>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若干</w:t>
                  </w:r>
                </w:p>
              </w:tc>
              <w:tc>
                <w:tcPr>
                  <w:tcW w:w="1503" w:type="dxa"/>
                  <w:tcBorders>
                    <w:top w:val="single" w:color="auto" w:sz="4" w:space="0"/>
                    <w:left w:val="single" w:color="auto" w:sz="4" w:space="0"/>
                    <w:bottom w:val="single" w:color="auto" w:sz="4" w:space="0"/>
                    <w:right w:val="single" w:color="auto" w:sz="4" w:space="0"/>
                  </w:tcBorders>
                  <w:noWrap w:val="0"/>
                  <w:vAlign w:val="center"/>
                </w:tcPr>
                <w:p w14:paraId="2337C697">
                  <w:pPr>
                    <w:pStyle w:val="15"/>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0.5</w:t>
                  </w:r>
                </w:p>
              </w:tc>
            </w:tr>
            <w:tr w14:paraId="29643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27" w:hRule="atLeast"/>
                <w:jc w:val="center"/>
              </w:trPr>
              <w:tc>
                <w:tcPr>
                  <w:tcW w:w="1801" w:type="dxa"/>
                  <w:gridSpan w:val="2"/>
                  <w:tcBorders>
                    <w:top w:val="single" w:color="auto" w:sz="4" w:space="0"/>
                    <w:left w:val="single" w:color="auto" w:sz="4" w:space="0"/>
                    <w:right w:val="single" w:color="auto" w:sz="4" w:space="0"/>
                  </w:tcBorders>
                  <w:noWrap w:val="0"/>
                  <w:vAlign w:val="center"/>
                </w:tcPr>
                <w:p w14:paraId="4F726258">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地下水污染防治</w:t>
                  </w:r>
                </w:p>
              </w:tc>
              <w:tc>
                <w:tcPr>
                  <w:tcW w:w="3676" w:type="dxa"/>
                  <w:tcBorders>
                    <w:top w:val="single" w:color="auto" w:sz="4" w:space="0"/>
                    <w:left w:val="single" w:color="auto" w:sz="4" w:space="0"/>
                    <w:bottom w:val="single" w:color="auto" w:sz="4" w:space="0"/>
                    <w:right w:val="single" w:color="auto" w:sz="4" w:space="0"/>
                  </w:tcBorders>
                  <w:noWrap w:val="0"/>
                  <w:vAlign w:val="center"/>
                </w:tcPr>
                <w:p w14:paraId="2DB98716">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钻井工作区、泥浆不落地系统区、钻井液材料房、储罐区</w:t>
                  </w:r>
                  <w:r>
                    <w:rPr>
                      <w:rFonts w:hint="eastAsia" w:ascii="Times New Roman" w:hAnsi="Times New Roman" w:cs="Times New Roman"/>
                      <w:color w:val="auto"/>
                      <w:kern w:val="0"/>
                      <w:sz w:val="21"/>
                      <w:szCs w:val="21"/>
                      <w:highlight w:val="none"/>
                      <w:lang w:val="en-US" w:eastAsia="zh-CN" w:bidi="ar"/>
                    </w:rPr>
                    <w:t>、放喷罐、</w:t>
                  </w:r>
                  <w:r>
                    <w:rPr>
                      <w:rFonts w:hint="default" w:ascii="Times New Roman" w:hAnsi="Times New Roman" w:eastAsia="宋体" w:cs="Times New Roman"/>
                      <w:color w:val="auto"/>
                      <w:kern w:val="0"/>
                      <w:sz w:val="21"/>
                      <w:szCs w:val="21"/>
                      <w:highlight w:val="none"/>
                      <w:lang w:val="en-US" w:eastAsia="zh-CN" w:bidi="ar"/>
                    </w:rPr>
                    <w:t>撬装式</w:t>
                  </w:r>
                  <w:r>
                    <w:rPr>
                      <w:rFonts w:hint="eastAsia" w:ascii="Times New Roman" w:hAnsi="Times New Roman" w:cs="Times New Roman"/>
                      <w:color w:val="auto"/>
                      <w:kern w:val="0"/>
                      <w:sz w:val="21"/>
                      <w:szCs w:val="21"/>
                      <w:highlight w:val="none"/>
                      <w:lang w:val="en-US" w:eastAsia="zh-CN" w:bidi="ar"/>
                    </w:rPr>
                    <w:t>危废贮存库</w:t>
                  </w:r>
                  <w:r>
                    <w:rPr>
                      <w:rFonts w:hint="default" w:ascii="Times New Roman" w:hAnsi="Times New Roman" w:eastAsia="宋体" w:cs="Times New Roman"/>
                      <w:color w:val="auto"/>
                      <w:kern w:val="0"/>
                      <w:sz w:val="21"/>
                      <w:szCs w:val="21"/>
                      <w:highlight w:val="none"/>
                      <w:lang w:val="en-US" w:eastAsia="zh-CN" w:bidi="ar"/>
                    </w:rPr>
                    <w:t>重点防渗处理</w:t>
                  </w:r>
                </w:p>
              </w:tc>
              <w:tc>
                <w:tcPr>
                  <w:tcW w:w="1203" w:type="dxa"/>
                  <w:tcBorders>
                    <w:top w:val="single" w:color="auto" w:sz="4" w:space="0"/>
                    <w:left w:val="single" w:color="auto" w:sz="4" w:space="0"/>
                    <w:right w:val="single" w:color="auto" w:sz="4" w:space="0"/>
                  </w:tcBorders>
                  <w:noWrap w:val="0"/>
                  <w:vAlign w:val="center"/>
                </w:tcPr>
                <w:p w14:paraId="69970FF7">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1503" w:type="dxa"/>
                  <w:tcBorders>
                    <w:top w:val="single" w:color="auto" w:sz="4" w:space="0"/>
                    <w:left w:val="single" w:color="auto" w:sz="4" w:space="0"/>
                    <w:right w:val="single" w:color="auto" w:sz="4" w:space="0"/>
                  </w:tcBorders>
                  <w:noWrap w:val="0"/>
                  <w:vAlign w:val="center"/>
                </w:tcPr>
                <w:p w14:paraId="1BE23204">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10</w:t>
                  </w:r>
                </w:p>
              </w:tc>
            </w:tr>
            <w:tr w14:paraId="203E3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01" w:type="dxa"/>
                  <w:gridSpan w:val="2"/>
                  <w:tcBorders>
                    <w:top w:val="single" w:color="auto" w:sz="4" w:space="0"/>
                    <w:left w:val="single" w:color="auto" w:sz="4" w:space="0"/>
                    <w:bottom w:val="single" w:color="auto" w:sz="4" w:space="0"/>
                    <w:right w:val="single" w:color="auto" w:sz="4" w:space="0"/>
                  </w:tcBorders>
                  <w:noWrap w:val="0"/>
                  <w:vAlign w:val="center"/>
                </w:tcPr>
                <w:p w14:paraId="5F6D7A6B">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风险防范</w:t>
                  </w:r>
                </w:p>
              </w:tc>
              <w:tc>
                <w:tcPr>
                  <w:tcW w:w="3676" w:type="dxa"/>
                  <w:tcBorders>
                    <w:top w:val="single" w:color="auto" w:sz="4" w:space="0"/>
                    <w:left w:val="single" w:color="auto" w:sz="4" w:space="0"/>
                    <w:bottom w:val="single" w:color="auto" w:sz="4" w:space="0"/>
                    <w:right w:val="single" w:color="auto" w:sz="4" w:space="0"/>
                  </w:tcBorders>
                  <w:noWrap w:val="0"/>
                  <w:vAlign w:val="center"/>
                </w:tcPr>
                <w:p w14:paraId="7E9DCB98">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4"/>
                      <w:highlight w:val="none"/>
                      <w:lang w:val="en-US" w:eastAsia="zh-CN" w:bidi="ar"/>
                    </w:rPr>
                    <w:t>井口安装防喷器和控制装置，</w:t>
                  </w:r>
                  <w:r>
                    <w:rPr>
                      <w:rFonts w:hint="eastAsia" w:ascii="Times New Roman" w:hAnsi="Times New Roman" w:cs="Times New Roman"/>
                      <w:color w:val="auto"/>
                      <w:kern w:val="0"/>
                      <w:sz w:val="21"/>
                      <w:szCs w:val="24"/>
                      <w:highlight w:val="none"/>
                      <w:lang w:val="en-US" w:eastAsia="zh-CN" w:bidi="ar"/>
                    </w:rPr>
                    <w:t>重点防渗</w:t>
                  </w:r>
                  <w:r>
                    <w:rPr>
                      <w:rFonts w:hint="default" w:ascii="Times New Roman" w:hAnsi="Times New Roman" w:eastAsia="宋体" w:cs="Times New Roman"/>
                      <w:color w:val="auto"/>
                      <w:kern w:val="0"/>
                      <w:sz w:val="21"/>
                      <w:szCs w:val="24"/>
                      <w:highlight w:val="none"/>
                      <w:lang w:val="en-US" w:eastAsia="zh-CN" w:bidi="ar"/>
                    </w:rPr>
                    <w:t>，</w:t>
                  </w:r>
                  <w:r>
                    <w:rPr>
                      <w:rFonts w:hint="eastAsia" w:ascii="Times New Roman" w:hAnsi="Times New Roman" w:eastAsia="宋体" w:cs="Times New Roman"/>
                      <w:color w:val="auto"/>
                      <w:kern w:val="0"/>
                      <w:sz w:val="21"/>
                      <w:szCs w:val="24"/>
                      <w:highlight w:val="none"/>
                      <w:lang w:val="en-US" w:eastAsia="zh-CN" w:bidi="ar"/>
                    </w:rPr>
                    <w:t>警示牌，应急物资等</w:t>
                  </w:r>
                  <w:r>
                    <w:rPr>
                      <w:rFonts w:hint="default" w:ascii="Times New Roman" w:hAnsi="Times New Roman" w:eastAsia="宋体" w:cs="Times New Roman"/>
                      <w:color w:val="auto"/>
                      <w:kern w:val="0"/>
                      <w:sz w:val="21"/>
                      <w:szCs w:val="24"/>
                      <w:highlight w:val="none"/>
                      <w:lang w:val="en-US" w:eastAsia="zh-CN" w:bidi="ar"/>
                    </w:rPr>
                    <w:t>。</w:t>
                  </w:r>
                </w:p>
              </w:tc>
              <w:tc>
                <w:tcPr>
                  <w:tcW w:w="1203" w:type="dxa"/>
                  <w:tcBorders>
                    <w:top w:val="single" w:color="auto" w:sz="4" w:space="0"/>
                    <w:left w:val="single" w:color="auto" w:sz="4" w:space="0"/>
                    <w:bottom w:val="single" w:color="auto" w:sz="4" w:space="0"/>
                    <w:right w:val="single" w:color="auto" w:sz="4" w:space="0"/>
                  </w:tcBorders>
                  <w:noWrap w:val="0"/>
                  <w:vAlign w:val="center"/>
                </w:tcPr>
                <w:p w14:paraId="70D15CD4">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1503" w:type="dxa"/>
                  <w:tcBorders>
                    <w:top w:val="single" w:color="auto" w:sz="4" w:space="0"/>
                    <w:left w:val="single" w:color="auto" w:sz="4" w:space="0"/>
                    <w:bottom w:val="single" w:color="auto" w:sz="4" w:space="0"/>
                    <w:right w:val="single" w:color="auto" w:sz="4" w:space="0"/>
                  </w:tcBorders>
                  <w:noWrap w:val="0"/>
                  <w:vAlign w:val="center"/>
                </w:tcPr>
                <w:p w14:paraId="14B183B4">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5</w:t>
                  </w:r>
                </w:p>
              </w:tc>
            </w:tr>
            <w:tr w14:paraId="3F91F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01" w:type="dxa"/>
                  <w:gridSpan w:val="2"/>
                  <w:tcBorders>
                    <w:top w:val="single" w:color="auto" w:sz="4" w:space="0"/>
                    <w:left w:val="single" w:color="auto" w:sz="4" w:space="0"/>
                    <w:bottom w:val="single" w:color="auto" w:sz="4" w:space="0"/>
                    <w:right w:val="single" w:color="auto" w:sz="4" w:space="0"/>
                  </w:tcBorders>
                  <w:noWrap w:val="0"/>
                  <w:vAlign w:val="center"/>
                </w:tcPr>
                <w:p w14:paraId="466AFD17">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生态恢复</w:t>
                  </w:r>
                </w:p>
              </w:tc>
              <w:tc>
                <w:tcPr>
                  <w:tcW w:w="3676" w:type="dxa"/>
                  <w:tcBorders>
                    <w:top w:val="single" w:color="auto" w:sz="4" w:space="0"/>
                    <w:left w:val="single" w:color="auto" w:sz="4" w:space="0"/>
                    <w:bottom w:val="single" w:color="auto" w:sz="4" w:space="0"/>
                    <w:right w:val="single" w:color="auto" w:sz="4" w:space="0"/>
                  </w:tcBorders>
                  <w:noWrap w:val="0"/>
                  <w:vAlign w:val="center"/>
                </w:tcPr>
                <w:p w14:paraId="18BA8900">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覆土平整、恢复原有使用功能</w:t>
                  </w:r>
                </w:p>
              </w:tc>
              <w:tc>
                <w:tcPr>
                  <w:tcW w:w="1203" w:type="dxa"/>
                  <w:tcBorders>
                    <w:top w:val="single" w:color="auto" w:sz="4" w:space="0"/>
                    <w:left w:val="single" w:color="auto" w:sz="4" w:space="0"/>
                    <w:bottom w:val="single" w:color="auto" w:sz="4" w:space="0"/>
                    <w:right w:val="single" w:color="auto" w:sz="4" w:space="0"/>
                  </w:tcBorders>
                  <w:noWrap w:val="0"/>
                  <w:vAlign w:val="center"/>
                </w:tcPr>
                <w:p w14:paraId="067A9179">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16559</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kern w:val="0"/>
                      <w:sz w:val="21"/>
                      <w:szCs w:val="21"/>
                      <w:highlight w:val="none"/>
                      <w:vertAlign w:val="superscript"/>
                      <w:lang w:val="en-US" w:eastAsia="zh-CN" w:bidi="ar"/>
                    </w:rPr>
                    <w:t>2</w:t>
                  </w:r>
                </w:p>
              </w:tc>
              <w:tc>
                <w:tcPr>
                  <w:tcW w:w="1503" w:type="dxa"/>
                  <w:tcBorders>
                    <w:top w:val="single" w:color="auto" w:sz="4" w:space="0"/>
                    <w:left w:val="single" w:color="auto" w:sz="4" w:space="0"/>
                    <w:bottom w:val="single" w:color="auto" w:sz="4" w:space="0"/>
                    <w:right w:val="single" w:color="auto" w:sz="4" w:space="0"/>
                  </w:tcBorders>
                  <w:noWrap w:val="0"/>
                  <w:vAlign w:val="center"/>
                </w:tcPr>
                <w:p w14:paraId="24EC9DA4">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20</w:t>
                  </w:r>
                </w:p>
              </w:tc>
            </w:tr>
            <w:tr w14:paraId="6E2DA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680" w:type="dxa"/>
                  <w:gridSpan w:val="4"/>
                  <w:tcBorders>
                    <w:top w:val="single" w:color="auto" w:sz="4" w:space="0"/>
                    <w:left w:val="single" w:color="auto" w:sz="4" w:space="0"/>
                    <w:bottom w:val="single" w:color="auto" w:sz="4" w:space="0"/>
                    <w:right w:val="single" w:color="auto" w:sz="4" w:space="0"/>
                  </w:tcBorders>
                  <w:noWrap w:val="0"/>
                  <w:vAlign w:val="center"/>
                </w:tcPr>
                <w:p w14:paraId="2625C295">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合计</w:t>
                  </w:r>
                </w:p>
              </w:tc>
              <w:tc>
                <w:tcPr>
                  <w:tcW w:w="1503" w:type="dxa"/>
                  <w:tcBorders>
                    <w:top w:val="single" w:color="auto" w:sz="4" w:space="0"/>
                    <w:left w:val="single" w:color="auto" w:sz="4" w:space="0"/>
                    <w:bottom w:val="single" w:color="auto" w:sz="4" w:space="0"/>
                    <w:right w:val="single" w:color="auto" w:sz="4" w:space="0"/>
                  </w:tcBorders>
                  <w:noWrap w:val="0"/>
                  <w:vAlign w:val="center"/>
                </w:tcPr>
                <w:p w14:paraId="043F3A32">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72</w:t>
                  </w:r>
                </w:p>
              </w:tc>
            </w:tr>
          </w:tbl>
          <w:p w14:paraId="16E8471F">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lang w:val="en-US" w:eastAsia="zh-CN"/>
              </w:rPr>
            </w:pPr>
          </w:p>
          <w:p w14:paraId="73925FB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p>
        </w:tc>
      </w:tr>
    </w:tbl>
    <w:p w14:paraId="23EC8583">
      <w:pPr>
        <w:keepNext w:val="0"/>
        <w:keepLines w:val="0"/>
        <w:widowControl w:val="0"/>
        <w:suppressLineNumbers w:val="0"/>
        <w:spacing w:before="0" w:beforeAutospacing="0" w:after="0" w:afterAutospacing="0"/>
        <w:ind w:left="0" w:right="0"/>
        <w:jc w:val="center"/>
        <w:outlineLvl w:val="1"/>
        <w:rPr>
          <w:rFonts w:hint="default" w:ascii="Times New Roman" w:hAnsi="Times New Roman" w:eastAsia="黑体" w:cs="Times New Roman"/>
          <w:color w:val="auto"/>
          <w:kern w:val="0"/>
          <w:sz w:val="28"/>
          <w:szCs w:val="28"/>
          <w:highlight w:val="none"/>
          <w:lang w:val="en-US" w:eastAsia="zh-CN" w:bidi="ar"/>
        </w:rPr>
      </w:pPr>
      <w:r>
        <w:rPr>
          <w:rFonts w:hint="default" w:ascii="Times New Roman" w:hAnsi="Times New Roman" w:eastAsia="黑体" w:cs="Times New Roman"/>
          <w:color w:val="auto"/>
          <w:sz w:val="28"/>
          <w:szCs w:val="28"/>
          <w:highlight w:val="none"/>
          <w:lang w:val="en-US" w:eastAsia="zh-CN" w:bidi="ar"/>
        </w:rPr>
        <w:br w:type="page"/>
      </w:r>
      <w:bookmarkStart w:id="6" w:name="_Toc22607"/>
      <w:r>
        <w:rPr>
          <w:rFonts w:hint="default" w:ascii="Times New Roman" w:hAnsi="Times New Roman" w:eastAsia="黑体" w:cs="Times New Roman"/>
          <w:color w:val="auto"/>
          <w:kern w:val="0"/>
          <w:sz w:val="28"/>
          <w:szCs w:val="28"/>
          <w:highlight w:val="none"/>
          <w:lang w:val="en-US" w:eastAsia="zh-CN" w:bidi="ar"/>
        </w:rPr>
        <w:t>六、生态环境保护措施监督检查清单</w:t>
      </w:r>
      <w:bookmarkEnd w:id="6"/>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4691"/>
        <w:gridCol w:w="2109"/>
        <w:gridCol w:w="764"/>
        <w:gridCol w:w="556"/>
      </w:tblGrid>
      <w:tr w14:paraId="2D665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pct"/>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14:paraId="561568EF">
            <w:pPr>
              <w:keepNext w:val="0"/>
              <w:keepLines w:val="0"/>
              <w:widowControl w:val="0"/>
              <w:suppressLineNumbers w:val="0"/>
              <w:spacing w:before="0" w:beforeAutospacing="0" w:after="0" w:afterAutospacing="0"/>
              <w:ind w:left="0" w:right="0"/>
              <w:jc w:val="right"/>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内容</w:t>
            </w:r>
          </w:p>
          <w:p w14:paraId="173B2B6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要素</w:t>
            </w:r>
          </w:p>
        </w:tc>
        <w:tc>
          <w:tcPr>
            <w:tcW w:w="3660" w:type="pct"/>
            <w:gridSpan w:val="2"/>
            <w:tcBorders>
              <w:top w:val="single" w:color="auto" w:sz="4" w:space="0"/>
              <w:left w:val="single" w:color="auto" w:sz="4" w:space="0"/>
              <w:bottom w:val="single" w:color="auto" w:sz="4" w:space="0"/>
              <w:right w:val="single" w:color="auto" w:sz="4" w:space="0"/>
            </w:tcBorders>
            <w:noWrap w:val="0"/>
            <w:vAlign w:val="center"/>
          </w:tcPr>
          <w:p w14:paraId="7A33AC4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施工期</w:t>
            </w:r>
          </w:p>
        </w:tc>
        <w:tc>
          <w:tcPr>
            <w:tcW w:w="710" w:type="pct"/>
            <w:gridSpan w:val="2"/>
            <w:tcBorders>
              <w:top w:val="single" w:color="auto" w:sz="4" w:space="0"/>
              <w:left w:val="single" w:color="auto" w:sz="4" w:space="0"/>
              <w:bottom w:val="single" w:color="auto" w:sz="4" w:space="0"/>
              <w:right w:val="single" w:color="auto" w:sz="4" w:space="0"/>
            </w:tcBorders>
            <w:noWrap w:val="0"/>
            <w:vAlign w:val="center"/>
          </w:tcPr>
          <w:p w14:paraId="2A436C0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营运期</w:t>
            </w:r>
          </w:p>
        </w:tc>
      </w:tr>
      <w:tr w14:paraId="28AA2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629" w:type="pct"/>
            <w:vMerge w:val="continue"/>
            <w:tcBorders>
              <w:top w:val="single" w:color="auto" w:sz="4" w:space="0"/>
              <w:left w:val="single" w:color="auto" w:sz="4" w:space="0"/>
              <w:bottom w:val="single" w:color="auto" w:sz="4" w:space="0"/>
              <w:right w:val="single" w:color="auto" w:sz="4" w:space="0"/>
            </w:tcBorders>
            <w:noWrap w:val="0"/>
            <w:vAlign w:val="center"/>
          </w:tcPr>
          <w:p w14:paraId="66B188D9">
            <w:pPr>
              <w:keepNext w:val="0"/>
              <w:keepLines w:val="0"/>
              <w:suppressLineNumbers w:val="0"/>
              <w:spacing w:before="0" w:beforeAutospacing="0" w:after="0" w:afterAutospacing="0"/>
              <w:ind w:left="0" w:right="0"/>
              <w:jc w:val="both"/>
              <w:rPr>
                <w:rFonts w:hint="default" w:ascii="Times New Roman" w:hAnsi="Times New Roman" w:cs="Times New Roman"/>
                <w:color w:val="auto"/>
                <w:sz w:val="20"/>
                <w:szCs w:val="20"/>
                <w:highlight w:val="none"/>
              </w:rPr>
            </w:pPr>
          </w:p>
        </w:tc>
        <w:tc>
          <w:tcPr>
            <w:tcW w:w="2525" w:type="pct"/>
            <w:tcBorders>
              <w:top w:val="single" w:color="auto" w:sz="4" w:space="0"/>
              <w:left w:val="single" w:color="auto" w:sz="4" w:space="0"/>
              <w:bottom w:val="single" w:color="auto" w:sz="4" w:space="0"/>
              <w:right w:val="single" w:color="auto" w:sz="4" w:space="0"/>
            </w:tcBorders>
            <w:noWrap w:val="0"/>
            <w:vAlign w:val="center"/>
          </w:tcPr>
          <w:p w14:paraId="722731B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环境保护措施</w:t>
            </w:r>
          </w:p>
        </w:tc>
        <w:tc>
          <w:tcPr>
            <w:tcW w:w="1134" w:type="pct"/>
            <w:tcBorders>
              <w:top w:val="single" w:color="auto" w:sz="4" w:space="0"/>
              <w:left w:val="single" w:color="auto" w:sz="4" w:space="0"/>
              <w:bottom w:val="single" w:color="auto" w:sz="4" w:space="0"/>
              <w:right w:val="single" w:color="auto" w:sz="4" w:space="0"/>
            </w:tcBorders>
            <w:noWrap w:val="0"/>
            <w:vAlign w:val="center"/>
          </w:tcPr>
          <w:p w14:paraId="53AABC0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验收要求</w:t>
            </w:r>
          </w:p>
        </w:tc>
        <w:tc>
          <w:tcPr>
            <w:tcW w:w="411" w:type="pct"/>
            <w:tcBorders>
              <w:top w:val="single" w:color="auto" w:sz="4" w:space="0"/>
              <w:left w:val="single" w:color="auto" w:sz="4" w:space="0"/>
              <w:bottom w:val="single" w:color="auto" w:sz="4" w:space="0"/>
              <w:right w:val="single" w:color="auto" w:sz="4" w:space="0"/>
            </w:tcBorders>
            <w:noWrap w:val="0"/>
            <w:vAlign w:val="center"/>
          </w:tcPr>
          <w:p w14:paraId="41FEBCA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环境保护措施</w:t>
            </w:r>
          </w:p>
        </w:tc>
        <w:tc>
          <w:tcPr>
            <w:tcW w:w="299" w:type="pct"/>
            <w:tcBorders>
              <w:top w:val="single" w:color="auto" w:sz="4" w:space="0"/>
              <w:left w:val="single" w:color="auto" w:sz="4" w:space="0"/>
              <w:bottom w:val="single" w:color="auto" w:sz="4" w:space="0"/>
              <w:right w:val="single" w:color="auto" w:sz="4" w:space="0"/>
            </w:tcBorders>
            <w:noWrap w:val="0"/>
            <w:vAlign w:val="center"/>
          </w:tcPr>
          <w:p w14:paraId="4A818A6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验收要求</w:t>
            </w:r>
          </w:p>
        </w:tc>
      </w:tr>
      <w:tr w14:paraId="0E462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pct"/>
            <w:tcBorders>
              <w:top w:val="single" w:color="auto" w:sz="4" w:space="0"/>
              <w:left w:val="single" w:color="auto" w:sz="4" w:space="0"/>
              <w:bottom w:val="single" w:color="auto" w:sz="4" w:space="0"/>
              <w:right w:val="single" w:color="auto" w:sz="4" w:space="0"/>
            </w:tcBorders>
            <w:noWrap w:val="0"/>
            <w:vAlign w:val="center"/>
          </w:tcPr>
          <w:p w14:paraId="14840D1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陆生生态</w:t>
            </w:r>
          </w:p>
        </w:tc>
        <w:tc>
          <w:tcPr>
            <w:tcW w:w="2525" w:type="pct"/>
            <w:tcBorders>
              <w:top w:val="single" w:color="auto" w:sz="4" w:space="0"/>
              <w:left w:val="single" w:color="auto" w:sz="4" w:space="0"/>
              <w:bottom w:val="single" w:color="auto" w:sz="4" w:space="0"/>
              <w:right w:val="single" w:color="auto" w:sz="4" w:space="0"/>
            </w:tcBorders>
            <w:noWrap w:val="0"/>
            <w:vAlign w:val="center"/>
          </w:tcPr>
          <w:p w14:paraId="1782DCFA">
            <w:pPr>
              <w:keepNext w:val="0"/>
              <w:keepLines w:val="0"/>
              <w:suppressLineNumbers w:val="0"/>
              <w:spacing w:before="0" w:beforeLines="0" w:beforeAutospacing="0" w:after="0" w:afterLines="0" w:afterAutospacing="0"/>
              <w:ind w:left="0" w:right="0"/>
              <w:jc w:val="both"/>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施工期：</w:t>
            </w:r>
          </w:p>
          <w:p w14:paraId="079520C6">
            <w:pPr>
              <w:keepNext w:val="0"/>
              <w:keepLines w:val="0"/>
              <w:suppressLineNumbers w:val="0"/>
              <w:spacing w:before="0" w:beforeLines="0" w:beforeAutospacing="0" w:after="0" w:afterLines="0" w:afterAutospacing="0"/>
              <w:ind w:left="0" w:right="0"/>
              <w:jc w:val="both"/>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合理布置井场及钻井设备，减少井场占地面积；合理安排施工时间；禁止废水、废弃泥浆、岩屑以及其他废物流失和乱排放；完井后回收各种废料；施工结束后，除生产井所需的面积外，对其余占地覆土恢复植被种植。</w:t>
            </w:r>
          </w:p>
          <w:p w14:paraId="5F72F761">
            <w:pPr>
              <w:keepNext w:val="0"/>
              <w:keepLines w:val="0"/>
              <w:suppressLineNumbers w:val="0"/>
              <w:spacing w:before="0" w:beforeLines="0" w:beforeAutospacing="0" w:after="0" w:afterLines="0" w:afterAutospacing="0"/>
              <w:ind w:left="0" w:right="0"/>
              <w:jc w:val="left"/>
              <w:rPr>
                <w:rFonts w:hint="default" w:ascii="Times New Roman" w:hAnsi="Times New Roman" w:eastAsia="宋体" w:cs="Times New Roman"/>
                <w:color w:val="auto"/>
                <w:sz w:val="21"/>
                <w:szCs w:val="24"/>
                <w:highlight w:val="none"/>
                <w:lang w:val="en-US" w:eastAsia="zh-CN"/>
              </w:rPr>
            </w:pPr>
            <w:r>
              <w:rPr>
                <w:rFonts w:hint="eastAsia" w:ascii="Times New Roman" w:hAnsi="Times New Roman" w:eastAsia="宋体" w:cs="Times New Roman"/>
                <w:color w:val="auto"/>
                <w:sz w:val="21"/>
                <w:szCs w:val="24"/>
                <w:highlight w:val="none"/>
                <w:lang w:val="en-US" w:eastAsia="zh-CN"/>
              </w:rPr>
              <w:t>临时封井：预留转成生产井所需的面积，对其余临时占地覆土并恢复为原有植被和生态景观，使区域生态景观和谐一致。</w:t>
            </w:r>
          </w:p>
          <w:p w14:paraId="1ACE61BC">
            <w:pPr>
              <w:keepNext w:val="0"/>
              <w:keepLines w:val="0"/>
              <w:suppressLineNumbers w:val="0"/>
              <w:spacing w:before="0" w:beforeLines="0" w:beforeAutospacing="0" w:after="0" w:afterLines="0" w:afterAutospacing="0"/>
              <w:ind w:left="0" w:right="0"/>
              <w:jc w:val="both"/>
              <w:rPr>
                <w:rFonts w:hint="eastAsia" w:ascii="Times New Roman" w:hAnsi="Times New Roman" w:eastAsia="宋体" w:cs="Times New Roman"/>
                <w:color w:val="auto"/>
                <w:sz w:val="21"/>
                <w:szCs w:val="24"/>
                <w:highlight w:val="none"/>
                <w:lang w:eastAsia="zh-CN"/>
              </w:rPr>
            </w:pPr>
            <w:r>
              <w:rPr>
                <w:rFonts w:hint="eastAsia" w:ascii="Times New Roman" w:hAnsi="Times New Roman" w:eastAsia="宋体" w:cs="Times New Roman"/>
                <w:color w:val="auto"/>
                <w:sz w:val="21"/>
                <w:szCs w:val="24"/>
                <w:highlight w:val="none"/>
                <w:lang w:val="en-US" w:eastAsia="zh-CN"/>
              </w:rPr>
              <w:t>永久封井：</w:t>
            </w:r>
            <w:r>
              <w:rPr>
                <w:rFonts w:hint="default" w:ascii="Times New Roman" w:hAnsi="Times New Roman" w:eastAsia="宋体" w:cs="Times New Roman"/>
                <w:color w:val="auto"/>
                <w:sz w:val="21"/>
                <w:szCs w:val="24"/>
                <w:highlight w:val="none"/>
              </w:rPr>
              <w:t>拆除场地地面设施，进行井场清理</w:t>
            </w:r>
            <w:r>
              <w:rPr>
                <w:rFonts w:hint="eastAsia" w:ascii="Times New Roman" w:hAnsi="Times New Roman" w:eastAsia="宋体" w:cs="Times New Roman"/>
                <w:color w:val="auto"/>
                <w:sz w:val="21"/>
                <w:szCs w:val="24"/>
                <w:highlight w:val="none"/>
                <w:lang w:eastAsia="zh-CN"/>
              </w:rPr>
              <w:t>。</w:t>
            </w:r>
          </w:p>
          <w:p w14:paraId="5AFAF526">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4"/>
                <w:highlight w:val="none"/>
              </w:rPr>
              <w:t>对临时占用的耕地及时进行复耕，园地种植原有果树，草地植被恢复。</w:t>
            </w:r>
          </w:p>
        </w:tc>
        <w:tc>
          <w:tcPr>
            <w:tcW w:w="1134" w:type="pct"/>
            <w:tcBorders>
              <w:top w:val="single" w:color="auto" w:sz="4" w:space="0"/>
              <w:left w:val="single" w:color="auto" w:sz="4" w:space="0"/>
              <w:bottom w:val="single" w:color="auto" w:sz="4" w:space="0"/>
              <w:right w:val="single" w:color="auto" w:sz="4" w:space="0"/>
            </w:tcBorders>
            <w:noWrap w:val="0"/>
            <w:vAlign w:val="center"/>
          </w:tcPr>
          <w:p w14:paraId="5347AF49">
            <w:pPr>
              <w:keepNext w:val="0"/>
              <w:keepLines w:val="0"/>
              <w:widowControl w:val="0"/>
              <w:suppressLineNumbers w:val="0"/>
              <w:spacing w:before="0" w:beforeAutospacing="0" w:after="0" w:afterAutospacing="0"/>
              <w:ind w:left="0" w:right="0"/>
              <w:jc w:val="center"/>
              <w:rPr>
                <w:rFonts w:hint="eastAsia" w:ascii="Times New Roman" w:hAnsi="Times New Roman"/>
                <w:color w:val="auto"/>
                <w:szCs w:val="21"/>
                <w:highlight w:val="none"/>
              </w:rPr>
            </w:pPr>
            <w:r>
              <w:rPr>
                <w:rFonts w:hint="eastAsia" w:ascii="Times New Roman" w:hAnsi="Times New Roman" w:eastAsia="宋体" w:cs="Times New Roman"/>
                <w:color w:val="auto"/>
                <w:highlight w:val="none"/>
                <w:lang w:val="en-US" w:eastAsia="zh-CN"/>
              </w:rPr>
              <w:t>保证</w:t>
            </w:r>
            <w:r>
              <w:rPr>
                <w:rFonts w:hint="default" w:ascii="Times New Roman" w:hAnsi="Times New Roman" w:eastAsia="宋体" w:cs="Times New Roman"/>
                <w:color w:val="auto"/>
                <w:highlight w:val="none"/>
              </w:rPr>
              <w:t>区域生态系统的完整性、稳定性</w:t>
            </w:r>
            <w:r>
              <w:rPr>
                <w:rFonts w:hint="eastAsia" w:ascii="Times New Roman" w:hAnsi="Times New Roman" w:cs="Times New Roman"/>
                <w:color w:val="auto"/>
                <w:sz w:val="21"/>
                <w:szCs w:val="21"/>
                <w:highlight w:val="none"/>
                <w:lang w:val="en-US" w:eastAsia="zh-CN"/>
              </w:rPr>
              <w:t>，</w:t>
            </w:r>
            <w:r>
              <w:rPr>
                <w:rFonts w:hint="eastAsia" w:ascii="Times New Roman" w:hAnsi="Times New Roman"/>
                <w:color w:val="auto"/>
                <w:szCs w:val="21"/>
                <w:highlight w:val="none"/>
              </w:rPr>
              <w:t>植被恢复率达到95%以</w:t>
            </w:r>
          </w:p>
          <w:p w14:paraId="78C687E8">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olor w:val="auto"/>
                <w:szCs w:val="21"/>
                <w:highlight w:val="none"/>
              </w:rPr>
              <w:t>上</w:t>
            </w:r>
            <w:r>
              <w:rPr>
                <w:rFonts w:hint="eastAsia" w:ascii="Times New Roman" w:hAnsi="Times New Roman"/>
                <w:color w:val="auto"/>
                <w:szCs w:val="21"/>
                <w:highlight w:val="none"/>
                <w:lang w:eastAsia="zh-CN"/>
              </w:rPr>
              <w:t>。</w:t>
            </w:r>
          </w:p>
        </w:tc>
        <w:tc>
          <w:tcPr>
            <w:tcW w:w="411" w:type="pct"/>
            <w:tcBorders>
              <w:top w:val="single" w:color="auto" w:sz="4" w:space="0"/>
              <w:left w:val="single" w:color="auto" w:sz="4" w:space="0"/>
              <w:bottom w:val="single" w:color="auto" w:sz="4" w:space="0"/>
              <w:right w:val="single" w:color="auto" w:sz="4" w:space="0"/>
            </w:tcBorders>
            <w:noWrap w:val="0"/>
            <w:vAlign w:val="center"/>
          </w:tcPr>
          <w:p w14:paraId="4C2580A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299" w:type="pct"/>
            <w:tcBorders>
              <w:top w:val="single" w:color="auto" w:sz="4" w:space="0"/>
              <w:left w:val="single" w:color="auto" w:sz="4" w:space="0"/>
              <w:bottom w:val="single" w:color="auto" w:sz="4" w:space="0"/>
              <w:right w:val="single" w:color="auto" w:sz="4" w:space="0"/>
            </w:tcBorders>
            <w:noWrap w:val="0"/>
            <w:vAlign w:val="center"/>
          </w:tcPr>
          <w:p w14:paraId="15C6AC6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370AE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pct"/>
            <w:tcBorders>
              <w:top w:val="single" w:color="auto" w:sz="4" w:space="0"/>
              <w:left w:val="single" w:color="auto" w:sz="4" w:space="0"/>
              <w:bottom w:val="single" w:color="auto" w:sz="4" w:space="0"/>
              <w:right w:val="single" w:color="auto" w:sz="4" w:space="0"/>
            </w:tcBorders>
            <w:noWrap w:val="0"/>
            <w:vAlign w:val="center"/>
          </w:tcPr>
          <w:p w14:paraId="7735247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水生生态</w:t>
            </w:r>
          </w:p>
        </w:tc>
        <w:tc>
          <w:tcPr>
            <w:tcW w:w="2525" w:type="pct"/>
            <w:tcBorders>
              <w:top w:val="single" w:color="auto" w:sz="4" w:space="0"/>
              <w:left w:val="single" w:color="auto" w:sz="4" w:space="0"/>
              <w:bottom w:val="single" w:color="auto" w:sz="4" w:space="0"/>
              <w:right w:val="single" w:color="auto" w:sz="4" w:space="0"/>
            </w:tcBorders>
            <w:noWrap w:val="0"/>
            <w:vAlign w:val="center"/>
          </w:tcPr>
          <w:p w14:paraId="3FB7DCF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1134" w:type="pct"/>
            <w:tcBorders>
              <w:top w:val="single" w:color="auto" w:sz="4" w:space="0"/>
              <w:left w:val="single" w:color="auto" w:sz="4" w:space="0"/>
              <w:bottom w:val="single" w:color="auto" w:sz="4" w:space="0"/>
              <w:right w:val="single" w:color="auto" w:sz="4" w:space="0"/>
            </w:tcBorders>
            <w:noWrap w:val="0"/>
            <w:vAlign w:val="center"/>
          </w:tcPr>
          <w:p w14:paraId="5927E1B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411" w:type="pct"/>
            <w:tcBorders>
              <w:top w:val="single" w:color="auto" w:sz="4" w:space="0"/>
              <w:left w:val="single" w:color="auto" w:sz="4" w:space="0"/>
              <w:bottom w:val="single" w:color="auto" w:sz="4" w:space="0"/>
              <w:right w:val="single" w:color="auto" w:sz="4" w:space="0"/>
            </w:tcBorders>
            <w:noWrap w:val="0"/>
            <w:vAlign w:val="center"/>
          </w:tcPr>
          <w:p w14:paraId="33C6396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299" w:type="pct"/>
            <w:tcBorders>
              <w:top w:val="single" w:color="auto" w:sz="4" w:space="0"/>
              <w:left w:val="single" w:color="auto" w:sz="4" w:space="0"/>
              <w:bottom w:val="single" w:color="auto" w:sz="4" w:space="0"/>
              <w:right w:val="single" w:color="auto" w:sz="4" w:space="0"/>
            </w:tcBorders>
            <w:noWrap w:val="0"/>
            <w:vAlign w:val="center"/>
          </w:tcPr>
          <w:p w14:paraId="11B6F70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78C29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pct"/>
            <w:vMerge w:val="restart"/>
            <w:tcBorders>
              <w:top w:val="single" w:color="auto" w:sz="4" w:space="0"/>
              <w:left w:val="single" w:color="auto" w:sz="4" w:space="0"/>
              <w:bottom w:val="single" w:color="auto" w:sz="4" w:space="0"/>
              <w:right w:val="single" w:color="auto" w:sz="4" w:space="0"/>
            </w:tcBorders>
            <w:noWrap w:val="0"/>
            <w:vAlign w:val="center"/>
          </w:tcPr>
          <w:p w14:paraId="3393CFA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地表水环境</w:t>
            </w:r>
          </w:p>
        </w:tc>
        <w:tc>
          <w:tcPr>
            <w:tcW w:w="2525" w:type="pct"/>
            <w:tcBorders>
              <w:top w:val="single" w:color="auto" w:sz="4" w:space="0"/>
              <w:left w:val="single" w:color="auto" w:sz="4" w:space="0"/>
              <w:bottom w:val="single" w:color="auto" w:sz="4" w:space="0"/>
              <w:right w:val="single" w:color="auto" w:sz="4" w:space="0"/>
            </w:tcBorders>
            <w:noWrap w:val="0"/>
            <w:vAlign w:val="center"/>
          </w:tcPr>
          <w:p w14:paraId="3008CCD9">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钻井废水经泥浆水循环系统处理后优先作为钻井液配水回用</w:t>
            </w:r>
            <w:r>
              <w:rPr>
                <w:rFonts w:hint="eastAsia" w:ascii="Times New Roman" w:hAnsi="Times New Roman" w:eastAsia="宋体" w:cs="Times New Roman"/>
                <w:color w:val="auto"/>
                <w:kern w:val="0"/>
                <w:sz w:val="21"/>
                <w:szCs w:val="21"/>
                <w:highlight w:val="none"/>
                <w:lang w:val="en-US" w:eastAsia="zh-CN" w:bidi="ar"/>
              </w:rPr>
              <w:t>（或送往下一个井进行循环利用）</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sz w:val="21"/>
                <w:szCs w:val="21"/>
                <w:highlight w:val="none"/>
                <w:lang w:val="en-US" w:eastAsia="zh-CN" w:bidi="ar"/>
              </w:rPr>
              <w:t>不能回用的钻井废水委托</w:t>
            </w:r>
            <w:r>
              <w:rPr>
                <w:rFonts w:hint="eastAsia" w:eastAsia="Calibri" w:cs="Times New Roman"/>
                <w:color w:val="auto"/>
                <w:sz w:val="21"/>
                <w:szCs w:val="21"/>
                <w:highlight w:val="none"/>
                <w:lang w:val="en-US" w:eastAsia="zh-CN" w:bidi="ar"/>
              </w:rPr>
              <w:t>协议的有能力单位</w:t>
            </w:r>
            <w:r>
              <w:rPr>
                <w:rFonts w:hint="eastAsia" w:ascii="Times New Roman" w:hAnsi="Times New Roman" w:eastAsia="宋体" w:cs="Times New Roman"/>
                <w:color w:val="auto"/>
                <w:sz w:val="21"/>
                <w:szCs w:val="21"/>
                <w:highlight w:val="none"/>
                <w:lang w:val="en-US" w:eastAsia="zh-CN" w:bidi="ar"/>
              </w:rPr>
              <w:t>外运处理。</w:t>
            </w:r>
          </w:p>
        </w:tc>
        <w:tc>
          <w:tcPr>
            <w:tcW w:w="1134" w:type="pct"/>
            <w:vMerge w:val="restart"/>
            <w:tcBorders>
              <w:top w:val="single" w:color="auto" w:sz="4" w:space="0"/>
              <w:left w:val="single" w:color="auto" w:sz="4" w:space="0"/>
              <w:bottom w:val="single" w:color="auto" w:sz="4" w:space="0"/>
              <w:right w:val="single" w:color="auto" w:sz="4" w:space="0"/>
            </w:tcBorders>
            <w:noWrap w:val="0"/>
            <w:vAlign w:val="center"/>
          </w:tcPr>
          <w:p w14:paraId="4D8FF1E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废水妥善处置，不外排</w:t>
            </w:r>
          </w:p>
        </w:tc>
        <w:tc>
          <w:tcPr>
            <w:tcW w:w="411" w:type="pct"/>
            <w:tcBorders>
              <w:top w:val="single" w:color="auto" w:sz="4" w:space="0"/>
              <w:left w:val="single" w:color="auto" w:sz="4" w:space="0"/>
              <w:bottom w:val="single" w:color="auto" w:sz="4" w:space="0"/>
              <w:right w:val="single" w:color="auto" w:sz="4" w:space="0"/>
            </w:tcBorders>
            <w:noWrap w:val="0"/>
            <w:vAlign w:val="center"/>
          </w:tcPr>
          <w:p w14:paraId="42A9095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299" w:type="pct"/>
            <w:tcBorders>
              <w:top w:val="single" w:color="auto" w:sz="4" w:space="0"/>
              <w:left w:val="single" w:color="auto" w:sz="4" w:space="0"/>
              <w:bottom w:val="single" w:color="auto" w:sz="4" w:space="0"/>
              <w:right w:val="single" w:color="auto" w:sz="4" w:space="0"/>
            </w:tcBorders>
            <w:noWrap w:val="0"/>
            <w:vAlign w:val="center"/>
          </w:tcPr>
          <w:p w14:paraId="5269399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38DF4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pct"/>
            <w:vMerge w:val="continue"/>
            <w:tcBorders>
              <w:top w:val="single" w:color="auto" w:sz="4" w:space="0"/>
              <w:left w:val="single" w:color="auto" w:sz="4" w:space="0"/>
              <w:bottom w:val="single" w:color="auto" w:sz="4" w:space="0"/>
              <w:right w:val="single" w:color="auto" w:sz="4" w:space="0"/>
            </w:tcBorders>
            <w:noWrap w:val="0"/>
            <w:vAlign w:val="center"/>
          </w:tcPr>
          <w:p w14:paraId="1CFDB20A">
            <w:pPr>
              <w:keepNext w:val="0"/>
              <w:keepLines w:val="0"/>
              <w:suppressLineNumbers w:val="0"/>
              <w:spacing w:before="0" w:beforeAutospacing="0" w:after="0" w:afterAutospacing="0"/>
              <w:ind w:left="0" w:right="0"/>
              <w:jc w:val="both"/>
              <w:rPr>
                <w:rFonts w:hint="default" w:ascii="Times New Roman" w:hAnsi="Times New Roman" w:cs="Times New Roman"/>
                <w:color w:val="auto"/>
                <w:sz w:val="20"/>
                <w:szCs w:val="20"/>
                <w:highlight w:val="none"/>
              </w:rPr>
            </w:pPr>
          </w:p>
        </w:tc>
        <w:tc>
          <w:tcPr>
            <w:tcW w:w="2525" w:type="pct"/>
            <w:tcBorders>
              <w:top w:val="single" w:color="auto" w:sz="4" w:space="0"/>
              <w:left w:val="single" w:color="auto" w:sz="4" w:space="0"/>
              <w:bottom w:val="single" w:color="auto" w:sz="4" w:space="0"/>
              <w:right w:val="single" w:color="auto" w:sz="4" w:space="0"/>
            </w:tcBorders>
            <w:noWrap w:val="0"/>
            <w:vAlign w:val="center"/>
          </w:tcPr>
          <w:p w14:paraId="610BFA7C">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洗</w:t>
            </w:r>
            <w:r>
              <w:rPr>
                <w:rFonts w:hint="default" w:ascii="Times New Roman" w:hAnsi="Times New Roman" w:eastAsia="宋体" w:cs="Times New Roman"/>
                <w:color w:val="auto"/>
                <w:kern w:val="0"/>
                <w:sz w:val="21"/>
                <w:szCs w:val="21"/>
                <w:highlight w:val="none"/>
                <w:lang w:val="en-US" w:eastAsia="zh-CN" w:bidi="ar"/>
              </w:rPr>
              <w:t>井废水</w:t>
            </w:r>
            <w:r>
              <w:rPr>
                <w:rFonts w:hint="eastAsia" w:ascii="Times New Roman" w:hAnsi="Times New Roman" w:eastAsia="宋体" w:cs="Times New Roman"/>
                <w:color w:val="auto"/>
                <w:kern w:val="0"/>
                <w:sz w:val="21"/>
                <w:szCs w:val="21"/>
                <w:highlight w:val="none"/>
                <w:lang w:val="en-US" w:eastAsia="zh-CN" w:bidi="ar"/>
              </w:rPr>
              <w:t>暂</w:t>
            </w:r>
            <w:r>
              <w:rPr>
                <w:rFonts w:hint="default" w:ascii="Times New Roman" w:hAnsi="Times New Roman" w:eastAsia="宋体" w:cs="Times New Roman"/>
                <w:color w:val="auto"/>
                <w:kern w:val="0"/>
                <w:sz w:val="21"/>
                <w:szCs w:val="21"/>
                <w:highlight w:val="none"/>
                <w:lang w:val="en-US" w:eastAsia="zh-CN" w:bidi="ar"/>
              </w:rPr>
              <w:t>于洗井废水储罐中，委托</w:t>
            </w:r>
            <w:r>
              <w:rPr>
                <w:rFonts w:hint="eastAsia" w:ascii="Times New Roman" w:hAnsi="Times New Roman" w:eastAsia="宋体" w:cs="Times New Roman"/>
                <w:color w:val="auto"/>
                <w:kern w:val="0"/>
                <w:sz w:val="21"/>
                <w:szCs w:val="21"/>
                <w:highlight w:val="none"/>
                <w:lang w:val="en-US" w:eastAsia="zh-CN" w:bidi="ar"/>
              </w:rPr>
              <w:t>协议的有能力单位</w:t>
            </w:r>
            <w:r>
              <w:rPr>
                <w:rFonts w:hint="default" w:ascii="Times New Roman" w:hAnsi="Times New Roman" w:eastAsia="宋体" w:cs="Times New Roman"/>
                <w:color w:val="auto"/>
                <w:kern w:val="0"/>
                <w:sz w:val="21"/>
                <w:szCs w:val="21"/>
                <w:highlight w:val="none"/>
                <w:lang w:val="en-US" w:eastAsia="zh-CN" w:bidi="ar"/>
              </w:rPr>
              <w:t>外运处理。</w:t>
            </w:r>
          </w:p>
        </w:tc>
        <w:tc>
          <w:tcPr>
            <w:tcW w:w="1134" w:type="pct"/>
            <w:vMerge w:val="continue"/>
            <w:tcBorders>
              <w:top w:val="single" w:color="auto" w:sz="4" w:space="0"/>
              <w:left w:val="single" w:color="auto" w:sz="4" w:space="0"/>
              <w:bottom w:val="single" w:color="auto" w:sz="4" w:space="0"/>
              <w:right w:val="single" w:color="auto" w:sz="4" w:space="0"/>
            </w:tcBorders>
            <w:noWrap w:val="0"/>
            <w:vAlign w:val="center"/>
          </w:tcPr>
          <w:p w14:paraId="2B23806E">
            <w:pPr>
              <w:keepNext w:val="0"/>
              <w:keepLines w:val="0"/>
              <w:suppressLineNumbers w:val="0"/>
              <w:spacing w:before="0" w:beforeAutospacing="0" w:after="0" w:afterAutospacing="0"/>
              <w:ind w:left="0" w:right="0"/>
              <w:jc w:val="both"/>
              <w:rPr>
                <w:rFonts w:hint="default" w:ascii="Times New Roman" w:hAnsi="Times New Roman" w:cs="Times New Roman"/>
                <w:color w:val="auto"/>
                <w:sz w:val="20"/>
                <w:szCs w:val="20"/>
                <w:highlight w:val="none"/>
              </w:rPr>
            </w:pPr>
          </w:p>
        </w:tc>
        <w:tc>
          <w:tcPr>
            <w:tcW w:w="411" w:type="pct"/>
            <w:tcBorders>
              <w:top w:val="single" w:color="auto" w:sz="4" w:space="0"/>
              <w:left w:val="single" w:color="auto" w:sz="4" w:space="0"/>
              <w:bottom w:val="single" w:color="auto" w:sz="4" w:space="0"/>
              <w:right w:val="single" w:color="auto" w:sz="4" w:space="0"/>
            </w:tcBorders>
            <w:noWrap w:val="0"/>
            <w:vAlign w:val="center"/>
          </w:tcPr>
          <w:p w14:paraId="5863F76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299" w:type="pct"/>
            <w:tcBorders>
              <w:top w:val="single" w:color="auto" w:sz="4" w:space="0"/>
              <w:left w:val="single" w:color="auto" w:sz="4" w:space="0"/>
              <w:bottom w:val="single" w:color="auto" w:sz="4" w:space="0"/>
              <w:right w:val="single" w:color="auto" w:sz="4" w:space="0"/>
            </w:tcBorders>
            <w:noWrap w:val="0"/>
            <w:vAlign w:val="center"/>
          </w:tcPr>
          <w:p w14:paraId="4F6BC91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67815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pct"/>
            <w:vMerge w:val="continue"/>
            <w:tcBorders>
              <w:top w:val="single" w:color="auto" w:sz="4" w:space="0"/>
              <w:left w:val="single" w:color="auto" w:sz="4" w:space="0"/>
              <w:bottom w:val="single" w:color="auto" w:sz="4" w:space="0"/>
              <w:right w:val="single" w:color="auto" w:sz="4" w:space="0"/>
            </w:tcBorders>
            <w:noWrap w:val="0"/>
            <w:vAlign w:val="center"/>
          </w:tcPr>
          <w:p w14:paraId="64AE4D88">
            <w:pPr>
              <w:keepNext w:val="0"/>
              <w:keepLines w:val="0"/>
              <w:suppressLineNumbers w:val="0"/>
              <w:spacing w:before="0" w:beforeAutospacing="0" w:after="0" w:afterAutospacing="0"/>
              <w:ind w:left="0" w:right="0"/>
              <w:jc w:val="both"/>
              <w:rPr>
                <w:rFonts w:hint="default" w:ascii="Times New Roman" w:hAnsi="Times New Roman" w:cs="Times New Roman"/>
                <w:color w:val="auto"/>
                <w:sz w:val="20"/>
                <w:szCs w:val="20"/>
                <w:highlight w:val="none"/>
              </w:rPr>
            </w:pPr>
          </w:p>
        </w:tc>
        <w:tc>
          <w:tcPr>
            <w:tcW w:w="2525" w:type="pct"/>
            <w:tcBorders>
              <w:top w:val="single" w:color="auto" w:sz="4" w:space="0"/>
              <w:left w:val="single" w:color="auto" w:sz="4" w:space="0"/>
              <w:bottom w:val="single" w:color="auto" w:sz="4" w:space="0"/>
              <w:right w:val="single" w:color="auto" w:sz="4" w:space="0"/>
            </w:tcBorders>
            <w:noWrap w:val="0"/>
            <w:vAlign w:val="center"/>
          </w:tcPr>
          <w:p w14:paraId="38AF1F71">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4"/>
                <w:highlight w:val="none"/>
                <w:lang w:val="en-US" w:eastAsia="zh-CN" w:bidi="ar"/>
              </w:rPr>
              <w:t>射孔废水和</w:t>
            </w:r>
            <w:r>
              <w:rPr>
                <w:rFonts w:hint="default" w:ascii="Times New Roman" w:hAnsi="Times New Roman" w:eastAsia="宋体" w:cs="Times New Roman"/>
                <w:color w:val="auto"/>
                <w:kern w:val="0"/>
                <w:sz w:val="21"/>
                <w:szCs w:val="24"/>
                <w:highlight w:val="none"/>
                <w:lang w:val="en-US" w:eastAsia="zh-CN" w:bidi="ar"/>
              </w:rPr>
              <w:t>压裂返排液临时收集贮存于专用收集罐，</w:t>
            </w:r>
            <w:r>
              <w:rPr>
                <w:rFonts w:hint="default" w:ascii="Times New Roman" w:hAnsi="Times New Roman" w:eastAsia="宋体" w:cs="Times New Roman"/>
                <w:color w:val="auto"/>
                <w:kern w:val="0"/>
                <w:sz w:val="21"/>
                <w:szCs w:val="21"/>
                <w:highlight w:val="none"/>
                <w:lang w:val="en-US" w:eastAsia="zh-CN" w:bidi="ar"/>
              </w:rPr>
              <w:t>委托</w:t>
            </w:r>
            <w:r>
              <w:rPr>
                <w:rFonts w:hint="eastAsia" w:ascii="Times New Roman" w:hAnsi="Times New Roman" w:cs="Times New Roman"/>
                <w:color w:val="auto"/>
                <w:sz w:val="21"/>
                <w:szCs w:val="21"/>
                <w:highlight w:val="none"/>
                <w:lang w:val="en-US" w:eastAsia="zh-CN"/>
              </w:rPr>
              <w:t>协议的有能力单位</w:t>
            </w:r>
            <w:r>
              <w:rPr>
                <w:rFonts w:hint="default" w:ascii="Times New Roman" w:hAnsi="Times New Roman" w:eastAsia="宋体" w:cs="Times New Roman"/>
                <w:color w:val="auto"/>
                <w:kern w:val="0"/>
                <w:sz w:val="21"/>
                <w:szCs w:val="21"/>
                <w:highlight w:val="none"/>
                <w:lang w:val="en-US" w:eastAsia="zh-CN" w:bidi="ar"/>
              </w:rPr>
              <w:t>外运处理。</w:t>
            </w:r>
          </w:p>
        </w:tc>
        <w:tc>
          <w:tcPr>
            <w:tcW w:w="1134" w:type="pct"/>
            <w:vMerge w:val="continue"/>
            <w:tcBorders>
              <w:top w:val="single" w:color="auto" w:sz="4" w:space="0"/>
              <w:left w:val="single" w:color="auto" w:sz="4" w:space="0"/>
              <w:bottom w:val="single" w:color="auto" w:sz="4" w:space="0"/>
              <w:right w:val="single" w:color="auto" w:sz="4" w:space="0"/>
            </w:tcBorders>
            <w:noWrap w:val="0"/>
            <w:vAlign w:val="center"/>
          </w:tcPr>
          <w:p w14:paraId="61BD1A04">
            <w:pPr>
              <w:keepNext w:val="0"/>
              <w:keepLines w:val="0"/>
              <w:suppressLineNumbers w:val="0"/>
              <w:spacing w:before="0" w:beforeAutospacing="0" w:after="0" w:afterAutospacing="0"/>
              <w:ind w:left="0" w:right="0"/>
              <w:jc w:val="both"/>
              <w:rPr>
                <w:rFonts w:hint="default" w:ascii="Times New Roman" w:hAnsi="Times New Roman" w:cs="Times New Roman"/>
                <w:color w:val="auto"/>
                <w:sz w:val="20"/>
                <w:szCs w:val="20"/>
                <w:highlight w:val="none"/>
              </w:rPr>
            </w:pPr>
          </w:p>
        </w:tc>
        <w:tc>
          <w:tcPr>
            <w:tcW w:w="411" w:type="pct"/>
            <w:tcBorders>
              <w:top w:val="single" w:color="auto" w:sz="4" w:space="0"/>
              <w:left w:val="single" w:color="auto" w:sz="4" w:space="0"/>
              <w:bottom w:val="single" w:color="auto" w:sz="4" w:space="0"/>
              <w:right w:val="single" w:color="auto" w:sz="4" w:space="0"/>
            </w:tcBorders>
            <w:noWrap w:val="0"/>
            <w:vAlign w:val="center"/>
          </w:tcPr>
          <w:p w14:paraId="32B2301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299" w:type="pct"/>
            <w:tcBorders>
              <w:top w:val="single" w:color="auto" w:sz="4" w:space="0"/>
              <w:left w:val="single" w:color="auto" w:sz="4" w:space="0"/>
              <w:bottom w:val="single" w:color="auto" w:sz="4" w:space="0"/>
              <w:right w:val="single" w:color="auto" w:sz="4" w:space="0"/>
            </w:tcBorders>
            <w:noWrap w:val="0"/>
            <w:vAlign w:val="center"/>
          </w:tcPr>
          <w:p w14:paraId="5F14E44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5CD44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pct"/>
            <w:vMerge w:val="continue"/>
            <w:tcBorders>
              <w:top w:val="single" w:color="auto" w:sz="4" w:space="0"/>
              <w:left w:val="single" w:color="auto" w:sz="4" w:space="0"/>
              <w:bottom w:val="single" w:color="auto" w:sz="4" w:space="0"/>
              <w:right w:val="single" w:color="auto" w:sz="4" w:space="0"/>
            </w:tcBorders>
            <w:noWrap w:val="0"/>
            <w:vAlign w:val="center"/>
          </w:tcPr>
          <w:p w14:paraId="21433247">
            <w:pPr>
              <w:keepNext w:val="0"/>
              <w:keepLines w:val="0"/>
              <w:suppressLineNumbers w:val="0"/>
              <w:spacing w:before="0" w:beforeAutospacing="0" w:after="0" w:afterAutospacing="0"/>
              <w:ind w:left="0" w:right="0"/>
              <w:jc w:val="both"/>
              <w:rPr>
                <w:rFonts w:hint="default" w:ascii="Times New Roman" w:hAnsi="Times New Roman" w:cs="Times New Roman"/>
                <w:color w:val="auto"/>
                <w:sz w:val="20"/>
                <w:szCs w:val="20"/>
                <w:highlight w:val="none"/>
              </w:rPr>
            </w:pPr>
          </w:p>
        </w:tc>
        <w:tc>
          <w:tcPr>
            <w:tcW w:w="2525" w:type="pct"/>
            <w:tcBorders>
              <w:top w:val="single" w:color="auto" w:sz="4" w:space="0"/>
              <w:left w:val="single" w:color="auto" w:sz="4" w:space="0"/>
              <w:bottom w:val="single" w:color="auto" w:sz="4" w:space="0"/>
              <w:right w:val="single" w:color="auto" w:sz="4" w:space="0"/>
            </w:tcBorders>
            <w:noWrap w:val="0"/>
            <w:vAlign w:val="center"/>
          </w:tcPr>
          <w:p w14:paraId="23E6E2F0">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0"/>
                <w:sz w:val="21"/>
                <w:szCs w:val="24"/>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放喷废水暂存于</w:t>
            </w:r>
            <w:r>
              <w:rPr>
                <w:rFonts w:hint="default" w:ascii="Times New Roman" w:hAnsi="Times New Roman" w:eastAsia="宋体" w:cs="Times New Roman"/>
                <w:color w:val="auto"/>
                <w:kern w:val="0"/>
                <w:sz w:val="21"/>
                <w:szCs w:val="21"/>
                <w:highlight w:val="none"/>
                <w:lang w:val="en-US" w:eastAsia="zh-CN" w:bidi="ar"/>
              </w:rPr>
              <w:t>放喷</w:t>
            </w:r>
            <w:r>
              <w:rPr>
                <w:rFonts w:hint="eastAsia" w:ascii="Times New Roman" w:hAnsi="Times New Roman" w:eastAsia="宋体" w:cs="Times New Roman"/>
                <w:color w:val="auto"/>
                <w:kern w:val="0"/>
                <w:sz w:val="21"/>
                <w:szCs w:val="21"/>
                <w:highlight w:val="none"/>
                <w:lang w:val="en-US" w:eastAsia="zh-CN" w:bidi="ar"/>
              </w:rPr>
              <w:t>废水收集罐</w:t>
            </w:r>
            <w:r>
              <w:rPr>
                <w:rFonts w:hint="default" w:ascii="Times New Roman" w:hAnsi="Times New Roman" w:eastAsia="宋体" w:cs="Times New Roman"/>
                <w:color w:val="auto"/>
                <w:kern w:val="0"/>
                <w:sz w:val="21"/>
                <w:szCs w:val="21"/>
                <w:highlight w:val="none"/>
                <w:lang w:val="en-US" w:eastAsia="zh-CN" w:bidi="ar"/>
              </w:rPr>
              <w:t>，委托</w:t>
            </w:r>
            <w:r>
              <w:rPr>
                <w:rFonts w:hint="eastAsia" w:ascii="Times New Roman" w:hAnsi="Times New Roman" w:cs="Times New Roman"/>
                <w:color w:val="auto"/>
                <w:sz w:val="21"/>
                <w:szCs w:val="21"/>
                <w:highlight w:val="none"/>
                <w:lang w:val="en-US" w:eastAsia="zh-CN"/>
              </w:rPr>
              <w:t>协议的有能力单位</w:t>
            </w:r>
            <w:r>
              <w:rPr>
                <w:rFonts w:hint="default" w:ascii="Times New Roman" w:hAnsi="Times New Roman" w:eastAsia="宋体" w:cs="Times New Roman"/>
                <w:color w:val="auto"/>
                <w:kern w:val="0"/>
                <w:sz w:val="21"/>
                <w:szCs w:val="21"/>
                <w:highlight w:val="none"/>
                <w:lang w:val="en-US" w:eastAsia="zh-CN" w:bidi="ar"/>
              </w:rPr>
              <w:t>外运处理。</w:t>
            </w:r>
          </w:p>
        </w:tc>
        <w:tc>
          <w:tcPr>
            <w:tcW w:w="1134" w:type="pct"/>
            <w:vMerge w:val="continue"/>
            <w:tcBorders>
              <w:top w:val="single" w:color="auto" w:sz="4" w:space="0"/>
              <w:left w:val="single" w:color="auto" w:sz="4" w:space="0"/>
              <w:bottom w:val="single" w:color="auto" w:sz="4" w:space="0"/>
              <w:right w:val="single" w:color="auto" w:sz="4" w:space="0"/>
            </w:tcBorders>
            <w:noWrap w:val="0"/>
            <w:vAlign w:val="center"/>
          </w:tcPr>
          <w:p w14:paraId="3798B40A">
            <w:pPr>
              <w:keepNext w:val="0"/>
              <w:keepLines w:val="0"/>
              <w:suppressLineNumbers w:val="0"/>
              <w:spacing w:before="0" w:beforeAutospacing="0" w:after="0" w:afterAutospacing="0"/>
              <w:ind w:left="0" w:right="0"/>
              <w:jc w:val="both"/>
              <w:rPr>
                <w:rFonts w:hint="default" w:ascii="Times New Roman" w:hAnsi="Times New Roman" w:cs="Times New Roman"/>
                <w:color w:val="auto"/>
                <w:sz w:val="20"/>
                <w:szCs w:val="20"/>
                <w:highlight w:val="none"/>
              </w:rPr>
            </w:pPr>
          </w:p>
        </w:tc>
        <w:tc>
          <w:tcPr>
            <w:tcW w:w="411" w:type="pct"/>
            <w:tcBorders>
              <w:top w:val="single" w:color="auto" w:sz="4" w:space="0"/>
              <w:left w:val="single" w:color="auto" w:sz="4" w:space="0"/>
              <w:bottom w:val="single" w:color="auto" w:sz="4" w:space="0"/>
              <w:right w:val="single" w:color="auto" w:sz="4" w:space="0"/>
            </w:tcBorders>
            <w:noWrap w:val="0"/>
            <w:vAlign w:val="center"/>
          </w:tcPr>
          <w:p w14:paraId="0AA6329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p>
        </w:tc>
        <w:tc>
          <w:tcPr>
            <w:tcW w:w="299" w:type="pct"/>
            <w:tcBorders>
              <w:top w:val="single" w:color="auto" w:sz="4" w:space="0"/>
              <w:left w:val="single" w:color="auto" w:sz="4" w:space="0"/>
              <w:bottom w:val="single" w:color="auto" w:sz="4" w:space="0"/>
              <w:right w:val="single" w:color="auto" w:sz="4" w:space="0"/>
            </w:tcBorders>
            <w:noWrap w:val="0"/>
            <w:vAlign w:val="center"/>
          </w:tcPr>
          <w:p w14:paraId="0CC3622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p>
        </w:tc>
      </w:tr>
      <w:tr w14:paraId="539B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pct"/>
            <w:vMerge w:val="continue"/>
            <w:tcBorders>
              <w:top w:val="single" w:color="auto" w:sz="4" w:space="0"/>
              <w:left w:val="single" w:color="auto" w:sz="4" w:space="0"/>
              <w:bottom w:val="single" w:color="auto" w:sz="4" w:space="0"/>
              <w:right w:val="single" w:color="auto" w:sz="4" w:space="0"/>
            </w:tcBorders>
            <w:noWrap w:val="0"/>
            <w:vAlign w:val="center"/>
          </w:tcPr>
          <w:p w14:paraId="6CE39C67">
            <w:pPr>
              <w:keepNext w:val="0"/>
              <w:keepLines w:val="0"/>
              <w:suppressLineNumbers w:val="0"/>
              <w:spacing w:before="0" w:beforeAutospacing="0" w:after="0" w:afterAutospacing="0"/>
              <w:ind w:left="0" w:right="0"/>
              <w:jc w:val="both"/>
              <w:rPr>
                <w:rFonts w:hint="default" w:ascii="Times New Roman" w:hAnsi="Times New Roman" w:cs="Times New Roman"/>
                <w:color w:val="auto"/>
                <w:sz w:val="20"/>
                <w:szCs w:val="20"/>
                <w:highlight w:val="none"/>
              </w:rPr>
            </w:pPr>
          </w:p>
        </w:tc>
        <w:tc>
          <w:tcPr>
            <w:tcW w:w="2525" w:type="pct"/>
            <w:tcBorders>
              <w:top w:val="single" w:color="auto" w:sz="4" w:space="0"/>
              <w:left w:val="single" w:color="auto" w:sz="4" w:space="0"/>
              <w:bottom w:val="single" w:color="auto" w:sz="4" w:space="0"/>
              <w:right w:val="single" w:color="auto" w:sz="4" w:space="0"/>
            </w:tcBorders>
            <w:noWrap w:val="0"/>
            <w:vAlign w:val="center"/>
          </w:tcPr>
          <w:p w14:paraId="02860212">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4"/>
                <w:highlight w:val="none"/>
                <w:lang w:val="en-US" w:eastAsia="zh-CN" w:bidi="ar"/>
              </w:rPr>
              <w:t>生活污水：</w:t>
            </w:r>
            <w:r>
              <w:rPr>
                <w:rFonts w:hint="eastAsia" w:ascii="Times New Roman" w:hAnsi="Times New Roman" w:eastAsia="宋体" w:cs="Times New Roman"/>
                <w:color w:val="auto"/>
                <w:kern w:val="0"/>
                <w:sz w:val="21"/>
                <w:szCs w:val="24"/>
                <w:highlight w:val="none"/>
                <w:lang w:val="en-US" w:eastAsia="zh-CN" w:bidi="ar"/>
              </w:rPr>
              <w:t>盥洗废水</w:t>
            </w:r>
            <w:r>
              <w:rPr>
                <w:rFonts w:hint="default" w:ascii="Times New Roman" w:hAnsi="Times New Roman" w:eastAsia="宋体" w:cs="Times New Roman"/>
                <w:color w:val="auto"/>
                <w:kern w:val="0"/>
                <w:sz w:val="21"/>
                <w:szCs w:val="24"/>
                <w:highlight w:val="none"/>
                <w:lang w:val="en-US" w:eastAsia="zh-CN" w:bidi="ar"/>
              </w:rPr>
              <w:t>经沉淀罐（15m</w:t>
            </w:r>
            <w:r>
              <w:rPr>
                <w:rFonts w:hint="default" w:ascii="Times New Roman" w:hAnsi="Times New Roman" w:eastAsia="宋体" w:cs="Times New Roman"/>
                <w:color w:val="auto"/>
                <w:kern w:val="0"/>
                <w:sz w:val="21"/>
                <w:szCs w:val="24"/>
                <w:highlight w:val="none"/>
                <w:vertAlign w:val="superscript"/>
                <w:lang w:val="en-US" w:eastAsia="zh-CN" w:bidi="ar"/>
              </w:rPr>
              <w:t>3</w:t>
            </w:r>
            <w:r>
              <w:rPr>
                <w:rFonts w:hint="default" w:ascii="Times New Roman" w:hAnsi="Times New Roman" w:eastAsia="宋体" w:cs="Times New Roman"/>
                <w:color w:val="auto"/>
                <w:kern w:val="0"/>
                <w:sz w:val="21"/>
                <w:szCs w:val="24"/>
                <w:highlight w:val="none"/>
                <w:lang w:val="en-US" w:eastAsia="zh-CN" w:bidi="ar"/>
              </w:rPr>
              <w:t>）沉淀后用于洒水降尘。项目场区设移动式防渗卫生旱厕，定期清掏用作周边农田堆肥，不外排</w:t>
            </w:r>
          </w:p>
        </w:tc>
        <w:tc>
          <w:tcPr>
            <w:tcW w:w="1134" w:type="pct"/>
            <w:vMerge w:val="continue"/>
            <w:tcBorders>
              <w:top w:val="single" w:color="auto" w:sz="4" w:space="0"/>
              <w:left w:val="single" w:color="auto" w:sz="4" w:space="0"/>
              <w:bottom w:val="single" w:color="auto" w:sz="4" w:space="0"/>
              <w:right w:val="single" w:color="auto" w:sz="4" w:space="0"/>
            </w:tcBorders>
            <w:noWrap w:val="0"/>
            <w:vAlign w:val="center"/>
          </w:tcPr>
          <w:p w14:paraId="0849BAA1">
            <w:pPr>
              <w:keepNext w:val="0"/>
              <w:keepLines w:val="0"/>
              <w:suppressLineNumbers w:val="0"/>
              <w:spacing w:before="0" w:beforeAutospacing="0" w:after="0" w:afterAutospacing="0"/>
              <w:ind w:left="0" w:right="0"/>
              <w:jc w:val="both"/>
              <w:rPr>
                <w:rFonts w:hint="default" w:ascii="Times New Roman" w:hAnsi="Times New Roman" w:cs="Times New Roman"/>
                <w:color w:val="auto"/>
                <w:sz w:val="20"/>
                <w:szCs w:val="20"/>
                <w:highlight w:val="none"/>
              </w:rPr>
            </w:pPr>
          </w:p>
        </w:tc>
        <w:tc>
          <w:tcPr>
            <w:tcW w:w="411" w:type="pct"/>
            <w:tcBorders>
              <w:top w:val="single" w:color="auto" w:sz="4" w:space="0"/>
              <w:left w:val="single" w:color="auto" w:sz="4" w:space="0"/>
              <w:bottom w:val="single" w:color="auto" w:sz="4" w:space="0"/>
              <w:right w:val="single" w:color="auto" w:sz="4" w:space="0"/>
            </w:tcBorders>
            <w:noWrap w:val="0"/>
            <w:vAlign w:val="center"/>
          </w:tcPr>
          <w:p w14:paraId="6783CA3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299" w:type="pct"/>
            <w:tcBorders>
              <w:top w:val="single" w:color="auto" w:sz="4" w:space="0"/>
              <w:left w:val="single" w:color="auto" w:sz="4" w:space="0"/>
              <w:bottom w:val="single" w:color="auto" w:sz="4" w:space="0"/>
              <w:right w:val="single" w:color="auto" w:sz="4" w:space="0"/>
            </w:tcBorders>
            <w:noWrap w:val="0"/>
            <w:vAlign w:val="center"/>
          </w:tcPr>
          <w:p w14:paraId="7CCD1E6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1E675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29" w:type="pct"/>
            <w:vMerge w:val="restart"/>
            <w:tcBorders>
              <w:top w:val="single" w:color="auto" w:sz="4" w:space="0"/>
              <w:left w:val="single" w:color="auto" w:sz="4" w:space="0"/>
              <w:right w:val="single" w:color="auto" w:sz="4" w:space="0"/>
            </w:tcBorders>
            <w:noWrap w:val="0"/>
            <w:vAlign w:val="center"/>
          </w:tcPr>
          <w:p w14:paraId="12E871A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地下水及土壤环境</w:t>
            </w:r>
          </w:p>
        </w:tc>
        <w:tc>
          <w:tcPr>
            <w:tcW w:w="2525" w:type="pct"/>
            <w:tcBorders>
              <w:top w:val="single" w:color="auto" w:sz="4" w:space="0"/>
              <w:left w:val="single" w:color="auto" w:sz="4" w:space="0"/>
              <w:bottom w:val="single" w:color="auto" w:sz="4" w:space="0"/>
              <w:right w:val="single" w:color="auto" w:sz="4" w:space="0"/>
            </w:tcBorders>
            <w:noWrap w:val="0"/>
            <w:vAlign w:val="center"/>
          </w:tcPr>
          <w:p w14:paraId="34051FB0">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4"/>
                <w:highlight w:val="none"/>
                <w:lang w:val="en-US" w:eastAsia="zh-CN" w:bidi="ar"/>
              </w:rPr>
              <w:t>重</w:t>
            </w:r>
            <w:r>
              <w:rPr>
                <w:rFonts w:hint="eastAsia" w:ascii="Times New Roman" w:hAnsi="Times New Roman" w:eastAsia="宋体" w:cs="Times New Roman"/>
                <w:color w:val="auto"/>
                <w:sz w:val="21"/>
                <w:szCs w:val="21"/>
                <w:highlight w:val="none"/>
                <w:lang w:val="en-US" w:eastAsia="zh-CN" w:bidi="ar"/>
              </w:rPr>
              <w:t>点防渗区地面底部利用机械将衬层压实，四周用土堆成简易围堰，围堰内地面连同四周的土围堰整体铺设防渗材料（</w:t>
            </w:r>
            <w:r>
              <w:rPr>
                <w:rFonts w:hint="eastAsia" w:ascii="Times New Roman" w:hAnsi="Times New Roman" w:eastAsia="Calibri" w:cs="Times New Roman"/>
                <w:color w:val="auto"/>
                <w:sz w:val="21"/>
                <w:szCs w:val="21"/>
                <w:highlight w:val="none"/>
                <w:lang w:val="en-US" w:eastAsia="zh-CN" w:bidi="ar"/>
              </w:rPr>
              <w:t>双层</w:t>
            </w:r>
            <w:r>
              <w:rPr>
                <w:rFonts w:hint="default" w:ascii="Times New Roman" w:hAnsi="Times New Roman" w:eastAsia="Calibri" w:cs="Times New Roman"/>
                <w:color w:val="auto"/>
                <w:sz w:val="21"/>
                <w:szCs w:val="21"/>
                <w:highlight w:val="none"/>
                <w:lang w:val="en-US" w:eastAsia="zh-CN" w:bidi="ar"/>
              </w:rPr>
              <w:t>HDPE膜</w:t>
            </w:r>
            <w:r>
              <w:rPr>
                <w:rFonts w:hint="eastAsia" w:ascii="Times New Roman" w:hAnsi="Times New Roman" w:eastAsia="Calibri" w:cs="Times New Roman"/>
                <w:color w:val="auto"/>
                <w:sz w:val="21"/>
                <w:szCs w:val="21"/>
                <w:highlight w:val="none"/>
                <w:lang w:val="en-US" w:eastAsia="zh-CN" w:bidi="ar"/>
              </w:rPr>
              <w:t>或单层复合HDPE膜</w:t>
            </w:r>
            <w:r>
              <w:rPr>
                <w:rFonts w:hint="default" w:ascii="Times New Roman" w:hAnsi="Times New Roman" w:eastAsia="Calibri" w:cs="Times New Roman"/>
                <w:color w:val="auto"/>
                <w:sz w:val="21"/>
                <w:szCs w:val="21"/>
                <w:highlight w:val="none"/>
                <w:lang w:val="en-US" w:eastAsia="zh-CN" w:bidi="ar"/>
              </w:rPr>
              <w:t>，厚度不低于2mm</w:t>
            </w:r>
            <w:r>
              <w:rPr>
                <w:rFonts w:hint="eastAsia" w:ascii="Times New Roman" w:hAnsi="Times New Roman" w:eastAsia="宋体" w:cs="Times New Roman"/>
                <w:color w:val="auto"/>
                <w:sz w:val="21"/>
                <w:szCs w:val="21"/>
                <w:highlight w:val="none"/>
                <w:lang w:val="en-US" w:eastAsia="zh-CN" w:bidi="ar"/>
              </w:rPr>
              <w:t>），等效黏土防渗层</w:t>
            </w:r>
            <w:r>
              <w:rPr>
                <w:rFonts w:hint="default" w:ascii="Times New Roman" w:hAnsi="Times New Roman" w:eastAsia="宋体" w:cs="Times New Roman"/>
                <w:color w:val="auto"/>
                <w:sz w:val="21"/>
                <w:szCs w:val="21"/>
                <w:highlight w:val="none"/>
                <w:lang w:val="en-US" w:eastAsia="zh-CN" w:bidi="ar"/>
              </w:rPr>
              <w:t>Mb≥6.0m</w:t>
            </w:r>
            <w:r>
              <w:rPr>
                <w:rFonts w:hint="eastAsia" w:ascii="Times New Roman" w:hAnsi="Times New Roman" w:eastAsia="宋体" w:cs="Times New Roman"/>
                <w:color w:val="auto"/>
                <w:sz w:val="21"/>
                <w:szCs w:val="21"/>
                <w:highlight w:val="none"/>
                <w:lang w:val="en-US" w:eastAsia="zh-CN" w:bidi="ar"/>
              </w:rPr>
              <w:t>，</w:t>
            </w:r>
            <w:r>
              <w:rPr>
                <w:rFonts w:hint="default" w:ascii="Times New Roman" w:hAnsi="Times New Roman" w:eastAsia="宋体" w:cs="Times New Roman"/>
                <w:color w:val="auto"/>
                <w:sz w:val="21"/>
                <w:szCs w:val="21"/>
                <w:highlight w:val="none"/>
                <w:lang w:val="en-US" w:eastAsia="zh-CN" w:bidi="ar"/>
              </w:rPr>
              <w:t>K≤1×10</w:t>
            </w:r>
            <w:r>
              <w:rPr>
                <w:rFonts w:hint="default" w:ascii="Times New Roman" w:hAnsi="Times New Roman" w:eastAsia="宋体" w:cs="Times New Roman"/>
                <w:color w:val="auto"/>
                <w:sz w:val="21"/>
                <w:szCs w:val="21"/>
                <w:highlight w:val="none"/>
                <w:vertAlign w:val="superscript"/>
                <w:lang w:val="en-US" w:eastAsia="zh-CN" w:bidi="ar"/>
              </w:rPr>
              <w:t>-7</w:t>
            </w:r>
            <w:r>
              <w:rPr>
                <w:rFonts w:hint="default" w:ascii="Times New Roman" w:hAnsi="Times New Roman" w:eastAsia="宋体" w:cs="Times New Roman"/>
                <w:color w:val="auto"/>
                <w:sz w:val="21"/>
                <w:szCs w:val="21"/>
                <w:highlight w:val="none"/>
                <w:lang w:val="en-US" w:eastAsia="zh-CN" w:bidi="ar"/>
              </w:rPr>
              <w:t>cm/s</w:t>
            </w:r>
            <w:r>
              <w:rPr>
                <w:rFonts w:hint="eastAsia" w:ascii="Times New Roman" w:hAnsi="Times New Roman" w:eastAsia="宋体" w:cs="Times New Roman"/>
                <w:color w:val="auto"/>
                <w:sz w:val="21"/>
                <w:szCs w:val="21"/>
                <w:highlight w:val="none"/>
                <w:lang w:val="en-US" w:eastAsia="zh-CN" w:bidi="ar"/>
              </w:rPr>
              <w:t>，</w:t>
            </w:r>
            <w:r>
              <w:rPr>
                <w:rFonts w:hint="default" w:ascii="Times New Roman" w:hAnsi="Times New Roman" w:eastAsia="宋体" w:cs="Times New Roman"/>
                <w:color w:val="auto"/>
                <w:sz w:val="21"/>
                <w:szCs w:val="21"/>
                <w:highlight w:val="none"/>
                <w:lang w:val="en-US" w:eastAsia="zh-CN" w:bidi="ar"/>
              </w:rPr>
              <w:t>HDPE</w:t>
            </w:r>
            <w:r>
              <w:rPr>
                <w:rFonts w:hint="eastAsia" w:ascii="Times New Roman" w:hAnsi="Times New Roman" w:eastAsia="宋体" w:cs="Times New Roman"/>
                <w:color w:val="auto"/>
                <w:sz w:val="21"/>
                <w:szCs w:val="21"/>
                <w:highlight w:val="none"/>
                <w:lang w:val="en-US" w:eastAsia="zh-CN" w:bidi="ar"/>
              </w:rPr>
              <w:t>膜敷设面积应适当扩大，覆盖围堰区外延</w:t>
            </w:r>
            <w:r>
              <w:rPr>
                <w:rFonts w:hint="default" w:ascii="Times New Roman" w:hAnsi="Times New Roman" w:eastAsia="宋体" w:cs="Times New Roman"/>
                <w:color w:val="auto"/>
                <w:sz w:val="21"/>
                <w:szCs w:val="21"/>
                <w:highlight w:val="none"/>
                <w:lang w:val="en-US" w:eastAsia="zh-CN" w:bidi="ar"/>
              </w:rPr>
              <w:t>1.0m</w:t>
            </w:r>
            <w:r>
              <w:rPr>
                <w:rFonts w:hint="eastAsia" w:ascii="Times New Roman" w:hAnsi="Times New Roman" w:eastAsia="宋体" w:cs="Times New Roman"/>
                <w:color w:val="auto"/>
                <w:sz w:val="21"/>
                <w:szCs w:val="21"/>
                <w:highlight w:val="none"/>
                <w:lang w:val="en-US" w:eastAsia="zh-CN" w:bidi="ar"/>
              </w:rPr>
              <w:t>范围</w:t>
            </w:r>
          </w:p>
        </w:tc>
        <w:tc>
          <w:tcPr>
            <w:tcW w:w="1134" w:type="pct"/>
            <w:vMerge w:val="restart"/>
            <w:tcBorders>
              <w:top w:val="single" w:color="auto" w:sz="4" w:space="0"/>
              <w:left w:val="single" w:color="auto" w:sz="4" w:space="0"/>
              <w:right w:val="single" w:color="auto" w:sz="4" w:space="0"/>
            </w:tcBorders>
            <w:noWrap w:val="0"/>
            <w:vAlign w:val="center"/>
          </w:tcPr>
          <w:p w14:paraId="0A4FB77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施工现场无遗留废水、固体废物等可能对地下水及土壤环境造成影响的污染物；污染物均得到妥善处置</w:t>
            </w:r>
          </w:p>
        </w:tc>
        <w:tc>
          <w:tcPr>
            <w:tcW w:w="411" w:type="pct"/>
            <w:vMerge w:val="restart"/>
            <w:tcBorders>
              <w:top w:val="single" w:color="auto" w:sz="4" w:space="0"/>
              <w:left w:val="single" w:color="auto" w:sz="4" w:space="0"/>
              <w:right w:val="single" w:color="auto" w:sz="4" w:space="0"/>
            </w:tcBorders>
            <w:noWrap w:val="0"/>
            <w:vAlign w:val="center"/>
          </w:tcPr>
          <w:p w14:paraId="3EAD330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299" w:type="pct"/>
            <w:vMerge w:val="restart"/>
            <w:tcBorders>
              <w:top w:val="single" w:color="auto" w:sz="4" w:space="0"/>
              <w:left w:val="single" w:color="auto" w:sz="4" w:space="0"/>
              <w:right w:val="single" w:color="auto" w:sz="4" w:space="0"/>
            </w:tcBorders>
            <w:noWrap w:val="0"/>
            <w:vAlign w:val="center"/>
          </w:tcPr>
          <w:p w14:paraId="69F1252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41D42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29" w:type="pct"/>
            <w:vMerge w:val="continue"/>
            <w:tcBorders>
              <w:left w:val="single" w:color="auto" w:sz="4" w:space="0"/>
              <w:bottom w:val="single" w:color="auto" w:sz="4" w:space="0"/>
              <w:right w:val="single" w:color="auto" w:sz="4" w:space="0"/>
            </w:tcBorders>
            <w:noWrap w:val="0"/>
            <w:vAlign w:val="center"/>
          </w:tcPr>
          <w:p w14:paraId="093F105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p>
        </w:tc>
        <w:tc>
          <w:tcPr>
            <w:tcW w:w="2525" w:type="pct"/>
            <w:tcBorders>
              <w:top w:val="single" w:color="auto" w:sz="4" w:space="0"/>
              <w:left w:val="single" w:color="auto" w:sz="4" w:space="0"/>
              <w:bottom w:val="single" w:color="auto" w:sz="4" w:space="0"/>
              <w:right w:val="single" w:color="auto" w:sz="4" w:space="0"/>
            </w:tcBorders>
            <w:noWrap w:val="0"/>
            <w:vAlign w:val="center"/>
          </w:tcPr>
          <w:p w14:paraId="0FDC8B88">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bidi="ar"/>
              </w:rPr>
              <w:t>危废贮存库防渗措施：采用撬装式危废贮存库，防渗同时可满足《危险废物贮存污染控制标准》（</w:t>
            </w:r>
            <w:r>
              <w:rPr>
                <w:rFonts w:hint="default" w:ascii="Times New Roman" w:hAnsi="Times New Roman" w:eastAsia="宋体" w:cs="Times New Roman"/>
                <w:color w:val="auto"/>
                <w:sz w:val="21"/>
                <w:szCs w:val="21"/>
                <w:highlight w:val="none"/>
                <w:lang w:val="en-US" w:eastAsia="zh-CN" w:bidi="ar"/>
              </w:rPr>
              <w:t>GB18597-2023</w:t>
            </w:r>
            <w:r>
              <w:rPr>
                <w:rFonts w:hint="eastAsia" w:ascii="Times New Roman" w:hAnsi="Times New Roman" w:eastAsia="宋体" w:cs="Times New Roman"/>
                <w:color w:val="auto"/>
                <w:sz w:val="21"/>
                <w:szCs w:val="21"/>
                <w:highlight w:val="none"/>
                <w:lang w:val="en-US" w:eastAsia="zh-CN" w:bidi="ar"/>
              </w:rPr>
              <w:t>）的相关要求，防渗层渗透系数不大于</w:t>
            </w:r>
            <w:r>
              <w:rPr>
                <w:rFonts w:hint="default" w:ascii="Times New Roman" w:hAnsi="Times New Roman" w:eastAsia="宋体" w:cs="Times New Roman"/>
                <w:color w:val="auto"/>
                <w:sz w:val="21"/>
                <w:szCs w:val="21"/>
                <w:highlight w:val="none"/>
                <w:lang w:val="en-US" w:eastAsia="zh-CN" w:bidi="ar"/>
              </w:rPr>
              <w:t>1×10</w:t>
            </w:r>
            <w:r>
              <w:rPr>
                <w:rFonts w:hint="default" w:ascii="Times New Roman" w:hAnsi="Times New Roman" w:eastAsia="宋体" w:cs="Times New Roman"/>
                <w:color w:val="auto"/>
                <w:sz w:val="21"/>
                <w:szCs w:val="21"/>
                <w:highlight w:val="none"/>
                <w:vertAlign w:val="superscript"/>
                <w:lang w:val="en-US" w:eastAsia="zh-CN" w:bidi="ar"/>
              </w:rPr>
              <w:t>-10</w:t>
            </w:r>
            <w:r>
              <w:rPr>
                <w:rFonts w:hint="default" w:ascii="Times New Roman" w:hAnsi="Times New Roman" w:eastAsia="宋体" w:cs="Times New Roman"/>
                <w:color w:val="auto"/>
                <w:sz w:val="21"/>
                <w:szCs w:val="21"/>
                <w:highlight w:val="none"/>
                <w:lang w:val="en-US" w:eastAsia="zh-CN" w:bidi="ar"/>
              </w:rPr>
              <w:t>cm/s</w:t>
            </w:r>
            <w:r>
              <w:rPr>
                <w:rFonts w:hint="eastAsia" w:ascii="Times New Roman" w:hAnsi="Times New Roman" w:eastAsia="宋体" w:cs="Times New Roman"/>
                <w:color w:val="auto"/>
                <w:sz w:val="21"/>
                <w:szCs w:val="21"/>
                <w:highlight w:val="none"/>
                <w:lang w:val="en-US" w:eastAsia="zh-CN" w:bidi="ar"/>
              </w:rPr>
              <w:t>。</w:t>
            </w:r>
          </w:p>
        </w:tc>
        <w:tc>
          <w:tcPr>
            <w:tcW w:w="1134" w:type="pct"/>
            <w:vMerge w:val="continue"/>
            <w:tcBorders>
              <w:left w:val="single" w:color="auto" w:sz="4" w:space="0"/>
              <w:bottom w:val="single" w:color="auto" w:sz="4" w:space="0"/>
              <w:right w:val="single" w:color="auto" w:sz="4" w:space="0"/>
            </w:tcBorders>
            <w:noWrap w:val="0"/>
            <w:vAlign w:val="center"/>
          </w:tcPr>
          <w:p w14:paraId="1FC44B5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p>
        </w:tc>
        <w:tc>
          <w:tcPr>
            <w:tcW w:w="411" w:type="pct"/>
            <w:vMerge w:val="continue"/>
            <w:tcBorders>
              <w:left w:val="single" w:color="auto" w:sz="4" w:space="0"/>
              <w:bottom w:val="single" w:color="auto" w:sz="4" w:space="0"/>
              <w:right w:val="single" w:color="auto" w:sz="4" w:space="0"/>
            </w:tcBorders>
            <w:noWrap w:val="0"/>
            <w:vAlign w:val="center"/>
          </w:tcPr>
          <w:p w14:paraId="484DB73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p>
        </w:tc>
        <w:tc>
          <w:tcPr>
            <w:tcW w:w="299" w:type="pct"/>
            <w:vMerge w:val="continue"/>
            <w:tcBorders>
              <w:left w:val="single" w:color="auto" w:sz="4" w:space="0"/>
              <w:bottom w:val="single" w:color="auto" w:sz="4" w:space="0"/>
              <w:right w:val="single" w:color="auto" w:sz="4" w:space="0"/>
            </w:tcBorders>
            <w:noWrap w:val="0"/>
            <w:vAlign w:val="center"/>
          </w:tcPr>
          <w:p w14:paraId="51322CC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p>
        </w:tc>
      </w:tr>
      <w:tr w14:paraId="73F9F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pct"/>
            <w:tcBorders>
              <w:top w:val="single" w:color="auto" w:sz="4" w:space="0"/>
              <w:left w:val="single" w:color="auto" w:sz="4" w:space="0"/>
              <w:bottom w:val="single" w:color="auto" w:sz="4" w:space="0"/>
              <w:right w:val="single" w:color="auto" w:sz="4" w:space="0"/>
            </w:tcBorders>
            <w:noWrap w:val="0"/>
            <w:vAlign w:val="center"/>
          </w:tcPr>
          <w:p w14:paraId="2FC6391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声环境</w:t>
            </w:r>
          </w:p>
        </w:tc>
        <w:tc>
          <w:tcPr>
            <w:tcW w:w="2525" w:type="pct"/>
            <w:tcBorders>
              <w:top w:val="single" w:color="auto" w:sz="4" w:space="0"/>
              <w:left w:val="single" w:color="auto" w:sz="4" w:space="0"/>
              <w:bottom w:val="single" w:color="auto" w:sz="4" w:space="0"/>
              <w:right w:val="single" w:color="auto" w:sz="4" w:space="0"/>
            </w:tcBorders>
            <w:noWrap w:val="0"/>
            <w:vAlign w:val="center"/>
          </w:tcPr>
          <w:p w14:paraId="2844532C">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4"/>
                <w:highlight w:val="none"/>
                <w:lang w:val="en-US" w:eastAsia="zh-CN" w:bidi="ar"/>
              </w:rPr>
              <w:t>采用符合国家规定的设备；严格控制高噪声设备运行时间段，加强施工管理；泥浆泵加衬弹性垫料，管理和作业过程中平稳操作，避免特种作业时产生非正常的噪声；压裂车设置隔声设备，仅在白天运行等</w:t>
            </w:r>
            <w:r>
              <w:rPr>
                <w:rFonts w:hint="eastAsia" w:ascii="Times New Roman" w:hAnsi="Times New Roman" w:cs="Times New Roman"/>
                <w:color w:val="auto"/>
                <w:kern w:val="0"/>
                <w:sz w:val="21"/>
                <w:szCs w:val="24"/>
                <w:highlight w:val="none"/>
                <w:lang w:val="en-US" w:eastAsia="zh-CN" w:bidi="ar"/>
              </w:rPr>
              <w:t>。</w:t>
            </w:r>
          </w:p>
        </w:tc>
        <w:tc>
          <w:tcPr>
            <w:tcW w:w="1134" w:type="pct"/>
            <w:tcBorders>
              <w:top w:val="single" w:color="auto" w:sz="4" w:space="0"/>
              <w:left w:val="single" w:color="auto" w:sz="4" w:space="0"/>
              <w:bottom w:val="single" w:color="auto" w:sz="4" w:space="0"/>
              <w:right w:val="single" w:color="auto" w:sz="4" w:space="0"/>
            </w:tcBorders>
            <w:noWrap w:val="0"/>
            <w:vAlign w:val="center"/>
          </w:tcPr>
          <w:p w14:paraId="022CF70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4"/>
                <w:highlight w:val="none"/>
                <w:lang w:val="en-US" w:eastAsia="zh-CN" w:bidi="ar"/>
              </w:rPr>
              <w:t>满足《</w:t>
            </w:r>
            <w:r>
              <w:rPr>
                <w:rFonts w:hint="eastAsia" w:ascii="Times New Roman" w:hAnsi="Times New Roman" w:cs="Times New Roman"/>
                <w:color w:val="auto"/>
                <w:kern w:val="0"/>
                <w:sz w:val="21"/>
                <w:szCs w:val="24"/>
                <w:highlight w:val="none"/>
                <w:lang w:val="en-US" w:eastAsia="zh-CN" w:bidi="ar"/>
              </w:rPr>
              <w:t>建筑施工噪声排放标准</w:t>
            </w:r>
            <w:r>
              <w:rPr>
                <w:rFonts w:hint="default" w:ascii="Times New Roman" w:hAnsi="Times New Roman" w:eastAsia="宋体" w:cs="Times New Roman"/>
                <w:color w:val="auto"/>
                <w:kern w:val="0"/>
                <w:sz w:val="21"/>
                <w:szCs w:val="24"/>
                <w:highlight w:val="none"/>
                <w:lang w:val="en-US" w:eastAsia="zh-CN" w:bidi="ar"/>
              </w:rPr>
              <w:t>》（</w:t>
            </w:r>
            <w:r>
              <w:rPr>
                <w:rFonts w:hint="eastAsia" w:ascii="Times New Roman" w:hAnsi="Times New Roman" w:eastAsia="TimesNewRomanPSMT" w:cs="Times New Roman"/>
                <w:color w:val="auto"/>
                <w:kern w:val="0"/>
                <w:sz w:val="21"/>
                <w:szCs w:val="24"/>
                <w:highlight w:val="none"/>
                <w:lang w:val="en-US" w:eastAsia="zh-CN" w:bidi="ar"/>
              </w:rPr>
              <w:t>GB12523-2025</w:t>
            </w:r>
            <w:r>
              <w:rPr>
                <w:rFonts w:hint="default" w:ascii="Times New Roman" w:hAnsi="Times New Roman" w:eastAsia="宋体" w:cs="Times New Roman"/>
                <w:color w:val="auto"/>
                <w:kern w:val="0"/>
                <w:sz w:val="21"/>
                <w:szCs w:val="24"/>
                <w:highlight w:val="none"/>
                <w:lang w:val="en-US" w:eastAsia="zh-CN" w:bidi="ar"/>
              </w:rPr>
              <w:t>）中限值要求</w:t>
            </w:r>
          </w:p>
        </w:tc>
        <w:tc>
          <w:tcPr>
            <w:tcW w:w="411" w:type="pct"/>
            <w:tcBorders>
              <w:top w:val="single" w:color="auto" w:sz="4" w:space="0"/>
              <w:left w:val="single" w:color="auto" w:sz="4" w:space="0"/>
              <w:bottom w:val="single" w:color="auto" w:sz="4" w:space="0"/>
              <w:right w:val="single" w:color="auto" w:sz="4" w:space="0"/>
            </w:tcBorders>
            <w:noWrap w:val="0"/>
            <w:vAlign w:val="center"/>
          </w:tcPr>
          <w:p w14:paraId="2693F6E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299" w:type="pct"/>
            <w:tcBorders>
              <w:top w:val="single" w:color="auto" w:sz="4" w:space="0"/>
              <w:left w:val="single" w:color="auto" w:sz="4" w:space="0"/>
              <w:bottom w:val="single" w:color="auto" w:sz="4" w:space="0"/>
              <w:right w:val="single" w:color="auto" w:sz="4" w:space="0"/>
            </w:tcBorders>
            <w:noWrap w:val="0"/>
            <w:vAlign w:val="center"/>
          </w:tcPr>
          <w:p w14:paraId="240E4BC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5396B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pct"/>
            <w:tcBorders>
              <w:top w:val="single" w:color="auto" w:sz="4" w:space="0"/>
              <w:left w:val="single" w:color="auto" w:sz="4" w:space="0"/>
              <w:bottom w:val="single" w:color="auto" w:sz="4" w:space="0"/>
              <w:right w:val="single" w:color="auto" w:sz="4" w:space="0"/>
            </w:tcBorders>
            <w:noWrap w:val="0"/>
            <w:vAlign w:val="center"/>
          </w:tcPr>
          <w:p w14:paraId="6190D58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振动</w:t>
            </w:r>
          </w:p>
        </w:tc>
        <w:tc>
          <w:tcPr>
            <w:tcW w:w="2525" w:type="pct"/>
            <w:tcBorders>
              <w:top w:val="single" w:color="auto" w:sz="4" w:space="0"/>
              <w:left w:val="single" w:color="auto" w:sz="4" w:space="0"/>
              <w:bottom w:val="single" w:color="auto" w:sz="4" w:space="0"/>
              <w:right w:val="single" w:color="auto" w:sz="4" w:space="0"/>
            </w:tcBorders>
            <w:noWrap w:val="0"/>
            <w:vAlign w:val="center"/>
          </w:tcPr>
          <w:p w14:paraId="485614A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1134" w:type="pct"/>
            <w:tcBorders>
              <w:top w:val="single" w:color="auto" w:sz="4" w:space="0"/>
              <w:left w:val="single" w:color="auto" w:sz="4" w:space="0"/>
              <w:bottom w:val="single" w:color="auto" w:sz="4" w:space="0"/>
              <w:right w:val="single" w:color="auto" w:sz="4" w:space="0"/>
            </w:tcBorders>
            <w:noWrap w:val="0"/>
            <w:vAlign w:val="center"/>
          </w:tcPr>
          <w:p w14:paraId="57FFBC3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411" w:type="pct"/>
            <w:tcBorders>
              <w:top w:val="single" w:color="auto" w:sz="4" w:space="0"/>
              <w:left w:val="single" w:color="auto" w:sz="4" w:space="0"/>
              <w:bottom w:val="single" w:color="auto" w:sz="4" w:space="0"/>
              <w:right w:val="single" w:color="auto" w:sz="4" w:space="0"/>
            </w:tcBorders>
            <w:noWrap w:val="0"/>
            <w:vAlign w:val="center"/>
          </w:tcPr>
          <w:p w14:paraId="5ACD237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299" w:type="pct"/>
            <w:tcBorders>
              <w:top w:val="single" w:color="auto" w:sz="4" w:space="0"/>
              <w:left w:val="single" w:color="auto" w:sz="4" w:space="0"/>
              <w:bottom w:val="single" w:color="auto" w:sz="4" w:space="0"/>
              <w:right w:val="single" w:color="auto" w:sz="4" w:space="0"/>
            </w:tcBorders>
            <w:noWrap w:val="0"/>
            <w:vAlign w:val="center"/>
          </w:tcPr>
          <w:p w14:paraId="326A8C0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2057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pct"/>
            <w:tcBorders>
              <w:top w:val="single" w:color="auto" w:sz="4" w:space="0"/>
              <w:left w:val="single" w:color="auto" w:sz="4" w:space="0"/>
              <w:bottom w:val="single" w:color="auto" w:sz="4" w:space="0"/>
              <w:right w:val="single" w:color="auto" w:sz="4" w:space="0"/>
            </w:tcBorders>
            <w:noWrap w:val="0"/>
            <w:vAlign w:val="center"/>
          </w:tcPr>
          <w:p w14:paraId="21993D5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大气环境</w:t>
            </w:r>
          </w:p>
        </w:tc>
        <w:tc>
          <w:tcPr>
            <w:tcW w:w="2525" w:type="pct"/>
            <w:tcBorders>
              <w:top w:val="single" w:color="auto" w:sz="4" w:space="0"/>
              <w:left w:val="single" w:color="auto" w:sz="4" w:space="0"/>
              <w:bottom w:val="single" w:color="auto" w:sz="4" w:space="0"/>
              <w:right w:val="single" w:color="auto" w:sz="4" w:space="0"/>
            </w:tcBorders>
            <w:noWrap w:val="0"/>
            <w:vAlign w:val="center"/>
          </w:tcPr>
          <w:p w14:paraId="798BF600">
            <w:pPr>
              <w:keepNext w:val="0"/>
              <w:keepLines w:val="0"/>
              <w:widowControl w:val="0"/>
              <w:suppressLineNumbers w:val="0"/>
              <w:spacing w:before="0" w:beforeAutospacing="0" w:after="0" w:afterAutospacing="0"/>
              <w:ind w:left="0" w:right="0"/>
              <w:jc w:val="left"/>
              <w:rPr>
                <w:rFonts w:hint="eastAsia" w:ascii="Times New Roman" w:hAnsi="Times New Roman" w:cs="Times New Roman"/>
                <w:color w:val="auto"/>
                <w:kern w:val="0"/>
                <w:sz w:val="21"/>
                <w:szCs w:val="24"/>
                <w:highlight w:val="none"/>
                <w:lang w:val="en-US" w:eastAsia="zh-CN" w:bidi="ar"/>
              </w:rPr>
            </w:pPr>
            <w:r>
              <w:rPr>
                <w:rFonts w:hint="default" w:ascii="Times New Roman" w:hAnsi="Times New Roman" w:eastAsia="宋体" w:cs="Times New Roman"/>
                <w:color w:val="auto"/>
                <w:kern w:val="0"/>
                <w:sz w:val="21"/>
                <w:szCs w:val="24"/>
                <w:highlight w:val="none"/>
                <w:lang w:val="en-US" w:eastAsia="zh-CN" w:bidi="ar"/>
              </w:rPr>
              <w:t>施工扬尘：施工场地围挡、物料堆放覆盖、洒水降尘；利用现有道路运输；重污染天气严禁</w:t>
            </w:r>
            <w:r>
              <w:rPr>
                <w:rFonts w:hint="eastAsia" w:ascii="Times New Roman" w:hAnsi="Times New Roman" w:cs="Times New Roman"/>
                <w:color w:val="auto"/>
                <w:kern w:val="0"/>
                <w:sz w:val="21"/>
                <w:szCs w:val="24"/>
                <w:highlight w:val="none"/>
                <w:lang w:val="en-US" w:eastAsia="zh-CN" w:bidi="ar"/>
              </w:rPr>
              <w:t>覆土</w:t>
            </w:r>
            <w:r>
              <w:rPr>
                <w:rFonts w:hint="default" w:ascii="Times New Roman" w:hAnsi="Times New Roman" w:eastAsia="宋体" w:cs="Times New Roman"/>
                <w:color w:val="auto"/>
                <w:kern w:val="0"/>
                <w:sz w:val="21"/>
                <w:szCs w:val="24"/>
                <w:highlight w:val="none"/>
                <w:lang w:val="en-US" w:eastAsia="zh-CN" w:bidi="ar"/>
              </w:rPr>
              <w:t>等作业；禁止就地焚烧固体废弃物等</w:t>
            </w:r>
            <w:r>
              <w:rPr>
                <w:rFonts w:hint="eastAsia" w:ascii="Times New Roman" w:hAnsi="Times New Roman" w:cs="Times New Roman"/>
                <w:color w:val="auto"/>
                <w:kern w:val="0"/>
                <w:sz w:val="21"/>
                <w:szCs w:val="24"/>
                <w:highlight w:val="none"/>
                <w:lang w:val="en-US" w:eastAsia="zh-CN" w:bidi="ar"/>
              </w:rPr>
              <w:t>；</w:t>
            </w:r>
          </w:p>
          <w:p w14:paraId="5DBCB63D">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0"/>
                <w:sz w:val="21"/>
                <w:szCs w:val="24"/>
                <w:highlight w:val="none"/>
                <w:lang w:val="en-US" w:eastAsia="zh-CN" w:bidi="ar"/>
              </w:rPr>
              <w:t>测试放喷废气：天然气经气液分离后通过专用管道引至放喷罐放喷，放喷罐距离井口直线距离大于50m，且50m范围内无其他施工设施，井场所在地位于黄土梁峁，地势空旷便于废气扩散</w:t>
            </w:r>
            <w:r>
              <w:rPr>
                <w:rFonts w:hint="default" w:ascii="Times New Roman" w:hAnsi="Times New Roman" w:eastAsia="宋体" w:cs="Times New Roman"/>
                <w:color w:val="auto"/>
                <w:kern w:val="0"/>
                <w:sz w:val="21"/>
                <w:szCs w:val="24"/>
                <w:highlight w:val="none"/>
                <w:lang w:val="en-US" w:eastAsia="zh-CN" w:bidi="ar"/>
              </w:rPr>
              <w:t>。</w:t>
            </w:r>
          </w:p>
        </w:tc>
        <w:tc>
          <w:tcPr>
            <w:tcW w:w="1134" w:type="pct"/>
            <w:tcBorders>
              <w:top w:val="single" w:color="auto" w:sz="4" w:space="0"/>
              <w:left w:val="single" w:color="auto" w:sz="4" w:space="0"/>
              <w:bottom w:val="single" w:color="auto" w:sz="4" w:space="0"/>
              <w:right w:val="single" w:color="auto" w:sz="4" w:space="0"/>
            </w:tcBorders>
            <w:noWrap w:val="0"/>
            <w:vAlign w:val="center"/>
          </w:tcPr>
          <w:p w14:paraId="467833EB">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4"/>
                <w:highlight w:val="none"/>
                <w:lang w:val="en-US" w:eastAsia="zh-CN" w:bidi="ar"/>
              </w:rPr>
              <w:t>达到《施工场界扬尘排放限值》（</w:t>
            </w:r>
            <w:r>
              <w:rPr>
                <w:rFonts w:hint="default" w:ascii="Times New Roman" w:hAnsi="Times New Roman" w:eastAsia="TimesNewRomanPSMT" w:cs="Times New Roman"/>
                <w:color w:val="auto"/>
                <w:kern w:val="0"/>
                <w:sz w:val="21"/>
                <w:szCs w:val="24"/>
                <w:highlight w:val="none"/>
                <w:lang w:val="en-US" w:eastAsia="zh-CN" w:bidi="ar"/>
              </w:rPr>
              <w:t>DB61/1078-2017</w:t>
            </w:r>
            <w:r>
              <w:rPr>
                <w:rFonts w:hint="default" w:ascii="Times New Roman" w:hAnsi="Times New Roman" w:eastAsia="宋体" w:cs="Times New Roman"/>
                <w:color w:val="auto"/>
                <w:kern w:val="0"/>
                <w:sz w:val="21"/>
                <w:szCs w:val="24"/>
                <w:highlight w:val="none"/>
                <w:lang w:val="en-US" w:eastAsia="zh-CN" w:bidi="ar"/>
              </w:rPr>
              <w:t>）</w:t>
            </w:r>
            <w:r>
              <w:rPr>
                <w:rFonts w:hint="eastAsia" w:ascii="Times New Roman" w:hAnsi="Times New Roman" w:cs="Times New Roman"/>
                <w:color w:val="auto"/>
                <w:kern w:val="0"/>
                <w:sz w:val="21"/>
                <w:szCs w:val="24"/>
                <w:highlight w:val="none"/>
                <w:lang w:val="en-US" w:eastAsia="zh-CN" w:bidi="ar"/>
              </w:rPr>
              <w:t>和《陆上石油天然气开采工业大气污染物排放标准》（GB39728-2020）</w:t>
            </w:r>
            <w:r>
              <w:rPr>
                <w:rFonts w:hint="default" w:ascii="Times New Roman" w:hAnsi="Times New Roman" w:eastAsia="宋体" w:cs="Times New Roman"/>
                <w:color w:val="auto"/>
                <w:kern w:val="0"/>
                <w:sz w:val="21"/>
                <w:szCs w:val="24"/>
                <w:highlight w:val="none"/>
                <w:lang w:val="en-US" w:eastAsia="zh-CN" w:bidi="ar"/>
              </w:rPr>
              <w:t>的相关要求</w:t>
            </w:r>
          </w:p>
        </w:tc>
        <w:tc>
          <w:tcPr>
            <w:tcW w:w="411" w:type="pct"/>
            <w:tcBorders>
              <w:top w:val="single" w:color="auto" w:sz="4" w:space="0"/>
              <w:left w:val="single" w:color="auto" w:sz="4" w:space="0"/>
              <w:bottom w:val="single" w:color="auto" w:sz="4" w:space="0"/>
              <w:right w:val="single" w:color="auto" w:sz="4" w:space="0"/>
            </w:tcBorders>
            <w:noWrap w:val="0"/>
            <w:vAlign w:val="center"/>
          </w:tcPr>
          <w:p w14:paraId="79448B7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299" w:type="pct"/>
            <w:tcBorders>
              <w:top w:val="single" w:color="auto" w:sz="4" w:space="0"/>
              <w:left w:val="single" w:color="auto" w:sz="4" w:space="0"/>
              <w:bottom w:val="single" w:color="auto" w:sz="4" w:space="0"/>
              <w:right w:val="single" w:color="auto" w:sz="4" w:space="0"/>
            </w:tcBorders>
            <w:noWrap w:val="0"/>
            <w:vAlign w:val="center"/>
          </w:tcPr>
          <w:p w14:paraId="6F78ADB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2D550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629" w:type="pct"/>
            <w:vMerge w:val="restart"/>
            <w:tcBorders>
              <w:top w:val="single" w:color="auto" w:sz="4" w:space="0"/>
              <w:left w:val="single" w:color="auto" w:sz="4" w:space="0"/>
              <w:right w:val="single" w:color="auto" w:sz="4" w:space="0"/>
            </w:tcBorders>
            <w:noWrap w:val="0"/>
            <w:vAlign w:val="center"/>
          </w:tcPr>
          <w:p w14:paraId="51CCFF8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固体废物</w:t>
            </w:r>
          </w:p>
        </w:tc>
        <w:tc>
          <w:tcPr>
            <w:tcW w:w="2525" w:type="pct"/>
            <w:tcBorders>
              <w:top w:val="single" w:color="auto" w:sz="4" w:space="0"/>
              <w:left w:val="single" w:color="auto" w:sz="4" w:space="0"/>
              <w:bottom w:val="single" w:color="auto" w:sz="4" w:space="0"/>
              <w:right w:val="single" w:color="auto" w:sz="4" w:space="0"/>
            </w:tcBorders>
            <w:noWrap w:val="0"/>
            <w:vAlign w:val="center"/>
          </w:tcPr>
          <w:p w14:paraId="773EDD77">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4"/>
                <w:highlight w:val="none"/>
                <w:lang w:val="en-US" w:eastAsia="zh-CN" w:bidi="ar"/>
              </w:rPr>
              <w:t>泥饼、岩屑：</w:t>
            </w:r>
            <w:r>
              <w:rPr>
                <w:rFonts w:hint="default" w:ascii="Times New Roman" w:hAnsi="Times New Roman" w:eastAsia="宋体" w:cs="Times New Roman"/>
                <w:color w:val="auto"/>
                <w:kern w:val="0"/>
                <w:sz w:val="21"/>
                <w:szCs w:val="21"/>
                <w:highlight w:val="none"/>
                <w:lang w:val="en-US" w:eastAsia="zh-CN" w:bidi="ar"/>
              </w:rPr>
              <w:t>由移动式收集罐统一收集，</w:t>
            </w:r>
            <w:r>
              <w:rPr>
                <w:rFonts w:hint="default" w:ascii="Times New Roman" w:hAnsi="Times New Roman" w:eastAsia="Calibri" w:cs="Times New Roman"/>
                <w:color w:val="auto"/>
                <w:kern w:val="0"/>
                <w:sz w:val="21"/>
                <w:szCs w:val="21"/>
                <w:highlight w:val="none"/>
                <w:lang w:val="en-US" w:eastAsia="zh-CN" w:bidi="ar"/>
              </w:rPr>
              <w:t>委托</w:t>
            </w:r>
            <w:r>
              <w:rPr>
                <w:rFonts w:hint="eastAsia" w:ascii="Times New Roman" w:hAnsi="Times New Roman" w:eastAsia="宋体" w:cs="Times New Roman"/>
                <w:color w:val="auto"/>
                <w:sz w:val="21"/>
                <w:szCs w:val="21"/>
                <w:highlight w:val="none"/>
                <w:lang w:eastAsia="zh-CN"/>
              </w:rPr>
              <w:t>协议的有能力单位</w:t>
            </w:r>
            <w:r>
              <w:rPr>
                <w:rFonts w:hint="default" w:ascii="Times New Roman" w:hAnsi="Times New Roman" w:eastAsia="Calibri" w:cs="Times New Roman"/>
                <w:color w:val="auto"/>
                <w:kern w:val="0"/>
                <w:sz w:val="21"/>
                <w:szCs w:val="21"/>
                <w:highlight w:val="none"/>
                <w:lang w:val="en-US" w:eastAsia="zh-CN" w:bidi="ar"/>
              </w:rPr>
              <w:t>外运处置；</w:t>
            </w:r>
          </w:p>
        </w:tc>
        <w:tc>
          <w:tcPr>
            <w:tcW w:w="1134" w:type="pct"/>
            <w:vMerge w:val="restart"/>
            <w:tcBorders>
              <w:top w:val="single" w:color="auto" w:sz="4" w:space="0"/>
              <w:left w:val="single" w:color="auto" w:sz="4" w:space="0"/>
              <w:right w:val="single" w:color="auto" w:sz="4" w:space="0"/>
            </w:tcBorders>
            <w:noWrap w:val="0"/>
            <w:vAlign w:val="center"/>
          </w:tcPr>
          <w:p w14:paraId="218B3B69">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4"/>
                <w:highlight w:val="none"/>
                <w:lang w:val="en-US" w:eastAsia="zh-CN" w:bidi="ar"/>
              </w:rPr>
              <w:t>合理妥善处置；施工现场无遗留固体废弃物</w:t>
            </w:r>
          </w:p>
        </w:tc>
        <w:tc>
          <w:tcPr>
            <w:tcW w:w="411" w:type="pct"/>
            <w:vMerge w:val="restart"/>
            <w:tcBorders>
              <w:top w:val="single" w:color="auto" w:sz="4" w:space="0"/>
              <w:left w:val="single" w:color="auto" w:sz="4" w:space="0"/>
              <w:right w:val="single" w:color="auto" w:sz="4" w:space="0"/>
            </w:tcBorders>
            <w:noWrap w:val="0"/>
            <w:vAlign w:val="center"/>
          </w:tcPr>
          <w:p w14:paraId="2E4CE1D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299" w:type="pct"/>
            <w:vMerge w:val="restart"/>
            <w:tcBorders>
              <w:top w:val="single" w:color="auto" w:sz="4" w:space="0"/>
              <w:left w:val="single" w:color="auto" w:sz="4" w:space="0"/>
              <w:right w:val="single" w:color="auto" w:sz="4" w:space="0"/>
            </w:tcBorders>
            <w:noWrap w:val="0"/>
            <w:vAlign w:val="center"/>
          </w:tcPr>
          <w:p w14:paraId="4B3A900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35094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629" w:type="pct"/>
            <w:vMerge w:val="continue"/>
            <w:tcBorders>
              <w:left w:val="single" w:color="auto" w:sz="4" w:space="0"/>
              <w:right w:val="single" w:color="auto" w:sz="4" w:space="0"/>
            </w:tcBorders>
            <w:noWrap w:val="0"/>
            <w:vAlign w:val="center"/>
          </w:tcPr>
          <w:p w14:paraId="16E16498">
            <w:pPr>
              <w:keepNext w:val="0"/>
              <w:keepLines w:val="0"/>
              <w:widowControl w:val="0"/>
              <w:suppressLineNumbers w:val="0"/>
              <w:adjustRightInd w:val="0"/>
              <w:snapToGrid w:val="0"/>
              <w:spacing w:before="0" w:beforeAutospacing="0" w:after="0" w:afterAutospacing="0"/>
              <w:ind w:left="0" w:right="0"/>
              <w:jc w:val="left"/>
              <w:rPr>
                <w:rFonts w:hint="default"/>
                <w:color w:val="auto"/>
                <w:highlight w:val="none"/>
              </w:rPr>
            </w:pPr>
          </w:p>
        </w:tc>
        <w:tc>
          <w:tcPr>
            <w:tcW w:w="2525" w:type="pct"/>
            <w:tcBorders>
              <w:top w:val="single" w:color="auto" w:sz="4" w:space="0"/>
              <w:left w:val="single" w:color="auto" w:sz="4" w:space="0"/>
              <w:bottom w:val="single" w:color="auto" w:sz="4" w:space="0"/>
              <w:right w:val="single" w:color="auto" w:sz="4" w:space="0"/>
            </w:tcBorders>
            <w:noWrap w:val="0"/>
            <w:vAlign w:val="center"/>
          </w:tcPr>
          <w:p w14:paraId="571FAE88">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0"/>
                <w:sz w:val="21"/>
                <w:szCs w:val="24"/>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岩心：取出的岩心首选用于产气量、气密性等的研究，废气岩心交协议的有能力单位外运处理。</w:t>
            </w:r>
          </w:p>
        </w:tc>
        <w:tc>
          <w:tcPr>
            <w:tcW w:w="1134" w:type="pct"/>
            <w:vMerge w:val="continue"/>
            <w:tcBorders>
              <w:left w:val="single" w:color="auto" w:sz="4" w:space="0"/>
              <w:right w:val="single" w:color="auto" w:sz="4" w:space="0"/>
            </w:tcBorders>
            <w:noWrap w:val="0"/>
            <w:vAlign w:val="center"/>
          </w:tcPr>
          <w:p w14:paraId="480B1274">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0"/>
                <w:sz w:val="21"/>
                <w:szCs w:val="24"/>
                <w:highlight w:val="none"/>
                <w:lang w:val="en-US" w:eastAsia="zh-CN" w:bidi="ar"/>
              </w:rPr>
            </w:pPr>
          </w:p>
        </w:tc>
        <w:tc>
          <w:tcPr>
            <w:tcW w:w="411" w:type="pct"/>
            <w:vMerge w:val="continue"/>
            <w:tcBorders>
              <w:left w:val="single" w:color="auto" w:sz="4" w:space="0"/>
              <w:right w:val="single" w:color="auto" w:sz="4" w:space="0"/>
            </w:tcBorders>
            <w:noWrap w:val="0"/>
            <w:vAlign w:val="center"/>
          </w:tcPr>
          <w:p w14:paraId="378DB17D">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0"/>
                <w:sz w:val="21"/>
                <w:szCs w:val="24"/>
                <w:highlight w:val="none"/>
                <w:lang w:val="en-US" w:eastAsia="zh-CN" w:bidi="ar"/>
              </w:rPr>
            </w:pPr>
          </w:p>
        </w:tc>
        <w:tc>
          <w:tcPr>
            <w:tcW w:w="299" w:type="pct"/>
            <w:vMerge w:val="continue"/>
            <w:tcBorders>
              <w:left w:val="single" w:color="auto" w:sz="4" w:space="0"/>
              <w:right w:val="single" w:color="auto" w:sz="4" w:space="0"/>
            </w:tcBorders>
            <w:noWrap w:val="0"/>
            <w:vAlign w:val="center"/>
          </w:tcPr>
          <w:p w14:paraId="1E062DD4">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0"/>
                <w:sz w:val="21"/>
                <w:szCs w:val="24"/>
                <w:highlight w:val="none"/>
                <w:lang w:val="en-US" w:eastAsia="zh-CN" w:bidi="ar"/>
              </w:rPr>
            </w:pPr>
          </w:p>
        </w:tc>
      </w:tr>
      <w:tr w14:paraId="09717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29" w:type="pct"/>
            <w:vMerge w:val="continue"/>
            <w:tcBorders>
              <w:left w:val="single" w:color="auto" w:sz="4" w:space="0"/>
              <w:right w:val="single" w:color="auto" w:sz="4" w:space="0"/>
            </w:tcBorders>
            <w:noWrap w:val="0"/>
            <w:vAlign w:val="center"/>
          </w:tcPr>
          <w:p w14:paraId="7FA0CDB5">
            <w:pPr>
              <w:keepNext w:val="0"/>
              <w:keepLines w:val="0"/>
              <w:widowControl w:val="0"/>
              <w:suppressLineNumbers w:val="0"/>
              <w:adjustRightInd w:val="0"/>
              <w:snapToGrid w:val="0"/>
              <w:spacing w:before="0" w:beforeAutospacing="0" w:after="0" w:afterAutospacing="0"/>
              <w:ind w:left="0" w:right="0"/>
              <w:jc w:val="left"/>
              <w:rPr>
                <w:rFonts w:hint="default"/>
                <w:color w:val="auto"/>
                <w:highlight w:val="none"/>
              </w:rPr>
            </w:pPr>
          </w:p>
        </w:tc>
        <w:tc>
          <w:tcPr>
            <w:tcW w:w="2525" w:type="pct"/>
            <w:tcBorders>
              <w:top w:val="single" w:color="auto" w:sz="4" w:space="0"/>
              <w:left w:val="single" w:color="auto" w:sz="4" w:space="0"/>
              <w:bottom w:val="single" w:color="auto" w:sz="4" w:space="0"/>
              <w:right w:val="single" w:color="auto" w:sz="4" w:space="0"/>
            </w:tcBorders>
            <w:noWrap w:val="0"/>
            <w:vAlign w:val="center"/>
          </w:tcPr>
          <w:p w14:paraId="6E7D81ED">
            <w:pPr>
              <w:keepNext w:val="0"/>
              <w:keepLines w:val="0"/>
              <w:widowControl w:val="0"/>
              <w:suppressLineNumbers w:val="0"/>
              <w:tabs>
                <w:tab w:val="left" w:pos="210"/>
              </w:tabs>
              <w:adjustRightInd w:val="0"/>
              <w:snapToGrid w:val="0"/>
              <w:spacing w:before="0" w:beforeAutospacing="0" w:after="0" w:afterAutospacing="0"/>
              <w:ind w:left="0" w:right="0"/>
              <w:jc w:val="left"/>
              <w:rPr>
                <w:rFonts w:hint="default" w:ascii="Times New Roman" w:hAnsi="Times New Roman" w:eastAsia="宋体" w:cs="Times New Roman"/>
                <w:color w:val="auto"/>
                <w:kern w:val="0"/>
                <w:sz w:val="21"/>
                <w:szCs w:val="24"/>
                <w:highlight w:val="none"/>
                <w:lang w:val="en-US" w:eastAsia="zh-CN" w:bidi="ar"/>
              </w:rPr>
            </w:pPr>
            <w:r>
              <w:rPr>
                <w:rFonts w:hint="default" w:ascii="Times New Roman" w:hAnsi="Times New Roman" w:eastAsia="宋体" w:cs="Times New Roman"/>
                <w:color w:val="auto"/>
                <w:kern w:val="0"/>
                <w:sz w:val="21"/>
                <w:szCs w:val="24"/>
                <w:highlight w:val="none"/>
                <w:lang w:val="en-US" w:eastAsia="zh-CN" w:bidi="ar"/>
              </w:rPr>
              <w:t>废纯碱、膨润土包装袋、不</w:t>
            </w:r>
            <w:r>
              <w:rPr>
                <w:rFonts w:hint="eastAsia" w:ascii="Times New Roman" w:hAnsi="Times New Roman" w:cs="Times New Roman"/>
                <w:color w:val="auto"/>
                <w:kern w:val="0"/>
                <w:sz w:val="21"/>
                <w:szCs w:val="24"/>
                <w:highlight w:val="none"/>
                <w:lang w:val="en-US" w:eastAsia="zh-CN" w:bidi="ar"/>
              </w:rPr>
              <w:t>含油废防渗膜</w:t>
            </w:r>
            <w:r>
              <w:rPr>
                <w:rFonts w:hint="default" w:ascii="Times New Roman" w:hAnsi="Times New Roman" w:eastAsia="宋体" w:cs="Times New Roman"/>
                <w:color w:val="auto"/>
                <w:kern w:val="0"/>
                <w:sz w:val="21"/>
                <w:szCs w:val="24"/>
                <w:highlight w:val="none"/>
                <w:lang w:val="en-US" w:eastAsia="zh-CN" w:bidi="ar"/>
              </w:rPr>
              <w:t>（一般固废）：集中收集后交由物资回收公司回收处置</w:t>
            </w:r>
          </w:p>
        </w:tc>
        <w:tc>
          <w:tcPr>
            <w:tcW w:w="1134" w:type="pct"/>
            <w:vMerge w:val="continue"/>
            <w:tcBorders>
              <w:left w:val="single" w:color="auto" w:sz="4" w:space="0"/>
              <w:right w:val="single" w:color="auto" w:sz="4" w:space="0"/>
            </w:tcBorders>
            <w:noWrap w:val="0"/>
            <w:vAlign w:val="center"/>
          </w:tcPr>
          <w:p w14:paraId="400E41C1">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0"/>
                <w:sz w:val="21"/>
                <w:szCs w:val="24"/>
                <w:highlight w:val="none"/>
                <w:lang w:val="en-US" w:eastAsia="zh-CN" w:bidi="ar"/>
              </w:rPr>
            </w:pPr>
          </w:p>
        </w:tc>
        <w:tc>
          <w:tcPr>
            <w:tcW w:w="411" w:type="pct"/>
            <w:vMerge w:val="continue"/>
            <w:tcBorders>
              <w:left w:val="single" w:color="auto" w:sz="4" w:space="0"/>
              <w:right w:val="single" w:color="auto" w:sz="4" w:space="0"/>
            </w:tcBorders>
            <w:noWrap w:val="0"/>
            <w:vAlign w:val="center"/>
          </w:tcPr>
          <w:p w14:paraId="7996B7E3">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0"/>
                <w:sz w:val="21"/>
                <w:szCs w:val="24"/>
                <w:highlight w:val="none"/>
                <w:lang w:val="en-US" w:eastAsia="zh-CN" w:bidi="ar"/>
              </w:rPr>
            </w:pPr>
          </w:p>
        </w:tc>
        <w:tc>
          <w:tcPr>
            <w:tcW w:w="299" w:type="pct"/>
            <w:vMerge w:val="continue"/>
            <w:tcBorders>
              <w:left w:val="single" w:color="auto" w:sz="4" w:space="0"/>
              <w:right w:val="single" w:color="auto" w:sz="4" w:space="0"/>
            </w:tcBorders>
            <w:noWrap w:val="0"/>
            <w:vAlign w:val="center"/>
          </w:tcPr>
          <w:p w14:paraId="03EE581C">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0"/>
                <w:sz w:val="21"/>
                <w:szCs w:val="24"/>
                <w:highlight w:val="none"/>
                <w:lang w:val="en-US" w:eastAsia="zh-CN" w:bidi="ar"/>
              </w:rPr>
            </w:pPr>
          </w:p>
        </w:tc>
      </w:tr>
      <w:tr w14:paraId="6D417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pct"/>
            <w:vMerge w:val="continue"/>
            <w:tcBorders>
              <w:top w:val="single" w:color="auto" w:sz="4" w:space="0"/>
              <w:left w:val="single" w:color="auto" w:sz="4" w:space="0"/>
              <w:bottom w:val="single" w:color="auto" w:sz="4" w:space="0"/>
              <w:right w:val="single" w:color="auto" w:sz="4" w:space="0"/>
            </w:tcBorders>
            <w:noWrap w:val="0"/>
            <w:vAlign w:val="center"/>
          </w:tcPr>
          <w:p w14:paraId="5BA7A060">
            <w:pPr>
              <w:keepNext w:val="0"/>
              <w:keepLines w:val="0"/>
              <w:suppressLineNumbers w:val="0"/>
              <w:spacing w:before="0" w:beforeAutospacing="0" w:after="0" w:afterAutospacing="0"/>
              <w:ind w:left="0" w:right="0"/>
              <w:jc w:val="both"/>
              <w:rPr>
                <w:rFonts w:hint="default" w:ascii="Times New Roman" w:hAnsi="Times New Roman" w:cs="Times New Roman"/>
                <w:color w:val="auto"/>
                <w:sz w:val="20"/>
                <w:szCs w:val="20"/>
                <w:highlight w:val="none"/>
              </w:rPr>
            </w:pPr>
          </w:p>
        </w:tc>
        <w:tc>
          <w:tcPr>
            <w:tcW w:w="2525" w:type="pct"/>
            <w:tcBorders>
              <w:top w:val="single" w:color="auto" w:sz="4" w:space="0"/>
              <w:left w:val="single" w:color="auto" w:sz="4" w:space="0"/>
              <w:bottom w:val="single" w:color="auto" w:sz="4" w:space="0"/>
              <w:right w:val="single" w:color="auto" w:sz="4" w:space="0"/>
            </w:tcBorders>
            <w:noWrap w:val="0"/>
            <w:vAlign w:val="center"/>
          </w:tcPr>
          <w:p w14:paraId="60E9C538">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4"/>
                <w:highlight w:val="none"/>
                <w:lang w:val="en-US" w:eastAsia="zh-CN" w:bidi="ar"/>
              </w:rPr>
              <w:t>废机油、</w:t>
            </w:r>
            <w:r>
              <w:rPr>
                <w:rFonts w:hint="eastAsia" w:ascii="Times New Roman" w:hAnsi="Times New Roman" w:eastAsia="宋体" w:cs="Times New Roman"/>
                <w:color w:val="auto"/>
                <w:kern w:val="0"/>
                <w:sz w:val="21"/>
                <w:szCs w:val="24"/>
                <w:highlight w:val="none"/>
                <w:lang w:val="en-US" w:eastAsia="zh-CN" w:bidi="ar"/>
              </w:rPr>
              <w:t>含</w:t>
            </w:r>
            <w:r>
              <w:rPr>
                <w:rFonts w:hint="eastAsia" w:ascii="Times New Roman" w:hAnsi="Times New Roman" w:cs="Times New Roman"/>
                <w:color w:val="auto"/>
                <w:kern w:val="0"/>
                <w:sz w:val="21"/>
                <w:szCs w:val="24"/>
                <w:highlight w:val="none"/>
                <w:lang w:val="en-US" w:eastAsia="zh-CN" w:bidi="ar"/>
              </w:rPr>
              <w:t>油废防渗膜和废破胶剂包装袋</w:t>
            </w:r>
            <w:r>
              <w:rPr>
                <w:rFonts w:hint="default" w:ascii="Times New Roman" w:hAnsi="Times New Roman" w:cs="Times New Roman"/>
                <w:color w:val="auto"/>
                <w:kern w:val="0"/>
                <w:sz w:val="21"/>
                <w:szCs w:val="24"/>
                <w:highlight w:val="none"/>
                <w:lang w:val="en-US" w:eastAsia="zh-CN" w:bidi="ar"/>
              </w:rPr>
              <w:t>：</w:t>
            </w:r>
            <w:r>
              <w:rPr>
                <w:rFonts w:hint="default" w:ascii="Times New Roman" w:hAnsi="Times New Roman" w:eastAsia="宋体" w:cs="Times New Roman"/>
                <w:color w:val="auto"/>
                <w:kern w:val="0"/>
                <w:sz w:val="21"/>
                <w:szCs w:val="24"/>
                <w:highlight w:val="none"/>
                <w:lang w:val="en-US" w:eastAsia="zh-CN" w:bidi="ar"/>
              </w:rPr>
              <w:t>暂存于</w:t>
            </w:r>
            <w:r>
              <w:rPr>
                <w:rFonts w:hint="eastAsia" w:ascii="Times New Roman" w:hAnsi="Times New Roman" w:cs="Times New Roman"/>
                <w:color w:val="auto"/>
                <w:kern w:val="0"/>
                <w:sz w:val="21"/>
                <w:szCs w:val="24"/>
                <w:highlight w:val="none"/>
                <w:lang w:val="en-US" w:eastAsia="zh-CN" w:bidi="ar"/>
              </w:rPr>
              <w:t>危废贮存库</w:t>
            </w:r>
            <w:r>
              <w:rPr>
                <w:rFonts w:hint="default" w:ascii="Times New Roman" w:hAnsi="Times New Roman" w:eastAsia="宋体" w:cs="Times New Roman"/>
                <w:color w:val="auto"/>
                <w:kern w:val="0"/>
                <w:sz w:val="21"/>
                <w:szCs w:val="24"/>
                <w:highlight w:val="none"/>
                <w:lang w:val="en-US" w:eastAsia="zh-CN" w:bidi="ar"/>
              </w:rPr>
              <w:t>，委托有资质单位处置。</w:t>
            </w:r>
          </w:p>
        </w:tc>
        <w:tc>
          <w:tcPr>
            <w:tcW w:w="1134" w:type="pct"/>
            <w:vMerge w:val="continue"/>
            <w:tcBorders>
              <w:top w:val="single" w:color="auto" w:sz="4" w:space="0"/>
              <w:left w:val="single" w:color="auto" w:sz="4" w:space="0"/>
              <w:bottom w:val="single" w:color="auto" w:sz="4" w:space="0"/>
              <w:right w:val="single" w:color="auto" w:sz="4" w:space="0"/>
            </w:tcBorders>
            <w:noWrap w:val="0"/>
            <w:vAlign w:val="center"/>
          </w:tcPr>
          <w:p w14:paraId="0FC32987">
            <w:pPr>
              <w:keepNext w:val="0"/>
              <w:keepLines w:val="0"/>
              <w:suppressLineNumbers w:val="0"/>
              <w:spacing w:before="0" w:beforeAutospacing="0" w:after="0" w:afterAutospacing="0"/>
              <w:ind w:left="0" w:right="0"/>
              <w:jc w:val="both"/>
              <w:rPr>
                <w:rFonts w:hint="default" w:ascii="Times New Roman" w:hAnsi="Times New Roman" w:cs="Times New Roman"/>
                <w:color w:val="auto"/>
                <w:sz w:val="20"/>
                <w:szCs w:val="20"/>
                <w:highlight w:val="none"/>
              </w:rPr>
            </w:pPr>
          </w:p>
        </w:tc>
        <w:tc>
          <w:tcPr>
            <w:tcW w:w="411" w:type="pct"/>
            <w:tcBorders>
              <w:top w:val="single" w:color="auto" w:sz="4" w:space="0"/>
              <w:left w:val="single" w:color="auto" w:sz="4" w:space="0"/>
              <w:bottom w:val="single" w:color="auto" w:sz="4" w:space="0"/>
              <w:right w:val="single" w:color="auto" w:sz="4" w:space="0"/>
            </w:tcBorders>
            <w:noWrap w:val="0"/>
            <w:vAlign w:val="center"/>
          </w:tcPr>
          <w:p w14:paraId="7B3316D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299" w:type="pct"/>
            <w:tcBorders>
              <w:top w:val="single" w:color="auto" w:sz="4" w:space="0"/>
              <w:left w:val="single" w:color="auto" w:sz="4" w:space="0"/>
              <w:bottom w:val="single" w:color="auto" w:sz="4" w:space="0"/>
              <w:right w:val="single" w:color="auto" w:sz="4" w:space="0"/>
            </w:tcBorders>
            <w:noWrap w:val="0"/>
            <w:vAlign w:val="center"/>
          </w:tcPr>
          <w:p w14:paraId="062EFEE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4552C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pct"/>
            <w:vMerge w:val="continue"/>
            <w:tcBorders>
              <w:top w:val="single" w:color="auto" w:sz="4" w:space="0"/>
              <w:left w:val="single" w:color="auto" w:sz="4" w:space="0"/>
              <w:bottom w:val="single" w:color="auto" w:sz="4" w:space="0"/>
              <w:right w:val="single" w:color="auto" w:sz="4" w:space="0"/>
            </w:tcBorders>
            <w:noWrap w:val="0"/>
            <w:vAlign w:val="center"/>
          </w:tcPr>
          <w:p w14:paraId="4E336931">
            <w:pPr>
              <w:keepNext w:val="0"/>
              <w:keepLines w:val="0"/>
              <w:suppressLineNumbers w:val="0"/>
              <w:spacing w:before="0" w:beforeAutospacing="0" w:after="0" w:afterAutospacing="0"/>
              <w:ind w:left="0" w:right="0"/>
              <w:jc w:val="both"/>
              <w:rPr>
                <w:rFonts w:hint="default" w:ascii="Times New Roman" w:hAnsi="Times New Roman" w:cs="Times New Roman"/>
                <w:color w:val="auto"/>
                <w:sz w:val="20"/>
                <w:szCs w:val="20"/>
                <w:highlight w:val="none"/>
              </w:rPr>
            </w:pPr>
          </w:p>
        </w:tc>
        <w:tc>
          <w:tcPr>
            <w:tcW w:w="2525" w:type="pct"/>
            <w:tcBorders>
              <w:top w:val="single" w:color="auto" w:sz="4" w:space="0"/>
              <w:left w:val="single" w:color="auto" w:sz="4" w:space="0"/>
              <w:bottom w:val="single" w:color="auto" w:sz="4" w:space="0"/>
              <w:right w:val="single" w:color="auto" w:sz="4" w:space="0"/>
            </w:tcBorders>
            <w:noWrap w:val="0"/>
            <w:vAlign w:val="center"/>
          </w:tcPr>
          <w:p w14:paraId="35E14E43">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4"/>
                <w:highlight w:val="none"/>
                <w:lang w:val="en-US" w:eastAsia="zh-CN" w:bidi="ar"/>
              </w:rPr>
              <w:t>生活垃圾：集中收集，委托当地环卫部门清运处置</w:t>
            </w:r>
            <w:r>
              <w:rPr>
                <w:rFonts w:hint="eastAsia" w:ascii="Times New Roman" w:hAnsi="Times New Roman" w:cs="Times New Roman"/>
                <w:color w:val="auto"/>
                <w:kern w:val="0"/>
                <w:sz w:val="21"/>
                <w:szCs w:val="24"/>
                <w:highlight w:val="none"/>
                <w:lang w:val="en-US" w:eastAsia="zh-CN" w:bidi="ar"/>
              </w:rPr>
              <w:t>。</w:t>
            </w:r>
          </w:p>
        </w:tc>
        <w:tc>
          <w:tcPr>
            <w:tcW w:w="1134" w:type="pct"/>
            <w:vMerge w:val="continue"/>
            <w:tcBorders>
              <w:top w:val="single" w:color="auto" w:sz="4" w:space="0"/>
              <w:left w:val="single" w:color="auto" w:sz="4" w:space="0"/>
              <w:bottom w:val="single" w:color="auto" w:sz="4" w:space="0"/>
              <w:right w:val="single" w:color="auto" w:sz="4" w:space="0"/>
            </w:tcBorders>
            <w:noWrap w:val="0"/>
            <w:vAlign w:val="center"/>
          </w:tcPr>
          <w:p w14:paraId="5A45EEE6">
            <w:pPr>
              <w:keepNext w:val="0"/>
              <w:keepLines w:val="0"/>
              <w:suppressLineNumbers w:val="0"/>
              <w:spacing w:before="0" w:beforeAutospacing="0" w:after="0" w:afterAutospacing="0"/>
              <w:ind w:left="0" w:right="0"/>
              <w:jc w:val="both"/>
              <w:rPr>
                <w:rFonts w:hint="default" w:ascii="Times New Roman" w:hAnsi="Times New Roman" w:cs="Times New Roman"/>
                <w:color w:val="auto"/>
                <w:sz w:val="20"/>
                <w:szCs w:val="20"/>
                <w:highlight w:val="none"/>
              </w:rPr>
            </w:pPr>
          </w:p>
        </w:tc>
        <w:tc>
          <w:tcPr>
            <w:tcW w:w="411" w:type="pct"/>
            <w:tcBorders>
              <w:top w:val="single" w:color="auto" w:sz="4" w:space="0"/>
              <w:left w:val="single" w:color="auto" w:sz="4" w:space="0"/>
              <w:bottom w:val="single" w:color="auto" w:sz="4" w:space="0"/>
              <w:right w:val="single" w:color="auto" w:sz="4" w:space="0"/>
            </w:tcBorders>
            <w:noWrap w:val="0"/>
            <w:vAlign w:val="center"/>
          </w:tcPr>
          <w:p w14:paraId="2F8CA9D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299" w:type="pct"/>
            <w:tcBorders>
              <w:top w:val="single" w:color="auto" w:sz="4" w:space="0"/>
              <w:left w:val="single" w:color="auto" w:sz="4" w:space="0"/>
              <w:bottom w:val="single" w:color="auto" w:sz="4" w:space="0"/>
              <w:right w:val="single" w:color="auto" w:sz="4" w:space="0"/>
            </w:tcBorders>
            <w:noWrap w:val="0"/>
            <w:vAlign w:val="center"/>
          </w:tcPr>
          <w:p w14:paraId="646BE30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0FBF6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pct"/>
            <w:tcBorders>
              <w:top w:val="single" w:color="auto" w:sz="4" w:space="0"/>
              <w:left w:val="single" w:color="auto" w:sz="4" w:space="0"/>
              <w:bottom w:val="single" w:color="auto" w:sz="4" w:space="0"/>
              <w:right w:val="single" w:color="auto" w:sz="4" w:space="0"/>
            </w:tcBorders>
            <w:noWrap w:val="0"/>
            <w:vAlign w:val="center"/>
          </w:tcPr>
          <w:p w14:paraId="3DD43A9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电磁环境</w:t>
            </w:r>
          </w:p>
        </w:tc>
        <w:tc>
          <w:tcPr>
            <w:tcW w:w="2525" w:type="pct"/>
            <w:tcBorders>
              <w:top w:val="single" w:color="auto" w:sz="4" w:space="0"/>
              <w:left w:val="single" w:color="auto" w:sz="4" w:space="0"/>
              <w:bottom w:val="single" w:color="auto" w:sz="4" w:space="0"/>
              <w:right w:val="single" w:color="auto" w:sz="4" w:space="0"/>
            </w:tcBorders>
            <w:noWrap w:val="0"/>
            <w:vAlign w:val="center"/>
          </w:tcPr>
          <w:p w14:paraId="1AE1132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1134" w:type="pct"/>
            <w:tcBorders>
              <w:top w:val="single" w:color="auto" w:sz="4" w:space="0"/>
              <w:left w:val="single" w:color="auto" w:sz="4" w:space="0"/>
              <w:bottom w:val="single" w:color="auto" w:sz="4" w:space="0"/>
              <w:right w:val="single" w:color="auto" w:sz="4" w:space="0"/>
            </w:tcBorders>
            <w:noWrap w:val="0"/>
            <w:vAlign w:val="center"/>
          </w:tcPr>
          <w:p w14:paraId="16B9778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411" w:type="pct"/>
            <w:tcBorders>
              <w:top w:val="single" w:color="auto" w:sz="4" w:space="0"/>
              <w:left w:val="single" w:color="auto" w:sz="4" w:space="0"/>
              <w:bottom w:val="single" w:color="auto" w:sz="4" w:space="0"/>
              <w:right w:val="single" w:color="auto" w:sz="4" w:space="0"/>
            </w:tcBorders>
            <w:noWrap w:val="0"/>
            <w:vAlign w:val="center"/>
          </w:tcPr>
          <w:p w14:paraId="1C1C01B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299" w:type="pct"/>
            <w:tcBorders>
              <w:top w:val="single" w:color="auto" w:sz="4" w:space="0"/>
              <w:left w:val="single" w:color="auto" w:sz="4" w:space="0"/>
              <w:bottom w:val="single" w:color="auto" w:sz="4" w:space="0"/>
              <w:right w:val="single" w:color="auto" w:sz="4" w:space="0"/>
            </w:tcBorders>
            <w:noWrap w:val="0"/>
            <w:vAlign w:val="center"/>
          </w:tcPr>
          <w:p w14:paraId="2207796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5EF7C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pct"/>
            <w:tcBorders>
              <w:top w:val="single" w:color="auto" w:sz="4" w:space="0"/>
              <w:left w:val="single" w:color="auto" w:sz="4" w:space="0"/>
              <w:bottom w:val="single" w:color="auto" w:sz="4" w:space="0"/>
              <w:right w:val="single" w:color="auto" w:sz="4" w:space="0"/>
            </w:tcBorders>
            <w:noWrap w:val="0"/>
            <w:vAlign w:val="center"/>
          </w:tcPr>
          <w:p w14:paraId="7B0147B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环境风险</w:t>
            </w:r>
          </w:p>
        </w:tc>
        <w:tc>
          <w:tcPr>
            <w:tcW w:w="2525" w:type="pct"/>
            <w:tcBorders>
              <w:top w:val="single" w:color="auto" w:sz="4" w:space="0"/>
              <w:left w:val="single" w:color="auto" w:sz="4" w:space="0"/>
              <w:bottom w:val="single" w:color="auto" w:sz="4" w:space="0"/>
              <w:right w:val="single" w:color="auto" w:sz="4" w:space="0"/>
            </w:tcBorders>
            <w:noWrap w:val="0"/>
            <w:vAlign w:val="center"/>
          </w:tcPr>
          <w:p w14:paraId="607DD514">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4"/>
                <w:highlight w:val="none"/>
                <w:lang w:val="en-US" w:eastAsia="zh-CN" w:bidi="ar"/>
              </w:rPr>
              <w:t>井口安装防喷器和控制装置，定期检查与维护；对罐区、泥浆不落地装置区、原辅料存放区、采取</w:t>
            </w:r>
            <w:r>
              <w:rPr>
                <w:rFonts w:hint="eastAsia" w:ascii="Times New Roman" w:hAnsi="Times New Roman" w:cs="Times New Roman"/>
                <w:color w:val="auto"/>
                <w:kern w:val="0"/>
                <w:sz w:val="21"/>
                <w:szCs w:val="24"/>
                <w:highlight w:val="none"/>
                <w:lang w:val="en-US" w:eastAsia="zh-CN" w:bidi="ar"/>
              </w:rPr>
              <w:t>重点防渗</w:t>
            </w:r>
            <w:r>
              <w:rPr>
                <w:rFonts w:hint="default" w:ascii="Times New Roman" w:hAnsi="Times New Roman" w:eastAsia="宋体" w:cs="Times New Roman"/>
                <w:color w:val="auto"/>
                <w:kern w:val="0"/>
                <w:sz w:val="21"/>
                <w:szCs w:val="24"/>
                <w:highlight w:val="none"/>
                <w:lang w:val="en-US" w:eastAsia="zh-CN" w:bidi="ar"/>
              </w:rPr>
              <w:t>，并定期巡查。</w:t>
            </w:r>
            <w:r>
              <w:rPr>
                <w:rFonts w:hint="eastAsia" w:ascii="Times New Roman" w:hAnsi="Times New Roman" w:cs="Times New Roman"/>
                <w:color w:val="auto"/>
                <w:kern w:val="0"/>
                <w:sz w:val="21"/>
                <w:szCs w:val="24"/>
                <w:highlight w:val="none"/>
                <w:lang w:val="en-US" w:eastAsia="zh-CN" w:bidi="ar"/>
              </w:rPr>
              <w:t>危废贮存库按照</w:t>
            </w:r>
            <w:r>
              <w:rPr>
                <w:rFonts w:hint="default" w:ascii="Times New Roman" w:hAnsi="Times New Roman" w:eastAsia="宋体" w:cs="Times New Roman"/>
                <w:color w:val="auto"/>
                <w:kern w:val="0"/>
                <w:sz w:val="21"/>
                <w:szCs w:val="21"/>
                <w:highlight w:val="none"/>
                <w:lang w:val="en-US" w:eastAsia="zh-CN" w:bidi="ar"/>
              </w:rPr>
              <w:t>《危险废物贮存污染控制标准》（GB18597-2023）</w:t>
            </w:r>
            <w:r>
              <w:rPr>
                <w:rFonts w:hint="default" w:ascii="Times New Roman" w:hAnsi="Times New Roman" w:eastAsia="宋体" w:cs="Times New Roman"/>
                <w:color w:val="auto"/>
                <w:kern w:val="0"/>
                <w:sz w:val="21"/>
                <w:szCs w:val="24"/>
                <w:highlight w:val="none"/>
                <w:lang w:val="en-US" w:eastAsia="zh-CN" w:bidi="ar"/>
              </w:rPr>
              <w:t>进行</w:t>
            </w:r>
            <w:r>
              <w:rPr>
                <w:rFonts w:hint="eastAsia" w:ascii="Times New Roman" w:hAnsi="Times New Roman" w:eastAsia="宋体" w:cs="Times New Roman"/>
                <w:color w:val="auto"/>
                <w:kern w:val="0"/>
                <w:sz w:val="21"/>
                <w:szCs w:val="24"/>
                <w:highlight w:val="none"/>
                <w:lang w:val="en-US" w:eastAsia="zh-CN" w:bidi="ar"/>
              </w:rPr>
              <w:t>防渗</w:t>
            </w:r>
            <w:r>
              <w:rPr>
                <w:rFonts w:hint="default" w:ascii="Times New Roman" w:hAnsi="Times New Roman" w:eastAsia="宋体" w:cs="Times New Roman"/>
                <w:color w:val="auto"/>
                <w:kern w:val="0"/>
                <w:sz w:val="21"/>
                <w:szCs w:val="24"/>
                <w:highlight w:val="none"/>
                <w:lang w:val="en-US" w:eastAsia="zh-CN" w:bidi="ar"/>
              </w:rPr>
              <w:t>处理</w:t>
            </w:r>
            <w:r>
              <w:rPr>
                <w:rFonts w:hint="eastAsia" w:ascii="Times New Roman" w:hAnsi="Times New Roman" w:eastAsia="宋体" w:cs="Times New Roman"/>
                <w:color w:val="auto"/>
                <w:kern w:val="0"/>
                <w:sz w:val="21"/>
                <w:szCs w:val="24"/>
                <w:highlight w:val="none"/>
                <w:lang w:val="en-US" w:eastAsia="zh-CN" w:bidi="ar"/>
              </w:rPr>
              <w:t>。</w:t>
            </w:r>
          </w:p>
        </w:tc>
        <w:tc>
          <w:tcPr>
            <w:tcW w:w="1134" w:type="pct"/>
            <w:tcBorders>
              <w:top w:val="single" w:color="auto" w:sz="4" w:space="0"/>
              <w:left w:val="single" w:color="auto" w:sz="4" w:space="0"/>
              <w:bottom w:val="single" w:color="auto" w:sz="4" w:space="0"/>
              <w:right w:val="single" w:color="auto" w:sz="4" w:space="0"/>
            </w:tcBorders>
            <w:noWrap w:val="0"/>
            <w:vAlign w:val="center"/>
          </w:tcPr>
          <w:p w14:paraId="072B665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环境风险可控</w:t>
            </w:r>
          </w:p>
        </w:tc>
        <w:tc>
          <w:tcPr>
            <w:tcW w:w="411" w:type="pct"/>
            <w:tcBorders>
              <w:top w:val="single" w:color="auto" w:sz="4" w:space="0"/>
              <w:left w:val="single" w:color="auto" w:sz="4" w:space="0"/>
              <w:bottom w:val="single" w:color="auto" w:sz="4" w:space="0"/>
              <w:right w:val="single" w:color="auto" w:sz="4" w:space="0"/>
            </w:tcBorders>
            <w:noWrap w:val="0"/>
            <w:vAlign w:val="center"/>
          </w:tcPr>
          <w:p w14:paraId="00D1C61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299" w:type="pct"/>
            <w:tcBorders>
              <w:top w:val="single" w:color="auto" w:sz="4" w:space="0"/>
              <w:left w:val="single" w:color="auto" w:sz="4" w:space="0"/>
              <w:bottom w:val="single" w:color="auto" w:sz="4" w:space="0"/>
              <w:right w:val="single" w:color="auto" w:sz="4" w:space="0"/>
            </w:tcBorders>
            <w:noWrap w:val="0"/>
            <w:vAlign w:val="center"/>
          </w:tcPr>
          <w:p w14:paraId="60D62A7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6A2B4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pct"/>
            <w:tcBorders>
              <w:top w:val="single" w:color="auto" w:sz="4" w:space="0"/>
              <w:left w:val="single" w:color="auto" w:sz="4" w:space="0"/>
              <w:bottom w:val="single" w:color="auto" w:sz="4" w:space="0"/>
              <w:right w:val="single" w:color="auto" w:sz="4" w:space="0"/>
            </w:tcBorders>
            <w:noWrap w:val="0"/>
            <w:vAlign w:val="center"/>
          </w:tcPr>
          <w:p w14:paraId="4C1E5DB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环境监测</w:t>
            </w:r>
          </w:p>
        </w:tc>
        <w:tc>
          <w:tcPr>
            <w:tcW w:w="2525" w:type="pct"/>
            <w:tcBorders>
              <w:top w:val="single" w:color="auto" w:sz="4" w:space="0"/>
              <w:left w:val="single" w:color="auto" w:sz="4" w:space="0"/>
              <w:bottom w:val="single" w:color="auto" w:sz="4" w:space="0"/>
              <w:right w:val="single" w:color="auto" w:sz="4" w:space="0"/>
            </w:tcBorders>
            <w:noWrap w:val="0"/>
            <w:vAlign w:val="center"/>
          </w:tcPr>
          <w:p w14:paraId="0EAA0A18">
            <w:pPr>
              <w:keepNext w:val="0"/>
              <w:keepLines w:val="0"/>
              <w:widowControl w:val="0"/>
              <w:suppressLineNumbers w:val="0"/>
              <w:spacing w:before="0" w:beforeAutospacing="0" w:after="0" w:afterAutospacing="0"/>
              <w:ind w:left="0" w:right="0"/>
              <w:jc w:val="left"/>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根据</w:t>
            </w:r>
            <w:r>
              <w:rPr>
                <w:rFonts w:hint="eastAsia" w:ascii="Times New Roman" w:hAnsi="Times New Roman" w:eastAsia="宋体" w:cs="Times New Roman"/>
                <w:b w:val="0"/>
                <w:bCs w:val="0"/>
                <w:color w:val="auto"/>
                <w:sz w:val="21"/>
                <w:szCs w:val="21"/>
                <w:highlight w:val="none"/>
                <w:vertAlign w:val="baseline"/>
                <w:lang w:val="en-US" w:eastAsia="zh-CN"/>
              </w:rPr>
              <w:t>气田</w:t>
            </w:r>
            <w:r>
              <w:rPr>
                <w:rFonts w:hint="default" w:ascii="Times New Roman" w:hAnsi="Times New Roman" w:eastAsia="宋体" w:cs="Times New Roman"/>
                <w:b w:val="0"/>
                <w:bCs w:val="0"/>
                <w:color w:val="auto"/>
                <w:sz w:val="21"/>
                <w:szCs w:val="21"/>
                <w:highlight w:val="none"/>
                <w:vertAlign w:val="baseline"/>
                <w:lang w:val="en-US" w:eastAsia="zh-CN"/>
              </w:rPr>
              <w:t>钻井期环境污染的特点，施工时间较短，本项目仅为钻井施工，因此不设置环境监测点，项目施工过程中如果发生风险事故则按照要求开展应急监测。</w:t>
            </w:r>
          </w:p>
        </w:tc>
        <w:tc>
          <w:tcPr>
            <w:tcW w:w="1134" w:type="pct"/>
            <w:tcBorders>
              <w:top w:val="single" w:color="auto" w:sz="4" w:space="0"/>
              <w:left w:val="single" w:color="auto" w:sz="4" w:space="0"/>
              <w:bottom w:val="single" w:color="auto" w:sz="4" w:space="0"/>
              <w:right w:val="single" w:color="auto" w:sz="4" w:space="0"/>
            </w:tcBorders>
            <w:noWrap w:val="0"/>
            <w:vAlign w:val="center"/>
          </w:tcPr>
          <w:p w14:paraId="25847F0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w:t>
            </w:r>
          </w:p>
        </w:tc>
        <w:tc>
          <w:tcPr>
            <w:tcW w:w="411" w:type="pct"/>
            <w:tcBorders>
              <w:top w:val="single" w:color="auto" w:sz="4" w:space="0"/>
              <w:left w:val="single" w:color="auto" w:sz="4" w:space="0"/>
              <w:bottom w:val="single" w:color="auto" w:sz="4" w:space="0"/>
              <w:right w:val="single" w:color="auto" w:sz="4" w:space="0"/>
            </w:tcBorders>
            <w:noWrap w:val="0"/>
            <w:vAlign w:val="center"/>
          </w:tcPr>
          <w:p w14:paraId="653A8FF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299" w:type="pct"/>
            <w:tcBorders>
              <w:top w:val="single" w:color="auto" w:sz="4" w:space="0"/>
              <w:left w:val="single" w:color="auto" w:sz="4" w:space="0"/>
              <w:bottom w:val="single" w:color="auto" w:sz="4" w:space="0"/>
              <w:right w:val="single" w:color="auto" w:sz="4" w:space="0"/>
            </w:tcBorders>
            <w:noWrap w:val="0"/>
            <w:vAlign w:val="center"/>
          </w:tcPr>
          <w:p w14:paraId="62F302D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r w14:paraId="3BD5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pct"/>
            <w:tcBorders>
              <w:top w:val="single" w:color="auto" w:sz="4" w:space="0"/>
              <w:left w:val="single" w:color="auto" w:sz="4" w:space="0"/>
              <w:bottom w:val="single" w:color="auto" w:sz="4" w:space="0"/>
              <w:right w:val="single" w:color="auto" w:sz="4" w:space="0"/>
            </w:tcBorders>
            <w:noWrap w:val="0"/>
            <w:vAlign w:val="center"/>
          </w:tcPr>
          <w:p w14:paraId="5D1E87A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其他</w:t>
            </w:r>
          </w:p>
        </w:tc>
        <w:tc>
          <w:tcPr>
            <w:tcW w:w="2525" w:type="pct"/>
            <w:tcBorders>
              <w:top w:val="single" w:color="auto" w:sz="4" w:space="0"/>
              <w:left w:val="single" w:color="auto" w:sz="4" w:space="0"/>
              <w:bottom w:val="single" w:color="auto" w:sz="4" w:space="0"/>
              <w:right w:val="single" w:color="auto" w:sz="4" w:space="0"/>
            </w:tcBorders>
            <w:noWrap w:val="0"/>
            <w:vAlign w:val="center"/>
          </w:tcPr>
          <w:p w14:paraId="1E52079B">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4"/>
                <w:highlight w:val="none"/>
                <w:lang w:val="en-US" w:eastAsia="zh-CN" w:bidi="ar"/>
              </w:rPr>
              <w:t>加强施工管理，合理利用</w:t>
            </w:r>
            <w:r>
              <w:rPr>
                <w:rFonts w:hint="eastAsia" w:ascii="Times New Roman" w:hAnsi="Times New Roman" w:cs="Times New Roman"/>
                <w:color w:val="auto"/>
                <w:kern w:val="0"/>
                <w:sz w:val="21"/>
                <w:szCs w:val="24"/>
                <w:highlight w:val="none"/>
                <w:lang w:val="en-US" w:eastAsia="zh-CN" w:bidi="ar"/>
              </w:rPr>
              <w:t>井场场地</w:t>
            </w:r>
            <w:r>
              <w:rPr>
                <w:rFonts w:hint="default" w:ascii="Times New Roman" w:hAnsi="Times New Roman" w:eastAsia="宋体" w:cs="Times New Roman"/>
                <w:color w:val="auto"/>
                <w:kern w:val="0"/>
                <w:sz w:val="21"/>
                <w:szCs w:val="24"/>
                <w:highlight w:val="none"/>
                <w:lang w:val="en-US" w:eastAsia="zh-CN" w:bidi="ar"/>
              </w:rPr>
              <w:t>，严格控制施工范围，</w:t>
            </w:r>
            <w:r>
              <w:rPr>
                <w:rFonts w:hint="eastAsia" w:ascii="Times New Roman" w:hAnsi="Times New Roman" w:cs="Times New Roman"/>
                <w:color w:val="auto"/>
                <w:kern w:val="0"/>
                <w:sz w:val="21"/>
                <w:szCs w:val="24"/>
                <w:highlight w:val="none"/>
                <w:lang w:val="en-US" w:eastAsia="zh-CN" w:bidi="ar"/>
              </w:rPr>
              <w:t>不新增占地</w:t>
            </w:r>
            <w:r>
              <w:rPr>
                <w:rFonts w:hint="default" w:ascii="Times New Roman" w:hAnsi="Times New Roman" w:eastAsia="宋体" w:cs="Times New Roman"/>
                <w:color w:val="auto"/>
                <w:kern w:val="0"/>
                <w:sz w:val="21"/>
                <w:szCs w:val="24"/>
                <w:highlight w:val="none"/>
                <w:lang w:val="en-US" w:eastAsia="zh-CN" w:bidi="ar"/>
              </w:rPr>
              <w:t>，严格执行《石油天然气钻井井控技术规范》，加强安全管理措施等。</w:t>
            </w:r>
          </w:p>
        </w:tc>
        <w:tc>
          <w:tcPr>
            <w:tcW w:w="1134" w:type="pct"/>
            <w:tcBorders>
              <w:top w:val="single" w:color="auto" w:sz="4" w:space="0"/>
              <w:left w:val="single" w:color="auto" w:sz="4" w:space="0"/>
              <w:bottom w:val="single" w:color="auto" w:sz="4" w:space="0"/>
              <w:right w:val="single" w:color="auto" w:sz="4" w:space="0"/>
            </w:tcBorders>
            <w:noWrap w:val="0"/>
            <w:vAlign w:val="center"/>
          </w:tcPr>
          <w:p w14:paraId="3F3409C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411" w:type="pct"/>
            <w:tcBorders>
              <w:top w:val="single" w:color="auto" w:sz="4" w:space="0"/>
              <w:left w:val="single" w:color="auto" w:sz="4" w:space="0"/>
              <w:bottom w:val="single" w:color="auto" w:sz="4" w:space="0"/>
              <w:right w:val="single" w:color="auto" w:sz="4" w:space="0"/>
            </w:tcBorders>
            <w:noWrap w:val="0"/>
            <w:vAlign w:val="center"/>
          </w:tcPr>
          <w:p w14:paraId="20B2B10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c>
          <w:tcPr>
            <w:tcW w:w="299" w:type="pct"/>
            <w:tcBorders>
              <w:top w:val="single" w:color="auto" w:sz="4" w:space="0"/>
              <w:left w:val="single" w:color="auto" w:sz="4" w:space="0"/>
              <w:bottom w:val="single" w:color="auto" w:sz="4" w:space="0"/>
              <w:right w:val="single" w:color="auto" w:sz="4" w:space="0"/>
            </w:tcBorders>
            <w:noWrap w:val="0"/>
            <w:vAlign w:val="center"/>
          </w:tcPr>
          <w:p w14:paraId="29DF0E5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p>
        </w:tc>
      </w:tr>
    </w:tbl>
    <w:p w14:paraId="3F219649">
      <w:pPr>
        <w:rPr>
          <w:rFonts w:hint="default" w:ascii="Times New Roman" w:hAnsi="Times New Roman" w:cs="Times New Roman"/>
          <w:color w:val="auto"/>
          <w:highlight w:val="none"/>
          <w:lang w:val="en-US" w:eastAsia="zh-CN"/>
        </w:rPr>
        <w:sectPr>
          <w:pgSz w:w="11906" w:h="16838"/>
          <w:pgMar w:top="1417" w:right="1417" w:bottom="1417" w:left="1417" w:header="992" w:footer="896" w:gutter="0"/>
          <w:pgBorders w:offsetFrom="page">
            <w:top w:val="none" w:sz="0" w:space="0"/>
            <w:left w:val="none" w:sz="0" w:space="0"/>
            <w:bottom w:val="none" w:sz="0" w:space="0"/>
            <w:right w:val="none" w:sz="0" w:space="0"/>
          </w:pgBorders>
          <w:pgNumType w:fmt="decimal"/>
          <w:cols w:space="720" w:num="1"/>
          <w:docGrid w:type="lines" w:linePitch="318" w:charSpace="0"/>
        </w:sectPr>
      </w:pPr>
    </w:p>
    <w:p w14:paraId="3BB7ED11">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outlineLvl w:val="1"/>
        <w:rPr>
          <w:rFonts w:hint="default" w:ascii="Times New Roman" w:hAnsi="Times New Roman" w:eastAsia="黑体" w:cs="Times New Roman"/>
          <w:color w:val="auto"/>
          <w:sz w:val="28"/>
          <w:szCs w:val="28"/>
          <w:highlight w:val="none"/>
          <w:lang w:val="en-US" w:eastAsia="zh-CN"/>
        </w:rPr>
      </w:pPr>
      <w:bookmarkStart w:id="7" w:name="_Toc7131"/>
      <w:r>
        <w:rPr>
          <w:rFonts w:hint="default" w:ascii="Times New Roman" w:hAnsi="Times New Roman" w:eastAsia="黑体" w:cs="Times New Roman"/>
          <w:color w:val="auto"/>
          <w:kern w:val="2"/>
          <w:sz w:val="28"/>
          <w:szCs w:val="28"/>
          <w:highlight w:val="none"/>
          <w:lang w:val="en-US" w:eastAsia="zh-CN" w:bidi="ar-SA"/>
        </w:rPr>
        <w:t>七、</w:t>
      </w:r>
      <w:r>
        <w:rPr>
          <w:rFonts w:hint="default" w:ascii="Times New Roman" w:hAnsi="Times New Roman" w:eastAsia="黑体" w:cs="Times New Roman"/>
          <w:color w:val="auto"/>
          <w:kern w:val="0"/>
          <w:sz w:val="28"/>
          <w:szCs w:val="28"/>
          <w:highlight w:val="none"/>
          <w:lang w:val="en-US" w:eastAsia="zh-CN" w:bidi="ar"/>
        </w:rPr>
        <w:t>结论</w:t>
      </w:r>
      <w:bookmarkEnd w:id="7"/>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52792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Borders>
              <w:top w:val="single" w:color="auto" w:sz="4" w:space="0"/>
              <w:left w:val="single" w:color="auto" w:sz="4" w:space="0"/>
              <w:bottom w:val="single" w:color="auto" w:sz="4" w:space="0"/>
              <w:right w:val="single" w:color="auto" w:sz="4" w:space="0"/>
            </w:tcBorders>
            <w:noWrap w:val="0"/>
            <w:vAlign w:val="center"/>
          </w:tcPr>
          <w:p w14:paraId="5505239A">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Calibri" w:cs="Times New Roman"/>
                <w:color w:val="auto"/>
                <w:kern w:val="0"/>
                <w:sz w:val="24"/>
                <w:szCs w:val="24"/>
                <w:highlight w:val="none"/>
                <w:lang w:val="en-US" w:eastAsia="zh-CN" w:bidi="ar"/>
              </w:rPr>
              <w:t>本项目建设符合国家产业政策和相关法规、技术规范、政策要求，选址合理，项目建设环境影响主要集中在施工期，在严格执行本评价提出的各项污染防治措施、生态</w:t>
            </w:r>
            <w:r>
              <w:rPr>
                <w:rFonts w:hint="eastAsia" w:ascii="Times New Roman" w:hAnsi="Times New Roman" w:eastAsia="Calibri" w:cs="Times New Roman"/>
                <w:color w:val="auto"/>
                <w:kern w:val="0"/>
                <w:sz w:val="24"/>
                <w:szCs w:val="24"/>
                <w:highlight w:val="none"/>
                <w:lang w:val="en-US" w:eastAsia="zh-CN" w:bidi="ar"/>
              </w:rPr>
              <w:t>恢复</w:t>
            </w:r>
            <w:r>
              <w:rPr>
                <w:rFonts w:hint="default" w:ascii="Times New Roman" w:hAnsi="Times New Roman" w:eastAsia="Calibri" w:cs="Times New Roman"/>
                <w:color w:val="auto"/>
                <w:kern w:val="0"/>
                <w:sz w:val="24"/>
                <w:szCs w:val="24"/>
                <w:highlight w:val="none"/>
                <w:lang w:val="en-US" w:eastAsia="zh-CN" w:bidi="ar"/>
              </w:rPr>
              <w:t>措施和风险防范措施后，项目建设对环境影响较小。从环境保护角度分析，项目建设环境影响可行。</w:t>
            </w:r>
          </w:p>
          <w:p w14:paraId="73886F52">
            <w:pPr>
              <w:keepNext w:val="0"/>
              <w:keepLines w:val="0"/>
              <w:widowControl w:val="0"/>
              <w:suppressLineNumbers w:val="0"/>
              <w:spacing w:before="0" w:beforeAutospacing="0" w:after="0" w:afterAutospacing="0"/>
              <w:ind w:left="0" w:right="0"/>
              <w:jc w:val="both"/>
              <w:rPr>
                <w:rFonts w:hint="default" w:ascii="Times New Roman" w:hAnsi="Times New Roman" w:eastAsia="黑体" w:cs="Times New Roman"/>
                <w:color w:val="auto"/>
                <w:sz w:val="28"/>
                <w:szCs w:val="28"/>
                <w:highlight w:val="none"/>
                <w:lang w:val="en-US" w:eastAsia="zh-CN"/>
              </w:rPr>
            </w:pPr>
          </w:p>
          <w:p w14:paraId="441D7779">
            <w:pPr>
              <w:keepNext w:val="0"/>
              <w:keepLines w:val="0"/>
              <w:widowControl w:val="0"/>
              <w:suppressLineNumbers w:val="0"/>
              <w:spacing w:before="0" w:beforeAutospacing="0" w:after="0" w:afterAutospacing="0"/>
              <w:ind w:left="0" w:right="0"/>
              <w:jc w:val="both"/>
              <w:rPr>
                <w:rFonts w:hint="default" w:ascii="Times New Roman" w:hAnsi="Times New Roman" w:eastAsia="黑体" w:cs="Times New Roman"/>
                <w:color w:val="auto"/>
                <w:sz w:val="28"/>
                <w:szCs w:val="28"/>
                <w:highlight w:val="none"/>
                <w:lang w:val="en-US" w:eastAsia="zh-CN"/>
              </w:rPr>
            </w:pPr>
          </w:p>
          <w:p w14:paraId="66A4C352">
            <w:pPr>
              <w:keepNext w:val="0"/>
              <w:keepLines w:val="0"/>
              <w:widowControl w:val="0"/>
              <w:suppressLineNumbers w:val="0"/>
              <w:spacing w:before="0" w:beforeAutospacing="0" w:after="0" w:afterAutospacing="0"/>
              <w:ind w:left="0" w:right="0"/>
              <w:jc w:val="both"/>
              <w:rPr>
                <w:rFonts w:hint="default" w:ascii="Times New Roman" w:hAnsi="Times New Roman" w:eastAsia="黑体" w:cs="Times New Roman"/>
                <w:color w:val="auto"/>
                <w:sz w:val="28"/>
                <w:szCs w:val="28"/>
                <w:highlight w:val="none"/>
                <w:lang w:val="en-US" w:eastAsia="zh-CN"/>
              </w:rPr>
            </w:pPr>
          </w:p>
          <w:p w14:paraId="1ED47F4D">
            <w:pPr>
              <w:keepNext w:val="0"/>
              <w:keepLines w:val="0"/>
              <w:widowControl w:val="0"/>
              <w:suppressLineNumbers w:val="0"/>
              <w:spacing w:before="0" w:beforeAutospacing="0" w:after="0" w:afterAutospacing="0"/>
              <w:ind w:left="0" w:right="0"/>
              <w:jc w:val="both"/>
              <w:rPr>
                <w:rFonts w:hint="default" w:ascii="Times New Roman" w:hAnsi="Times New Roman" w:eastAsia="黑体" w:cs="Times New Roman"/>
                <w:color w:val="auto"/>
                <w:sz w:val="28"/>
                <w:szCs w:val="28"/>
                <w:highlight w:val="none"/>
                <w:lang w:val="en-US" w:eastAsia="zh-CN"/>
              </w:rPr>
            </w:pPr>
          </w:p>
          <w:p w14:paraId="152204CE">
            <w:pPr>
              <w:keepNext w:val="0"/>
              <w:keepLines w:val="0"/>
              <w:widowControl w:val="0"/>
              <w:suppressLineNumbers w:val="0"/>
              <w:spacing w:before="0" w:beforeAutospacing="0" w:after="0" w:afterAutospacing="0"/>
              <w:ind w:left="0" w:right="0"/>
              <w:jc w:val="both"/>
              <w:rPr>
                <w:rFonts w:hint="default" w:ascii="Times New Roman" w:hAnsi="Times New Roman" w:eastAsia="黑体" w:cs="Times New Roman"/>
                <w:color w:val="auto"/>
                <w:sz w:val="28"/>
                <w:szCs w:val="28"/>
                <w:highlight w:val="none"/>
                <w:lang w:val="en-US" w:eastAsia="zh-CN"/>
              </w:rPr>
            </w:pPr>
          </w:p>
          <w:p w14:paraId="646F3892">
            <w:pPr>
              <w:keepNext w:val="0"/>
              <w:keepLines w:val="0"/>
              <w:widowControl w:val="0"/>
              <w:suppressLineNumbers w:val="0"/>
              <w:spacing w:before="0" w:beforeAutospacing="0" w:after="0" w:afterAutospacing="0"/>
              <w:ind w:left="0" w:right="0"/>
              <w:jc w:val="both"/>
              <w:rPr>
                <w:rFonts w:hint="default" w:ascii="Times New Roman" w:hAnsi="Times New Roman" w:eastAsia="黑体" w:cs="Times New Roman"/>
                <w:color w:val="auto"/>
                <w:sz w:val="28"/>
                <w:szCs w:val="28"/>
                <w:highlight w:val="none"/>
                <w:lang w:val="en-US" w:eastAsia="zh-CN"/>
              </w:rPr>
            </w:pPr>
          </w:p>
          <w:p w14:paraId="7C42153D">
            <w:pPr>
              <w:keepNext w:val="0"/>
              <w:keepLines w:val="0"/>
              <w:widowControl w:val="0"/>
              <w:suppressLineNumbers w:val="0"/>
              <w:spacing w:before="0" w:beforeAutospacing="0" w:after="0" w:afterAutospacing="0"/>
              <w:ind w:left="0" w:right="0"/>
              <w:jc w:val="both"/>
              <w:rPr>
                <w:rFonts w:hint="default" w:ascii="Times New Roman" w:hAnsi="Times New Roman" w:eastAsia="黑体" w:cs="Times New Roman"/>
                <w:color w:val="auto"/>
                <w:sz w:val="28"/>
                <w:szCs w:val="28"/>
                <w:highlight w:val="none"/>
                <w:lang w:val="en-US" w:eastAsia="zh-CN"/>
              </w:rPr>
            </w:pPr>
          </w:p>
          <w:p w14:paraId="345957BA">
            <w:pPr>
              <w:keepNext w:val="0"/>
              <w:keepLines w:val="0"/>
              <w:widowControl w:val="0"/>
              <w:suppressLineNumbers w:val="0"/>
              <w:spacing w:before="0" w:beforeAutospacing="0" w:after="0" w:afterAutospacing="0"/>
              <w:ind w:left="0" w:right="0"/>
              <w:jc w:val="both"/>
              <w:rPr>
                <w:rFonts w:hint="default" w:ascii="Times New Roman" w:hAnsi="Times New Roman" w:eastAsia="黑体" w:cs="Times New Roman"/>
                <w:color w:val="auto"/>
                <w:sz w:val="28"/>
                <w:szCs w:val="28"/>
                <w:highlight w:val="none"/>
                <w:lang w:val="en-US" w:eastAsia="zh-CN"/>
              </w:rPr>
            </w:pPr>
          </w:p>
          <w:p w14:paraId="6046C599">
            <w:pPr>
              <w:keepNext w:val="0"/>
              <w:keepLines w:val="0"/>
              <w:widowControl w:val="0"/>
              <w:suppressLineNumbers w:val="0"/>
              <w:spacing w:before="0" w:beforeAutospacing="0" w:after="0" w:afterAutospacing="0"/>
              <w:ind w:left="0" w:right="0"/>
              <w:jc w:val="both"/>
              <w:rPr>
                <w:rFonts w:hint="default" w:ascii="Times New Roman" w:hAnsi="Times New Roman" w:eastAsia="黑体" w:cs="Times New Roman"/>
                <w:color w:val="auto"/>
                <w:sz w:val="28"/>
                <w:szCs w:val="28"/>
                <w:highlight w:val="none"/>
                <w:lang w:val="en-US" w:eastAsia="zh-CN"/>
              </w:rPr>
            </w:pPr>
          </w:p>
          <w:p w14:paraId="64A82528">
            <w:pPr>
              <w:keepNext w:val="0"/>
              <w:keepLines w:val="0"/>
              <w:widowControl w:val="0"/>
              <w:suppressLineNumbers w:val="0"/>
              <w:spacing w:before="0" w:beforeAutospacing="0" w:after="0" w:afterAutospacing="0"/>
              <w:ind w:left="0" w:right="0"/>
              <w:jc w:val="both"/>
              <w:rPr>
                <w:rFonts w:hint="default" w:ascii="Times New Roman" w:hAnsi="Times New Roman" w:eastAsia="黑体" w:cs="Times New Roman"/>
                <w:color w:val="auto"/>
                <w:sz w:val="28"/>
                <w:szCs w:val="28"/>
                <w:highlight w:val="none"/>
                <w:lang w:val="en-US" w:eastAsia="zh-CN"/>
              </w:rPr>
            </w:pPr>
          </w:p>
          <w:p w14:paraId="73B8B2F5">
            <w:pPr>
              <w:keepNext w:val="0"/>
              <w:keepLines w:val="0"/>
              <w:widowControl w:val="0"/>
              <w:suppressLineNumbers w:val="0"/>
              <w:spacing w:before="0" w:beforeAutospacing="0" w:after="0" w:afterAutospacing="0"/>
              <w:ind w:left="0" w:right="0"/>
              <w:jc w:val="both"/>
              <w:rPr>
                <w:rFonts w:hint="default" w:ascii="Times New Roman" w:hAnsi="Times New Roman" w:eastAsia="黑体" w:cs="Times New Roman"/>
                <w:color w:val="auto"/>
                <w:sz w:val="28"/>
                <w:szCs w:val="28"/>
                <w:highlight w:val="none"/>
                <w:lang w:val="en-US" w:eastAsia="zh-CN"/>
              </w:rPr>
            </w:pPr>
          </w:p>
          <w:p w14:paraId="71208B04">
            <w:pPr>
              <w:keepNext w:val="0"/>
              <w:keepLines w:val="0"/>
              <w:widowControl w:val="0"/>
              <w:suppressLineNumbers w:val="0"/>
              <w:spacing w:before="0" w:beforeAutospacing="0" w:after="0" w:afterAutospacing="0"/>
              <w:ind w:left="0" w:right="0"/>
              <w:jc w:val="both"/>
              <w:rPr>
                <w:rFonts w:hint="default" w:ascii="Times New Roman" w:hAnsi="Times New Roman" w:eastAsia="黑体" w:cs="Times New Roman"/>
                <w:color w:val="auto"/>
                <w:sz w:val="28"/>
                <w:szCs w:val="28"/>
                <w:highlight w:val="none"/>
                <w:lang w:val="en-US" w:eastAsia="zh-CN"/>
              </w:rPr>
            </w:pPr>
          </w:p>
          <w:p w14:paraId="5F47F76D">
            <w:pPr>
              <w:keepNext w:val="0"/>
              <w:keepLines w:val="0"/>
              <w:widowControl w:val="0"/>
              <w:suppressLineNumbers w:val="0"/>
              <w:spacing w:before="0" w:beforeAutospacing="0" w:after="0" w:afterAutospacing="0"/>
              <w:ind w:left="0" w:right="0"/>
              <w:jc w:val="both"/>
              <w:rPr>
                <w:rFonts w:hint="default" w:ascii="Times New Roman" w:hAnsi="Times New Roman" w:eastAsia="黑体" w:cs="Times New Roman"/>
                <w:color w:val="auto"/>
                <w:sz w:val="28"/>
                <w:szCs w:val="28"/>
                <w:highlight w:val="none"/>
                <w:lang w:val="en-US" w:eastAsia="zh-CN"/>
              </w:rPr>
            </w:pPr>
          </w:p>
          <w:p w14:paraId="51F39809">
            <w:pPr>
              <w:keepNext w:val="0"/>
              <w:keepLines w:val="0"/>
              <w:widowControl w:val="0"/>
              <w:suppressLineNumbers w:val="0"/>
              <w:spacing w:before="0" w:beforeAutospacing="0" w:after="0" w:afterAutospacing="0"/>
              <w:ind w:left="0" w:right="0"/>
              <w:jc w:val="both"/>
              <w:rPr>
                <w:rFonts w:hint="default" w:ascii="Times New Roman" w:hAnsi="Times New Roman" w:eastAsia="黑体" w:cs="Times New Roman"/>
                <w:color w:val="auto"/>
                <w:sz w:val="28"/>
                <w:szCs w:val="28"/>
                <w:highlight w:val="none"/>
                <w:lang w:val="en-US" w:eastAsia="zh-CN"/>
              </w:rPr>
            </w:pPr>
          </w:p>
          <w:p w14:paraId="7317892F">
            <w:pPr>
              <w:keepNext w:val="0"/>
              <w:keepLines w:val="0"/>
              <w:widowControl w:val="0"/>
              <w:suppressLineNumbers w:val="0"/>
              <w:spacing w:before="0" w:beforeAutospacing="0" w:after="0" w:afterAutospacing="0"/>
              <w:ind w:left="0" w:right="0"/>
              <w:jc w:val="both"/>
              <w:rPr>
                <w:rFonts w:hint="default" w:ascii="Times New Roman" w:hAnsi="Times New Roman" w:eastAsia="黑体" w:cs="Times New Roman"/>
                <w:color w:val="auto"/>
                <w:sz w:val="28"/>
                <w:szCs w:val="28"/>
                <w:highlight w:val="none"/>
                <w:lang w:val="en-US" w:eastAsia="zh-CN"/>
              </w:rPr>
            </w:pPr>
          </w:p>
          <w:p w14:paraId="326432EF">
            <w:pPr>
              <w:keepNext w:val="0"/>
              <w:keepLines w:val="0"/>
              <w:widowControl w:val="0"/>
              <w:suppressLineNumbers w:val="0"/>
              <w:spacing w:before="0" w:beforeAutospacing="0" w:after="0" w:afterAutospacing="0"/>
              <w:ind w:left="0" w:right="0"/>
              <w:jc w:val="both"/>
              <w:rPr>
                <w:rFonts w:hint="default" w:ascii="Times New Roman" w:hAnsi="Times New Roman" w:eastAsia="黑体" w:cs="Times New Roman"/>
                <w:color w:val="auto"/>
                <w:sz w:val="28"/>
                <w:szCs w:val="28"/>
                <w:highlight w:val="none"/>
                <w:lang w:val="en-US" w:eastAsia="zh-CN"/>
              </w:rPr>
            </w:pPr>
          </w:p>
          <w:p w14:paraId="023D4576">
            <w:pPr>
              <w:keepNext w:val="0"/>
              <w:keepLines w:val="0"/>
              <w:widowControl w:val="0"/>
              <w:suppressLineNumbers w:val="0"/>
              <w:spacing w:before="0" w:beforeAutospacing="0" w:after="0" w:afterAutospacing="0"/>
              <w:ind w:left="0" w:right="0"/>
              <w:jc w:val="both"/>
              <w:rPr>
                <w:rFonts w:hint="default" w:ascii="Times New Roman" w:hAnsi="Times New Roman" w:eastAsia="黑体" w:cs="Times New Roman"/>
                <w:color w:val="auto"/>
                <w:sz w:val="28"/>
                <w:szCs w:val="28"/>
                <w:highlight w:val="none"/>
                <w:lang w:val="en-US" w:eastAsia="zh-CN"/>
              </w:rPr>
            </w:pPr>
          </w:p>
        </w:tc>
      </w:tr>
    </w:tbl>
    <w:p w14:paraId="6564B288">
      <w:pPr>
        <w:pStyle w:val="15"/>
        <w:jc w:val="center"/>
        <w:outlineLvl w:val="9"/>
        <w:rPr>
          <w:rFonts w:hint="default" w:ascii="Times New Roman" w:hAnsi="Times New Roman" w:eastAsia="黑体"/>
          <w:snapToGrid w:val="0"/>
          <w:color w:val="auto"/>
          <w:sz w:val="30"/>
          <w:szCs w:val="30"/>
          <w:highlight w:val="none"/>
          <w:lang w:val="en-US" w:eastAsia="zh-CN"/>
        </w:rPr>
      </w:pPr>
      <w:bookmarkStart w:id="8" w:name="_GoBack"/>
      <w:bookmarkEnd w:id="8"/>
    </w:p>
    <w:sectPr>
      <w:pgSz w:w="11906" w:h="16838"/>
      <w:pgMar w:top="1417" w:right="1417" w:bottom="1417" w:left="1417" w:header="992" w:footer="896" w:gutter="0"/>
      <w:pgBorders w:offsetFrom="page">
        <w:top w:val="none" w:sz="0" w:space="0"/>
        <w:left w:val="none" w:sz="0" w:space="0"/>
        <w:bottom w:val="none" w:sz="0" w:space="0"/>
        <w:right w:val="none" w:sz="0" w:space="0"/>
      </w:pgBorders>
      <w:pgNumType w:fmt="decimal"/>
      <w:cols w:space="720"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2000000000000000000"/>
    <w:charset w:val="86"/>
    <w:family w:val="auto"/>
    <w:pitch w:val="default"/>
    <w:sig w:usb0="00000000" w:usb1="00000000" w:usb2="00082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TimesNewRomanPSMT">
    <w:altName w:val="Times New Roman"/>
    <w:panose1 w:val="00000000000000000000"/>
    <w:charset w:val="86"/>
    <w:family w:val="auto"/>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020CA">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C6EA67">
                          <w:pPr>
                            <w:pStyle w:val="12"/>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5CC6EA67">
                    <w:pPr>
                      <w:pStyle w:val="12"/>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C87742"/>
    <w:multiLevelType w:val="multilevel"/>
    <w:tmpl w:val="9DC87742"/>
    <w:lvl w:ilvl="0" w:tentative="0">
      <w:start w:val="5"/>
      <w:numFmt w:val="chineseCounting"/>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E72B4273"/>
    <w:multiLevelType w:val="multilevel"/>
    <w:tmpl w:val="E72B4273"/>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E803EDD3"/>
    <w:multiLevelType w:val="multilevel"/>
    <w:tmpl w:val="E803EDD3"/>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DA3727"/>
    <w:rsid w:val="0B6E1DBA"/>
    <w:rsid w:val="222120D8"/>
    <w:rsid w:val="3FDA3727"/>
    <w:rsid w:val="791836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keepNext w:val="0"/>
      <w:keepLines w:val="0"/>
      <w:widowControl w:val="0"/>
      <w:suppressLineNumbers w:val="0"/>
      <w:spacing w:before="0" w:beforeAutospacing="0" w:after="0" w:afterAutospacing="0"/>
      <w:ind w:left="0" w:right="0" w:firstLine="420"/>
      <w:jc w:val="left"/>
    </w:pPr>
    <w:rPr>
      <w:rFonts w:hint="default" w:ascii="Calibri" w:hAnsi="Calibri" w:eastAsia="Calibri" w:cs="Times New Roman"/>
      <w:kern w:val="0"/>
      <w:sz w:val="22"/>
      <w:szCs w:val="20"/>
      <w:lang w:val="en-US" w:eastAsia="zh-CN" w:bidi="ar"/>
    </w:rPr>
  </w:style>
  <w:style w:type="paragraph" w:styleId="3">
    <w:name w:val="caption"/>
    <w:basedOn w:val="1"/>
    <w:next w:val="1"/>
    <w:unhideWhenUsed/>
    <w:qFormat/>
    <w:uiPriority w:val="0"/>
    <w:pPr>
      <w:keepNext w:val="0"/>
      <w:keepLines w:val="0"/>
      <w:widowControl w:val="0"/>
      <w:suppressLineNumbers w:val="0"/>
      <w:spacing w:before="0" w:beforeAutospacing="0" w:after="0" w:afterAutospacing="0"/>
      <w:ind w:left="0" w:right="0"/>
      <w:jc w:val="center"/>
    </w:pPr>
    <w:rPr>
      <w:rFonts w:hint="default" w:ascii="Calibri" w:hAnsi="Calibri" w:eastAsia="Calibri" w:cs="Times New Roman"/>
      <w:b/>
      <w:kern w:val="0"/>
      <w:sz w:val="24"/>
      <w:szCs w:val="22"/>
      <w:lang w:val="en-US" w:eastAsia="zh-CN" w:bidi="ar"/>
    </w:rPr>
  </w:style>
  <w:style w:type="paragraph" w:styleId="4">
    <w:name w:val="annotation text"/>
    <w:basedOn w:val="1"/>
    <w:qFormat/>
    <w:uiPriority w:val="0"/>
    <w:pPr>
      <w:keepNext w:val="0"/>
      <w:keepLines w:val="0"/>
      <w:widowControl w:val="0"/>
      <w:suppressLineNumbers w:val="0"/>
      <w:spacing w:before="0" w:beforeAutospacing="0" w:after="0" w:afterAutospacing="0"/>
      <w:ind w:left="0" w:right="0"/>
      <w:jc w:val="left"/>
    </w:pPr>
    <w:rPr>
      <w:rFonts w:hint="default" w:ascii="Calibri" w:hAnsi="Calibri" w:eastAsia="Calibri" w:cs="Times New Roman"/>
      <w:kern w:val="0"/>
      <w:sz w:val="22"/>
      <w:szCs w:val="22"/>
      <w:lang w:val="en-US" w:eastAsia="zh-CN" w:bidi="ar"/>
    </w:rPr>
  </w:style>
  <w:style w:type="paragraph" w:styleId="5">
    <w:name w:val="Body Text"/>
    <w:basedOn w:val="1"/>
    <w:next w:val="1"/>
    <w:qFormat/>
    <w:uiPriority w:val="0"/>
    <w:pPr>
      <w:spacing w:after="120" w:afterLines="0" w:afterAutospacing="0"/>
    </w:pPr>
  </w:style>
  <w:style w:type="paragraph" w:styleId="6">
    <w:name w:val="Body Text Indent"/>
    <w:basedOn w:val="1"/>
    <w:uiPriority w:val="0"/>
    <w:pPr>
      <w:spacing w:after="120" w:afterLines="0" w:afterAutospacing="0"/>
      <w:ind w:left="420" w:leftChars="200"/>
    </w:pPr>
  </w:style>
  <w:style w:type="paragraph" w:styleId="7">
    <w:name w:val="Plain Text"/>
    <w:basedOn w:val="1"/>
    <w:qFormat/>
    <w:uiPriority w:val="0"/>
    <w:pPr>
      <w:keepNext w:val="0"/>
      <w:keepLines w:val="0"/>
      <w:widowControl w:val="0"/>
      <w:suppressLineNumbers w:val="0"/>
      <w:spacing w:before="0" w:beforeAutospacing="0" w:after="0" w:afterAutospacing="0"/>
      <w:ind w:left="0" w:right="0"/>
      <w:jc w:val="left"/>
    </w:pPr>
    <w:rPr>
      <w:rFonts w:hint="eastAsia" w:ascii="宋体" w:hAnsi="Courier New" w:eastAsia="Calibri" w:cs="Courier New"/>
      <w:kern w:val="0"/>
      <w:sz w:val="21"/>
      <w:szCs w:val="21"/>
      <w:lang w:val="en-US" w:eastAsia="zh-CN" w:bidi="ar"/>
    </w:rPr>
  </w:style>
  <w:style w:type="paragraph" w:styleId="8">
    <w:name w:val="Body Text Indent 2"/>
    <w:basedOn w:val="1"/>
    <w:next w:val="9"/>
    <w:qFormat/>
    <w:uiPriority w:val="0"/>
    <w:pPr>
      <w:keepNext w:val="0"/>
      <w:keepLines w:val="0"/>
      <w:widowControl w:val="0"/>
      <w:suppressLineNumbers w:val="0"/>
      <w:spacing w:before="0" w:beforeAutospacing="0" w:after="120" w:afterAutospacing="0" w:line="480" w:lineRule="auto"/>
      <w:ind w:left="420" w:leftChars="200" w:right="0"/>
      <w:jc w:val="left"/>
    </w:pPr>
    <w:rPr>
      <w:rFonts w:hint="default" w:ascii="Calibri" w:hAnsi="Calibri" w:eastAsia="Calibri" w:cs="Times New Roman"/>
      <w:kern w:val="0"/>
      <w:sz w:val="21"/>
      <w:szCs w:val="24"/>
      <w:lang w:val="en-US" w:eastAsia="zh-CN" w:bidi="ar"/>
    </w:rPr>
  </w:style>
  <w:style w:type="paragraph" w:styleId="9">
    <w:name w:val="Body Text First Indent 2"/>
    <w:basedOn w:val="6"/>
    <w:next w:val="10"/>
    <w:qFormat/>
    <w:uiPriority w:val="0"/>
    <w:pPr>
      <w:keepNext w:val="0"/>
      <w:keepLines w:val="0"/>
      <w:widowControl/>
      <w:suppressLineNumbers w:val="0"/>
      <w:spacing w:before="60" w:beforeAutospacing="0" w:after="0" w:afterAutospacing="0"/>
      <w:ind w:left="0" w:right="0" w:firstLine="420"/>
      <w:jc w:val="left"/>
    </w:pPr>
    <w:rPr>
      <w:rFonts w:hint="eastAsia" w:ascii="宋体" w:hAnsi="宋体" w:eastAsia="宋体" w:cs="Times New Roman"/>
      <w:color w:val="000000"/>
      <w:kern w:val="0"/>
      <w:sz w:val="24"/>
      <w:szCs w:val="24"/>
      <w:lang w:val="en-US" w:eastAsia="zh-CN" w:bidi="ar"/>
    </w:rPr>
  </w:style>
  <w:style w:type="paragraph" w:styleId="10">
    <w:name w:val="Body Text First Indent"/>
    <w:basedOn w:val="5"/>
    <w:next w:val="11"/>
    <w:qFormat/>
    <w:uiPriority w:val="0"/>
    <w:pPr>
      <w:keepNext w:val="0"/>
      <w:keepLines w:val="0"/>
      <w:widowControl w:val="0"/>
      <w:suppressLineNumbers w:val="0"/>
      <w:spacing w:before="0" w:beforeAutospacing="0" w:after="120" w:afterAutospacing="0"/>
      <w:ind w:left="0" w:right="0" w:firstLine="420" w:firstLineChars="100"/>
      <w:jc w:val="left"/>
    </w:pPr>
    <w:rPr>
      <w:rFonts w:hint="default" w:ascii="Calibri" w:hAnsi="Calibri" w:eastAsia="Calibri" w:cs="Times New Roman"/>
      <w:kern w:val="0"/>
      <w:sz w:val="22"/>
      <w:szCs w:val="22"/>
      <w:lang w:val="en-US" w:eastAsia="zh-CN" w:bidi="ar"/>
    </w:rPr>
  </w:style>
  <w:style w:type="paragraph" w:styleId="11">
    <w:name w:val="table of figures"/>
    <w:basedOn w:val="1"/>
    <w:next w:val="1"/>
    <w:qFormat/>
    <w:uiPriority w:val="0"/>
    <w:pPr>
      <w:keepNext w:val="0"/>
      <w:keepLines w:val="0"/>
      <w:widowControl w:val="0"/>
      <w:suppressLineNumbers w:val="0"/>
      <w:spacing w:before="0" w:beforeAutospacing="0" w:after="0" w:afterAutospacing="0"/>
      <w:ind w:left="0" w:right="0"/>
      <w:jc w:val="left"/>
    </w:pPr>
    <w:rPr>
      <w:rFonts w:hint="default" w:ascii="Calibri" w:hAnsi="Calibri" w:eastAsia="Calibri" w:cs="Times New Roman"/>
      <w:kern w:val="0"/>
      <w:sz w:val="22"/>
      <w:szCs w:val="22"/>
      <w:lang w:val="en-US" w:eastAsia="zh-CN" w:bidi="ar"/>
    </w:rPr>
  </w:style>
  <w:style w:type="paragraph" w:styleId="12">
    <w:name w:val="footer"/>
    <w:basedOn w:val="1"/>
    <w:qFormat/>
    <w:uiPriority w:val="0"/>
    <w:pPr>
      <w:tabs>
        <w:tab w:val="center" w:pos="4153"/>
        <w:tab w:val="right" w:pos="8306"/>
      </w:tabs>
      <w:snapToGrid w:val="0"/>
      <w:jc w:val="left"/>
    </w:pPr>
    <w:rPr>
      <w:sz w:val="18"/>
    </w:rPr>
  </w:style>
  <w:style w:type="paragraph" w:styleId="13">
    <w:name w:val="toc 2"/>
    <w:basedOn w:val="1"/>
    <w:next w:val="1"/>
    <w:qFormat/>
    <w:uiPriority w:val="0"/>
    <w:pPr>
      <w:ind w:left="420" w:leftChars="200"/>
    </w:pPr>
  </w:style>
  <w:style w:type="paragraph" w:styleId="14">
    <w:name w:val="Body Text 2"/>
    <w:basedOn w:val="1"/>
    <w:qFormat/>
    <w:uiPriority w:val="0"/>
    <w:pPr>
      <w:keepNext w:val="0"/>
      <w:keepLines w:val="0"/>
      <w:widowControl w:val="0"/>
      <w:suppressLineNumbers w:val="0"/>
      <w:spacing w:before="0" w:beforeAutospacing="0" w:after="120" w:afterAutospacing="0" w:line="480" w:lineRule="auto"/>
      <w:ind w:left="0" w:right="0"/>
      <w:jc w:val="left"/>
    </w:pPr>
    <w:rPr>
      <w:rFonts w:hint="default" w:ascii="Calibri" w:hAnsi="Calibri" w:eastAsia="Calibri" w:cs="Times New Roman"/>
      <w:kern w:val="0"/>
      <w:sz w:val="22"/>
      <w:szCs w:val="22"/>
      <w:lang w:val="en-US" w:eastAsia="zh-CN" w:bidi="ar"/>
    </w:rPr>
  </w:style>
  <w:style w:type="paragraph" w:styleId="15">
    <w:name w:val="Normal (Web)"/>
    <w:basedOn w:val="1"/>
    <w:qFormat/>
    <w:uiPriority w:val="0"/>
    <w:rPr>
      <w:sz w:val="24"/>
    </w:rPr>
  </w:style>
  <w:style w:type="table" w:styleId="17">
    <w:name w:val="Table Grid"/>
    <w:basedOn w:val="16"/>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Hyperlink"/>
    <w:basedOn w:val="18"/>
    <w:qFormat/>
    <w:uiPriority w:val="0"/>
    <w:rPr>
      <w:color w:val="0000FF"/>
      <w:u w:val="single"/>
    </w:rPr>
  </w:style>
  <w:style w:type="paragraph" w:customStyle="1" w:styleId="20">
    <w:name w:val="报告正文"/>
    <w:basedOn w:val="1"/>
    <w:qFormat/>
    <w:uiPriority w:val="0"/>
    <w:pPr>
      <w:keepNext w:val="0"/>
      <w:keepLines w:val="0"/>
      <w:widowControl w:val="0"/>
      <w:suppressLineNumbers w:val="0"/>
      <w:adjustRightInd w:val="0"/>
      <w:snapToGrid w:val="0"/>
      <w:spacing w:before="0" w:beforeAutospacing="0" w:after="0" w:afterAutospacing="0" w:line="360" w:lineRule="auto"/>
      <w:ind w:left="0" w:right="0" w:firstLine="720" w:firstLineChars="200"/>
      <w:jc w:val="both"/>
    </w:pPr>
    <w:rPr>
      <w:rFonts w:hint="default" w:ascii="Calibri" w:hAnsi="Calibri" w:eastAsia="Calibri" w:cs="宋体"/>
      <w:kern w:val="0"/>
      <w:sz w:val="24"/>
      <w:szCs w:val="21"/>
      <w:lang w:val="en-US" w:eastAsia="zh-CN" w:bidi="ar"/>
    </w:rPr>
  </w:style>
  <w:style w:type="paragraph" w:customStyle="1" w:styleId="21">
    <w:name w:val="表格文字"/>
    <w:basedOn w:val="1"/>
    <w:qFormat/>
    <w:uiPriority w:val="0"/>
    <w:pPr>
      <w:keepNext w:val="0"/>
      <w:keepLines w:val="0"/>
      <w:widowControl w:val="0"/>
      <w:suppressLineNumbers w:val="0"/>
      <w:adjustRightInd w:val="0"/>
      <w:snapToGrid w:val="0"/>
      <w:spacing w:before="0" w:beforeAutospacing="0" w:after="0" w:afterAutospacing="0"/>
      <w:ind w:left="0" w:right="0"/>
      <w:jc w:val="center"/>
    </w:pPr>
    <w:rPr>
      <w:rFonts w:hint="default" w:ascii="Times New Roman" w:hAnsi="Times New Roman" w:eastAsia="宋体" w:cs="宋体"/>
      <w:kern w:val="0"/>
      <w:sz w:val="22"/>
      <w:szCs w:val="21"/>
      <w:lang w:val="en-US" w:eastAsia="zh-CN" w:bidi="ar"/>
    </w:rPr>
  </w:style>
  <w:style w:type="paragraph" w:customStyle="1" w:styleId="22">
    <w:name w:val="表格内容"/>
    <w:basedOn w:val="1"/>
    <w:qFormat/>
    <w:uiPriority w:val="0"/>
    <w:pPr>
      <w:keepNext w:val="0"/>
      <w:keepLines w:val="0"/>
      <w:widowControl w:val="0"/>
      <w:suppressLineNumbers w:val="0"/>
      <w:adjustRightInd w:val="0"/>
      <w:snapToGrid w:val="0"/>
      <w:spacing w:before="0" w:beforeAutospacing="0" w:after="0" w:afterAutospacing="0"/>
      <w:ind w:left="0" w:right="0"/>
      <w:jc w:val="center"/>
    </w:pPr>
    <w:rPr>
      <w:rFonts w:hint="default" w:ascii="Calibri" w:hAnsi="Calibri" w:eastAsia="Calibri" w:cs="Times New Roman"/>
      <w:kern w:val="0"/>
      <w:sz w:val="21"/>
      <w:szCs w:val="22"/>
      <w:lang w:val="en-US" w:eastAsia="zh-CN" w:bidi="ar"/>
    </w:rPr>
  </w:style>
  <w:style w:type="paragraph" w:customStyle="1" w:styleId="23">
    <w:name w:val="_Style 1"/>
    <w:qFormat/>
    <w:uiPriority w:val="0"/>
    <w:pPr>
      <w:widowControl w:val="0"/>
      <w:jc w:val="both"/>
    </w:pPr>
    <w:rPr>
      <w:rFonts w:ascii="Calibri" w:hAnsi="Calibri" w:eastAsia="宋体" w:cs="Times New Roman"/>
      <w:kern w:val="2"/>
      <w:sz w:val="24"/>
      <w:szCs w:val="24"/>
      <w:lang w:val="en-US" w:eastAsia="zh-CN" w:bidi="ar-SA"/>
    </w:rPr>
  </w:style>
  <w:style w:type="paragraph" w:customStyle="1" w:styleId="24">
    <w:name w:val="表格正文"/>
    <w:basedOn w:val="1"/>
    <w:qFormat/>
    <w:uiPriority w:val="0"/>
    <w:pPr>
      <w:keepNext w:val="0"/>
      <w:keepLines w:val="0"/>
      <w:widowControl w:val="0"/>
      <w:suppressLineNumbers w:val="0"/>
      <w:adjustRightInd w:val="0"/>
      <w:snapToGrid w:val="0"/>
      <w:spacing w:before="0" w:beforeAutospacing="0" w:after="0" w:afterAutospacing="0" w:line="360" w:lineRule="auto"/>
      <w:ind w:left="0" w:right="0" w:firstLine="200" w:firstLineChars="200"/>
      <w:jc w:val="center"/>
    </w:pPr>
    <w:rPr>
      <w:rFonts w:hint="default" w:ascii="Calibri" w:hAnsi="Calibri" w:eastAsia="Calibri" w:cs="Times New Roman"/>
      <w:kern w:val="0"/>
      <w:sz w:val="24"/>
      <w:szCs w:val="24"/>
      <w:lang w:val="en-US" w:eastAsia="zh-CN" w:bidi="ar"/>
    </w:rPr>
  </w:style>
  <w:style w:type="paragraph" w:customStyle="1" w:styleId="25">
    <w:name w:val="Table Paragraph"/>
    <w:basedOn w:val="1"/>
    <w:qFormat/>
    <w:uiPriority w:val="0"/>
    <w:pPr>
      <w:keepNext w:val="0"/>
      <w:keepLines w:val="0"/>
      <w:widowControl w:val="0"/>
      <w:suppressLineNumbers w:val="0"/>
      <w:spacing w:before="0" w:beforeAutospacing="0" w:after="0" w:afterAutospacing="0"/>
      <w:ind w:left="0" w:right="0"/>
      <w:jc w:val="left"/>
    </w:pPr>
    <w:rPr>
      <w:rFonts w:hint="eastAsia" w:ascii="宋体" w:hAnsi="宋体" w:eastAsia="宋体" w:cs="宋体"/>
      <w:kern w:val="0"/>
      <w:sz w:val="22"/>
      <w:szCs w:val="22"/>
      <w:lang w:val="en-US" w:eastAsia="zh-CN" w:bidi="ar"/>
    </w:rPr>
  </w:style>
  <w:style w:type="paragraph" w:customStyle="1" w:styleId="26">
    <w:name w:val="表格"/>
    <w:basedOn w:val="7"/>
    <w:next w:val="1"/>
    <w:qFormat/>
    <w:uiPriority w:val="0"/>
    <w:pPr>
      <w:keepNext w:val="0"/>
      <w:keepLines w:val="0"/>
      <w:widowControl w:val="0"/>
      <w:suppressLineNumbers w:val="0"/>
      <w:adjustRightInd w:val="0"/>
      <w:snapToGrid w:val="0"/>
      <w:spacing w:before="0" w:beforeLines="10" w:beforeAutospacing="0" w:after="0" w:afterAutospacing="0" w:line="256" w:lineRule="auto"/>
      <w:ind w:left="420" w:right="0" w:hanging="420"/>
      <w:jc w:val="center"/>
    </w:pPr>
    <w:rPr>
      <w:rFonts w:hint="eastAsia" w:ascii="宋体" w:hAnsi="Calibri" w:eastAsia="Calibri" w:cs="Times New Roman"/>
      <w:b/>
      <w:kern w:val="0"/>
      <w:sz w:val="20"/>
      <w:szCs w:val="21"/>
      <w:lang w:val="en-US" w:eastAsia="zh-CN" w:bidi="ar"/>
    </w:rPr>
  </w:style>
  <w:style w:type="paragraph" w:customStyle="1" w:styleId="27">
    <w:name w:val="表格标题"/>
    <w:basedOn w:val="28"/>
    <w:qFormat/>
    <w:uiPriority w:val="0"/>
    <w:pPr>
      <w:snapToGrid/>
      <w:spacing w:line="240" w:lineRule="auto"/>
      <w:ind w:firstLine="0" w:firstLineChars="0"/>
      <w:jc w:val="center"/>
    </w:pPr>
    <w:rPr>
      <w:sz w:val="24"/>
    </w:rPr>
  </w:style>
  <w:style w:type="paragraph" w:customStyle="1" w:styleId="28">
    <w:name w:val="表格表头"/>
    <w:basedOn w:val="26"/>
    <w:next w:val="26"/>
    <w:qFormat/>
    <w:uiPriority w:val="0"/>
    <w:rPr>
      <w:bCs/>
    </w:rPr>
  </w:style>
  <w:style w:type="paragraph" w:customStyle="1" w:styleId="29">
    <w:name w:val="正文格式"/>
    <w:basedOn w:val="1"/>
    <w:qFormat/>
    <w:uiPriority w:val="0"/>
    <w:pPr>
      <w:keepNext w:val="0"/>
      <w:keepLines w:val="0"/>
      <w:widowControl w:val="0"/>
      <w:suppressLineNumbers w:val="0"/>
      <w:spacing w:before="0" w:beforeAutospacing="0" w:after="0" w:afterAutospacing="0" w:line="360" w:lineRule="auto"/>
      <w:ind w:left="0" w:right="0" w:firstLine="482"/>
      <w:jc w:val="left"/>
    </w:pPr>
    <w:rPr>
      <w:rFonts w:hint="eastAsia" w:ascii="宋体" w:hAnsi="Calibri" w:eastAsia="Calibri" w:cs="宋体"/>
      <w:color w:val="000000"/>
      <w:kern w:val="0"/>
      <w:sz w:val="24"/>
      <w:szCs w:val="2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3.emf"/><Relationship Id="rId7" Type="http://schemas.openxmlformats.org/officeDocument/2006/relationships/oleObject" Target="embeddings/oleObject1.bin"/><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wmf"/><Relationship Id="rId23" Type="http://schemas.openxmlformats.org/officeDocument/2006/relationships/oleObject" Target="embeddings/oleObject7.bin"/><Relationship Id="rId22" Type="http://schemas.openxmlformats.org/officeDocument/2006/relationships/image" Target="media/image12.wmf"/><Relationship Id="rId21" Type="http://schemas.openxmlformats.org/officeDocument/2006/relationships/oleObject" Target="embeddings/oleObject6.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oleObject" Target="embeddings/oleObject5.bin"/><Relationship Id="rId17" Type="http://schemas.openxmlformats.org/officeDocument/2006/relationships/image" Target="media/image9.emf"/><Relationship Id="rId16" Type="http://schemas.openxmlformats.org/officeDocument/2006/relationships/oleObject" Target="embeddings/oleObject4.bin"/><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emf"/><Relationship Id="rId11" Type="http://schemas.openxmlformats.org/officeDocument/2006/relationships/oleObject" Target="embeddings/oleObject3.bin"/><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114</Pages>
  <Words>13525</Words>
  <Characters>14047</Characters>
  <Lines>0</Lines>
  <Paragraphs>0</Paragraphs>
  <TotalTime>1</TotalTime>
  <ScaleCrop>false</ScaleCrop>
  <LinksUpToDate>false</LinksUpToDate>
  <CharactersWithSpaces>14104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2026-03-24T02:00:00Z</dcterms:created>
  <dc:creator>WPS_1760002366</dc:creator>
  <cp:lastModifiedBy>WPS_1760002366</cp:lastModifiedBy>
  <dcterms:modified xsi:type="dcterms:W3CDTF">2026-03-24T02:03:26Z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36363DE40D3449369C2D1367E6B97132_11</vt:lpwstr>
  </property>
  <property fmtid="{D5CDD505-2E9C-101B-9397-08002B2CF9AE}" pid="4" name="KSOTemplateDocerSaveRecord">
    <vt:lpwstr>eyJoZGlkIjoiNzc4MTQ5ZGRmYjQ4Y2FjZTMxMmJkZmYxMmMxMTkzNDYiLCJ1c2VySWQiOiIxNzUzNTQ5MjgyIn0=</vt:lpwstr>
  </property>
</Properties>
</file>