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B1F9A">
      <w:pPr>
        <w:spacing w:before="0" w:line="240" w:lineRule="auto"/>
        <w:rPr>
          <w:rFonts w:hint="default" w:ascii="Times New Roman" w:hAnsi="Times New Roman" w:eastAsia="Times New Roman" w:cs="Times New Roman"/>
          <w:color w:val="auto"/>
          <w:sz w:val="20"/>
          <w:szCs w:val="20"/>
        </w:rPr>
      </w:pPr>
    </w:p>
    <w:p w14:paraId="221B437A">
      <w:pPr>
        <w:spacing w:before="0" w:line="240" w:lineRule="auto"/>
        <w:rPr>
          <w:rFonts w:hint="default" w:ascii="Times New Roman" w:hAnsi="Times New Roman" w:eastAsia="Times New Roman" w:cs="Times New Roman"/>
          <w:color w:val="auto"/>
          <w:sz w:val="20"/>
          <w:szCs w:val="20"/>
        </w:rPr>
      </w:pPr>
    </w:p>
    <w:p w14:paraId="644836DC">
      <w:pPr>
        <w:spacing w:before="0" w:line="240" w:lineRule="auto"/>
        <w:rPr>
          <w:rFonts w:hint="default" w:ascii="Times New Roman" w:hAnsi="Times New Roman" w:eastAsia="Times New Roman" w:cs="Times New Roman"/>
          <w:color w:val="auto"/>
          <w:sz w:val="20"/>
          <w:szCs w:val="20"/>
        </w:rPr>
      </w:pPr>
    </w:p>
    <w:p w14:paraId="0B2560A4">
      <w:pPr>
        <w:spacing w:before="0" w:line="240" w:lineRule="auto"/>
        <w:rPr>
          <w:rFonts w:hint="default" w:ascii="Times New Roman" w:hAnsi="Times New Roman" w:eastAsia="Times New Roman" w:cs="Times New Roman"/>
          <w:color w:val="auto"/>
          <w:sz w:val="20"/>
          <w:szCs w:val="20"/>
        </w:rPr>
      </w:pPr>
    </w:p>
    <w:p w14:paraId="61645EEB">
      <w:pPr>
        <w:spacing w:before="0" w:line="240" w:lineRule="auto"/>
        <w:rPr>
          <w:rFonts w:hint="default" w:ascii="Times New Roman" w:hAnsi="Times New Roman" w:eastAsia="Times New Roman" w:cs="Times New Roman"/>
          <w:color w:val="auto"/>
          <w:sz w:val="20"/>
          <w:szCs w:val="20"/>
        </w:rPr>
      </w:pPr>
    </w:p>
    <w:p w14:paraId="61147C03">
      <w:pPr>
        <w:spacing w:before="0" w:line="240" w:lineRule="auto"/>
        <w:rPr>
          <w:rFonts w:hint="default" w:ascii="Times New Roman" w:hAnsi="Times New Roman" w:eastAsia="Times New Roman" w:cs="Times New Roman"/>
          <w:color w:val="auto"/>
          <w:sz w:val="20"/>
          <w:szCs w:val="20"/>
        </w:rPr>
      </w:pPr>
    </w:p>
    <w:p w14:paraId="4039CC08">
      <w:pPr>
        <w:spacing w:before="0" w:line="993" w:lineRule="exact"/>
        <w:ind w:left="552" w:right="294" w:firstLine="0"/>
        <w:jc w:val="center"/>
        <w:rPr>
          <w:rFonts w:hint="default" w:ascii="Times New Roman" w:hAnsi="Times New Roman" w:eastAsia="微软雅黑" w:cs="Times New Roman"/>
          <w:color w:val="auto"/>
          <w:sz w:val="72"/>
          <w:szCs w:val="72"/>
        </w:rPr>
      </w:pPr>
      <w:bookmarkStart w:id="0" w:name="建设项目环境影响报告表"/>
      <w:bookmarkEnd w:id="0"/>
      <w:r>
        <w:rPr>
          <w:rFonts w:hint="default" w:ascii="Times New Roman" w:hAnsi="Times New Roman" w:eastAsia="方正小标宋_GBK" w:cs="Times New Roman"/>
          <w:bCs/>
          <w:color w:val="auto"/>
          <w:sz w:val="72"/>
          <w:szCs w:val="72"/>
        </w:rPr>
        <w:t>建设项目环境影响报告表</w:t>
      </w:r>
    </w:p>
    <w:p w14:paraId="008AB304">
      <w:pPr>
        <w:spacing w:before="256"/>
        <w:ind w:left="552" w:right="294" w:firstLine="0"/>
        <w:jc w:val="center"/>
        <w:rPr>
          <w:rFonts w:hint="default" w:ascii="Times New Roman" w:hAnsi="Times New Roman" w:eastAsia="楷体" w:cs="Times New Roman"/>
          <w:color w:val="auto"/>
          <w:sz w:val="48"/>
          <w:szCs w:val="48"/>
        </w:rPr>
      </w:pPr>
      <w:r>
        <w:rPr>
          <w:rFonts w:hint="default" w:ascii="Times New Roman" w:hAnsi="Times New Roman" w:eastAsia="楷体" w:cs="Times New Roman"/>
          <w:color w:val="auto"/>
          <w:sz w:val="48"/>
          <w:szCs w:val="48"/>
        </w:rPr>
        <w:t>（生态影响类）</w:t>
      </w:r>
    </w:p>
    <w:p w14:paraId="0707307B">
      <w:pPr>
        <w:spacing w:before="0" w:line="240" w:lineRule="auto"/>
        <w:rPr>
          <w:rFonts w:hint="default" w:ascii="Times New Roman" w:hAnsi="Times New Roman" w:eastAsia="楷体" w:cs="Times New Roman"/>
          <w:color w:val="auto"/>
          <w:sz w:val="48"/>
          <w:szCs w:val="48"/>
        </w:rPr>
      </w:pPr>
    </w:p>
    <w:p w14:paraId="018C3EE9">
      <w:pPr>
        <w:spacing w:before="0" w:line="240" w:lineRule="auto"/>
        <w:rPr>
          <w:rFonts w:hint="default" w:ascii="Times New Roman" w:hAnsi="Times New Roman" w:eastAsia="楷体" w:cs="Times New Roman"/>
          <w:color w:val="auto"/>
          <w:sz w:val="48"/>
          <w:szCs w:val="48"/>
        </w:rPr>
      </w:pPr>
    </w:p>
    <w:p w14:paraId="0DDB4050">
      <w:pPr>
        <w:spacing w:before="10" w:line="240" w:lineRule="auto"/>
        <w:rPr>
          <w:rFonts w:hint="default" w:ascii="Times New Roman" w:hAnsi="Times New Roman" w:eastAsia="楷体" w:cs="Times New Roman"/>
          <w:color w:val="auto"/>
          <w:sz w:val="61"/>
          <w:szCs w:val="61"/>
        </w:rPr>
      </w:pPr>
    </w:p>
    <w:p w14:paraId="3C3E4F48">
      <w:pPr>
        <w:tabs>
          <w:tab w:val="left" w:pos="8480"/>
        </w:tabs>
        <w:spacing w:before="90"/>
        <w:ind w:right="0"/>
        <w:jc w:val="left"/>
        <w:rPr>
          <w:rFonts w:hint="default" w:ascii="Times New Roman" w:hAnsi="Times New Roman" w:eastAsia="仿宋" w:cs="Times New Roman"/>
          <w:color w:val="auto"/>
          <w:spacing w:val="-1"/>
          <w:sz w:val="36"/>
          <w:szCs w:val="36"/>
          <w:u w:val="single"/>
          <w:lang w:val="en-US" w:eastAsia="zh-CN"/>
        </w:rPr>
      </w:pPr>
      <w:r>
        <w:rPr>
          <w:rFonts w:hint="eastAsia" w:ascii="Times New Roman" w:hAnsi="Times New Roman" w:eastAsia="仿宋" w:cs="Times New Roman"/>
          <w:color w:val="auto"/>
          <w:sz w:val="36"/>
          <w:szCs w:val="36"/>
          <w:lang w:val="en-US" w:eastAsia="zh-CN"/>
        </w:rPr>
        <w:t>项目名称</w:t>
      </w:r>
      <w:r>
        <w:rPr>
          <w:rFonts w:hint="default" w:ascii="Times New Roman" w:hAnsi="Times New Roman" w:eastAsia="仿宋" w:cs="Times New Roman"/>
          <w:color w:val="auto"/>
          <w:sz w:val="36"/>
          <w:szCs w:val="36"/>
        </w:rPr>
        <w:t>：</w:t>
      </w:r>
      <w:r>
        <w:rPr>
          <w:rFonts w:hint="default" w:ascii="Times New Roman" w:hAnsi="Times New Roman" w:eastAsia="仿宋" w:cs="Times New Roman"/>
          <w:color w:val="auto"/>
          <w:spacing w:val="-1"/>
          <w:sz w:val="36"/>
          <w:szCs w:val="36"/>
          <w:u w:val="single"/>
          <w:lang w:val="en-US" w:eastAsia="zh-CN"/>
        </w:rPr>
        <w:t xml:space="preserve"> </w:t>
      </w:r>
      <w:r>
        <w:rPr>
          <w:rFonts w:hint="eastAsia"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lang w:val="en-US" w:eastAsia="zh-CN"/>
        </w:rPr>
        <w:t>宁榆天然气评价项目组</w:t>
      </w:r>
      <w:r>
        <w:rPr>
          <w:rFonts w:hint="eastAsia" w:ascii="Times New Roman" w:hAnsi="Times New Roman" w:eastAsia="仿宋" w:cs="Times New Roman"/>
          <w:color w:val="auto"/>
          <w:spacing w:val="-1"/>
          <w:sz w:val="36"/>
          <w:szCs w:val="36"/>
          <w:u w:val="single"/>
          <w:lang w:val="en-US" w:eastAsia="zh-CN"/>
        </w:rPr>
        <w:t xml:space="preserve">        </w:t>
      </w:r>
    </w:p>
    <w:p w14:paraId="4D7FC80D">
      <w:pPr>
        <w:tabs>
          <w:tab w:val="left" w:pos="8480"/>
        </w:tabs>
        <w:spacing w:before="90"/>
        <w:ind w:right="0" w:firstLine="1790" w:firstLineChars="500"/>
        <w:jc w:val="left"/>
        <w:rPr>
          <w:rFonts w:hint="default" w:ascii="Times New Roman" w:hAnsi="Times New Roman" w:eastAsia="仿宋" w:cs="Times New Roman"/>
          <w:color w:val="auto"/>
          <w:spacing w:val="-1"/>
          <w:sz w:val="36"/>
          <w:szCs w:val="36"/>
          <w:u w:val="single"/>
          <w:lang w:val="en-US" w:eastAsia="zh-CN"/>
        </w:rPr>
      </w:pPr>
      <w:r>
        <w:rPr>
          <w:rFonts w:hint="eastAsia" w:ascii="Times New Roman" w:hAnsi="Times New Roman" w:eastAsia="仿宋" w:cs="Times New Roman"/>
          <w:color w:val="auto"/>
          <w:spacing w:val="-1"/>
          <w:sz w:val="36"/>
          <w:szCs w:val="36"/>
          <w:u w:val="single"/>
          <w:lang w:val="en-US" w:eastAsia="zh-CN"/>
        </w:rPr>
        <w:t xml:space="preserve">        米</w:t>
      </w:r>
      <w:r>
        <w:rPr>
          <w:rFonts w:hint="default" w:ascii="Times New Roman" w:hAnsi="Times New Roman" w:eastAsia="仿宋" w:cs="Times New Roman"/>
          <w:color w:val="auto"/>
          <w:spacing w:val="-1"/>
          <w:sz w:val="36"/>
          <w:szCs w:val="36"/>
          <w:u w:val="single"/>
          <w:lang w:val="en-US" w:eastAsia="zh-CN"/>
        </w:rPr>
        <w:t>107-2M评价井建设项目</w:t>
      </w:r>
      <w:r>
        <w:rPr>
          <w:rFonts w:hint="eastAsia" w:ascii="Times New Roman" w:hAnsi="Times New Roman" w:eastAsia="仿宋" w:cs="Times New Roman"/>
          <w:color w:val="auto"/>
          <w:spacing w:val="-1"/>
          <w:sz w:val="36"/>
          <w:szCs w:val="36"/>
          <w:u w:val="single"/>
          <w:lang w:val="en-US" w:eastAsia="zh-CN"/>
        </w:rPr>
        <w:t xml:space="preserve">        </w:t>
      </w:r>
    </w:p>
    <w:p w14:paraId="02616AC4">
      <w:pPr>
        <w:tabs>
          <w:tab w:val="left" w:pos="8480"/>
        </w:tabs>
        <w:spacing w:before="90"/>
        <w:ind w:right="0"/>
        <w:jc w:val="left"/>
        <w:rPr>
          <w:rFonts w:hint="default" w:ascii="Times New Roman" w:hAnsi="Times New Roman" w:eastAsia="仿宋" w:cs="Times New Roman"/>
          <w:color w:val="auto"/>
          <w:spacing w:val="-1"/>
          <w:sz w:val="36"/>
          <w:szCs w:val="36"/>
          <w:u w:val="single"/>
          <w:lang w:val="en-US" w:eastAsia="zh-CN"/>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color w:val="auto"/>
          <w:spacing w:val="-1"/>
          <w:sz w:val="36"/>
          <w:szCs w:val="36"/>
          <w:u w:val="single"/>
          <w:lang w:val="en-US" w:eastAsia="zh-CN"/>
        </w:rPr>
        <w:t xml:space="preserve"> </w:t>
      </w:r>
      <w:r>
        <w:rPr>
          <w:rFonts w:hint="eastAsia"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lang w:val="en-US" w:eastAsia="zh-CN"/>
        </w:rPr>
        <w:t xml:space="preserve">中国石油天然气股份有限公司 </w:t>
      </w:r>
      <w:r>
        <w:rPr>
          <w:rFonts w:hint="eastAsia"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lang w:val="en-US" w:eastAsia="zh-CN"/>
        </w:rPr>
        <w:tab/>
      </w:r>
    </w:p>
    <w:p w14:paraId="313A3B2E">
      <w:pPr>
        <w:tabs>
          <w:tab w:val="left" w:pos="2991"/>
          <w:tab w:val="left" w:pos="8480"/>
        </w:tabs>
        <w:spacing w:before="88"/>
        <w:ind w:left="3346" w:leftChars="1521" w:right="0" w:firstLine="0" w:firstLineChars="0"/>
        <w:jc w:val="left"/>
        <w:rPr>
          <w:rFonts w:hint="default" w:ascii="Times New Roman" w:hAnsi="Times New Roman" w:eastAsia="Times New Roman" w:cs="Times New Roman"/>
          <w:color w:val="auto"/>
          <w:sz w:val="36"/>
          <w:szCs w:val="36"/>
          <w:lang w:val="en-US"/>
        </w:rPr>
      </w:pPr>
      <w:r>
        <w:rPr>
          <w:rFonts w:hint="default" w:ascii="Times New Roman" w:hAnsi="Times New Roman" w:eastAsia="仿宋" w:cs="Times New Roman"/>
          <w:color w:val="auto"/>
          <w:sz w:val="36"/>
          <w:szCs w:val="36"/>
          <w:u w:val="single" w:color="000000"/>
        </w:rPr>
        <w:t>长庆油田分公司</w:t>
      </w:r>
      <w:r>
        <w:rPr>
          <w:rFonts w:hint="default" w:ascii="Times New Roman" w:hAnsi="Times New Roman" w:eastAsia="仿宋" w:cs="Times New Roman"/>
          <w:color w:val="auto"/>
          <w:sz w:val="36"/>
          <w:szCs w:val="36"/>
          <w:u w:val="single" w:color="000000"/>
          <w:lang w:val="en-US" w:eastAsia="zh-CN"/>
        </w:rPr>
        <w:t xml:space="preserve">天然气评价项目部宁榆天然气评价项目组          </w:t>
      </w:r>
    </w:p>
    <w:p w14:paraId="045F6DBA">
      <w:pPr>
        <w:tabs>
          <w:tab w:val="left" w:pos="4071"/>
        </w:tabs>
        <w:spacing w:before="88"/>
        <w:ind w:left="111" w:right="0" w:firstLine="0"/>
        <w:jc w:val="left"/>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lang w:val="en-US" w:eastAsia="zh-CN"/>
        </w:rPr>
        <w:t xml:space="preserve">            202</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年</w:t>
      </w:r>
      <w:r>
        <w:rPr>
          <w:rFonts w:hint="eastAsia" w:ascii="Times New Roman" w:hAnsi="Times New Roman" w:eastAsia="仿宋" w:cs="Times New Roman"/>
          <w:color w:val="auto"/>
          <w:sz w:val="36"/>
          <w:szCs w:val="36"/>
          <w:u w:val="single"/>
          <w:lang w:val="en-US" w:eastAsia="zh-CN"/>
        </w:rPr>
        <w:t>7</w:t>
      </w:r>
      <w:r>
        <w:rPr>
          <w:rFonts w:hint="default" w:ascii="Times New Roman" w:hAnsi="Times New Roman" w:eastAsia="仿宋" w:cs="Times New Roman"/>
          <w:color w:val="auto"/>
          <w:sz w:val="36"/>
          <w:szCs w:val="36"/>
          <w:u w:val="single"/>
          <w:lang w:val="en-US" w:eastAsia="zh-CN"/>
        </w:rPr>
        <w:t xml:space="preserve">月                </w:t>
      </w:r>
    </w:p>
    <w:p w14:paraId="4DFC8E4E">
      <w:pPr>
        <w:spacing w:line="20" w:lineRule="exact"/>
        <w:ind w:left="1902" w:right="0" w:firstLine="0"/>
        <w:rPr>
          <w:rFonts w:hint="default" w:ascii="Times New Roman" w:hAnsi="Times New Roman" w:eastAsia="仿宋" w:cs="Times New Roman"/>
          <w:color w:val="auto"/>
          <w:sz w:val="2"/>
          <w:szCs w:val="2"/>
        </w:rPr>
      </w:pPr>
    </w:p>
    <w:p w14:paraId="6CC0EFBA">
      <w:pPr>
        <w:spacing w:before="0" w:line="240" w:lineRule="auto"/>
        <w:rPr>
          <w:rFonts w:hint="default" w:ascii="Times New Roman" w:hAnsi="Times New Roman" w:eastAsia="仿宋" w:cs="Times New Roman"/>
          <w:color w:val="auto"/>
          <w:sz w:val="20"/>
          <w:szCs w:val="20"/>
        </w:rPr>
      </w:pPr>
    </w:p>
    <w:p w14:paraId="482F43ED">
      <w:pPr>
        <w:spacing w:before="0" w:line="240" w:lineRule="auto"/>
        <w:rPr>
          <w:rFonts w:hint="default" w:ascii="Times New Roman" w:hAnsi="Times New Roman" w:eastAsia="仿宋" w:cs="Times New Roman"/>
          <w:color w:val="auto"/>
          <w:sz w:val="20"/>
          <w:szCs w:val="20"/>
        </w:rPr>
      </w:pPr>
    </w:p>
    <w:p w14:paraId="3627B2CD">
      <w:pPr>
        <w:spacing w:before="0" w:line="240" w:lineRule="auto"/>
        <w:rPr>
          <w:rFonts w:hint="default" w:ascii="Times New Roman" w:hAnsi="Times New Roman" w:eastAsia="仿宋" w:cs="Times New Roman"/>
          <w:color w:val="auto"/>
          <w:sz w:val="20"/>
          <w:szCs w:val="20"/>
        </w:rPr>
      </w:pPr>
    </w:p>
    <w:p w14:paraId="2E5ACC4A">
      <w:pPr>
        <w:spacing w:before="0" w:line="240" w:lineRule="auto"/>
        <w:rPr>
          <w:rFonts w:hint="default" w:ascii="Times New Roman" w:hAnsi="Times New Roman" w:eastAsia="仿宋" w:cs="Times New Roman"/>
          <w:color w:val="auto"/>
          <w:sz w:val="20"/>
          <w:szCs w:val="20"/>
        </w:rPr>
      </w:pPr>
    </w:p>
    <w:p w14:paraId="568C91A1">
      <w:pPr>
        <w:spacing w:before="0" w:line="240" w:lineRule="auto"/>
        <w:rPr>
          <w:rFonts w:hint="default" w:ascii="Times New Roman" w:hAnsi="Times New Roman" w:eastAsia="仿宋" w:cs="Times New Roman"/>
          <w:color w:val="auto"/>
          <w:sz w:val="20"/>
          <w:szCs w:val="20"/>
        </w:rPr>
      </w:pPr>
    </w:p>
    <w:p w14:paraId="64B991BA">
      <w:pPr>
        <w:pStyle w:val="7"/>
        <w:rPr>
          <w:rFonts w:hint="default" w:ascii="Times New Roman" w:hAnsi="Times New Roman" w:eastAsia="仿宋" w:cs="Times New Roman"/>
          <w:color w:val="auto"/>
          <w:sz w:val="20"/>
          <w:szCs w:val="20"/>
        </w:rPr>
      </w:pPr>
    </w:p>
    <w:p w14:paraId="5CE80098">
      <w:pPr>
        <w:pStyle w:val="9"/>
        <w:rPr>
          <w:rFonts w:hint="default"/>
          <w:color w:val="auto"/>
        </w:rPr>
      </w:pPr>
    </w:p>
    <w:p w14:paraId="25BEB849">
      <w:pPr>
        <w:jc w:val="cente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t>中华人民共和国生态环境部制</w:t>
      </w:r>
    </w:p>
    <w:p w14:paraId="411626FE">
      <w:pPr>
        <w:jc w:val="center"/>
        <w:rPr>
          <w:rFonts w:hint="default" w:ascii="Times New Roman" w:hAnsi="Times New Roman" w:eastAsia="楷体" w:cs="Times New Roman"/>
          <w:color w:val="auto"/>
          <w:sz w:val="36"/>
          <w:szCs w:val="36"/>
        </w:rPr>
      </w:pPr>
    </w:p>
    <w:p w14:paraId="32EEA328">
      <w:pPr>
        <w:jc w:val="center"/>
        <w:rPr>
          <w:rFonts w:hint="default" w:ascii="Times New Roman" w:hAnsi="Times New Roman" w:eastAsia="楷体" w:cs="Times New Roman"/>
          <w:color w:val="auto"/>
          <w:sz w:val="36"/>
          <w:szCs w:val="36"/>
        </w:rPr>
      </w:pPr>
    </w:p>
    <w:p w14:paraId="40E5327E">
      <w:pPr>
        <w:jc w:val="center"/>
        <w:rPr>
          <w:rFonts w:hint="default" w:ascii="Times New Roman" w:hAnsi="Times New Roman" w:eastAsia="楷体" w:cs="Times New Roman"/>
          <w:color w:val="auto"/>
          <w:sz w:val="36"/>
          <w:szCs w:val="36"/>
        </w:rPr>
      </w:pPr>
    </w:p>
    <w:p w14:paraId="233C9E0B">
      <w:pPr>
        <w:jc w:val="center"/>
        <w:rPr>
          <w:rFonts w:hint="default" w:ascii="Times New Roman" w:hAnsi="Times New Roman" w:eastAsia="楷体" w:cs="Times New Roman"/>
          <w:color w:val="auto"/>
          <w:sz w:val="36"/>
          <w:szCs w:val="36"/>
        </w:rPr>
      </w:pPr>
    </w:p>
    <w:p w14:paraId="37453739">
      <w:pPr>
        <w:jc w:val="center"/>
        <w:rPr>
          <w:rFonts w:hint="default" w:ascii="Times New Roman" w:hAnsi="Times New Roman" w:eastAsia="楷体" w:cs="Times New Roman"/>
          <w:color w:val="auto"/>
          <w:sz w:val="36"/>
          <w:szCs w:val="36"/>
        </w:rPr>
      </w:pPr>
    </w:p>
    <w:p w14:paraId="2ADF1D80">
      <w:pPr>
        <w:jc w:val="center"/>
        <w:rPr>
          <w:rFonts w:hint="default" w:ascii="Times New Roman" w:hAnsi="Times New Roman" w:eastAsia="楷体" w:cs="Times New Roman"/>
          <w:color w:val="auto"/>
          <w:sz w:val="36"/>
          <w:szCs w:val="36"/>
        </w:rPr>
      </w:pPr>
    </w:p>
    <w:p w14:paraId="391B40C4">
      <w:pPr>
        <w:jc w:val="center"/>
        <w:rPr>
          <w:rFonts w:hint="default" w:ascii="Times New Roman" w:hAnsi="Times New Roman" w:eastAsia="楷体" w:cs="Times New Roman"/>
          <w:color w:val="auto"/>
          <w:sz w:val="36"/>
          <w:szCs w:val="36"/>
        </w:rPr>
      </w:pPr>
    </w:p>
    <w:p w14:paraId="7BBEBE39">
      <w:pPr>
        <w:jc w:val="center"/>
        <w:rPr>
          <w:rFonts w:hint="default" w:ascii="Times New Roman" w:hAnsi="Times New Roman" w:eastAsia="楷体" w:cs="Times New Roman"/>
          <w:color w:val="auto"/>
          <w:sz w:val="36"/>
          <w:szCs w:val="36"/>
        </w:rPr>
      </w:pPr>
    </w:p>
    <w:p w14:paraId="2059A279">
      <w:pPr>
        <w:jc w:val="center"/>
        <w:rPr>
          <w:rFonts w:hint="default" w:ascii="Times New Roman" w:hAnsi="Times New Roman" w:eastAsia="楷体" w:cs="Times New Roman"/>
          <w:color w:val="auto"/>
          <w:sz w:val="36"/>
          <w:szCs w:val="36"/>
        </w:rPr>
      </w:pPr>
    </w:p>
    <w:p w14:paraId="4547D71C">
      <w:pPr>
        <w:jc w:val="center"/>
        <w:rPr>
          <w:rFonts w:hint="default" w:ascii="Times New Roman" w:hAnsi="Times New Roman" w:eastAsia="楷体" w:cs="Times New Roman"/>
          <w:color w:val="auto"/>
          <w:sz w:val="36"/>
          <w:szCs w:val="36"/>
        </w:rPr>
      </w:pPr>
    </w:p>
    <w:p w14:paraId="2F593594">
      <w:pPr>
        <w:jc w:val="center"/>
        <w:rPr>
          <w:rFonts w:hint="default" w:ascii="Times New Roman" w:hAnsi="Times New Roman" w:eastAsia="楷体" w:cs="Times New Roman"/>
          <w:color w:val="auto"/>
          <w:sz w:val="36"/>
          <w:szCs w:val="36"/>
        </w:rPr>
      </w:pPr>
    </w:p>
    <w:p w14:paraId="7A35A28F">
      <w:pPr>
        <w:jc w:val="center"/>
        <w:rPr>
          <w:rFonts w:hint="default" w:ascii="Times New Roman" w:hAnsi="Times New Roman" w:eastAsia="楷体" w:cs="Times New Roman"/>
          <w:color w:val="auto"/>
          <w:sz w:val="36"/>
          <w:szCs w:val="36"/>
        </w:rPr>
      </w:pPr>
    </w:p>
    <w:p w14:paraId="24D99642">
      <w:pPr>
        <w:jc w:val="center"/>
        <w:rPr>
          <w:rFonts w:hint="default" w:ascii="Times New Roman" w:hAnsi="Times New Roman" w:eastAsia="楷体" w:cs="Times New Roman"/>
          <w:color w:val="auto"/>
          <w:sz w:val="36"/>
          <w:szCs w:val="36"/>
        </w:rPr>
      </w:pPr>
    </w:p>
    <w:p w14:paraId="334FC283">
      <w:pPr>
        <w:jc w:val="center"/>
        <w:rPr>
          <w:rFonts w:hint="default" w:ascii="Times New Roman" w:hAnsi="Times New Roman" w:eastAsia="楷体" w:cs="Times New Roman"/>
          <w:color w:val="auto"/>
          <w:sz w:val="36"/>
          <w:szCs w:val="36"/>
        </w:rPr>
      </w:pPr>
    </w:p>
    <w:p w14:paraId="2C7D1952">
      <w:pPr>
        <w:jc w:val="center"/>
        <w:rPr>
          <w:rFonts w:hint="default" w:ascii="Times New Roman" w:hAnsi="Times New Roman" w:eastAsia="楷体" w:cs="Times New Roman"/>
          <w:color w:val="auto"/>
          <w:sz w:val="36"/>
          <w:szCs w:val="36"/>
        </w:rPr>
      </w:pPr>
    </w:p>
    <w:p w14:paraId="4B17EC57">
      <w:pPr>
        <w:jc w:val="center"/>
        <w:rPr>
          <w:rFonts w:hint="default" w:ascii="Times New Roman" w:hAnsi="Times New Roman" w:eastAsia="楷体" w:cs="Times New Roman"/>
          <w:color w:val="auto"/>
          <w:sz w:val="36"/>
          <w:szCs w:val="36"/>
        </w:rPr>
      </w:pPr>
    </w:p>
    <w:p w14:paraId="64FB5D99">
      <w:pPr>
        <w:jc w:val="center"/>
        <w:rPr>
          <w:rFonts w:hint="default" w:ascii="Times New Roman" w:hAnsi="Times New Roman" w:eastAsia="楷体" w:cs="Times New Roman"/>
          <w:color w:val="auto"/>
          <w:sz w:val="36"/>
          <w:szCs w:val="36"/>
        </w:rPr>
      </w:pPr>
    </w:p>
    <w:p w14:paraId="73F8529D">
      <w:pPr>
        <w:jc w:val="center"/>
        <w:rPr>
          <w:rFonts w:hint="default" w:ascii="Times New Roman" w:hAnsi="Times New Roman" w:eastAsia="楷体" w:cs="Times New Roman"/>
          <w:color w:val="auto"/>
          <w:sz w:val="36"/>
          <w:szCs w:val="36"/>
        </w:rPr>
      </w:pPr>
    </w:p>
    <w:p w14:paraId="705233A3">
      <w:pPr>
        <w:jc w:val="center"/>
        <w:rPr>
          <w:rFonts w:hint="default" w:ascii="Times New Roman" w:hAnsi="Times New Roman" w:eastAsia="楷体" w:cs="Times New Roman"/>
          <w:color w:val="auto"/>
          <w:sz w:val="36"/>
          <w:szCs w:val="36"/>
        </w:rPr>
      </w:pPr>
    </w:p>
    <w:p w14:paraId="6FB944FE">
      <w:pPr>
        <w:jc w:val="center"/>
        <w:rPr>
          <w:rFonts w:hint="default" w:ascii="Times New Roman" w:hAnsi="Times New Roman" w:eastAsia="楷体" w:cs="Times New Roman"/>
          <w:color w:val="auto"/>
          <w:sz w:val="36"/>
          <w:szCs w:val="36"/>
        </w:rPr>
      </w:pPr>
    </w:p>
    <w:p w14:paraId="67FD577B">
      <w:pPr>
        <w:jc w:val="both"/>
        <w:rPr>
          <w:rFonts w:hint="default" w:ascii="Times New Roman" w:hAnsi="Times New Roman" w:eastAsia="楷体" w:cs="Times New Roman"/>
          <w:color w:val="auto"/>
          <w:sz w:val="36"/>
          <w:szCs w:val="36"/>
        </w:rPr>
      </w:pPr>
    </w:p>
    <w:p w14:paraId="7101DAF2">
      <w:pPr>
        <w:jc w:val="center"/>
        <w:rPr>
          <w:rFonts w:hint="default" w:ascii="Times New Roman" w:hAnsi="Times New Roman" w:eastAsia="楷体" w:cs="Times New Roman"/>
          <w:color w:val="auto"/>
          <w:sz w:val="36"/>
          <w:szCs w:val="36"/>
        </w:rPr>
      </w:pPr>
    </w:p>
    <w:p w14:paraId="3EC362D8">
      <w:pPr>
        <w:jc w:val="center"/>
        <w:rPr>
          <w:rFonts w:hint="default" w:ascii="Times New Roman" w:hAnsi="Times New Roman" w:eastAsia="黑体" w:cs="Times New Roman"/>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7AA3784F">
      <w:pPr>
        <w:jc w:val="center"/>
        <w:outlineLvl w:val="0"/>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一、建设项目基本情况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291"/>
        <w:gridCol w:w="2373"/>
        <w:gridCol w:w="3292"/>
      </w:tblGrid>
      <w:tr w14:paraId="06C3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7862A40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建设项目名称</w:t>
            </w:r>
          </w:p>
        </w:tc>
        <w:tc>
          <w:tcPr>
            <w:tcW w:w="4282" w:type="pct"/>
            <w:gridSpan w:val="3"/>
            <w:vAlign w:val="center"/>
          </w:tcPr>
          <w:p w14:paraId="19D2868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宁榆天然气评价项目组</w:t>
            </w:r>
            <w:r>
              <w:rPr>
                <w:rFonts w:hint="eastAsia" w:ascii="Times New Roman" w:hAnsi="Times New Roman" w:eastAsia="宋体" w:cs="Times New Roman"/>
                <w:color w:val="auto"/>
                <w:sz w:val="21"/>
                <w:szCs w:val="21"/>
                <w:vertAlign w:val="baseline"/>
                <w:lang w:val="en-US" w:eastAsia="zh-CN"/>
              </w:rPr>
              <w:t>米107-2M评价</w:t>
            </w:r>
            <w:r>
              <w:rPr>
                <w:rFonts w:hint="default" w:ascii="Times New Roman" w:hAnsi="Times New Roman" w:eastAsia="宋体" w:cs="Times New Roman"/>
                <w:color w:val="auto"/>
                <w:sz w:val="21"/>
                <w:szCs w:val="21"/>
                <w:vertAlign w:val="baseline"/>
                <w:lang w:val="en-US" w:eastAsia="zh-CN"/>
              </w:rPr>
              <w:t>井建设项目</w:t>
            </w:r>
          </w:p>
        </w:tc>
      </w:tr>
      <w:tr w14:paraId="6492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7CB24F06">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项目代码</w:t>
            </w:r>
          </w:p>
        </w:tc>
        <w:tc>
          <w:tcPr>
            <w:tcW w:w="4282" w:type="pct"/>
            <w:gridSpan w:val="3"/>
            <w:vAlign w:val="center"/>
          </w:tcPr>
          <w:p w14:paraId="27DA07F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0B6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FA51D53">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建设单位联系人</w:t>
            </w:r>
          </w:p>
        </w:tc>
        <w:tc>
          <w:tcPr>
            <w:tcW w:w="1233" w:type="pct"/>
            <w:vAlign w:val="center"/>
          </w:tcPr>
          <w:p w14:paraId="30B1408F">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宋斌</w:t>
            </w:r>
          </w:p>
        </w:tc>
        <w:tc>
          <w:tcPr>
            <w:tcW w:w="1277" w:type="pct"/>
            <w:vAlign w:val="center"/>
          </w:tcPr>
          <w:p w14:paraId="3AB7E46B">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联系方式</w:t>
            </w:r>
          </w:p>
        </w:tc>
        <w:tc>
          <w:tcPr>
            <w:tcW w:w="1771" w:type="pct"/>
            <w:vAlign w:val="center"/>
          </w:tcPr>
          <w:p w14:paraId="633A9A9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13629575890</w:t>
            </w:r>
          </w:p>
        </w:tc>
      </w:tr>
      <w:tr w14:paraId="0C90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3BD6A4F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建设地点</w:t>
            </w:r>
          </w:p>
        </w:tc>
        <w:tc>
          <w:tcPr>
            <w:tcW w:w="4282" w:type="pct"/>
            <w:gridSpan w:val="3"/>
            <w:vAlign w:val="center"/>
          </w:tcPr>
          <w:p w14:paraId="7071444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陕西省榆林市</w:t>
            </w:r>
            <w:r>
              <w:rPr>
                <w:rFonts w:hint="eastAsia" w:ascii="Times New Roman" w:hAnsi="Times New Roman" w:eastAsia="宋体" w:cs="Times New Roman"/>
                <w:color w:val="auto"/>
                <w:sz w:val="21"/>
                <w:szCs w:val="21"/>
                <w:u w:val="none"/>
                <w:vertAlign w:val="baseline"/>
                <w:lang w:val="en-US" w:eastAsia="zh-CN"/>
              </w:rPr>
              <w:t>佳县王家砭镇张家沟村</w:t>
            </w:r>
          </w:p>
        </w:tc>
      </w:tr>
      <w:tr w14:paraId="6E24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52A3FD8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地理坐标</w:t>
            </w:r>
          </w:p>
        </w:tc>
        <w:tc>
          <w:tcPr>
            <w:tcW w:w="4282" w:type="pct"/>
            <w:gridSpan w:val="3"/>
            <w:vAlign w:val="center"/>
          </w:tcPr>
          <w:p w14:paraId="00925B1F">
            <w:pPr>
              <w:jc w:val="center"/>
              <w:rPr>
                <w:rFonts w:hint="default"/>
                <w:color w:val="auto"/>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东经：110°16'9.993"，北纬：38°11'13.137"</w:t>
            </w:r>
          </w:p>
        </w:tc>
      </w:tr>
      <w:tr w14:paraId="4ABC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77E1942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建设项目类别</w:t>
            </w:r>
          </w:p>
        </w:tc>
        <w:tc>
          <w:tcPr>
            <w:tcW w:w="1233" w:type="pct"/>
            <w:vAlign w:val="top"/>
          </w:tcPr>
          <w:p w14:paraId="4FA1CE6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四十六、专业技术服务</w:t>
            </w:r>
            <w:r>
              <w:rPr>
                <w:rFonts w:hint="eastAsia" w:ascii="Times New Roman" w:hAnsi="Times New Roman" w:eastAsia="宋体" w:cs="Times New Roman"/>
                <w:color w:val="auto"/>
                <w:sz w:val="21"/>
                <w:szCs w:val="21"/>
                <w:vertAlign w:val="baseline"/>
                <w:lang w:val="en-US" w:eastAsia="zh-CN"/>
              </w:rPr>
              <w:t>业</w:t>
            </w:r>
            <w:r>
              <w:rPr>
                <w:rFonts w:hint="default" w:ascii="Times New Roman" w:hAnsi="Times New Roman" w:eastAsia="宋体" w:cs="Times New Roman"/>
                <w:color w:val="auto"/>
                <w:sz w:val="21"/>
                <w:szCs w:val="21"/>
                <w:vertAlign w:val="baseline"/>
                <w:lang w:val="en-US" w:eastAsia="zh-CN"/>
              </w:rPr>
              <w:t>-99、陆地矿产资源地质勘察（含油气资源勘探）-全部</w:t>
            </w:r>
          </w:p>
        </w:tc>
        <w:tc>
          <w:tcPr>
            <w:tcW w:w="1277" w:type="pct"/>
            <w:vAlign w:val="center"/>
          </w:tcPr>
          <w:p w14:paraId="14F2097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用地（用海）面积（m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）/长度（km）</w:t>
            </w:r>
          </w:p>
        </w:tc>
        <w:tc>
          <w:tcPr>
            <w:tcW w:w="1771" w:type="pct"/>
            <w:vAlign w:val="center"/>
          </w:tcPr>
          <w:p w14:paraId="094EF28A">
            <w:pPr>
              <w:jc w:val="center"/>
              <w:rPr>
                <w:rFonts w:hint="default"/>
                <w:color w:val="auto"/>
                <w:vertAlign w:val="baseline"/>
                <w:lang w:val="en-US" w:eastAsia="zh-CN"/>
              </w:rPr>
            </w:pPr>
            <w:r>
              <w:rPr>
                <w:rFonts w:hint="eastAsia" w:ascii="Times New Roman" w:hAnsi="Times New Roman" w:eastAsia="宋体" w:cs="Times New Roman"/>
                <w:color w:val="auto"/>
                <w:sz w:val="21"/>
                <w:szCs w:val="21"/>
                <w:vertAlign w:val="baseline"/>
                <w:lang w:val="en-US" w:eastAsia="zh-CN"/>
              </w:rPr>
              <w:t>14348</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（临时</w:t>
            </w:r>
            <w:bookmarkStart w:id="1" w:name="_GoBack"/>
            <w:bookmarkEnd w:id="1"/>
            <w:r>
              <w:rPr>
                <w:rFonts w:hint="eastAsia" w:ascii="Times New Roman" w:hAnsi="Times New Roman" w:eastAsia="宋体" w:cs="Times New Roman"/>
                <w:color w:val="auto"/>
                <w:sz w:val="21"/>
                <w:szCs w:val="21"/>
                <w:vertAlign w:val="baseline"/>
                <w:lang w:val="en-US" w:eastAsia="zh-CN"/>
              </w:rPr>
              <w:t>用地）</w:t>
            </w:r>
          </w:p>
        </w:tc>
      </w:tr>
      <w:tr w14:paraId="7EDC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34DE4CF6">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建设性质</w:t>
            </w:r>
          </w:p>
        </w:tc>
        <w:tc>
          <w:tcPr>
            <w:tcW w:w="1233" w:type="pct"/>
            <w:vAlign w:val="center"/>
          </w:tcPr>
          <w:p w14:paraId="2C638C02">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新建（迁建）</w:t>
            </w:r>
          </w:p>
          <w:p w14:paraId="2FFDFA02">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改建</w:t>
            </w:r>
          </w:p>
          <w:p w14:paraId="1CA9B6A9">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扩建</w:t>
            </w:r>
          </w:p>
          <w:p w14:paraId="07D7BEF9">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技术改造</w:t>
            </w:r>
          </w:p>
        </w:tc>
        <w:tc>
          <w:tcPr>
            <w:tcW w:w="1277" w:type="pct"/>
            <w:vAlign w:val="center"/>
          </w:tcPr>
          <w:p w14:paraId="65F37DF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w:t>
            </w:r>
          </w:p>
          <w:p w14:paraId="148DC84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申报情形</w:t>
            </w:r>
          </w:p>
        </w:tc>
        <w:tc>
          <w:tcPr>
            <w:tcW w:w="1771" w:type="pct"/>
            <w:vAlign w:val="top"/>
          </w:tcPr>
          <w:p w14:paraId="2D350D04">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首次申报项目</w:t>
            </w:r>
          </w:p>
          <w:p w14:paraId="2FE3541B">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不予批准后再次申报项目</w:t>
            </w:r>
          </w:p>
          <w:p w14:paraId="31FDD214">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超过五年重新审核项目</w:t>
            </w:r>
          </w:p>
          <w:p w14:paraId="16EA6CC9">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重大变动重新报批项目</w:t>
            </w:r>
          </w:p>
        </w:tc>
      </w:tr>
      <w:tr w14:paraId="4FEE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Align w:val="center"/>
          </w:tcPr>
          <w:p w14:paraId="63ADF10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项目审批（核准/备案）部门（选填）</w:t>
            </w:r>
          </w:p>
        </w:tc>
        <w:tc>
          <w:tcPr>
            <w:tcW w:w="1233" w:type="pct"/>
            <w:vAlign w:val="center"/>
          </w:tcPr>
          <w:p w14:paraId="3F5904F3">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77" w:type="pct"/>
            <w:vAlign w:val="center"/>
          </w:tcPr>
          <w:p w14:paraId="12807E5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项目审批（核准/备案）文号（选填）</w:t>
            </w:r>
          </w:p>
        </w:tc>
        <w:tc>
          <w:tcPr>
            <w:tcW w:w="1771" w:type="pct"/>
            <w:vAlign w:val="center"/>
          </w:tcPr>
          <w:p w14:paraId="3FE2E11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802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3AFF51E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总投资（万元）</w:t>
            </w:r>
          </w:p>
        </w:tc>
        <w:tc>
          <w:tcPr>
            <w:tcW w:w="1233" w:type="pct"/>
            <w:vAlign w:val="center"/>
          </w:tcPr>
          <w:p w14:paraId="21DF938C">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500</w:t>
            </w:r>
          </w:p>
        </w:tc>
        <w:tc>
          <w:tcPr>
            <w:tcW w:w="1277" w:type="pct"/>
            <w:vAlign w:val="center"/>
          </w:tcPr>
          <w:p w14:paraId="7D6DB2B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环保投资（万元）</w:t>
            </w:r>
          </w:p>
        </w:tc>
        <w:tc>
          <w:tcPr>
            <w:tcW w:w="1771" w:type="pct"/>
            <w:vAlign w:val="center"/>
          </w:tcPr>
          <w:p w14:paraId="3C94FEC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47.3</w:t>
            </w:r>
          </w:p>
        </w:tc>
      </w:tr>
      <w:tr w14:paraId="2F91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0DE2946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环保投资占比（%）</w:t>
            </w:r>
          </w:p>
        </w:tc>
        <w:tc>
          <w:tcPr>
            <w:tcW w:w="1233" w:type="pct"/>
            <w:vAlign w:val="center"/>
          </w:tcPr>
          <w:p w14:paraId="38583065">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9.5</w:t>
            </w:r>
          </w:p>
        </w:tc>
        <w:tc>
          <w:tcPr>
            <w:tcW w:w="1277" w:type="pct"/>
            <w:vAlign w:val="center"/>
          </w:tcPr>
          <w:p w14:paraId="46F620A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施工工期</w:t>
            </w:r>
          </w:p>
        </w:tc>
        <w:tc>
          <w:tcPr>
            <w:tcW w:w="1771" w:type="pct"/>
            <w:vAlign w:val="center"/>
          </w:tcPr>
          <w:p w14:paraId="464E63B2">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w:t>
            </w:r>
            <w:r>
              <w:rPr>
                <w:rFonts w:hint="default" w:ascii="Times New Roman" w:hAnsi="Times New Roman" w:eastAsia="宋体" w:cs="Times New Roman"/>
                <w:color w:val="auto"/>
                <w:sz w:val="21"/>
                <w:szCs w:val="21"/>
                <w:vertAlign w:val="baseline"/>
                <w:lang w:val="en-US" w:eastAsia="zh-CN"/>
              </w:rPr>
              <w:t>天</w:t>
            </w:r>
          </w:p>
        </w:tc>
      </w:tr>
      <w:tr w14:paraId="0C23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top"/>
          </w:tcPr>
          <w:p w14:paraId="1CDA22E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是否开工建设</w:t>
            </w:r>
          </w:p>
        </w:tc>
        <w:tc>
          <w:tcPr>
            <w:tcW w:w="4282" w:type="pct"/>
            <w:gridSpan w:val="3"/>
            <w:vAlign w:val="top"/>
          </w:tcPr>
          <w:p w14:paraId="2B4E4456">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否</w:t>
            </w:r>
          </w:p>
          <w:p w14:paraId="6078CF46">
            <w:pPr>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是：</w:t>
            </w:r>
            <w:r>
              <w:rPr>
                <w:rFonts w:hint="default" w:ascii="Times New Roman" w:hAnsi="Times New Roman" w:eastAsia="宋体" w:cs="Times New Roman"/>
                <w:color w:val="auto"/>
                <w:sz w:val="21"/>
                <w:szCs w:val="21"/>
                <w:u w:val="single"/>
                <w:vertAlign w:val="baseline"/>
                <w:lang w:val="en-US" w:eastAsia="zh-CN"/>
              </w:rPr>
              <w:t xml:space="preserve">                          </w:t>
            </w:r>
          </w:p>
        </w:tc>
      </w:tr>
      <w:tr w14:paraId="3065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4BA6C2C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专项评价设置情况</w:t>
            </w:r>
          </w:p>
        </w:tc>
        <w:tc>
          <w:tcPr>
            <w:tcW w:w="4282" w:type="pct"/>
            <w:gridSpan w:val="3"/>
            <w:vAlign w:val="top"/>
          </w:tcPr>
          <w:p w14:paraId="77343165">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表1-1  专项评价设置情况表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3594"/>
              <w:gridCol w:w="2181"/>
              <w:gridCol w:w="780"/>
            </w:tblGrid>
            <w:tr w14:paraId="5D8B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ADBA1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专项评价的类别</w:t>
                  </w:r>
                </w:p>
              </w:tc>
              <w:tc>
                <w:tcPr>
                  <w:tcW w:w="2325" w:type="pct"/>
                  <w:vAlign w:val="center"/>
                </w:tcPr>
                <w:p w14:paraId="544A1D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涉及项目类别</w:t>
                  </w:r>
                </w:p>
              </w:tc>
              <w:tc>
                <w:tcPr>
                  <w:tcW w:w="1411" w:type="pct"/>
                  <w:vAlign w:val="center"/>
                </w:tcPr>
                <w:p w14:paraId="70A382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w:t>
                  </w:r>
                </w:p>
              </w:tc>
              <w:tc>
                <w:tcPr>
                  <w:tcW w:w="504" w:type="pct"/>
                  <w:vAlign w:val="center"/>
                </w:tcPr>
                <w:p w14:paraId="5D3D5D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是否设置</w:t>
                  </w:r>
                </w:p>
              </w:tc>
            </w:tr>
            <w:tr w14:paraId="2A47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3626E8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地表水</w:t>
                  </w:r>
                </w:p>
              </w:tc>
              <w:tc>
                <w:tcPr>
                  <w:tcW w:w="2325" w:type="pct"/>
                  <w:vAlign w:val="center"/>
                </w:tcPr>
                <w:p w14:paraId="0FFC6FB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水利发电：引水式发电、涉及调峰发电的项目；</w:t>
                  </w:r>
                </w:p>
                <w:p w14:paraId="52ED0F4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人工湖、人工湿地：全部；</w:t>
                  </w:r>
                </w:p>
                <w:p w14:paraId="53E357A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水库：全部；</w:t>
                  </w:r>
                </w:p>
                <w:p w14:paraId="502CE62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引水工程：全部（配套的管线工程等除外）；</w:t>
                  </w:r>
                </w:p>
                <w:p w14:paraId="1BBD716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防洪除涝工程：包含水库的项目</w:t>
                  </w:r>
                </w:p>
                <w:p w14:paraId="112F40F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河湖整治：涉及清淤且底泥存在重金属污染的项目</w:t>
                  </w:r>
                </w:p>
              </w:tc>
              <w:tc>
                <w:tcPr>
                  <w:tcW w:w="1411" w:type="pct"/>
                  <w:vAlign w:val="center"/>
                </w:tcPr>
                <w:p w14:paraId="6F76600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井工程，不需开展地表水专项评价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576769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690E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1B0A7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地下水</w:t>
                  </w:r>
                </w:p>
              </w:tc>
              <w:tc>
                <w:tcPr>
                  <w:tcW w:w="2325" w:type="pct"/>
                  <w:vAlign w:val="center"/>
                </w:tcPr>
                <w:p w14:paraId="55099EA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陆地石油和天然气开采：全部；</w:t>
                  </w:r>
                </w:p>
                <w:p w14:paraId="4856DF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地下水（含矿泉水）开采：全部；</w:t>
                  </w:r>
                </w:p>
                <w:p w14:paraId="19259BA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水利、水电、交通等：含穿越可溶岩地层隧道的项目</w:t>
                  </w:r>
                </w:p>
              </w:tc>
              <w:tc>
                <w:tcPr>
                  <w:tcW w:w="1411" w:type="pct"/>
                  <w:vAlign w:val="center"/>
                </w:tcPr>
                <w:p w14:paraId="35CAEA0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井工程，不属于天然气开采，无需开展地下水专项评价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08B6F4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3513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B6B12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生态</w:t>
                  </w:r>
                </w:p>
              </w:tc>
              <w:tc>
                <w:tcPr>
                  <w:tcW w:w="2325" w:type="pct"/>
                  <w:vAlign w:val="center"/>
                </w:tcPr>
                <w:p w14:paraId="033E41E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涉及环境敏感区（不包括饮用水水源保护区，以居住、医疗卫生、文化教育、科研、行政办公为主要功能的区域，以及文物保护单位）的项目</w:t>
                  </w:r>
                </w:p>
              </w:tc>
              <w:tc>
                <w:tcPr>
                  <w:tcW w:w="1411" w:type="pct"/>
                  <w:vAlign w:val="center"/>
                </w:tcPr>
                <w:p w14:paraId="6866401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井工程，《建设项目环境影响评价分类管理名录》中针对该类项目无“敏感区”要求，同时本项目环境影响范围无以居住、医疗卫生、文化教育、科研、行政办公为主要功能的区域，以及文物保护单位）</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5256EB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74D7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EAC0D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大气</w:t>
                  </w:r>
                </w:p>
              </w:tc>
              <w:tc>
                <w:tcPr>
                  <w:tcW w:w="2325" w:type="pct"/>
                  <w:vAlign w:val="center"/>
                </w:tcPr>
                <w:p w14:paraId="7AA8B08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油气、液体化工码头：全部；</w:t>
                  </w:r>
                </w:p>
                <w:p w14:paraId="7AF79EE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干散货（含煤炭、矿石）、件杂、多用途、通用码头：涉及粉尘、挥发性有机物排放的项目</w:t>
                  </w:r>
                </w:p>
              </w:tc>
              <w:tc>
                <w:tcPr>
                  <w:tcW w:w="1411" w:type="pct"/>
                  <w:vAlign w:val="center"/>
                </w:tcPr>
                <w:p w14:paraId="5E7A7AA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井工程，不需开展</w:t>
                  </w:r>
                  <w:r>
                    <w:rPr>
                      <w:rFonts w:hint="eastAsia" w:ascii="Times New Roman" w:hAnsi="Times New Roman" w:cs="Times New Roman" w:eastAsiaTheme="minorEastAsia"/>
                      <w:color w:val="auto"/>
                      <w:sz w:val="21"/>
                      <w:szCs w:val="21"/>
                      <w:vertAlign w:val="baseline"/>
                      <w:lang w:val="en-US" w:eastAsia="zh-CN"/>
                    </w:rPr>
                    <w:t>大气</w:t>
                  </w:r>
                  <w:r>
                    <w:rPr>
                      <w:rFonts w:hint="default" w:ascii="Times New Roman" w:hAnsi="Times New Roman" w:cs="Times New Roman" w:eastAsiaTheme="minorEastAsia"/>
                      <w:color w:val="auto"/>
                      <w:sz w:val="21"/>
                      <w:szCs w:val="21"/>
                      <w:vertAlign w:val="baseline"/>
                      <w:lang w:val="en-US" w:eastAsia="zh-CN"/>
                    </w:rPr>
                    <w:t>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495970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否</w:t>
                  </w:r>
                </w:p>
              </w:tc>
            </w:tr>
            <w:tr w14:paraId="5652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7905E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噪声</w:t>
                  </w:r>
                </w:p>
              </w:tc>
              <w:tc>
                <w:tcPr>
                  <w:tcW w:w="2325" w:type="pct"/>
                  <w:vAlign w:val="center"/>
                </w:tcPr>
                <w:p w14:paraId="75C8435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公路、铁路、机场等交通运输业涉及环境敏感区（以居住、医疗卫生、文化教育、科研、行政办公为主要功能的区域）的项目；</w:t>
                  </w:r>
                </w:p>
                <w:p w14:paraId="1D01CBF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城市道路（不含维护，不含支路、人行天桥、人行地道）：全部</w:t>
                  </w:r>
                </w:p>
              </w:tc>
              <w:tc>
                <w:tcPr>
                  <w:tcW w:w="1411" w:type="pct"/>
                  <w:vAlign w:val="center"/>
                </w:tcPr>
                <w:p w14:paraId="579EED1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井工程，不需开展噪声专项评价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7F0B36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0583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064CD0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环境风险</w:t>
                  </w:r>
                </w:p>
              </w:tc>
              <w:tc>
                <w:tcPr>
                  <w:tcW w:w="2325" w:type="pct"/>
                  <w:vAlign w:val="center"/>
                </w:tcPr>
                <w:p w14:paraId="54C8FB1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石油和天然气开采：全部；</w:t>
                  </w:r>
                </w:p>
                <w:p w14:paraId="257FC6C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油气、液体化工码头：全部；</w:t>
                  </w:r>
                </w:p>
                <w:p w14:paraId="73F3A81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原油、成品油、天然气管线（不含城镇天然气管线、企业厂区内管线），危险化学品输送管线（不含企业厂区内管线）：全部</w:t>
                  </w:r>
                </w:p>
              </w:tc>
              <w:tc>
                <w:tcPr>
                  <w:tcW w:w="1411" w:type="pct"/>
                  <w:vAlign w:val="center"/>
                </w:tcPr>
                <w:p w14:paraId="55ABE6E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井工程，不属于天然气开采，无需开展环境风险专项评价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1E7D21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bl>
          <w:p w14:paraId="40D93E76">
            <w:pPr>
              <w:jc w:val="both"/>
              <w:rPr>
                <w:rFonts w:hint="default" w:ascii="Times New Roman" w:hAnsi="Times New Roman" w:eastAsia="宋体" w:cs="Times New Roman"/>
                <w:color w:val="auto"/>
                <w:sz w:val="21"/>
                <w:szCs w:val="21"/>
                <w:vertAlign w:val="baseline"/>
                <w:lang w:val="en-US" w:eastAsia="zh-CN"/>
              </w:rPr>
            </w:pPr>
          </w:p>
        </w:tc>
      </w:tr>
      <w:tr w14:paraId="329F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3413B48B">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规划情况</w:t>
            </w:r>
          </w:p>
        </w:tc>
        <w:tc>
          <w:tcPr>
            <w:tcW w:w="4282" w:type="pct"/>
            <w:gridSpan w:val="3"/>
            <w:vAlign w:val="center"/>
          </w:tcPr>
          <w:p w14:paraId="52BF4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1、《陕西省矿产资源总体规划（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w:t>
            </w:r>
          </w:p>
          <w:p w14:paraId="4014648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审批情况：陕西省自然资源厅、陕西省发展和改革委员会关于印发《陕西省矿产资源总体规划（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年）》的通知（陕自然资发〔2022〕</w:t>
            </w:r>
            <w:r>
              <w:rPr>
                <w:rFonts w:hint="default" w:ascii="Times New Roman" w:hAnsi="Times New Roman" w:eastAsia="宋体" w:cs="Times New Roman"/>
                <w:color w:val="auto"/>
                <w:kern w:val="0"/>
                <w:sz w:val="24"/>
                <w:szCs w:val="24"/>
                <w:lang w:val="en-US" w:eastAsia="zh-CN" w:bidi="ar"/>
              </w:rPr>
              <w:t>40</w:t>
            </w:r>
            <w:r>
              <w:rPr>
                <w:rFonts w:hint="eastAsia" w:ascii="Times New Roman" w:hAnsi="Times New Roman" w:eastAsia="宋体" w:cs="Times New Roman"/>
                <w:color w:val="auto"/>
                <w:kern w:val="0"/>
                <w:sz w:val="24"/>
                <w:szCs w:val="24"/>
                <w:lang w:val="en-US" w:eastAsia="zh-CN" w:bidi="ar"/>
              </w:rPr>
              <w:t>号）</w:t>
            </w:r>
          </w:p>
          <w:p w14:paraId="3C2E3635">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《榆林市矿产资源总体规划（2021-2025年）》</w:t>
            </w:r>
          </w:p>
          <w:p w14:paraId="5EC7EE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审批情况：榆林市人民政府办公室关于印发《榆林市矿产资源总体规划（2021-2025年）》的通知榆政发〔2023〕1号</w:t>
            </w:r>
          </w:p>
          <w:p w14:paraId="10D921A0">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w:t>
            </w:r>
          </w:p>
          <w:p w14:paraId="3A2451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4"/>
                <w:szCs w:val="24"/>
                <w:lang w:val="en-US" w:eastAsia="zh-CN" w:bidi="ar"/>
              </w:rPr>
              <w:t>审批情况：佳县人民政府办公室关于印发《</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》的通知；2023年4月</w:t>
            </w:r>
          </w:p>
        </w:tc>
      </w:tr>
      <w:tr w14:paraId="2EDE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45647DB">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规划环境影响评价情况</w:t>
            </w:r>
          </w:p>
        </w:tc>
        <w:tc>
          <w:tcPr>
            <w:tcW w:w="4282" w:type="pct"/>
            <w:gridSpan w:val="3"/>
            <w:vAlign w:val="center"/>
          </w:tcPr>
          <w:p w14:paraId="59BFE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年）环境影响报告书</w:t>
            </w:r>
          </w:p>
          <w:p w14:paraId="349269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审批情况：关于《陕西省矿产资源总体规划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环境影响报告书》的审查意见（环审〔2022〕</w:t>
            </w:r>
            <w:r>
              <w:rPr>
                <w:rFonts w:hint="default" w:ascii="Times New Roman" w:hAnsi="Times New Roman" w:eastAsia="宋体" w:cs="Times New Roman"/>
                <w:color w:val="auto"/>
                <w:kern w:val="0"/>
                <w:sz w:val="24"/>
                <w:szCs w:val="24"/>
                <w:lang w:val="en-US" w:eastAsia="zh-CN" w:bidi="ar"/>
              </w:rPr>
              <w:t>123</w:t>
            </w:r>
            <w:r>
              <w:rPr>
                <w:rFonts w:hint="eastAsia" w:ascii="Times New Roman" w:hAnsi="Times New Roman" w:eastAsia="宋体" w:cs="Times New Roman"/>
                <w:color w:val="auto"/>
                <w:kern w:val="0"/>
                <w:sz w:val="24"/>
                <w:szCs w:val="24"/>
                <w:lang w:val="en-US" w:eastAsia="zh-CN" w:bidi="ar"/>
              </w:rPr>
              <w:t>号）</w:t>
            </w:r>
          </w:p>
          <w:p w14:paraId="1F7A6EF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注：《榆林市矿产资源总体规划（2021-2025年）》、《</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》未开展规划环评</w:t>
            </w:r>
          </w:p>
        </w:tc>
      </w:tr>
      <w:tr w14:paraId="63DA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1C7784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规划及规划环境影响评价符合性分析</w:t>
            </w:r>
          </w:p>
        </w:tc>
        <w:tc>
          <w:tcPr>
            <w:tcW w:w="4282" w:type="pct"/>
            <w:gridSpan w:val="3"/>
            <w:vAlign w:val="center"/>
          </w:tcPr>
          <w:p w14:paraId="0C358672">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4"/>
                <w:szCs w:val="24"/>
                <w:lang w:val="en-US" w:eastAsia="zh-CN" w:bidi="ar"/>
              </w:rPr>
              <w:t>项目与陕西省矿产资源总体规划及规划环评相符性分析见下表：</w:t>
            </w:r>
          </w:p>
          <w:p w14:paraId="50AF27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 xml:space="preserve">1-2  </w:t>
            </w:r>
            <w:r>
              <w:rPr>
                <w:rFonts w:hint="eastAsia" w:ascii="Times New Roman" w:hAnsi="Times New Roman" w:eastAsia="宋体" w:cs="Times New Roman"/>
                <w:b/>
                <w:bCs/>
                <w:color w:val="auto"/>
                <w:kern w:val="0"/>
                <w:sz w:val="21"/>
                <w:szCs w:val="21"/>
                <w:lang w:val="en-US" w:eastAsia="zh-CN" w:bidi="ar"/>
              </w:rPr>
              <w:t>项目与规划及规划环评符合性分析一览表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3327"/>
              <w:gridCol w:w="1975"/>
              <w:gridCol w:w="835"/>
            </w:tblGrid>
            <w:tr w14:paraId="1461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Borders>
                    <w:top w:val="single" w:color="auto" w:sz="4" w:space="0"/>
                    <w:left w:val="single" w:color="auto" w:sz="4" w:space="0"/>
                    <w:bottom w:val="single" w:color="auto" w:sz="4" w:space="0"/>
                    <w:right w:val="single" w:color="auto" w:sz="4" w:space="0"/>
                  </w:tcBorders>
                  <w:noWrap w:val="0"/>
                  <w:vAlign w:val="center"/>
                </w:tcPr>
                <w:p w14:paraId="6129794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文件名称</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F2463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规划及规划环评相关要求</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6C41A8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本项目情况</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877F9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符合性</w:t>
                  </w:r>
                </w:p>
              </w:tc>
            </w:tr>
            <w:tr w14:paraId="3B19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restart"/>
                  <w:tcBorders>
                    <w:top w:val="single" w:color="auto" w:sz="4" w:space="0"/>
                    <w:left w:val="single" w:color="auto" w:sz="4" w:space="0"/>
                    <w:bottom w:val="single" w:color="auto" w:sz="4" w:space="0"/>
                    <w:right w:val="single" w:color="auto" w:sz="4" w:space="0"/>
                  </w:tcBorders>
                  <w:noWrap w:val="0"/>
                  <w:vAlign w:val="center"/>
                </w:tcPr>
                <w:p w14:paraId="12089B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36B1F3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推动陕北能源转型升级发展。在鄂尔多斯盆地煤油气盐赋存区，加强石油、天然气、页岩气、煤层气等能源矿产的调查评价，加大石油、天然气勘探力度，稳步提高油气产能</w:t>
                  </w:r>
                </w:p>
              </w:tc>
              <w:tc>
                <w:tcPr>
                  <w:tcW w:w="1277" w:type="pct"/>
                  <w:vMerge w:val="restart"/>
                  <w:tcBorders>
                    <w:top w:val="single" w:color="auto" w:sz="4" w:space="0"/>
                    <w:left w:val="single" w:color="auto" w:sz="4" w:space="0"/>
                    <w:bottom w:val="single" w:color="auto" w:sz="4" w:space="0"/>
                    <w:right w:val="single" w:color="auto" w:sz="4" w:space="0"/>
                  </w:tcBorders>
                  <w:noWrap w:val="0"/>
                  <w:vAlign w:val="center"/>
                </w:tcPr>
                <w:p w14:paraId="144629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项目气探井位于陕甘宁鄂尔多斯盆地煤油气盐赋存区，为天然气勘探井工程，项目的实施有助于加大勘探勘探力度，促进天然气持续增产</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9A6438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0781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01DD004C">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51C6B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按照“稳油增气、常非并举”的部署，推进石油增储稳产、天然气增储扩产、煤层气增储上产。加强鄂尔多斯盆地油气勘查，加大页岩气、煤层气等非常规油气勘查力度，形成新的资源接续区</w:t>
                  </w:r>
                </w:p>
              </w:tc>
              <w:tc>
                <w:tcPr>
                  <w:tcW w:w="1277" w:type="pct"/>
                  <w:vMerge w:val="continue"/>
                  <w:tcBorders>
                    <w:top w:val="single" w:color="auto" w:sz="4" w:space="0"/>
                    <w:left w:val="single" w:color="auto" w:sz="4" w:space="0"/>
                    <w:bottom w:val="single" w:color="auto" w:sz="4" w:space="0"/>
                    <w:right w:val="single" w:color="auto" w:sz="4" w:space="0"/>
                  </w:tcBorders>
                  <w:noWrap w:val="0"/>
                  <w:vAlign w:val="center"/>
                </w:tcPr>
                <w:p w14:paraId="646F5C47">
                  <w:pPr>
                    <w:jc w:val="both"/>
                    <w:rPr>
                      <w:rFonts w:hint="default" w:ascii="Times New Roman" w:hAnsi="Times New Roman" w:cs="Times New Roman"/>
                      <w:color w:val="auto"/>
                      <w:sz w:val="20"/>
                      <w:szCs w:val="20"/>
                    </w:rPr>
                  </w:pPr>
                </w:p>
              </w:tc>
              <w:tc>
                <w:tcPr>
                  <w:tcW w:w="540" w:type="pct"/>
                  <w:tcBorders>
                    <w:top w:val="single" w:color="auto" w:sz="4" w:space="0"/>
                    <w:left w:val="single" w:color="auto" w:sz="4" w:space="0"/>
                    <w:bottom w:val="single" w:color="auto" w:sz="4" w:space="0"/>
                    <w:right w:val="single" w:color="auto" w:sz="4" w:space="0"/>
                  </w:tcBorders>
                  <w:noWrap w:val="0"/>
                  <w:vAlign w:val="center"/>
                </w:tcPr>
                <w:p w14:paraId="5E1DB19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66F7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2CE17496">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5A969C4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生态保护红线范围内原则上禁止不符合管控要求的矿产资源勘查开采</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07B43D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根据项目榆林市投资项目选址</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一张图</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控制线检测报告，项目气探井不涉及生态红线</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56187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3B8E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030" w:type="pct"/>
                  <w:vMerge w:val="restart"/>
                  <w:tcBorders>
                    <w:top w:val="single" w:color="auto" w:sz="4" w:space="0"/>
                    <w:left w:val="single" w:color="auto" w:sz="4" w:space="0"/>
                    <w:bottom w:val="single" w:color="auto" w:sz="4" w:space="0"/>
                    <w:right w:val="single" w:color="auto" w:sz="4" w:space="0"/>
                  </w:tcBorders>
                  <w:noWrap w:val="0"/>
                  <w:vAlign w:val="center"/>
                </w:tcPr>
                <w:p w14:paraId="4013E7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年）环境影响报告书</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29F6CB4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围绕国家战略性矿产、我省优势和紧缺矿产，引导项目、资金等要素向国家规划矿区和重点勘查区投入，重点勘查石油、天然气、页岩气、煤层气、煤炭、地热、氦气、铁矿、锰矿、铜矿、镍矿、金矿、钴矿、晶质石墨、萤石等矿产</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32AED61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本项目位于陕西省榆林市佳县王家砭镇，属于气探井建设项目</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697643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12C1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549786A4">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E9BBAD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从环境本底调查、道路修建和场地平整、驻地建设与管理、勘查施工、环境修复等方面，降低或消除地质勘查对生态环境影响，实现地质勘查和生态环境保护协同共进</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7576F9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项目勘探施工过程在划定的施工区建设，充分利用现有道路，土石方平衡，结束后将采取相应措施对临时占地全部进行恢复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ADF302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2C0A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0EFB3F8E">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22FE68A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生态保护红线原则上按禁止开发区域的要求进行管理，严禁不符合主体功能定位的各类开发活动，严禁任意改变用途，确保区域生态保护红线的生态功能不降低、面积不减少、性质不改变，维护国家生态安全。认真贯彻落实《中办国办关于划定并严守生态保护红线的若干意见》，严守生态保护红线，依法遵守环境敏感区规定，加强规划空间管制，合法开展矿产资源勘查和开发利用与保护，确保包括生态保护红线在内的生态空间面积不减少、功能不减低、性质不改变</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40B372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根据榆林市投资项目选址“一张图”控制线检测报告，项目气探井未占用生态保护红线</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9E456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1161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3A8F887D">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7A52F8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对位于一般生态空间和水、大气、土壤等优先保护区内现有矿业权，矿产资源勘查开发应严格落实各类生态空间和优先保护区的管控要求，严格控制矿产资源勘查开采活动范围和强度，保证该单元生态系统结构和主要功能不受破坏</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779F41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根据《陕西省“三线一单”生态环境管控单元对照分析报告》，本项目涉及重点管控单元，项目严格落实污染治理设施，不会破坏生态系统的结构和主要功能</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DAF743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156A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22074F7F">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6E39EF8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探矿活动结束后，应根据景观相似原则，对探矿活动造成的土壤、植被和地表景观破坏进行恢复</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78CCD0B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项目施工结束后将采取相应措施对临时占地全部进行恢复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EC9A8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6322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Borders>
                    <w:top w:val="single" w:color="auto" w:sz="4" w:space="0"/>
                    <w:left w:val="single" w:color="auto" w:sz="4" w:space="0"/>
                    <w:bottom w:val="single" w:color="auto" w:sz="4" w:space="0"/>
                    <w:right w:val="single" w:color="auto" w:sz="4" w:space="0"/>
                  </w:tcBorders>
                  <w:noWrap w:val="0"/>
                  <w:vAlign w:val="center"/>
                </w:tcPr>
                <w:p w14:paraId="08C881E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年）环境影响报告书审查意见</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67ABE4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严格环境准入，保护区域生态功能。按照陕西省生态环境分区管控方案、生态环境保护规划等新要求，与大气环境优先保护区、水环境优先保护区、农用地优先保护区等存在空间重叠的现有矿业权、勘查规划区块、开采规划区块等，应严格执行相应管控要求，控制勘查、开采活动范围和强度，严格执行绿色勘查、绿色开采及矿山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有关生态功能区的不良环境影响</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7358E7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本项目气探井不占用禁止开发区，不涉及生物多样性保护优先区域、国家重点生态功能区、国家重要生态功能区、水源涵养区、水土流失重点防治区等区域矿产资源开发活动；</w:t>
                  </w:r>
                  <w:r>
                    <w:rPr>
                      <w:rFonts w:hint="default" w:ascii="Times New Roman" w:hAnsi="Times New Roman" w:eastAsia="宋体" w:cs="Times New Roman"/>
                      <w:color w:val="auto"/>
                      <w:sz w:val="21"/>
                      <w:szCs w:val="21"/>
                      <w:highlight w:val="none"/>
                      <w:lang w:eastAsia="zh-CN"/>
                    </w:rPr>
                    <w:t>项目仅为天然气勘探，勘探结束后将采取相应措</w:t>
                  </w:r>
                  <w:r>
                    <w:rPr>
                      <w:rFonts w:hint="eastAsia" w:ascii="宋体" w:hAnsi="宋体" w:eastAsia="宋体" w:cs="宋体"/>
                      <w:color w:val="auto"/>
                      <w:sz w:val="21"/>
                      <w:szCs w:val="21"/>
                      <w:lang w:eastAsia="zh-CN"/>
                    </w:rPr>
                    <w:t>施进行恢复，可防止加剧对有关生态功能区的不良环境影响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FDE0B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bl>
          <w:p w14:paraId="5F1C6E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r>
      <w:tr w14:paraId="061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3777D6F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其他符合性分析</w:t>
            </w:r>
          </w:p>
        </w:tc>
        <w:tc>
          <w:tcPr>
            <w:tcW w:w="4282" w:type="pct"/>
            <w:gridSpan w:val="3"/>
            <w:vAlign w:val="top"/>
          </w:tcPr>
          <w:p w14:paraId="10682D31">
            <w:pPr>
              <w:ind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1、产业政策符合性分析</w:t>
            </w:r>
          </w:p>
          <w:p w14:paraId="79A72D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本项目属于天然气勘探项目，根据《产业结构调整指导目录》（2024年本），属于鼓励类中的“七、石油天然气-1、石油天然气开采：常规石油、天然气勘探与开采”。因此，项目建设符合国家和地方产业政策。</w:t>
            </w:r>
          </w:p>
          <w:p w14:paraId="464EFB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根据《榆林市石油天然气开发协调领导小组办公室关于同意天然气项目建设计划的通知》（榆油协办发〔2025〕17号）</w:t>
            </w:r>
            <w:r>
              <w:rPr>
                <w:rFonts w:hint="eastAsia" w:ascii="Times New Roman" w:hAnsi="Times New Roman" w:eastAsia="宋体" w:cs="Times New Roman"/>
                <w:color w:val="auto"/>
                <w:sz w:val="24"/>
                <w:szCs w:val="24"/>
                <w:vertAlign w:val="baseline"/>
                <w:lang w:val="en-US" w:eastAsia="zh-CN"/>
              </w:rPr>
              <w:t>和</w:t>
            </w:r>
            <w:r>
              <w:rPr>
                <w:rFonts w:hint="default" w:ascii="Times New Roman" w:hAnsi="Times New Roman" w:eastAsia="宋体" w:cs="Times New Roman"/>
                <w:color w:val="auto"/>
                <w:sz w:val="24"/>
                <w:szCs w:val="24"/>
                <w:vertAlign w:val="baseline"/>
                <w:lang w:val="en-US" w:eastAsia="zh-CN"/>
              </w:rPr>
              <w:t>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年</w:t>
            </w:r>
            <w:r>
              <w:rPr>
                <w:rFonts w:hint="eastAsia" w:ascii="Times New Roman" w:hAnsi="Times New Roman" w:eastAsia="宋体"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eastAsia="宋体" w:cs="Times New Roman"/>
                <w:color w:val="auto"/>
                <w:sz w:val="24"/>
                <w:szCs w:val="24"/>
                <w:vertAlign w:val="baseline"/>
                <w:lang w:val="en-US" w:eastAsia="zh-CN"/>
              </w:rPr>
              <w:t>24</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eastAsia="宋体" w:cs="Times New Roman"/>
                <w:color w:val="auto"/>
                <w:sz w:val="24"/>
                <w:szCs w:val="24"/>
                <w:vertAlign w:val="baseline"/>
                <w:lang w:val="en-US" w:eastAsia="zh-CN"/>
              </w:rPr>
              <w:t>佳县人民政府专项问题会议纪要第18次</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2025年第三次油气工作专题会会议纪要</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中原则</w:t>
            </w:r>
            <w:r>
              <w:rPr>
                <w:rFonts w:hint="default" w:ascii="Times New Roman" w:hAnsi="Times New Roman" w:eastAsia="宋体" w:cs="Times New Roman"/>
                <w:color w:val="auto"/>
                <w:sz w:val="24"/>
                <w:szCs w:val="24"/>
                <w:vertAlign w:val="baseline"/>
                <w:lang w:val="en-US" w:eastAsia="zh-CN"/>
              </w:rPr>
              <w:t>同意</w:t>
            </w:r>
            <w:r>
              <w:rPr>
                <w:rFonts w:hint="eastAsia" w:ascii="Times New Roman" w:hAnsi="Times New Roman" w:eastAsia="宋体" w:cs="Times New Roman"/>
                <w:color w:val="auto"/>
                <w:sz w:val="24"/>
                <w:szCs w:val="24"/>
                <w:vertAlign w:val="baseline"/>
                <w:lang w:val="en-US" w:eastAsia="zh-CN"/>
              </w:rPr>
              <w:t>长庆油田分公司天然气评价项目部</w:t>
            </w:r>
            <w:r>
              <w:rPr>
                <w:rFonts w:hint="default" w:ascii="Times New Roman" w:hAnsi="Times New Roman" w:eastAsia="宋体" w:cs="Times New Roman"/>
                <w:color w:val="auto"/>
                <w:sz w:val="24"/>
                <w:szCs w:val="24"/>
                <w:vertAlign w:val="baseline"/>
                <w:lang w:val="en-US" w:eastAsia="zh-CN"/>
              </w:rPr>
              <w:t>在</w:t>
            </w:r>
            <w:r>
              <w:rPr>
                <w:rFonts w:hint="eastAsia" w:ascii="Times New Roman" w:hAnsi="Times New Roman" w:eastAsia="宋体" w:cs="Times New Roman"/>
                <w:color w:val="auto"/>
                <w:sz w:val="24"/>
                <w:szCs w:val="24"/>
                <w:vertAlign w:val="baseline"/>
                <w:lang w:val="en-US" w:eastAsia="zh-CN"/>
              </w:rPr>
              <w:t>佳县王家砭镇</w:t>
            </w:r>
            <w:r>
              <w:rPr>
                <w:rFonts w:hint="default" w:ascii="Times New Roman" w:hAnsi="Times New Roman" w:eastAsia="宋体" w:cs="Times New Roman"/>
                <w:color w:val="auto"/>
                <w:sz w:val="24"/>
                <w:szCs w:val="24"/>
                <w:vertAlign w:val="baseline"/>
                <w:lang w:val="en-US" w:eastAsia="zh-CN"/>
              </w:rPr>
              <w:t>新建</w:t>
            </w:r>
            <w:r>
              <w:rPr>
                <w:rFonts w:hint="eastAsia" w:ascii="Times New Roman" w:hAnsi="Times New Roman" w:eastAsia="宋体" w:cs="Times New Roman"/>
                <w:color w:val="auto"/>
                <w:sz w:val="24"/>
                <w:szCs w:val="24"/>
                <w:vertAlign w:val="baseline"/>
                <w:lang w:val="en-US" w:eastAsia="zh-CN"/>
              </w:rPr>
              <w:t>米107-2M</w:t>
            </w:r>
            <w:r>
              <w:rPr>
                <w:rFonts w:hint="default" w:ascii="Times New Roman" w:hAnsi="Times New Roman" w:eastAsia="宋体" w:cs="Times New Roman"/>
                <w:color w:val="auto"/>
                <w:sz w:val="24"/>
                <w:szCs w:val="24"/>
                <w:vertAlign w:val="baseline"/>
                <w:lang w:val="en-US" w:eastAsia="zh-CN"/>
              </w:rPr>
              <w:t>井，进行天然气</w:t>
            </w:r>
            <w:r>
              <w:rPr>
                <w:rFonts w:hint="eastAsia" w:ascii="Times New Roman" w:hAnsi="Times New Roman" w:eastAsia="宋体" w:cs="Times New Roman"/>
                <w:color w:val="auto"/>
                <w:sz w:val="24"/>
                <w:szCs w:val="24"/>
                <w:vertAlign w:val="baseline"/>
                <w:lang w:val="en-US" w:eastAsia="zh-CN"/>
              </w:rPr>
              <w:t>评价建设</w:t>
            </w:r>
            <w:r>
              <w:rPr>
                <w:rFonts w:hint="default" w:ascii="Times New Roman" w:hAnsi="Times New Roman" w:eastAsia="宋体" w:cs="Times New Roman"/>
                <w:color w:val="auto"/>
                <w:sz w:val="24"/>
                <w:szCs w:val="24"/>
                <w:vertAlign w:val="baseline"/>
                <w:lang w:val="en-US" w:eastAsia="zh-CN"/>
              </w:rPr>
              <w:t>。</w:t>
            </w:r>
          </w:p>
          <w:p w14:paraId="4B5EF21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2、项目与榆林市“多规合一”符合性分析</w:t>
            </w:r>
          </w:p>
          <w:p w14:paraId="699E8DBE">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根据榆林市“多规合一”辅助决策服务窗口针对本项目出具的《榆林市投资项目选址“一张图”控制线检测报告》（编号：202</w:t>
            </w:r>
            <w:r>
              <w:rPr>
                <w:rFonts w:hint="eastAsia"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3815</w:t>
            </w:r>
            <w:r>
              <w:rPr>
                <w:rFonts w:hint="default" w:ascii="Times New Roman" w:hAnsi="Times New Roman" w:eastAsia="宋体" w:cs="Times New Roman"/>
                <w:bCs/>
                <w:color w:val="auto"/>
                <w:sz w:val="24"/>
                <w:szCs w:val="24"/>
                <w:lang w:val="en-US" w:eastAsia="zh-CN"/>
              </w:rPr>
              <w:t>）号，详见附件）可知，本项目占地范围不涉及生态保护红线、永久基本农田及文物保护线，项目相关检测符合性分析见表1-</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w:t>
            </w:r>
          </w:p>
          <w:p w14:paraId="79700119">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本项目与榆林市“一张图”控制线检测报告符合性分析表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2"/>
              <w:gridCol w:w="2810"/>
              <w:gridCol w:w="1732"/>
              <w:gridCol w:w="1439"/>
              <w:gridCol w:w="661"/>
            </w:tblGrid>
            <w:tr w14:paraId="7D46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noWrap w:val="0"/>
                  <w:vAlign w:val="center"/>
                </w:tcPr>
                <w:p w14:paraId="244F61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井场</w:t>
                  </w:r>
                </w:p>
              </w:tc>
              <w:tc>
                <w:tcPr>
                  <w:tcW w:w="1819" w:type="pct"/>
                  <w:noWrap w:val="0"/>
                  <w:vAlign w:val="center"/>
                </w:tcPr>
                <w:p w14:paraId="49A097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控制线名称</w:t>
                  </w:r>
                </w:p>
              </w:tc>
              <w:tc>
                <w:tcPr>
                  <w:tcW w:w="1121" w:type="pct"/>
                  <w:noWrap w:val="0"/>
                  <w:vAlign w:val="center"/>
                </w:tcPr>
                <w:p w14:paraId="2607AD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本项目情况</w:t>
                  </w:r>
                </w:p>
              </w:tc>
              <w:tc>
                <w:tcPr>
                  <w:tcW w:w="931" w:type="pct"/>
                  <w:noWrap w:val="0"/>
                  <w:vAlign w:val="center"/>
                </w:tcPr>
                <w:p w14:paraId="04D6BD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采取措施</w:t>
                  </w:r>
                </w:p>
              </w:tc>
              <w:tc>
                <w:tcPr>
                  <w:tcW w:w="427" w:type="pct"/>
                  <w:noWrap w:val="0"/>
                  <w:vAlign w:val="center"/>
                </w:tcPr>
                <w:p w14:paraId="6EF726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4439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noWrap w:val="0"/>
                  <w:vAlign w:val="center"/>
                </w:tcPr>
                <w:p w14:paraId="18836A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米107-2M井</w:t>
                  </w:r>
                </w:p>
              </w:tc>
              <w:tc>
                <w:tcPr>
                  <w:tcW w:w="1819" w:type="pct"/>
                  <w:noWrap w:val="0"/>
                  <w:vAlign w:val="center"/>
                </w:tcPr>
                <w:p w14:paraId="4AC453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noWrap w:val="0"/>
                  <w:vAlign w:val="center"/>
                </w:tcPr>
                <w:p w14:paraId="4BAF18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46317D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0867BB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1C8A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3A30E4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p>
              </w:tc>
              <w:tc>
                <w:tcPr>
                  <w:tcW w:w="1819" w:type="pct"/>
                  <w:noWrap w:val="0"/>
                  <w:vAlign w:val="center"/>
                </w:tcPr>
                <w:p w14:paraId="0CD55D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特殊管控范围分析</w:t>
                  </w:r>
                </w:p>
              </w:tc>
              <w:tc>
                <w:tcPr>
                  <w:tcW w:w="1121" w:type="pct"/>
                  <w:noWrap w:val="0"/>
                  <w:vAlign w:val="center"/>
                </w:tcPr>
                <w:p w14:paraId="7C7B7F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288816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5E998A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0880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6ACA8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9" w:type="pct"/>
                  <w:noWrap w:val="0"/>
                  <w:vAlign w:val="center"/>
                </w:tcPr>
                <w:p w14:paraId="0E5C6C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榆阳机场净空区域分析</w:t>
                  </w:r>
                </w:p>
              </w:tc>
              <w:tc>
                <w:tcPr>
                  <w:tcW w:w="1121" w:type="pct"/>
                  <w:noWrap w:val="0"/>
                  <w:vAlign w:val="center"/>
                </w:tcPr>
                <w:p w14:paraId="0C9A5F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5AE80D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56AE6F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3F7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11EB81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9" w:type="pct"/>
                  <w:noWrap w:val="0"/>
                  <w:vAlign w:val="center"/>
                </w:tcPr>
                <w:p w14:paraId="718296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noWrap w:val="0"/>
                  <w:vAlign w:val="center"/>
                </w:tcPr>
                <w:p w14:paraId="700695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38D435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196C5D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281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33CE2D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9" w:type="pct"/>
                  <w:noWrap w:val="0"/>
                  <w:vAlign w:val="center"/>
                </w:tcPr>
                <w:p w14:paraId="118899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noWrap w:val="0"/>
                  <w:vAlign w:val="center"/>
                </w:tcPr>
                <w:p w14:paraId="71F5CC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42D871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01A169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0FCB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705AC2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9" w:type="pct"/>
                  <w:noWrap w:val="0"/>
                  <w:vAlign w:val="center"/>
                </w:tcPr>
                <w:p w14:paraId="1234FD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noWrap w:val="0"/>
                  <w:vAlign w:val="center"/>
                </w:tcPr>
                <w:p w14:paraId="6BE3F1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6C04B9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1589CA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721C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64E60F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9" w:type="pct"/>
                  <w:noWrap w:val="0"/>
                  <w:vAlign w:val="center"/>
                </w:tcPr>
                <w:p w14:paraId="7D1983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noWrap w:val="0"/>
                  <w:vAlign w:val="center"/>
                </w:tcPr>
                <w:p w14:paraId="2042D2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7F2194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7" w:type="pct"/>
                  <w:noWrap w:val="0"/>
                  <w:vAlign w:val="center"/>
                </w:tcPr>
                <w:p w14:paraId="088B47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AA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1906FE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9" w:type="pct"/>
                  <w:noWrap w:val="0"/>
                  <w:vAlign w:val="center"/>
                </w:tcPr>
                <w:p w14:paraId="1D7A45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noWrap w:val="0"/>
                  <w:vAlign w:val="center"/>
                </w:tcPr>
                <w:p w14:paraId="6198F3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占用耕地0.3902公顷、种植园用地0.8076公顷、林地0.1406公顷、草地0.0965公顷</w:t>
                  </w:r>
                </w:p>
              </w:tc>
              <w:tc>
                <w:tcPr>
                  <w:tcW w:w="931" w:type="pct"/>
                  <w:noWrap w:val="0"/>
                  <w:vAlign w:val="center"/>
                </w:tcPr>
                <w:p w14:paraId="25D8D1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7" w:type="pct"/>
                  <w:noWrap w:val="0"/>
                  <w:vAlign w:val="center"/>
                </w:tcPr>
                <w:p w14:paraId="7B9448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bl>
          <w:p w14:paraId="4F6E2A9A">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由上表可知，项目建设主要占用耕地、种植园用地、林地、草地，已与自然资源规划部门及林业局对接，勘探后如有开采价值依法办理自然资源规划部门相关手续。</w:t>
            </w:r>
          </w:p>
          <w:p w14:paraId="5EA1E5DE">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综上所述，项目建设基本符合榆林市投资项目选址“一张图”控制线报告要求。</w:t>
            </w:r>
          </w:p>
          <w:p w14:paraId="586F192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3、项目与“三线一单”符合性分析</w:t>
            </w:r>
          </w:p>
          <w:p w14:paraId="1FFE0E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陕西省“三线一单”生态环境分区管控应用技术指南：环境影响评价（试行）》（陕环办发〔2022〕76号文），建设项目环评文件涉及“三线一单”生态环境分区管控符合性分析采取“一图一表一说明”的表达方式，对照分析结果，论证建设的符合性。</w:t>
            </w:r>
          </w:p>
          <w:p w14:paraId="4F726B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①一图</w:t>
            </w:r>
          </w:p>
          <w:p w14:paraId="3C1673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根据《榆林市“三线一单”生态环境分区管控方案》，结合“陕西省‘三线一单’数据应用管理平台”分析，本项目</w:t>
            </w:r>
            <w:r>
              <w:rPr>
                <w:rFonts w:hint="eastAsia" w:ascii="Times New Roman" w:hAnsi="Times New Roman" w:eastAsia="宋体" w:cs="Times New Roman"/>
                <w:color w:val="auto"/>
                <w:sz w:val="24"/>
                <w:szCs w:val="24"/>
                <w:highlight w:val="none"/>
                <w:lang w:val="en-US" w:eastAsia="zh-CN"/>
              </w:rPr>
              <w:t>米107-2M井</w:t>
            </w:r>
            <w:r>
              <w:rPr>
                <w:rFonts w:hint="default"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b w:val="0"/>
                <w:bCs w:val="0"/>
                <w:color w:val="auto"/>
                <w:sz w:val="24"/>
                <w:szCs w:val="24"/>
                <w:highlight w:val="none"/>
                <w:vertAlign w:val="baseline"/>
                <w:lang w:val="en-US" w:eastAsia="zh-CN" w:bidi="ar-SA"/>
              </w:rPr>
              <w:t>重点</w:t>
            </w:r>
            <w:r>
              <w:rPr>
                <w:rFonts w:hint="default" w:ascii="Times New Roman" w:hAnsi="Times New Roman" w:eastAsia="宋体" w:cs="Times New Roman"/>
                <w:color w:val="auto"/>
                <w:sz w:val="24"/>
                <w:szCs w:val="24"/>
                <w:highlight w:val="none"/>
                <w:lang w:val="en-US" w:eastAsia="zh-CN"/>
              </w:rPr>
              <w:t>管控单元，项目选址与榆林市“三线一单”生态环境分区管控的位置关系如下：</w:t>
            </w:r>
          </w:p>
          <w:p w14:paraId="0425F2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3779520" cy="5860415"/>
                  <wp:effectExtent l="0" t="0" r="11430" b="6985"/>
                  <wp:docPr id="2" name="图片 2" descr="156a6f9e96acf4adde9a4e45422c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6a6f9e96acf4adde9a4e45422c24a"/>
                          <pic:cNvPicPr>
                            <a:picLocks noChangeAspect="1"/>
                          </pic:cNvPicPr>
                        </pic:nvPicPr>
                        <pic:blipFill>
                          <a:blip r:embed="rId7"/>
                          <a:stretch>
                            <a:fillRect/>
                          </a:stretch>
                        </pic:blipFill>
                        <pic:spPr>
                          <a:xfrm>
                            <a:off x="0" y="0"/>
                            <a:ext cx="3779520" cy="5860415"/>
                          </a:xfrm>
                          <a:prstGeom prst="rect">
                            <a:avLst/>
                          </a:prstGeom>
                        </pic:spPr>
                      </pic:pic>
                    </a:graphicData>
                  </a:graphic>
                </wp:inline>
              </w:drawing>
            </w:r>
          </w:p>
          <w:p w14:paraId="3BDF49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图1-1 </w:t>
            </w:r>
            <w:r>
              <w:rPr>
                <w:rFonts w:hint="eastAsia" w:ascii="Times New Roman" w:hAnsi="Times New Roman" w:eastAsia="宋体" w:cs="Times New Roman"/>
                <w:b/>
                <w:bCs/>
                <w:color w:val="auto"/>
                <w:sz w:val="21"/>
                <w:szCs w:val="21"/>
                <w:highlight w:val="none"/>
                <w:lang w:val="en-US" w:eastAsia="zh-CN"/>
              </w:rPr>
              <w:t xml:space="preserve"> 米107-2M与</w:t>
            </w:r>
            <w:r>
              <w:rPr>
                <w:rFonts w:hint="default" w:ascii="Times New Roman" w:hAnsi="Times New Roman" w:eastAsia="宋体" w:cs="Times New Roman"/>
                <w:b/>
                <w:bCs/>
                <w:color w:val="auto"/>
                <w:sz w:val="21"/>
                <w:szCs w:val="21"/>
                <w:highlight w:val="none"/>
                <w:lang w:val="en-US" w:eastAsia="zh-CN"/>
              </w:rPr>
              <w:t>榆林市“三线一单”生态空间管控对照图</w:t>
            </w:r>
          </w:p>
          <w:p w14:paraId="229B72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②一表</w:t>
            </w:r>
          </w:p>
          <w:p w14:paraId="4F922E6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4</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lang w:val="en-US" w:eastAsia="zh-CN"/>
              </w:rPr>
              <w:t>项目与</w:t>
            </w:r>
            <w:r>
              <w:rPr>
                <w:rFonts w:hint="eastAsia" w:ascii="Times New Roman" w:hAnsi="Times New Roman" w:eastAsia="宋体" w:cs="Times New Roman"/>
                <w:b/>
                <w:bCs w:val="0"/>
                <w:color w:val="auto"/>
                <w:sz w:val="21"/>
                <w:szCs w:val="21"/>
                <w:lang w:val="en-US" w:eastAsia="zh-CN"/>
              </w:rPr>
              <w:t>榆林市</w:t>
            </w:r>
            <w:r>
              <w:rPr>
                <w:rFonts w:hint="default" w:ascii="Times New Roman" w:hAnsi="Times New Roman" w:eastAsia="宋体" w:cs="Times New Roman"/>
                <w:b/>
                <w:bCs w:val="0"/>
                <w:color w:val="auto"/>
                <w:sz w:val="21"/>
                <w:szCs w:val="21"/>
                <w:lang w:val="en-US" w:eastAsia="zh-CN"/>
              </w:rPr>
              <w:t>“三线一单”管控单元比对成果</w:t>
            </w:r>
            <w:r>
              <w:rPr>
                <w:rFonts w:hint="eastAsia" w:ascii="Times New Roman" w:hAnsi="Times New Roman" w:eastAsia="宋体" w:cs="Times New Roman"/>
                <w:b/>
                <w:bCs w:val="0"/>
                <w:color w:val="auto"/>
                <w:sz w:val="21"/>
                <w:szCs w:val="21"/>
                <w:lang w:val="en-US" w:eastAsia="zh-CN"/>
              </w:rPr>
              <w:t>表</w:t>
            </w:r>
          </w:p>
          <w:tbl>
            <w:tblPr>
              <w:tblStyle w:val="20"/>
              <w:tblW w:w="7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04"/>
              <w:gridCol w:w="1998"/>
              <w:gridCol w:w="1878"/>
              <w:gridCol w:w="1966"/>
            </w:tblGrid>
            <w:tr w14:paraId="7072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40" w:type="pct"/>
                  <w:noWrap w:val="0"/>
                  <w:vAlign w:val="center"/>
                </w:tcPr>
                <w:p w14:paraId="16D0984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井号</w:t>
                  </w:r>
                </w:p>
              </w:tc>
              <w:tc>
                <w:tcPr>
                  <w:tcW w:w="584" w:type="pct"/>
                  <w:noWrap w:val="0"/>
                  <w:vAlign w:val="center"/>
                </w:tcPr>
                <w:p w14:paraId="199F5AE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项目</w:t>
                  </w:r>
                </w:p>
                <w:p w14:paraId="7D81169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名称</w:t>
                  </w:r>
                </w:p>
              </w:tc>
              <w:tc>
                <w:tcPr>
                  <w:tcW w:w="1291" w:type="pct"/>
                  <w:noWrap w:val="0"/>
                  <w:vAlign w:val="center"/>
                </w:tcPr>
                <w:p w14:paraId="208B157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管控单元分类</w:t>
                  </w:r>
                </w:p>
              </w:tc>
              <w:tc>
                <w:tcPr>
                  <w:tcW w:w="1213" w:type="pct"/>
                  <w:noWrap w:val="0"/>
                  <w:vAlign w:val="center"/>
                </w:tcPr>
                <w:p w14:paraId="4182ED6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是否涉及</w:t>
                  </w:r>
                </w:p>
              </w:tc>
              <w:tc>
                <w:tcPr>
                  <w:tcW w:w="1270" w:type="pct"/>
                  <w:noWrap w:val="0"/>
                  <w:vAlign w:val="center"/>
                </w:tcPr>
                <w:p w14:paraId="779B946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面积</w:t>
                  </w:r>
                </w:p>
              </w:tc>
            </w:tr>
            <w:tr w14:paraId="2C39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40" w:type="pct"/>
                  <w:vMerge w:val="restart"/>
                  <w:noWrap w:val="0"/>
                  <w:vAlign w:val="center"/>
                </w:tcPr>
                <w:p w14:paraId="74F0BE0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bCs/>
                      <w:color w:val="auto"/>
                      <w:sz w:val="21"/>
                      <w:szCs w:val="21"/>
                      <w:vertAlign w:val="baseline"/>
                      <w:lang w:val="en-US" w:eastAsia="zh-CN"/>
                    </w:rPr>
                    <w:t>米107-2M井</w:t>
                  </w:r>
                </w:p>
              </w:tc>
              <w:tc>
                <w:tcPr>
                  <w:tcW w:w="584" w:type="pct"/>
                  <w:vMerge w:val="restart"/>
                  <w:noWrap w:val="0"/>
                  <w:vAlign w:val="center"/>
                </w:tcPr>
                <w:p w14:paraId="04C9A4F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w:t>
                  </w:r>
                </w:p>
                <w:p w14:paraId="584C847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范围</w:t>
                  </w:r>
                </w:p>
              </w:tc>
              <w:tc>
                <w:tcPr>
                  <w:tcW w:w="1291" w:type="pct"/>
                  <w:noWrap w:val="0"/>
                  <w:vAlign w:val="center"/>
                </w:tcPr>
                <w:p w14:paraId="6C3EA06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优先保护单元</w:t>
                  </w:r>
                </w:p>
              </w:tc>
              <w:tc>
                <w:tcPr>
                  <w:tcW w:w="1213" w:type="pct"/>
                  <w:noWrap w:val="0"/>
                  <w:vAlign w:val="center"/>
                </w:tcPr>
                <w:p w14:paraId="5A5FCC9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否</w:t>
                  </w:r>
                </w:p>
              </w:tc>
              <w:tc>
                <w:tcPr>
                  <w:tcW w:w="1270" w:type="pct"/>
                  <w:noWrap w:val="0"/>
                  <w:vAlign w:val="center"/>
                </w:tcPr>
                <w:p w14:paraId="6F46220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0平方米</w:t>
                  </w:r>
                </w:p>
              </w:tc>
            </w:tr>
            <w:tr w14:paraId="5C6D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40" w:type="pct"/>
                  <w:vMerge w:val="continue"/>
                  <w:noWrap w:val="0"/>
                  <w:vAlign w:val="center"/>
                </w:tcPr>
                <w:p w14:paraId="020E4847">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84" w:type="pct"/>
                  <w:vMerge w:val="continue"/>
                  <w:noWrap w:val="0"/>
                  <w:vAlign w:val="center"/>
                </w:tcPr>
                <w:p w14:paraId="0BF73DD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291" w:type="pct"/>
                  <w:noWrap w:val="0"/>
                  <w:vAlign w:val="center"/>
                </w:tcPr>
                <w:p w14:paraId="629533E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重点管控单元</w:t>
                  </w:r>
                </w:p>
              </w:tc>
              <w:tc>
                <w:tcPr>
                  <w:tcW w:w="1213" w:type="pct"/>
                  <w:noWrap w:val="0"/>
                  <w:vAlign w:val="center"/>
                </w:tcPr>
                <w:p w14:paraId="0A24AEF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否</w:t>
                  </w:r>
                </w:p>
              </w:tc>
              <w:tc>
                <w:tcPr>
                  <w:tcW w:w="1270" w:type="pct"/>
                  <w:noWrap w:val="0"/>
                  <w:vAlign w:val="center"/>
                </w:tcPr>
                <w:p w14:paraId="2EFC3F9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14346.99平方米</w:t>
                  </w:r>
                </w:p>
              </w:tc>
            </w:tr>
            <w:tr w14:paraId="334D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40" w:type="pct"/>
                  <w:vMerge w:val="continue"/>
                  <w:noWrap w:val="0"/>
                  <w:vAlign w:val="center"/>
                </w:tcPr>
                <w:p w14:paraId="4495E42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84" w:type="pct"/>
                  <w:vMerge w:val="continue"/>
                  <w:noWrap w:val="0"/>
                  <w:vAlign w:val="center"/>
                </w:tcPr>
                <w:p w14:paraId="59C9B07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291" w:type="pct"/>
                  <w:noWrap w:val="0"/>
                  <w:vAlign w:val="center"/>
                </w:tcPr>
                <w:p w14:paraId="6BE8E2D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一般管控单元</w:t>
                  </w:r>
                </w:p>
              </w:tc>
              <w:tc>
                <w:tcPr>
                  <w:tcW w:w="1213" w:type="pct"/>
                  <w:noWrap w:val="0"/>
                  <w:vAlign w:val="center"/>
                </w:tcPr>
                <w:p w14:paraId="1CB60C4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270" w:type="pct"/>
                  <w:noWrap w:val="0"/>
                  <w:vAlign w:val="center"/>
                </w:tcPr>
                <w:p w14:paraId="4A1FB2B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0平方米</w:t>
                  </w:r>
                </w:p>
              </w:tc>
            </w:tr>
          </w:tbl>
          <w:p w14:paraId="30B91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备注：由于坐标系差异导致“三线一单”比对结果同“多规合一”存在差异。</w:t>
            </w:r>
          </w:p>
          <w:p w14:paraId="724ED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本项目与“三线一单”符合性分析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5188"/>
              <w:gridCol w:w="928"/>
            </w:tblGrid>
            <w:tr w14:paraId="54DB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2BFB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“三线一单”</w:t>
                  </w:r>
                </w:p>
              </w:tc>
              <w:tc>
                <w:tcPr>
                  <w:tcW w:w="3357" w:type="pct"/>
                  <w:vAlign w:val="center"/>
                </w:tcPr>
                <w:p w14:paraId="007C24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w:t>
                  </w:r>
                </w:p>
              </w:tc>
              <w:tc>
                <w:tcPr>
                  <w:tcW w:w="600" w:type="pct"/>
                  <w:vAlign w:val="center"/>
                </w:tcPr>
                <w:p w14:paraId="7965F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相符性</w:t>
                  </w:r>
                </w:p>
              </w:tc>
            </w:tr>
            <w:tr w14:paraId="4F79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02618C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生态保护红线</w:t>
                  </w:r>
                </w:p>
              </w:tc>
              <w:tc>
                <w:tcPr>
                  <w:tcW w:w="3357" w:type="pct"/>
                  <w:vAlign w:val="center"/>
                </w:tcPr>
                <w:p w14:paraId="2904D0BB">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根据《榆林市投资项目选址“一张图”控制线检测报告》及现场调查结果，本项目井场</w:t>
                  </w:r>
                  <w:r>
                    <w:rPr>
                      <w:rFonts w:hint="default" w:ascii="Times New Roman" w:hAnsi="Times New Roman" w:eastAsia="宋体" w:cs="Times New Roman"/>
                      <w:color w:val="auto"/>
                      <w:sz w:val="21"/>
                      <w:szCs w:val="21"/>
                      <w:vertAlign w:val="baseline"/>
                      <w:lang w:val="en-US" w:eastAsia="zh-CN"/>
                    </w:rPr>
                    <w:t>周围无特殊重要生态功能区，不涉及自然保护区、饮用水源保护区、风景名胜区等环境敏感区域，本项目不涉及生态红线。</w:t>
                  </w:r>
                </w:p>
              </w:tc>
              <w:tc>
                <w:tcPr>
                  <w:tcW w:w="600" w:type="pct"/>
                  <w:vAlign w:val="center"/>
                </w:tcPr>
                <w:p w14:paraId="03810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AF3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BD8C2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环境质量底线</w:t>
                  </w:r>
                </w:p>
              </w:tc>
              <w:tc>
                <w:tcPr>
                  <w:tcW w:w="3357" w:type="pct"/>
                  <w:vAlign w:val="center"/>
                </w:tcPr>
                <w:p w14:paraId="1B69634D">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根据陕西省环保厅发布的全省环保快报可知，</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4年佳县空气中臭氧超标，属于环境空气质量不达标区。本项目施工期较短，施工过程中采用电驱动，不产生废气，污废水不外排，废水收集罐四周及池底均做了防渗处理。因此，不会改变区域地表水、地下水的功能，项目的建设符合榆林市的环境质量底线要求。</w:t>
                  </w:r>
                </w:p>
              </w:tc>
              <w:tc>
                <w:tcPr>
                  <w:tcW w:w="600" w:type="pct"/>
                  <w:vAlign w:val="center"/>
                </w:tcPr>
                <w:p w14:paraId="5DFE2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5C7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973D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资源利用上线</w:t>
                  </w:r>
                </w:p>
              </w:tc>
              <w:tc>
                <w:tcPr>
                  <w:tcW w:w="3357" w:type="pct"/>
                  <w:vAlign w:val="center"/>
                </w:tcPr>
                <w:p w14:paraId="5FBD6A36">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本项目井场为非生产类项目，不涉及资源利用，不触及榆林市资源利用上线。</w:t>
                  </w:r>
                </w:p>
              </w:tc>
              <w:tc>
                <w:tcPr>
                  <w:tcW w:w="600" w:type="pct"/>
                  <w:vAlign w:val="center"/>
                </w:tcPr>
                <w:p w14:paraId="513E2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C2E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0C5E08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环境准入负面清单</w:t>
                  </w:r>
                </w:p>
              </w:tc>
              <w:tc>
                <w:tcPr>
                  <w:tcW w:w="3357" w:type="pct"/>
                  <w:vAlign w:val="center"/>
                </w:tcPr>
                <w:p w14:paraId="026BD6A7">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本项目符合国家产业政策，工程位于榆林市佳县，不属于《陕西省国家重点生态功能区产业准入负面清单(试行)》(陕发改规划〔</w:t>
                  </w:r>
                  <w:r>
                    <w:rPr>
                      <w:rFonts w:hint="default" w:ascii="Times New Roman" w:hAnsi="Times New Roman" w:eastAsia="宋体" w:cs="Times New Roman"/>
                      <w:color w:val="auto"/>
                      <w:sz w:val="21"/>
                      <w:szCs w:val="21"/>
                      <w:vertAlign w:val="baseline"/>
                      <w:lang w:val="en-US" w:eastAsia="zh-CN"/>
                    </w:rPr>
                    <w:t>2018</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213</w:t>
                  </w:r>
                  <w:r>
                    <w:rPr>
                      <w:rFonts w:hint="eastAsia" w:ascii="Times New Roman" w:hAnsi="Times New Roman" w:eastAsia="宋体" w:cs="Times New Roman"/>
                      <w:color w:val="auto"/>
                      <w:sz w:val="21"/>
                      <w:szCs w:val="21"/>
                      <w:vertAlign w:val="baseline"/>
                      <w:lang w:val="en-US" w:eastAsia="zh-CN"/>
                    </w:rPr>
                    <w:t>号)中重点生态功能区，不属于《榆林市生态环境准入清单（</w:t>
                  </w:r>
                  <w:r>
                    <w:rPr>
                      <w:rFonts w:hint="default" w:ascii="Times New Roman" w:hAnsi="Times New Roman" w:eastAsia="宋体" w:cs="Times New Roman"/>
                      <w:color w:val="auto"/>
                      <w:sz w:val="21"/>
                      <w:szCs w:val="21"/>
                      <w:vertAlign w:val="baseline"/>
                      <w:lang w:val="en-US" w:eastAsia="zh-CN"/>
                    </w:rPr>
                    <w:t>2023</w:t>
                  </w:r>
                  <w:r>
                    <w:rPr>
                      <w:rFonts w:hint="eastAsia" w:ascii="Times New Roman" w:hAnsi="Times New Roman" w:eastAsia="宋体" w:cs="Times New Roman"/>
                      <w:color w:val="auto"/>
                      <w:sz w:val="21"/>
                      <w:szCs w:val="21"/>
                      <w:vertAlign w:val="baseline"/>
                      <w:lang w:val="en-US" w:eastAsia="zh-CN"/>
                    </w:rPr>
                    <w:t>年）》中禁止建设活动。</w:t>
                  </w:r>
                </w:p>
              </w:tc>
              <w:tc>
                <w:tcPr>
                  <w:tcW w:w="600" w:type="pct"/>
                  <w:vAlign w:val="center"/>
                </w:tcPr>
                <w:p w14:paraId="4231D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1D5EAD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 xml:space="preserve"> 米107-2M井</w:t>
            </w:r>
            <w:r>
              <w:rPr>
                <w:rFonts w:hint="default" w:ascii="Times New Roman" w:hAnsi="Times New Roman" w:eastAsia="宋体" w:cs="Times New Roman"/>
                <w:b/>
                <w:bCs/>
                <w:color w:val="auto"/>
                <w:sz w:val="21"/>
                <w:szCs w:val="21"/>
                <w:vertAlign w:val="baseline"/>
                <w:lang w:val="en-US" w:eastAsia="zh-CN"/>
              </w:rPr>
              <w:t>与榆林市生态环境分区管控准入要求符合性分析表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456"/>
              <w:gridCol w:w="456"/>
              <w:gridCol w:w="456"/>
              <w:gridCol w:w="456"/>
              <w:gridCol w:w="1988"/>
              <w:gridCol w:w="2842"/>
              <w:gridCol w:w="458"/>
            </w:tblGrid>
            <w:tr w14:paraId="3F21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14:paraId="67F42D4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环境管控单元</w:t>
                  </w:r>
                </w:p>
              </w:tc>
              <w:tc>
                <w:tcPr>
                  <w:tcW w:w="295" w:type="pct"/>
                  <w:noWrap w:val="0"/>
                  <w:vAlign w:val="center"/>
                </w:tcPr>
                <w:p w14:paraId="0F76A1A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区县</w:t>
                  </w:r>
                </w:p>
              </w:tc>
              <w:tc>
                <w:tcPr>
                  <w:tcW w:w="295" w:type="pct"/>
                  <w:noWrap w:val="0"/>
                  <w:vAlign w:val="center"/>
                </w:tcPr>
                <w:p w14:paraId="7FEE2C0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市区</w:t>
                  </w:r>
                </w:p>
              </w:tc>
              <w:tc>
                <w:tcPr>
                  <w:tcW w:w="295" w:type="pct"/>
                  <w:noWrap w:val="0"/>
                  <w:vAlign w:val="center"/>
                </w:tcPr>
                <w:p w14:paraId="194E3B0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单元要素属性</w:t>
                  </w:r>
                </w:p>
              </w:tc>
              <w:tc>
                <w:tcPr>
                  <w:tcW w:w="295" w:type="pct"/>
                  <w:noWrap w:val="0"/>
                  <w:vAlign w:val="center"/>
                </w:tcPr>
                <w:p w14:paraId="374E989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管控要求分类</w:t>
                  </w:r>
                </w:p>
              </w:tc>
              <w:tc>
                <w:tcPr>
                  <w:tcW w:w="1286" w:type="pct"/>
                  <w:noWrap w:val="0"/>
                  <w:vAlign w:val="center"/>
                </w:tcPr>
                <w:p w14:paraId="3C60AAF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w:t>
                  </w:r>
                </w:p>
              </w:tc>
              <w:tc>
                <w:tcPr>
                  <w:tcW w:w="1839" w:type="pct"/>
                  <w:noWrap w:val="0"/>
                  <w:vAlign w:val="center"/>
                </w:tcPr>
                <w:p w14:paraId="3239A36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w:t>
                  </w:r>
                </w:p>
              </w:tc>
              <w:tc>
                <w:tcPr>
                  <w:tcW w:w="296" w:type="pct"/>
                  <w:noWrap w:val="0"/>
                  <w:vAlign w:val="center"/>
                </w:tcPr>
                <w:p w14:paraId="3315700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7749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noWrap w:val="0"/>
                  <w:vAlign w:val="center"/>
                </w:tcPr>
                <w:p w14:paraId="18A7749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陕西省榆林市</w:t>
                  </w:r>
                  <w:r>
                    <w:rPr>
                      <w:rFonts w:hint="eastAsia" w:ascii="Times New Roman" w:hAnsi="Times New Roman" w:eastAsia="宋体" w:cs="Times New Roman"/>
                      <w:bCs/>
                      <w:color w:val="auto"/>
                      <w:sz w:val="21"/>
                      <w:szCs w:val="21"/>
                      <w:highlight w:val="none"/>
                      <w:vertAlign w:val="baseline"/>
                      <w:lang w:val="en-US" w:eastAsia="zh-CN"/>
                    </w:rPr>
                    <w:t>佳县重点</w:t>
                  </w:r>
                  <w:r>
                    <w:rPr>
                      <w:rFonts w:hint="default" w:ascii="Times New Roman" w:hAnsi="Times New Roman" w:eastAsia="宋体" w:cs="Times New Roman"/>
                      <w:bCs/>
                      <w:color w:val="auto"/>
                      <w:sz w:val="21"/>
                      <w:szCs w:val="21"/>
                      <w:highlight w:val="none"/>
                      <w:vertAlign w:val="baseline"/>
                      <w:lang w:val="en-US" w:eastAsia="zh-CN"/>
                    </w:rPr>
                    <w:t>管控单元</w:t>
                  </w:r>
                  <w:r>
                    <w:rPr>
                      <w:rFonts w:hint="eastAsia" w:ascii="Times New Roman" w:hAnsi="Times New Roman" w:eastAsia="宋体" w:cs="Times New Roman"/>
                      <w:bCs/>
                      <w:color w:val="auto"/>
                      <w:sz w:val="21"/>
                      <w:szCs w:val="21"/>
                      <w:highlight w:val="none"/>
                      <w:vertAlign w:val="baseline"/>
                      <w:lang w:val="en-US" w:eastAsia="zh-CN"/>
                    </w:rPr>
                    <w:t>3</w:t>
                  </w:r>
                </w:p>
              </w:tc>
              <w:tc>
                <w:tcPr>
                  <w:tcW w:w="295" w:type="pct"/>
                  <w:vMerge w:val="restart"/>
                  <w:noWrap w:val="0"/>
                  <w:vAlign w:val="center"/>
                </w:tcPr>
                <w:p w14:paraId="38A0C0B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榆林市</w:t>
                  </w:r>
                </w:p>
              </w:tc>
              <w:tc>
                <w:tcPr>
                  <w:tcW w:w="295" w:type="pct"/>
                  <w:vMerge w:val="restart"/>
                  <w:noWrap w:val="0"/>
                  <w:vAlign w:val="center"/>
                </w:tcPr>
                <w:p w14:paraId="053BD60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佳县</w:t>
                  </w:r>
                </w:p>
              </w:tc>
              <w:tc>
                <w:tcPr>
                  <w:tcW w:w="295" w:type="pct"/>
                  <w:noWrap w:val="0"/>
                  <w:vAlign w:val="center"/>
                </w:tcPr>
                <w:p w14:paraId="491B886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水环境工业污染重点管控区</w:t>
                  </w:r>
                </w:p>
              </w:tc>
              <w:tc>
                <w:tcPr>
                  <w:tcW w:w="295" w:type="pct"/>
                  <w:noWrap w:val="0"/>
                  <w:vAlign w:val="center"/>
                </w:tcPr>
                <w:p w14:paraId="7AD07D9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空间布局约束</w:t>
                  </w:r>
                </w:p>
              </w:tc>
              <w:tc>
                <w:tcPr>
                  <w:tcW w:w="1286" w:type="pct"/>
                  <w:noWrap w:val="0"/>
                  <w:vAlign w:val="center"/>
                </w:tcPr>
                <w:p w14:paraId="1E475C4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auto"/>
                      <w:sz w:val="21"/>
                      <w:szCs w:val="21"/>
                      <w:highlight w:val="none"/>
                      <w:vertAlign w:val="baseline"/>
                    </w:rPr>
                  </w:pPr>
                  <w:r>
                    <w:rPr>
                      <w:rFonts w:hint="default" w:ascii="Times New Roman" w:hAnsi="Times New Roman" w:cs="Times New Roman"/>
                      <w:bCs/>
                      <w:color w:val="auto"/>
                      <w:sz w:val="21"/>
                      <w:szCs w:val="21"/>
                      <w:highlight w:val="none"/>
                      <w:vertAlign w:val="baseline"/>
                    </w:rPr>
                    <w:t>水环境工业污染重点管控区：1.充分考虑水环境承载能力和水资源开发利用效率，合理确定产业发展布局、结构和规模。</w:t>
                  </w:r>
                </w:p>
              </w:tc>
              <w:tc>
                <w:tcPr>
                  <w:tcW w:w="1839" w:type="pct"/>
                  <w:shd w:val="clear" w:color="auto" w:fill="auto"/>
                  <w:noWrap w:val="0"/>
                  <w:vAlign w:val="center"/>
                </w:tcPr>
                <w:p w14:paraId="10902F42">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bidi="ar-SA"/>
                    </w:rPr>
                    <w:t>本项目钻井废水用于配置泥浆</w:t>
                  </w:r>
                  <w:r>
                    <w:rPr>
                      <w:rFonts w:hint="eastAsia" w:ascii="Times New Roman" w:hAnsi="Times New Roman" w:eastAsia="宋体" w:cs="Times New Roman"/>
                      <w:bCs/>
                      <w:color w:val="auto"/>
                      <w:sz w:val="21"/>
                      <w:szCs w:val="21"/>
                      <w:vertAlign w:val="baseline"/>
                      <w:lang w:val="en-US" w:eastAsia="zh-CN" w:bidi="ar-SA"/>
                    </w:rPr>
                    <w:t>，</w:t>
                  </w:r>
                  <w:r>
                    <w:rPr>
                      <w:rFonts w:hint="default" w:ascii="Times New Roman" w:hAnsi="Times New Roman" w:eastAsia="宋体" w:cs="Times New Roman"/>
                      <w:bCs/>
                      <w:color w:val="auto"/>
                      <w:sz w:val="21"/>
                      <w:szCs w:val="21"/>
                      <w:vertAlign w:val="baseline"/>
                      <w:lang w:val="en-US" w:eastAsia="zh-CN" w:bidi="ar-SA"/>
                    </w:rPr>
                    <w:t>循环使用</w:t>
                  </w:r>
                  <w:r>
                    <w:rPr>
                      <w:rFonts w:hint="eastAsia" w:ascii="Times New Roman" w:hAnsi="Times New Roman" w:eastAsia="宋体" w:cs="Times New Roman"/>
                      <w:bCs/>
                      <w:color w:val="auto"/>
                      <w:sz w:val="21"/>
                      <w:szCs w:val="21"/>
                      <w:vertAlign w:val="baseline"/>
                      <w:lang w:val="en-US" w:eastAsia="zh-CN" w:bidi="ar-SA"/>
                    </w:rPr>
                    <w:t>，</w:t>
                  </w:r>
                  <w:r>
                    <w:rPr>
                      <w:rFonts w:hint="default" w:ascii="Times New Roman" w:hAnsi="Times New Roman" w:eastAsia="宋体" w:cs="Times New Roman"/>
                      <w:bCs/>
                      <w:color w:val="auto"/>
                      <w:sz w:val="21"/>
                      <w:szCs w:val="21"/>
                      <w:vertAlign w:val="baseline"/>
                      <w:lang w:val="en-US" w:eastAsia="zh-CN" w:bidi="ar-SA"/>
                    </w:rPr>
                    <w:t>钻井液循环使用率要求达到95%以上</w:t>
                  </w:r>
                  <w:r>
                    <w:rPr>
                      <w:rFonts w:hint="eastAsia" w:ascii="Times New Roman" w:hAnsi="Times New Roman" w:eastAsia="宋体" w:cs="Times New Roman"/>
                      <w:bCs/>
                      <w:color w:val="auto"/>
                      <w:sz w:val="21"/>
                      <w:szCs w:val="21"/>
                      <w:vertAlign w:val="baseline"/>
                      <w:lang w:val="en-US" w:eastAsia="zh-CN" w:bidi="ar-SA"/>
                    </w:rPr>
                    <w:t>；</w:t>
                  </w:r>
                  <w:r>
                    <w:rPr>
                      <w:rFonts w:hint="default" w:ascii="Times New Roman" w:hAnsi="Times New Roman" w:eastAsia="宋体" w:cs="Times New Roman"/>
                      <w:bCs/>
                      <w:color w:val="auto"/>
                      <w:sz w:val="21"/>
                      <w:szCs w:val="21"/>
                      <w:vertAlign w:val="baseline"/>
                      <w:lang w:val="en-US" w:eastAsia="zh-CN" w:bidi="ar-SA"/>
                    </w:rPr>
                    <w:t>洗井废水、压裂返排液等委托陕西榆佳环保科技有限公司外运处理</w:t>
                  </w:r>
                  <w:r>
                    <w:rPr>
                      <w:rFonts w:hint="eastAsia" w:ascii="Times New Roman" w:hAnsi="Times New Roman" w:eastAsia="宋体" w:cs="Times New Roman"/>
                      <w:bCs/>
                      <w:color w:val="auto"/>
                      <w:sz w:val="21"/>
                      <w:szCs w:val="21"/>
                      <w:vertAlign w:val="baseline"/>
                      <w:lang w:val="en-US" w:eastAsia="zh-CN" w:bidi="ar-SA"/>
                    </w:rPr>
                    <w:t>；</w:t>
                  </w:r>
                  <w:r>
                    <w:rPr>
                      <w:rFonts w:hint="default" w:ascii="Times New Roman" w:hAnsi="Times New Roman" w:eastAsia="宋体" w:cs="Times New Roman"/>
                      <w:bCs/>
                      <w:color w:val="auto"/>
                      <w:sz w:val="21"/>
                      <w:szCs w:val="21"/>
                      <w:vertAlign w:val="baseline"/>
                      <w:lang w:val="en-US" w:eastAsia="zh-CN" w:bidi="ar-SA"/>
                    </w:rPr>
                    <w:t>生活污水存于移动式防渗卫生旱厕，定期清掏用作周边农田施肥，不外排。</w:t>
                  </w:r>
                </w:p>
              </w:tc>
              <w:tc>
                <w:tcPr>
                  <w:tcW w:w="296" w:type="pct"/>
                  <w:noWrap w:val="0"/>
                  <w:vAlign w:val="center"/>
                </w:tcPr>
                <w:p w14:paraId="742E1BB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符合</w:t>
                  </w:r>
                </w:p>
              </w:tc>
            </w:tr>
            <w:tr w14:paraId="0863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4F809D9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471E0AD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537E11C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016092A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03E7574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污染物排放管控</w:t>
                  </w:r>
                </w:p>
              </w:tc>
              <w:tc>
                <w:tcPr>
                  <w:tcW w:w="1286" w:type="pct"/>
                  <w:noWrap w:val="0"/>
                  <w:vAlign w:val="center"/>
                </w:tcPr>
                <w:p w14:paraId="19567492">
                  <w:pPr>
                    <w:keepNext w:val="0"/>
                    <w:keepLines w:val="0"/>
                    <w:widowControl/>
                    <w:suppressLineNumbers w:val="0"/>
                    <w:jc w:val="both"/>
                    <w:rPr>
                      <w:rFonts w:hint="default" w:ascii="Times New Roman" w:hAnsi="Times New Roman" w:cs="Times New Roman"/>
                      <w:bCs/>
                      <w:color w:val="auto"/>
                      <w:sz w:val="21"/>
                      <w:szCs w:val="21"/>
                      <w:vertAlign w:val="baseline"/>
                    </w:rPr>
                  </w:pPr>
                  <w:r>
                    <w:rPr>
                      <w:rFonts w:hint="default" w:ascii="Times New Roman" w:hAnsi="Times New Roman" w:cs="Times New Roman"/>
                      <w:bCs/>
                      <w:color w:val="auto"/>
                      <w:sz w:val="21"/>
                      <w:szCs w:val="21"/>
                      <w:vertAlign w:val="baseline"/>
                    </w:rPr>
                    <w:t>水环境工业污染重点管控区：1.所有排污单位必须依法实现全面达标排放。集聚区内工业废水必须进行经预处理达到集中处理要求，方可进入污水集中处理设施。2.建设项目所在水环境单元或断面存在污染物超标的，相应污染因子实行等量或减量置换。3.严控高含盐废水排放。</w:t>
                  </w:r>
                </w:p>
              </w:tc>
              <w:tc>
                <w:tcPr>
                  <w:tcW w:w="1839" w:type="pct"/>
                  <w:noWrap w:val="0"/>
                  <w:vAlign w:val="center"/>
                </w:tcPr>
                <w:p w14:paraId="7FA29A01">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本项目钻井废水、洗井废水、压裂返排液等委托陕西榆佳环保科技有限公司外运处理</w:t>
                  </w:r>
                  <w:r>
                    <w:rPr>
                      <w:rFonts w:hint="eastAsia" w:ascii="Times New Roman" w:hAnsi="Times New Roman" w:eastAsia="宋体" w:cs="Times New Roman"/>
                      <w:bCs/>
                      <w:color w:val="auto"/>
                      <w:sz w:val="21"/>
                      <w:szCs w:val="21"/>
                      <w:vertAlign w:val="baseline"/>
                      <w:lang w:val="en-US" w:eastAsia="zh-CN"/>
                    </w:rPr>
                    <w:t>；</w:t>
                  </w:r>
                  <w:r>
                    <w:rPr>
                      <w:rFonts w:hint="default" w:ascii="Times New Roman" w:hAnsi="Times New Roman" w:eastAsia="宋体" w:cs="Times New Roman"/>
                      <w:bCs/>
                      <w:color w:val="auto"/>
                      <w:sz w:val="21"/>
                      <w:szCs w:val="21"/>
                      <w:vertAlign w:val="baseline"/>
                      <w:lang w:val="en-US" w:eastAsia="zh-CN"/>
                    </w:rPr>
                    <w:t>生活污水存于移动式防渗卫生旱厕，定期清掏用作周边农田施肥，不外排。</w:t>
                  </w:r>
                </w:p>
              </w:tc>
              <w:tc>
                <w:tcPr>
                  <w:tcW w:w="296" w:type="pct"/>
                  <w:noWrap w:val="0"/>
                  <w:vAlign w:val="center"/>
                </w:tcPr>
                <w:p w14:paraId="16925F3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符合</w:t>
                  </w:r>
                </w:p>
              </w:tc>
            </w:tr>
            <w:tr w14:paraId="72B0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13F90F8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4404EB0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31D856F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1A5FA3B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46BB9A8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环境风险防控</w:t>
                  </w:r>
                </w:p>
              </w:tc>
              <w:tc>
                <w:tcPr>
                  <w:tcW w:w="1286" w:type="pct"/>
                  <w:noWrap w:val="0"/>
                  <w:vAlign w:val="center"/>
                </w:tcPr>
                <w:p w14:paraId="622E8418">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水环境工业污染重点管控区：1.深入开展重点企业环境风险评估，摸清危险废物产生、贮存、利用和处置情况，推动突发环境事件应急预案编制与修编，严格新（改、扩）建生产有毒有害化学品项目的审批，强化工业园区环境风险管控。2.加强涉水涉重企业和危险化学品输运等环境风险源的系统治理，降低突发环境事故发生水平。</w:t>
                  </w:r>
                </w:p>
              </w:tc>
              <w:tc>
                <w:tcPr>
                  <w:tcW w:w="1839" w:type="pct"/>
                  <w:noWrap w:val="0"/>
                  <w:vAlign w:val="center"/>
                </w:tcPr>
                <w:p w14:paraId="4A0C2B83">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本项目属于油气资源勘探项目，危险废物暂存于危废贮存库，</w:t>
                  </w:r>
                  <w:r>
                    <w:rPr>
                      <w:rFonts w:hint="eastAsia" w:ascii="Times New Roman" w:hAnsi="Times New Roman" w:eastAsia="宋体" w:cs="Times New Roman"/>
                      <w:bCs/>
                      <w:color w:val="auto"/>
                      <w:sz w:val="21"/>
                      <w:szCs w:val="21"/>
                      <w:vertAlign w:val="baseline"/>
                      <w:lang w:val="en-US" w:eastAsia="zh-CN"/>
                    </w:rPr>
                    <w:t>定期</w:t>
                  </w:r>
                  <w:r>
                    <w:rPr>
                      <w:rFonts w:hint="default" w:ascii="Times New Roman" w:hAnsi="Times New Roman" w:eastAsia="宋体" w:cs="Times New Roman"/>
                      <w:bCs/>
                      <w:color w:val="auto"/>
                      <w:sz w:val="21"/>
                      <w:szCs w:val="21"/>
                      <w:vertAlign w:val="baseline"/>
                      <w:lang w:val="en-US" w:eastAsia="zh-CN"/>
                    </w:rPr>
                    <w:t>交由有资质单位回收处置。</w:t>
                  </w:r>
                </w:p>
                <w:p w14:paraId="66849D74">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本项目突发环境事件应急预案纳入中国石油天然气股份有限公司长庆油田分公司突发环境事件应急预案中</w:t>
                  </w:r>
                  <w:r>
                    <w:rPr>
                      <w:rFonts w:hint="eastAsia" w:ascii="Times New Roman" w:hAnsi="Times New Roman" w:eastAsia="宋体" w:cs="Times New Roman"/>
                      <w:bCs/>
                      <w:color w:val="auto"/>
                      <w:sz w:val="21"/>
                      <w:szCs w:val="21"/>
                      <w:vertAlign w:val="baseline"/>
                      <w:lang w:val="en-US" w:eastAsia="zh-CN"/>
                    </w:rPr>
                    <w:t>。</w:t>
                  </w:r>
                </w:p>
              </w:tc>
              <w:tc>
                <w:tcPr>
                  <w:tcW w:w="296" w:type="pct"/>
                  <w:noWrap w:val="0"/>
                  <w:vAlign w:val="center"/>
                </w:tcPr>
                <w:p w14:paraId="6EF21CB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符合</w:t>
                  </w:r>
                </w:p>
              </w:tc>
            </w:tr>
            <w:tr w14:paraId="2201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4B06C7C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B44626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33A3F71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4E9B7E4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5" w:type="pct"/>
                  <w:noWrap w:val="0"/>
                  <w:vAlign w:val="center"/>
                </w:tcPr>
                <w:p w14:paraId="48CD1E2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资源开发效率要求</w:t>
                  </w:r>
                </w:p>
              </w:tc>
              <w:tc>
                <w:tcPr>
                  <w:tcW w:w="1286" w:type="pct"/>
                  <w:noWrap w:val="0"/>
                  <w:vAlign w:val="center"/>
                </w:tcPr>
                <w:p w14:paraId="744CA314">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水环境工业污染重点管控区：1.提高工业用水重复利用率，因地制宜推进区域再生水循环利用。</w:t>
                  </w:r>
                </w:p>
              </w:tc>
              <w:tc>
                <w:tcPr>
                  <w:tcW w:w="1839" w:type="pct"/>
                  <w:noWrap w:val="0"/>
                  <w:vAlign w:val="center"/>
                </w:tcPr>
                <w:p w14:paraId="2AE24CC6">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本项目属于油气资源勘探项目，项目钻井废水用于配置泥浆，循环使用，钻井液循环使用率要求达到95%以上</w:t>
                  </w:r>
                  <w:r>
                    <w:rPr>
                      <w:rFonts w:hint="eastAsia" w:ascii="Times New Roman" w:hAnsi="Times New Roman" w:eastAsia="宋体" w:cs="Times New Roman"/>
                      <w:bCs/>
                      <w:color w:val="auto"/>
                      <w:sz w:val="21"/>
                      <w:szCs w:val="21"/>
                      <w:vertAlign w:val="baseline"/>
                      <w:lang w:val="en-US" w:eastAsia="zh-CN"/>
                    </w:rPr>
                    <w:t>。</w:t>
                  </w:r>
                </w:p>
              </w:tc>
              <w:tc>
                <w:tcPr>
                  <w:tcW w:w="296" w:type="pct"/>
                  <w:noWrap w:val="0"/>
                  <w:vAlign w:val="center"/>
                </w:tcPr>
                <w:p w14:paraId="16249F7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符合</w:t>
                  </w:r>
                </w:p>
              </w:tc>
            </w:tr>
          </w:tbl>
          <w:p w14:paraId="3445AA25">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③一说明</w:t>
            </w:r>
          </w:p>
          <w:p w14:paraId="542679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bCs/>
                <w:color w:val="auto"/>
                <w:sz w:val="24"/>
                <w:szCs w:val="24"/>
                <w:highlight w:val="none"/>
              </w:rPr>
              <w:t>本项目位于榆林市“三线一单”生态环境分区中</w:t>
            </w:r>
            <w:r>
              <w:rPr>
                <w:rFonts w:hint="eastAsia" w:ascii="Times New Roman" w:hAnsi="Times New Roman" w:eastAsia="宋体" w:cs="Times New Roman"/>
                <w:bCs/>
                <w:color w:val="auto"/>
                <w:sz w:val="24"/>
                <w:szCs w:val="24"/>
                <w:highlight w:val="none"/>
                <w:vertAlign w:val="baseline"/>
                <w:lang w:val="en-US" w:eastAsia="zh-CN"/>
              </w:rPr>
              <w:t>佳县重点</w:t>
            </w:r>
            <w:r>
              <w:rPr>
                <w:rFonts w:hint="default" w:ascii="Times New Roman" w:hAnsi="Times New Roman" w:eastAsia="宋体" w:cs="Times New Roman"/>
                <w:bCs/>
                <w:color w:val="auto"/>
                <w:sz w:val="24"/>
                <w:szCs w:val="24"/>
                <w:highlight w:val="none"/>
                <w:vertAlign w:val="baseline"/>
                <w:lang w:val="en-US" w:eastAsia="zh-CN"/>
              </w:rPr>
              <w:t>管控单元</w:t>
            </w:r>
            <w:r>
              <w:rPr>
                <w:rFonts w:hint="default" w:ascii="Times New Roman" w:hAnsi="Times New Roman" w:cs="Times New Roman"/>
                <w:bCs/>
                <w:color w:val="auto"/>
                <w:sz w:val="24"/>
                <w:szCs w:val="24"/>
                <w:highlight w:val="none"/>
              </w:rPr>
              <w:t>，对照表</w:t>
            </w:r>
            <w:r>
              <w:rPr>
                <w:rFonts w:hint="eastAsia" w:ascii="Times New Roman" w:hAnsi="Times New Roman" w:eastAsia="宋体" w:cs="Times New Roman"/>
                <w:bCs/>
                <w:color w:val="auto"/>
                <w:sz w:val="24"/>
                <w:szCs w:val="24"/>
                <w:highlight w:val="none"/>
                <w:lang w:val="en-US" w:eastAsia="zh-CN"/>
              </w:rPr>
              <w:t>1-6</w:t>
            </w:r>
            <w:r>
              <w:rPr>
                <w:rFonts w:hint="default" w:ascii="Times New Roman" w:hAnsi="Times New Roman" w:cs="Times New Roman"/>
                <w:bCs/>
                <w:color w:val="auto"/>
                <w:sz w:val="24"/>
                <w:szCs w:val="24"/>
                <w:highlight w:val="none"/>
              </w:rPr>
              <w:t>中的管控要求，建设项目符合榆林市生态环境准入清单各管控单元的环境分区管控的要求。</w:t>
            </w:r>
          </w:p>
          <w:p w14:paraId="2253494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4、其他符合性分析</w:t>
            </w:r>
          </w:p>
          <w:p w14:paraId="4E83EE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项目与相关政策的符合性分析见下表：</w:t>
            </w:r>
          </w:p>
          <w:p w14:paraId="64169E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项目与相关政策符合性分析一览表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009"/>
              <w:gridCol w:w="2504"/>
              <w:gridCol w:w="1867"/>
              <w:gridCol w:w="835"/>
            </w:tblGrid>
            <w:tr w14:paraId="2ECB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27BF0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299" w:type="pct"/>
                  <w:vAlign w:val="center"/>
                </w:tcPr>
                <w:p w14:paraId="3812B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政策名称</w:t>
                  </w:r>
                </w:p>
              </w:tc>
              <w:tc>
                <w:tcPr>
                  <w:tcW w:w="1620" w:type="pct"/>
                  <w:vAlign w:val="center"/>
                </w:tcPr>
                <w:p w14:paraId="6A7348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政策要求（摘录）</w:t>
                  </w:r>
                </w:p>
              </w:tc>
              <w:tc>
                <w:tcPr>
                  <w:tcW w:w="1208" w:type="pct"/>
                  <w:vAlign w:val="center"/>
                </w:tcPr>
                <w:p w14:paraId="7BA04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540" w:type="pct"/>
                  <w:vAlign w:val="center"/>
                </w:tcPr>
                <w:p w14:paraId="395DC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4048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631637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p>
              </w:tc>
              <w:tc>
                <w:tcPr>
                  <w:tcW w:w="1299" w:type="pct"/>
                  <w:vAlign w:val="center"/>
                </w:tcPr>
                <w:p w14:paraId="7F9C99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《中华人民共和国防沙治沙法</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18修正</w:t>
                  </w:r>
                  <w:r>
                    <w:rPr>
                      <w:rFonts w:hint="eastAsia" w:ascii="Times New Roman" w:hAnsi="Times New Roman" w:eastAsia="宋体" w:cs="Times New Roman"/>
                      <w:color w:val="auto"/>
                      <w:sz w:val="21"/>
                      <w:szCs w:val="21"/>
                      <w:vertAlign w:val="baseline"/>
                      <w:lang w:val="en-US" w:eastAsia="zh-CN"/>
                    </w:rPr>
                    <w:t>）》</w:t>
                  </w:r>
                </w:p>
              </w:tc>
              <w:tc>
                <w:tcPr>
                  <w:tcW w:w="1620" w:type="pct"/>
                  <w:vAlign w:val="center"/>
                </w:tcPr>
                <w:p w14:paraId="7612A0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w:t>
                  </w:r>
                  <w:r>
                    <w:rPr>
                      <w:rFonts w:hint="eastAsia" w:ascii="Times New Roman" w:hAnsi="Times New Roman" w:eastAsia="宋体" w:cs="Times New Roman"/>
                      <w:color w:val="auto"/>
                      <w:sz w:val="21"/>
                      <w:szCs w:val="21"/>
                      <w:vertAlign w:val="baseline"/>
                      <w:lang w:val="en-US" w:eastAsia="zh-CN"/>
                    </w:rPr>
                    <w:t>二十一</w:t>
                  </w:r>
                  <w:r>
                    <w:rPr>
                      <w:rFonts w:hint="default" w:ascii="Times New Roman" w:hAnsi="Times New Roman" w:eastAsia="宋体" w:cs="Times New Roman"/>
                      <w:color w:val="auto"/>
                      <w:sz w:val="21"/>
                      <w:szCs w:val="21"/>
                      <w:vertAlign w:val="baseline"/>
                      <w:lang w:val="en-US" w:eastAsia="zh-CN"/>
                    </w:rPr>
                    <w:t>条 在沙化土地范围内从事开发建设活动的，必须事先就该项目可能对当地及相关地区生态产生的影响进行环境影响评价，依法提交环境影响报告；环境影响报告应当包括有关防沙治沙的内容。</w:t>
                  </w:r>
                </w:p>
              </w:tc>
              <w:tc>
                <w:tcPr>
                  <w:tcW w:w="1208" w:type="pct"/>
                  <w:vAlign w:val="center"/>
                </w:tcPr>
                <w:p w14:paraId="357B851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本项目位于毛乌素沙地治理区。本次评价分析可能造成的生态影响，并提出保持水土、防治土地荒漠化及土地沙化的防治措施。</w:t>
                  </w:r>
                </w:p>
              </w:tc>
              <w:tc>
                <w:tcPr>
                  <w:tcW w:w="540" w:type="pct"/>
                  <w:vAlign w:val="center"/>
                </w:tcPr>
                <w:p w14:paraId="273C6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C7F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5CBBE3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2</w:t>
                  </w:r>
                </w:p>
              </w:tc>
              <w:tc>
                <w:tcPr>
                  <w:tcW w:w="1299" w:type="pct"/>
                  <w:vMerge w:val="restart"/>
                  <w:vAlign w:val="center"/>
                </w:tcPr>
                <w:p w14:paraId="38702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《陕西省煤炭石油天然气开发生态环境保护条例》</w:t>
                  </w:r>
                </w:p>
              </w:tc>
              <w:tc>
                <w:tcPr>
                  <w:tcW w:w="1620" w:type="pct"/>
                  <w:vAlign w:val="center"/>
                </w:tcPr>
                <w:p w14:paraId="7BE8A52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第十二条 省人民政府及其有关行政主管部门在编制能源产业发展规划和矿产资源开发规划时，应当按照本省国土空间规划、生态环境保护规划以及本省确定的生态保护红线、环境质量底线、资源利用上线和生态环境准入清单要求，合理确定煤炭、石油、天然气开发区域、规模和强度</w:t>
                  </w:r>
                </w:p>
              </w:tc>
              <w:tc>
                <w:tcPr>
                  <w:tcW w:w="1208" w:type="pct"/>
                  <w:vAlign w:val="center"/>
                </w:tcPr>
                <w:p w14:paraId="0EFBE70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本项目不涉及生态红线，项目满足环境质量底线、资源利用上线和生态环境准入清单要求</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33657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357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40C5A6B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2C928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13D2A4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第十三条 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208" w:type="pct"/>
                  <w:vAlign w:val="center"/>
                </w:tcPr>
                <w:p w14:paraId="13DF44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本项目位于榆林市</w:t>
                  </w:r>
                  <w:r>
                    <w:rPr>
                      <w:rFonts w:hint="eastAsia" w:ascii="Times New Roman" w:hAnsi="Times New Roman" w:eastAsia="宋体" w:cs="Times New Roman"/>
                      <w:color w:val="auto"/>
                      <w:sz w:val="21"/>
                      <w:szCs w:val="21"/>
                      <w:vertAlign w:val="baseline"/>
                      <w:lang w:val="en-US" w:eastAsia="zh-CN"/>
                    </w:rPr>
                    <w:t>佳县王家砭镇</w:t>
                  </w:r>
                  <w:r>
                    <w:rPr>
                      <w:rFonts w:hint="default" w:ascii="Times New Roman" w:hAnsi="Times New Roman" w:eastAsia="宋体" w:cs="Times New Roman"/>
                      <w:color w:val="auto"/>
                      <w:sz w:val="21"/>
                      <w:szCs w:val="21"/>
                      <w:vertAlign w:val="baseline"/>
                      <w:lang w:val="en-US" w:eastAsia="zh-CN"/>
                    </w:rPr>
                    <w:t>，勘探后</w:t>
                  </w:r>
                  <w:r>
                    <w:rPr>
                      <w:rFonts w:hint="eastAsia" w:ascii="Times New Roman" w:hAnsi="Times New Roman" w:eastAsia="宋体" w:cs="Times New Roman"/>
                      <w:color w:val="auto"/>
                      <w:sz w:val="21"/>
                      <w:szCs w:val="21"/>
                      <w:vertAlign w:val="baseline"/>
                      <w:lang w:val="en-US" w:eastAsia="zh-CN"/>
                    </w:rPr>
                    <w:t>若</w:t>
                  </w:r>
                  <w:r>
                    <w:rPr>
                      <w:rFonts w:hint="default" w:ascii="Times New Roman" w:hAnsi="Times New Roman" w:eastAsia="宋体" w:cs="Times New Roman"/>
                      <w:color w:val="auto"/>
                      <w:sz w:val="21"/>
                      <w:szCs w:val="21"/>
                      <w:vertAlign w:val="baseline"/>
                      <w:lang w:val="en-US" w:eastAsia="zh-CN"/>
                    </w:rPr>
                    <w:t>采取永久封井，</w:t>
                  </w:r>
                  <w:r>
                    <w:rPr>
                      <w:rFonts w:hint="eastAsia" w:ascii="Times New Roman" w:hAnsi="Times New Roman" w:eastAsia="宋体" w:cs="Times New Roman"/>
                      <w:color w:val="auto"/>
                      <w:sz w:val="21"/>
                      <w:szCs w:val="21"/>
                      <w:vertAlign w:val="baseline"/>
                      <w:lang w:val="en-US" w:eastAsia="zh-CN"/>
                    </w:rPr>
                    <w:t>则项目为临时占地；若</w:t>
                  </w:r>
                  <w:r>
                    <w:rPr>
                      <w:rFonts w:hint="default" w:ascii="Times New Roman" w:hAnsi="Times New Roman" w:eastAsia="宋体" w:cs="Times New Roman"/>
                      <w:color w:val="auto"/>
                      <w:sz w:val="21"/>
                      <w:szCs w:val="21"/>
                      <w:vertAlign w:val="baseline"/>
                      <w:lang w:val="en-US" w:eastAsia="zh-CN"/>
                    </w:rPr>
                    <w:t>采取临时封井，除预留转成生产井所需的面积</w:t>
                  </w:r>
                  <w:r>
                    <w:rPr>
                      <w:rFonts w:hint="eastAsia" w:ascii="Times New Roman" w:hAnsi="Times New Roman" w:eastAsia="宋体" w:cs="Times New Roman"/>
                      <w:color w:val="auto"/>
                      <w:sz w:val="21"/>
                      <w:szCs w:val="21"/>
                      <w:vertAlign w:val="baseline"/>
                      <w:lang w:val="en-US" w:eastAsia="zh-CN"/>
                    </w:rPr>
                    <w:t>为永久占地</w:t>
                  </w:r>
                  <w:r>
                    <w:rPr>
                      <w:rFonts w:hint="default" w:ascii="Times New Roman" w:hAnsi="Times New Roman" w:eastAsia="宋体" w:cs="Times New Roman"/>
                      <w:color w:val="auto"/>
                      <w:sz w:val="21"/>
                      <w:szCs w:val="21"/>
                      <w:vertAlign w:val="baseline"/>
                      <w:lang w:val="en-US" w:eastAsia="zh-CN"/>
                    </w:rPr>
                    <w:t>，其他区域</w:t>
                  </w:r>
                  <w:r>
                    <w:rPr>
                      <w:rFonts w:hint="eastAsia" w:ascii="Times New Roman" w:hAnsi="Times New Roman" w:eastAsia="宋体" w:cs="Times New Roman"/>
                      <w:color w:val="auto"/>
                      <w:sz w:val="21"/>
                      <w:szCs w:val="21"/>
                      <w:vertAlign w:val="baseline"/>
                      <w:lang w:val="en-US" w:eastAsia="zh-CN"/>
                    </w:rPr>
                    <w:t>为临时占地</w:t>
                  </w:r>
                  <w:r>
                    <w:rPr>
                      <w:rFonts w:hint="default" w:ascii="Times New Roman" w:hAnsi="Times New Roman" w:eastAsia="宋体" w:cs="Times New Roman"/>
                      <w:color w:val="auto"/>
                      <w:sz w:val="21"/>
                      <w:szCs w:val="21"/>
                      <w:vertAlign w:val="baseline"/>
                      <w:lang w:val="en-US" w:eastAsia="zh-CN"/>
                    </w:rPr>
                    <w:t>，不涉及重要水源涵养区、饮用水水源保护区，国家公园、自然保护区、风景名胜区、森林公园、地质公园、草原公园、湿地公园等自然公园、文物保护单位等区域</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1A375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893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19D5BAD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5D740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0913C7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第二十六条 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1208" w:type="pct"/>
                  <w:vAlign w:val="center"/>
                </w:tcPr>
                <w:p w14:paraId="0E7F95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本项目天然气勘探过程产生的钻井废水、压裂返排液等交</w:t>
                  </w:r>
                  <w:r>
                    <w:rPr>
                      <w:rFonts w:hint="eastAsia" w:ascii="Times New Roman" w:hAnsi="Times New Roman" w:eastAsia="宋体" w:cs="Times New Roman"/>
                      <w:color w:val="auto"/>
                      <w:sz w:val="21"/>
                      <w:szCs w:val="21"/>
                      <w:vertAlign w:val="baseline"/>
                      <w:lang w:val="en-US" w:eastAsia="zh-CN"/>
                    </w:rPr>
                    <w:t>陕西榆佳环保科技有限公司</w:t>
                  </w:r>
                  <w:r>
                    <w:rPr>
                      <w:rFonts w:hint="default" w:ascii="Times New Roman" w:hAnsi="Times New Roman" w:eastAsia="宋体" w:cs="Times New Roman"/>
                      <w:color w:val="auto"/>
                      <w:sz w:val="21"/>
                      <w:szCs w:val="21"/>
                      <w:vertAlign w:val="baseline"/>
                      <w:lang w:val="en-US" w:eastAsia="zh-CN"/>
                    </w:rPr>
                    <w:t>处置，</w:t>
                  </w: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明确处置责任及去向。</w:t>
                  </w:r>
                </w:p>
              </w:tc>
              <w:tc>
                <w:tcPr>
                  <w:tcW w:w="540" w:type="pct"/>
                  <w:vAlign w:val="center"/>
                </w:tcPr>
                <w:p w14:paraId="0670F3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44E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2232FD85">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1E094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6E72E58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第二十九条 煤炭、石油、天然气开发单位收集、贮存、运输、利用和处置危险废物，应当严格执行国家和本省有关规定，不得将危险废物交由不具备资质的单位处置</w:t>
                  </w:r>
                </w:p>
              </w:tc>
              <w:tc>
                <w:tcPr>
                  <w:tcW w:w="1208" w:type="pct"/>
                  <w:vAlign w:val="center"/>
                </w:tcPr>
                <w:p w14:paraId="33FAFE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本项目产生的危险废物委托有资质单位处理</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4815D1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CE9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617C142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2CB2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116EF934">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石油、天然气开发单位对开采过程中产生的废弃泥浆、岩屑等工业固体废物应当集中收集、处置</w:t>
                  </w:r>
                </w:p>
              </w:tc>
              <w:tc>
                <w:tcPr>
                  <w:tcW w:w="1208" w:type="pct"/>
                  <w:vAlign w:val="center"/>
                </w:tcPr>
                <w:p w14:paraId="6F27BFC1">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本项目施工场地设有移动式</w:t>
                  </w:r>
                  <w:r>
                    <w:rPr>
                      <w:rFonts w:hint="default" w:ascii="Times New Roman" w:hAnsi="Times New Roman" w:eastAsia="宋体" w:cs="Times New Roman"/>
                      <w:color w:val="auto"/>
                      <w:sz w:val="21"/>
                      <w:szCs w:val="21"/>
                    </w:rPr>
                    <w:t>泥饼和岩屑收集罐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对产生的废弃泥浆和岩屑进行集中收集，待施工结束后，</w:t>
                  </w:r>
                  <w:r>
                    <w:rPr>
                      <w:rFonts w:hint="default" w:ascii="Times New Roman" w:hAnsi="Times New Roman" w:eastAsia="宋体" w:cs="Times New Roman"/>
                      <w:color w:val="auto"/>
                      <w:sz w:val="21"/>
                      <w:szCs w:val="21"/>
                      <w:vertAlign w:val="baseline"/>
                      <w:lang w:val="en-US" w:eastAsia="zh-CN"/>
                    </w:rPr>
                    <w:t>项目开工前</w:t>
                  </w:r>
                  <w:r>
                    <w:rPr>
                      <w:rFonts w:hint="eastAsia" w:ascii="Times New Roman" w:hAnsi="Times New Roman" w:eastAsia="宋体" w:cs="Times New Roman"/>
                      <w:color w:val="auto"/>
                      <w:sz w:val="21"/>
                      <w:szCs w:val="21"/>
                      <w:vertAlign w:val="baseline"/>
                      <w:lang w:val="en-US" w:eastAsia="zh-CN"/>
                    </w:rPr>
                    <w:t>已同陕西德禾鑫盛环保科技有限公司</w:t>
                  </w:r>
                  <w:r>
                    <w:rPr>
                      <w:rFonts w:hint="default" w:ascii="Times New Roman" w:hAnsi="Times New Roman" w:eastAsia="宋体" w:cs="Times New Roman"/>
                      <w:color w:val="auto"/>
                      <w:sz w:val="21"/>
                      <w:szCs w:val="21"/>
                      <w:vertAlign w:val="baseline"/>
                      <w:lang w:val="en-US" w:eastAsia="zh-CN"/>
                    </w:rPr>
                    <w:t>签订处置合同，</w:t>
                  </w: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明确处置责任及去向</w:t>
                  </w:r>
                  <w:r>
                    <w:rPr>
                      <w:rFonts w:hint="eastAsia" w:cs="Times New Roman"/>
                      <w:color w:val="auto"/>
                      <w:sz w:val="21"/>
                      <w:szCs w:val="21"/>
                      <w:lang w:val="en-US" w:eastAsia="zh-CN"/>
                    </w:rPr>
                    <w:t>。</w:t>
                  </w:r>
                </w:p>
              </w:tc>
              <w:tc>
                <w:tcPr>
                  <w:tcW w:w="540" w:type="pct"/>
                  <w:vAlign w:val="center"/>
                </w:tcPr>
                <w:p w14:paraId="3F1A520A">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1DB3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0AFA21A7">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12F78E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423847DD">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天然气井选点测试放喷，应当综合考虑气候、风向、安全等因素合理选点，远离居民区和建筑物，排出的气体应当点燃焚烧</w:t>
                  </w:r>
                </w:p>
              </w:tc>
              <w:tc>
                <w:tcPr>
                  <w:tcW w:w="1208" w:type="pct"/>
                  <w:vAlign w:val="center"/>
                </w:tcPr>
                <w:p w14:paraId="1EB1AD46">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测试放喷的天然气经专用放喷管线引至</w:t>
                  </w:r>
                  <w:r>
                    <w:rPr>
                      <w:rFonts w:hint="eastAsia" w:cs="Times New Roman"/>
                      <w:color w:val="auto"/>
                      <w:sz w:val="21"/>
                      <w:szCs w:val="21"/>
                      <w:lang w:val="en-US" w:eastAsia="zh-CN"/>
                    </w:rPr>
                    <w:t>放喷池</w:t>
                  </w:r>
                  <w:r>
                    <w:rPr>
                      <w:rFonts w:hint="default" w:ascii="Times New Roman" w:hAnsi="Times New Roman" w:eastAsia="宋体" w:cs="Times New Roman"/>
                      <w:color w:val="auto"/>
                      <w:sz w:val="21"/>
                      <w:szCs w:val="21"/>
                      <w:lang w:val="en-US" w:eastAsia="zh-CN"/>
                    </w:rPr>
                    <w:t>后点火燃烧，放喷时要选择合适的时间，在天气晴朗且风较大的天气进行，便于废气扩散</w:t>
                  </w:r>
                  <w:r>
                    <w:rPr>
                      <w:rFonts w:hint="eastAsia" w:cs="Times New Roman"/>
                      <w:color w:val="auto"/>
                      <w:sz w:val="21"/>
                      <w:szCs w:val="21"/>
                      <w:lang w:val="en-US" w:eastAsia="zh-CN"/>
                    </w:rPr>
                    <w:t>。</w:t>
                  </w:r>
                </w:p>
              </w:tc>
              <w:tc>
                <w:tcPr>
                  <w:tcW w:w="540" w:type="pct"/>
                  <w:vAlign w:val="center"/>
                </w:tcPr>
                <w:p w14:paraId="45E732A2">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6AB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5F70070E">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2E4ED2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687654EE">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煤炭、石油、天然气勘探开发中使用放射性同位素和射线装置的，应当依照放射性污染防治法律、法规的规定办理辐射安全许可证。放射性同位素和放射性废物的运输、储存、保管和封装等活动，按照放射性污染防治法律、法规的相关规定执行</w:t>
                  </w:r>
                </w:p>
              </w:tc>
              <w:tc>
                <w:tcPr>
                  <w:tcW w:w="1208" w:type="pct"/>
                  <w:vAlign w:val="center"/>
                </w:tcPr>
                <w:p w14:paraId="4B9C2804">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本次天然气勘探不使用放射性同位素和射线装置</w:t>
                  </w:r>
                  <w:r>
                    <w:rPr>
                      <w:rFonts w:hint="eastAsia" w:cs="Times New Roman"/>
                      <w:color w:val="auto"/>
                      <w:sz w:val="21"/>
                      <w:szCs w:val="21"/>
                      <w:lang w:val="en-US" w:eastAsia="zh-CN"/>
                    </w:rPr>
                    <w:t>。</w:t>
                  </w:r>
                </w:p>
              </w:tc>
              <w:tc>
                <w:tcPr>
                  <w:tcW w:w="540" w:type="pct"/>
                  <w:vAlign w:val="center"/>
                </w:tcPr>
                <w:p w14:paraId="285757CD">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32B6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0C1FDE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3</w:t>
                  </w:r>
                </w:p>
              </w:tc>
              <w:tc>
                <w:tcPr>
                  <w:tcW w:w="1299" w:type="pct"/>
                  <w:vMerge w:val="restart"/>
                  <w:vAlign w:val="center"/>
                </w:tcPr>
                <w:p w14:paraId="2D5F0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《石油天然气开采业污染防治技术政策》</w:t>
                  </w:r>
                </w:p>
              </w:tc>
              <w:tc>
                <w:tcPr>
                  <w:tcW w:w="1620" w:type="pct"/>
                  <w:vAlign w:val="center"/>
                </w:tcPr>
                <w:p w14:paraId="20394A2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在环境敏感区进行石油天然气勘探、开采的，要在开发前对生态、环境影响进行充分论证，并严格执行环境影响评价文件的要求，积极采取缓解生态、环境破坏的措施</w:t>
                  </w:r>
                </w:p>
              </w:tc>
              <w:tc>
                <w:tcPr>
                  <w:tcW w:w="1208" w:type="pct"/>
                  <w:vAlign w:val="center"/>
                </w:tcPr>
                <w:p w14:paraId="0994125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本项目在钻井前进行环境影响评价，并积极采取生态保护与恢复措施</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1FBFE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9ED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6369D61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439D60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3A5C64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在油气勘探过程中，宜使用环保型炸药和可控震源，应采取防渗等措施预防燃料泄漏对环境的污染</w:t>
                  </w:r>
                </w:p>
              </w:tc>
              <w:tc>
                <w:tcPr>
                  <w:tcW w:w="1208" w:type="pct"/>
                  <w:vAlign w:val="center"/>
                </w:tcPr>
                <w:p w14:paraId="788185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项目属于气探井工程，勘探方式为钻探井，钻机采用</w:t>
                  </w:r>
                  <w:r>
                    <w:rPr>
                      <w:rFonts w:hint="eastAsia" w:ascii="Times New Roman" w:hAnsi="Times New Roman" w:eastAsia="宋体" w:cs="Times New Roman"/>
                      <w:color w:val="auto"/>
                      <w:sz w:val="21"/>
                      <w:szCs w:val="21"/>
                      <w:vertAlign w:val="baseline"/>
                      <w:lang w:val="en-US" w:eastAsia="zh-CN"/>
                    </w:rPr>
                    <w:t>电驱动机</w:t>
                  </w:r>
                  <w:r>
                    <w:rPr>
                      <w:rFonts w:hint="default" w:ascii="Times New Roman" w:hAnsi="Times New Roman" w:eastAsia="宋体" w:cs="Times New Roman"/>
                      <w:color w:val="auto"/>
                      <w:sz w:val="21"/>
                      <w:szCs w:val="21"/>
                      <w:vertAlign w:val="baseline"/>
                      <w:lang w:val="en-US" w:eastAsia="zh-CN"/>
                    </w:rPr>
                    <w:t>。</w:t>
                  </w:r>
                </w:p>
              </w:tc>
              <w:tc>
                <w:tcPr>
                  <w:tcW w:w="540" w:type="pct"/>
                  <w:vAlign w:val="center"/>
                </w:tcPr>
                <w:p w14:paraId="487673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ADF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1B05F26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74220A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5ECCB19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钻井过程中，鼓励采用环境友好的钻井液体系；配备完善的固控设备，钻井液循环率达到95%以上；钻井过程产生的废水应回用</w:t>
                  </w:r>
                </w:p>
              </w:tc>
              <w:tc>
                <w:tcPr>
                  <w:tcW w:w="1208" w:type="pct"/>
                  <w:vAlign w:val="center"/>
                </w:tcPr>
                <w:p w14:paraId="5578BF6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本项目使用水基钻井泥浆，钻井废水用于配置泥浆，循环使用，钻井液循环使用率要求达到95%以上</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00AA5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9C3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21D05AD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0B130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137FAEE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在井下作业过程中，酸化液和压裂液宜集中配制，酸化残液、压裂残液和返排液应回收利用或进行无害化处置，压裂放喷返排入罐率应达到100%。酸化、压裂作业和</w:t>
                  </w:r>
                  <w:r>
                    <w:rPr>
                      <w:rFonts w:hint="eastAsia" w:ascii="Times New Roman" w:hAnsi="Times New Roman" w:eastAsia="宋体" w:cs="Times New Roman"/>
                      <w:color w:val="auto"/>
                      <w:kern w:val="0"/>
                      <w:sz w:val="21"/>
                      <w:szCs w:val="21"/>
                      <w:lang w:val="en-US" w:eastAsia="zh-CN" w:bidi="ar"/>
                    </w:rPr>
                    <w:t>试气</w:t>
                  </w:r>
                  <w:r>
                    <w:rPr>
                      <w:rFonts w:hint="default" w:ascii="Times New Roman" w:hAnsi="Times New Roman" w:eastAsia="宋体" w:cs="Times New Roman"/>
                      <w:color w:val="auto"/>
                      <w:kern w:val="0"/>
                      <w:sz w:val="21"/>
                      <w:szCs w:val="21"/>
                      <w:lang w:val="en-US" w:eastAsia="zh-CN" w:bidi="ar"/>
                    </w:rPr>
                    <w:t>（气）过程应采取防喷、地面管线防刺、防漏、防溢等措施</w:t>
                  </w:r>
                </w:p>
              </w:tc>
              <w:tc>
                <w:tcPr>
                  <w:tcW w:w="1208" w:type="pct"/>
                  <w:vAlign w:val="center"/>
                </w:tcPr>
                <w:p w14:paraId="5C9698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本项目压裂返排液等交</w:t>
                  </w:r>
                  <w:r>
                    <w:rPr>
                      <w:rFonts w:hint="eastAsia" w:ascii="Times New Roman" w:hAnsi="Times New Roman" w:eastAsia="宋体" w:cs="Times New Roman"/>
                      <w:color w:val="auto"/>
                      <w:sz w:val="21"/>
                      <w:szCs w:val="21"/>
                      <w:highlight w:val="none"/>
                      <w:vertAlign w:val="baseline"/>
                      <w:lang w:val="en-US" w:eastAsia="zh-CN"/>
                    </w:rPr>
                    <w:t>陕西榆佳环保科技有限公司处置</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lang w:val="en-US" w:eastAsia="zh-CN" w:bidi="ar"/>
                    </w:rPr>
                    <w:t>压裂作业和试气过程采取防喷、地面管线防刺、防漏、防溢等措施。本项目勘探过程中不涉及酸化作业</w:t>
                  </w:r>
                  <w:r>
                    <w:rPr>
                      <w:rFonts w:hint="eastAsia" w:ascii="Times New Roman" w:hAnsi="Times New Roman" w:eastAsia="宋体" w:cs="Times New Roman"/>
                      <w:color w:val="auto"/>
                      <w:kern w:val="0"/>
                      <w:sz w:val="21"/>
                      <w:szCs w:val="21"/>
                      <w:highlight w:val="none"/>
                      <w:lang w:val="en-US" w:eastAsia="zh-CN" w:bidi="ar"/>
                    </w:rPr>
                    <w:t>。</w:t>
                  </w:r>
                </w:p>
              </w:tc>
              <w:tc>
                <w:tcPr>
                  <w:tcW w:w="540" w:type="pct"/>
                  <w:vAlign w:val="center"/>
                </w:tcPr>
                <w:p w14:paraId="1F954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9D6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67AED3B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696D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66B2870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208" w:type="pct"/>
                  <w:vAlign w:val="center"/>
                </w:tcPr>
                <w:p w14:paraId="5CC4A8D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本项目突发环境事件应急预案纳入中国石油天然气股份有限公司长庆油田分公司突发环境事件应急预案中。</w:t>
                  </w:r>
                </w:p>
              </w:tc>
              <w:tc>
                <w:tcPr>
                  <w:tcW w:w="540" w:type="pct"/>
                  <w:vAlign w:val="center"/>
                </w:tcPr>
                <w:p w14:paraId="45F656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67D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33DD67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4</w:t>
                  </w:r>
                </w:p>
              </w:tc>
              <w:tc>
                <w:tcPr>
                  <w:tcW w:w="1299" w:type="pct"/>
                  <w:vMerge w:val="restart"/>
                  <w:vAlign w:val="center"/>
                </w:tcPr>
                <w:p w14:paraId="7B898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《生态环境部关于进一步加强石油天然气行业环境影响评价管理的通知》</w:t>
                  </w:r>
                </w:p>
              </w:tc>
              <w:tc>
                <w:tcPr>
                  <w:tcW w:w="1620" w:type="pct"/>
                  <w:vAlign w:val="center"/>
                </w:tcPr>
                <w:p w14:paraId="719CFAC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kern w:val="0"/>
                      <w:sz w:val="21"/>
                      <w:szCs w:val="21"/>
                      <w:lang w:val="en-US" w:eastAsia="zh-CN" w:bidi="ar"/>
                    </w:rPr>
                    <w:t>规划环评应当结合油气开发区域的资源环境特征、主体功能区规划、自然保护地、生态保护红线管控等要求，切实维护生态系统完整性和稳定性，明确禁止开发区域和规划实施的资源环境制约因素，合理确定开发方案，明确预防和减轻不良环境影响的对策措施</w:t>
                  </w:r>
                </w:p>
              </w:tc>
              <w:tc>
                <w:tcPr>
                  <w:tcW w:w="1208" w:type="pct"/>
                  <w:vAlign w:val="center"/>
                </w:tcPr>
                <w:p w14:paraId="51259E1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w:t>
                  </w:r>
                  <w:r>
                    <w:rPr>
                      <w:rFonts w:hint="eastAsia" w:ascii="Times New Roman" w:hAnsi="Times New Roman" w:eastAsia="宋体" w:cs="Times New Roman"/>
                      <w:color w:val="auto"/>
                      <w:sz w:val="21"/>
                      <w:szCs w:val="21"/>
                      <w:vertAlign w:val="baseline"/>
                      <w:lang w:val="en-US" w:eastAsia="zh-CN"/>
                    </w:rPr>
                    <w:t>等。</w:t>
                  </w:r>
                </w:p>
              </w:tc>
              <w:tc>
                <w:tcPr>
                  <w:tcW w:w="540" w:type="pct"/>
                  <w:vAlign w:val="center"/>
                </w:tcPr>
                <w:p w14:paraId="69CB6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2FC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7B0FA749">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8B4F3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2434DDC6">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（五）</w:t>
                  </w:r>
                  <w:r>
                    <w:rPr>
                      <w:rFonts w:hint="default" w:ascii="Times New Roman" w:hAnsi="Times New Roman" w:eastAsia="宋体" w:cs="Times New Roman"/>
                      <w:color w:val="auto"/>
                      <w:kern w:val="0"/>
                      <w:sz w:val="21"/>
                      <w:szCs w:val="21"/>
                      <w:lang w:val="en-US" w:eastAsia="zh-CN" w:bidi="ar"/>
                    </w:rPr>
                    <w:t>未确定产能建设规模的陆地油气开采新区块，建设勘探井应当依法编制环境影响报告表</w:t>
                  </w:r>
                </w:p>
              </w:tc>
              <w:tc>
                <w:tcPr>
                  <w:tcW w:w="1208" w:type="pct"/>
                  <w:vAlign w:val="center"/>
                </w:tcPr>
                <w:p w14:paraId="79824CA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本项目区块勘探层位目前尚未确定产能</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本项目所在气田主要开发上古气，层位主要有山西组山2、石盒子组盒8等。本次勘探层位属于石炭系上统本溪组。</w:t>
                  </w:r>
                  <w:r>
                    <w:rPr>
                      <w:rFonts w:hint="default" w:ascii="Times New Roman" w:hAnsi="Times New Roman" w:eastAsia="宋体" w:cs="Times New Roman"/>
                      <w:color w:val="auto"/>
                      <w:sz w:val="21"/>
                      <w:szCs w:val="21"/>
                      <w:vertAlign w:val="baseline"/>
                      <w:lang w:val="en-US" w:eastAsia="zh-CN"/>
                    </w:rPr>
                    <w:t>为给后期产能项目提供依据设本次评价井，并委托编制环境影响报告表。</w:t>
                  </w:r>
                </w:p>
              </w:tc>
              <w:tc>
                <w:tcPr>
                  <w:tcW w:w="540" w:type="pct"/>
                  <w:vAlign w:val="center"/>
                </w:tcPr>
                <w:p w14:paraId="29999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E5B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7491F22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47DBD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11E743D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（七）</w:t>
                  </w:r>
                  <w:r>
                    <w:rPr>
                      <w:rFonts w:hint="default" w:ascii="Times New Roman" w:hAnsi="Times New Roman" w:eastAsia="宋体" w:cs="Times New Roman"/>
                      <w:color w:val="auto"/>
                      <w:kern w:val="0"/>
                      <w:sz w:val="21"/>
                      <w:szCs w:val="21"/>
                      <w:lang w:val="en-US" w:eastAsia="zh-CN" w:bidi="ar"/>
                    </w:rPr>
                    <w:t>涉及向地表水体排放污染物的陆地油气开采项目，应当符合国家和地方污染物排放标准，满足重点污染物排放总量控制要求</w:t>
                  </w:r>
                </w:p>
              </w:tc>
              <w:tc>
                <w:tcPr>
                  <w:tcW w:w="1208" w:type="pct"/>
                  <w:vAlign w:val="center"/>
                </w:tcPr>
                <w:p w14:paraId="385D2F4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本项目生活污水和施工废水均不外排</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65E313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F3E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479FC65E">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0E0AE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408CE26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（九）</w:t>
                  </w:r>
                  <w:r>
                    <w:rPr>
                      <w:rFonts w:hint="default" w:ascii="Times New Roman" w:hAnsi="Times New Roman" w:eastAsia="宋体" w:cs="Times New Roman"/>
                      <w:color w:val="auto"/>
                      <w:kern w:val="0"/>
                      <w:sz w:val="21"/>
                      <w:szCs w:val="21"/>
                      <w:lang w:val="en-US" w:eastAsia="zh-CN" w:bidi="ar"/>
                    </w:rPr>
                    <w:t>油气开采产生的废弃油基泥浆、含油钻屑及其他固体废物，应当遵循减量化、资源化、无害化原则，按照国家和地方有关固体废物的管理规定进行处置</w:t>
                  </w:r>
                </w:p>
              </w:tc>
              <w:tc>
                <w:tcPr>
                  <w:tcW w:w="1208" w:type="pct"/>
                  <w:vAlign w:val="center"/>
                </w:tcPr>
                <w:p w14:paraId="07BA50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本项目采用水基泥浆钻井液，不产生废弃油基泥浆、含油钻屑</w:t>
                  </w:r>
                  <w:r>
                    <w:rPr>
                      <w:rFonts w:hint="eastAsia" w:ascii="Times New Roman" w:hAnsi="Times New Roman" w:eastAsia="宋体" w:cs="Times New Roman"/>
                      <w:color w:val="auto"/>
                      <w:sz w:val="21"/>
                      <w:szCs w:val="21"/>
                      <w:vertAlign w:val="baseline"/>
                      <w:lang w:val="en-US" w:eastAsia="zh-CN"/>
                    </w:rPr>
                    <w:t>和其他废物。</w:t>
                  </w:r>
                </w:p>
              </w:tc>
              <w:tc>
                <w:tcPr>
                  <w:tcW w:w="540" w:type="pct"/>
                  <w:vAlign w:val="center"/>
                </w:tcPr>
                <w:p w14:paraId="4B2E5F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4DF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63105881">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075F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407E58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w:t>
                  </w:r>
                  <w:r>
                    <w:rPr>
                      <w:rFonts w:hint="default" w:ascii="Times New Roman" w:hAnsi="Times New Roman" w:eastAsia="宋体" w:cs="Times New Roman"/>
                      <w:color w:val="auto"/>
                      <w:kern w:val="0"/>
                      <w:sz w:val="21"/>
                      <w:szCs w:val="21"/>
                      <w:lang w:val="en-US" w:eastAsia="zh-CN" w:bidi="ar"/>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208" w:type="pct"/>
                  <w:vAlign w:val="center"/>
                </w:tcPr>
                <w:p w14:paraId="2CBB704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本项目采用电驱动钻井，钻井过程中不会产生有机废气及恶臭气体。</w:t>
                  </w:r>
                </w:p>
              </w:tc>
              <w:tc>
                <w:tcPr>
                  <w:tcW w:w="540" w:type="pct"/>
                  <w:vAlign w:val="center"/>
                </w:tcPr>
                <w:p w14:paraId="0E266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513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249DA3B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581B5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06555EF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（十一）</w:t>
                  </w:r>
                  <w:r>
                    <w:rPr>
                      <w:rFonts w:hint="default" w:ascii="Times New Roman" w:hAnsi="Times New Roman" w:eastAsia="宋体" w:cs="Times New Roman"/>
                      <w:color w:val="auto"/>
                      <w:kern w:val="0"/>
                      <w:sz w:val="21"/>
                      <w:szCs w:val="21"/>
                      <w:lang w:val="en-US" w:eastAsia="zh-CN" w:bidi="ar"/>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208" w:type="pct"/>
                  <w:vAlign w:val="center"/>
                </w:tcPr>
                <w:p w14:paraId="6F89A6F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项目选址合理，施工期较短，项目地周边100m范围内无环境敏感目标。项目选用低噪声设备，勘探结束后进行生态恢复</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3395F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E9D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321A84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5</w:t>
                  </w:r>
                </w:p>
              </w:tc>
              <w:tc>
                <w:tcPr>
                  <w:tcW w:w="1299" w:type="pct"/>
                  <w:vMerge w:val="restart"/>
                  <w:vAlign w:val="center"/>
                </w:tcPr>
                <w:p w14:paraId="573CE9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《陕西省石油天然气开采项目环境影响评价文件审批要点》</w:t>
                  </w:r>
                </w:p>
              </w:tc>
              <w:tc>
                <w:tcPr>
                  <w:tcW w:w="1620" w:type="pct"/>
                  <w:vAlign w:val="center"/>
                </w:tcPr>
                <w:p w14:paraId="6BD8E77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208" w:type="pct"/>
                  <w:vAlign w:val="center"/>
                </w:tcPr>
                <w:p w14:paraId="3E5B4B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vertAlign w:val="baseline"/>
                      <w:lang w:val="en-US" w:eastAsia="zh-CN"/>
                    </w:rPr>
                    <w:t>项目不涉及生态红线，不涉及水源涵养区、饮用水水源保护区，国家公园，自然保护区，风景名胜区、森林公园、地质公园、湿地公园等自然公园、文物保护单位等</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3E56D5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192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2C3B8861">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077D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6D8D5777">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油气开采企业应对永久停用、拆除或弃置的各类井、管道等工程设施落实封堵、土壤及地下水修复、生态修复等措施</w:t>
                  </w:r>
                </w:p>
              </w:tc>
              <w:tc>
                <w:tcPr>
                  <w:tcW w:w="1208" w:type="pct"/>
                  <w:vAlign w:val="center"/>
                </w:tcPr>
                <w:p w14:paraId="23A0F4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w:t>
                  </w:r>
                  <w:r>
                    <w:rPr>
                      <w:rFonts w:hint="default" w:ascii="Times New Roman" w:hAnsi="Times New Roman" w:eastAsia="宋体" w:cs="Times New Roman"/>
                      <w:color w:val="auto"/>
                      <w:sz w:val="21"/>
                      <w:szCs w:val="21"/>
                      <w:vertAlign w:val="baseline"/>
                      <w:lang w:val="en-US" w:eastAsia="zh-CN"/>
                    </w:rPr>
                    <w:t>项目，当</w:t>
                  </w:r>
                  <w:r>
                    <w:rPr>
                      <w:rFonts w:hint="eastAsia" w:ascii="Times New Roman" w:hAnsi="Times New Roman" w:eastAsia="宋体" w:cs="Times New Roman"/>
                      <w:color w:val="auto"/>
                      <w:sz w:val="21"/>
                      <w:szCs w:val="21"/>
                      <w:vertAlign w:val="baseline"/>
                      <w:lang w:val="en-US" w:eastAsia="zh-CN"/>
                    </w:rPr>
                    <w:t>评价</w:t>
                  </w:r>
                  <w:r>
                    <w:rPr>
                      <w:rFonts w:hint="default" w:ascii="Times New Roman" w:hAnsi="Times New Roman" w:eastAsia="宋体" w:cs="Times New Roman"/>
                      <w:color w:val="auto"/>
                      <w:sz w:val="21"/>
                      <w:szCs w:val="21"/>
                      <w:vertAlign w:val="baseline"/>
                      <w:lang w:val="en-US" w:eastAsia="zh-CN"/>
                    </w:rPr>
                    <w:t>井不具有开发价值时，采取永久封井，对井场临时占地以及进场道路恢复原状；当勘探井具有开发价值时，采取临时封井，除预留转成生产井所需的面积外，保留临时拓宽道路，其他区域恢复原有植被和生态景观，使区域生态景观和谐一致</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495DC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B64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2F084ED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5BE77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258D41B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涉及废水回注的油气开采项目，应当论证回注的环境可行性，不得回注与油气开采无关的废水</w:t>
                  </w:r>
                </w:p>
              </w:tc>
              <w:tc>
                <w:tcPr>
                  <w:tcW w:w="1208" w:type="pct"/>
                  <w:vAlign w:val="center"/>
                </w:tcPr>
                <w:p w14:paraId="637DAFA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w:t>
                  </w:r>
                  <w:r>
                    <w:rPr>
                      <w:rFonts w:hint="default" w:ascii="Times New Roman" w:hAnsi="Times New Roman" w:eastAsia="宋体" w:cs="Times New Roman"/>
                      <w:color w:val="auto"/>
                      <w:sz w:val="21"/>
                      <w:szCs w:val="21"/>
                      <w:vertAlign w:val="baseline"/>
                      <w:lang w:val="en-US" w:eastAsia="zh-CN"/>
                    </w:rPr>
                    <w:t>项目，不涉及废水回注</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736DBD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0A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2A51EF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6</w:t>
                  </w:r>
                </w:p>
              </w:tc>
              <w:tc>
                <w:tcPr>
                  <w:tcW w:w="1299" w:type="pct"/>
                  <w:vAlign w:val="center"/>
                </w:tcPr>
                <w:p w14:paraId="3E400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《陕西省加强陕北地区环境保护的若干意见》</w:t>
                  </w:r>
                </w:p>
              </w:tc>
              <w:tc>
                <w:tcPr>
                  <w:tcW w:w="1620" w:type="pct"/>
                  <w:vAlign w:val="center"/>
                </w:tcPr>
                <w:p w14:paraId="73200EA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城市规划区、生态防护区、试验区、自然保护区内不得开采煤、气、油、盐；城市饮用水水源一、二级保护区、革命圣地遗址、风景名胜区等具有特殊保护价值的地区，不得新建各类有污染的项目</w:t>
                  </w:r>
                </w:p>
              </w:tc>
              <w:tc>
                <w:tcPr>
                  <w:tcW w:w="1208" w:type="pct"/>
                  <w:vAlign w:val="center"/>
                </w:tcPr>
                <w:p w14:paraId="7D5943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项目建设内容不在城市规划区、生态防护区、试验区、自然保护区、一二级水源保护区内、革命圣地遗址、风景名胜区等具有特殊保护价值的地区内</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1A01F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154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2118B1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7</w:t>
                  </w:r>
                </w:p>
              </w:tc>
              <w:tc>
                <w:tcPr>
                  <w:tcW w:w="1299" w:type="pct"/>
                  <w:vAlign w:val="center"/>
                </w:tcPr>
                <w:p w14:paraId="7A4505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《陕西省防沙治沙规划（2021-2030年）》</w:t>
                  </w:r>
                </w:p>
              </w:tc>
              <w:tc>
                <w:tcPr>
                  <w:tcW w:w="1620" w:type="pct"/>
                  <w:shd w:val="clear" w:color="auto" w:fill="auto"/>
                  <w:vAlign w:val="center"/>
                </w:tcPr>
                <w:p w14:paraId="49E20DD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四）黄土(丘陵)覆沙治理区本区地处长城沿线毛乌素沙地治理区东南，包括榆阳、横山、神木、府谷、佳县5个县(市、区)46个乡镇，总面积920091.25公顷，占规划总面积的25.02%，其中沙化土地面积57931.05公顷。本区为沙地与黄土梁峁的过渡带，沟壑纵横深切，梁涧兼存，尤其是黄河沿线石质山区地势陡峭，侵蚀模数大;该区气候干燥，有效降水少，植被覆盖率低，水蚀、风蚀荒漠化并存。</w:t>
                  </w:r>
                </w:p>
                <w:p w14:paraId="0DFAB93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主攻方向</w:t>
                  </w:r>
                  <w:r>
                    <w:rPr>
                      <w:rFonts w:hint="eastAsia" w:ascii="Times New Roman" w:hAnsi="Times New Roman" w:eastAsia="宋体" w:cs="Times New Roman"/>
                      <w:b/>
                      <w:b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保持水土，防治土地荒漠化和沙化。加强困难立地造林和飞播造林技术研究示范。重点营造防风固沙林和水土保持林，发展兼有生态经济功用的树种，加大经济林提质增效力度。环城市矿区、乡镇、村庄营造景观防护林，农田、河道营造农田防护林、护岸林，加快绿化速度，提高植被覆盖度</w:t>
                  </w:r>
                  <w:r>
                    <w:rPr>
                      <w:rFonts w:hint="eastAsia" w:ascii="Times New Roman" w:hAnsi="Times New Roman" w:eastAsia="宋体" w:cs="Times New Roman"/>
                      <w:color w:val="auto"/>
                      <w:kern w:val="0"/>
                      <w:sz w:val="21"/>
                      <w:szCs w:val="21"/>
                      <w:lang w:val="en-US" w:eastAsia="zh-CN" w:bidi="ar"/>
                    </w:rPr>
                    <w:t>。</w:t>
                  </w:r>
                </w:p>
              </w:tc>
              <w:tc>
                <w:tcPr>
                  <w:tcW w:w="1208" w:type="pct"/>
                  <w:shd w:val="clear" w:color="auto" w:fill="auto"/>
                  <w:vAlign w:val="center"/>
                </w:tcPr>
                <w:p w14:paraId="2441701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本项目位于佳县王家砭镇。根据陕西省防沙治沙规划（2021-2030年）附表5，本项目位于黄土（丘陵）覆沙治理区，不涉及沙化土地封禁保区。本报告已提出保持水土、防治土地荒漠化及土地沙化的防治措施。</w:t>
                  </w:r>
                </w:p>
              </w:tc>
              <w:tc>
                <w:tcPr>
                  <w:tcW w:w="540" w:type="pct"/>
                  <w:vAlign w:val="center"/>
                </w:tcPr>
                <w:p w14:paraId="4C60C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94F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2CF0C0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8</w:t>
                  </w:r>
                </w:p>
              </w:tc>
              <w:tc>
                <w:tcPr>
                  <w:tcW w:w="1299" w:type="pct"/>
                  <w:vAlign w:val="center"/>
                </w:tcPr>
                <w:p w14:paraId="1CB86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《陕西省固体废物污染防治专项整治行动方案》</w:t>
                  </w:r>
                </w:p>
              </w:tc>
              <w:tc>
                <w:tcPr>
                  <w:tcW w:w="1620" w:type="pct"/>
                  <w:vAlign w:val="center"/>
                </w:tcPr>
                <w:p w14:paraId="5A3A147B">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落实产废企业污染防治主体责任。固体废物产生企业要对固体废物处置全过程负责，细化管理台账、落实申报登记制度，如实申报固体废物利用处置最终去向，实行申报登记信息承诺制，向社会公开固体废物产生种类、数量、利用、处置情况及承诺书等信息，接受社会监督</w:t>
                  </w:r>
                </w:p>
              </w:tc>
              <w:tc>
                <w:tcPr>
                  <w:tcW w:w="1208" w:type="pct"/>
                  <w:vAlign w:val="center"/>
                </w:tcPr>
                <w:p w14:paraId="3E46B55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项目产生的废弃岩屑、泥饼运输过程实施全程GPS定位及监控，严禁运输过程中随意掩埋、抛洒废弃钻井岩屑、泥饼。</w:t>
                  </w:r>
                  <w:r>
                    <w:rPr>
                      <w:rFonts w:hint="eastAsia" w:ascii="Times New Roman" w:hAnsi="Times New Roman" w:eastAsia="宋体" w:cs="Times New Roman"/>
                      <w:color w:val="auto"/>
                      <w:sz w:val="21"/>
                      <w:szCs w:val="21"/>
                      <w:vertAlign w:val="baseline"/>
                      <w:lang w:val="en-US" w:eastAsia="zh-CN"/>
                    </w:rPr>
                    <w:t>陕西德禾鑫盛环保科技有限公司</w:t>
                  </w:r>
                  <w:r>
                    <w:rPr>
                      <w:rFonts w:hint="default" w:ascii="Times New Roman" w:hAnsi="Times New Roman" w:eastAsia="宋体" w:cs="Times New Roman"/>
                      <w:color w:val="auto"/>
                      <w:sz w:val="21"/>
                      <w:szCs w:val="21"/>
                      <w:vertAlign w:val="baseline"/>
                      <w:lang w:val="en-US" w:eastAsia="zh-CN"/>
                    </w:rPr>
                    <w:t>负责废弃泥饼、岩屑从产生地至合法处置场之间的运输以及运输过程中的污染防治，并应按照规定向榆林市生态环境局佳县分局提供废物的产生量、实际流向和处置等有关资料。</w:t>
                  </w:r>
                </w:p>
              </w:tc>
              <w:tc>
                <w:tcPr>
                  <w:tcW w:w="540" w:type="pct"/>
                  <w:vAlign w:val="center"/>
                </w:tcPr>
                <w:p w14:paraId="1A29D0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F43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01552E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9</w:t>
                  </w:r>
                </w:p>
              </w:tc>
              <w:tc>
                <w:tcPr>
                  <w:tcW w:w="1299" w:type="pct"/>
                  <w:vAlign w:val="center"/>
                </w:tcPr>
                <w:p w14:paraId="085B2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《榆林市油田开采废弃物不落地集中处置推广项目建设管理指南（试行）的通知》</w:t>
                  </w:r>
                </w:p>
              </w:tc>
              <w:tc>
                <w:tcPr>
                  <w:tcW w:w="1620" w:type="pct"/>
                  <w:vAlign w:val="center"/>
                </w:tcPr>
                <w:p w14:paraId="240B472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钻井现场配备移动式泥浆罐（槽）、振动筛、废弃泥浆混凝压滤机等预处理设备，泥渣、岩屑堆放场完成底部防渗处理，设置50公分防水围堰及堆场遮盖防雨设施。废弃泥浆岩屑经破乳、混凝、压滤后，含水率不高于50%，</w:t>
                  </w:r>
                  <w:r>
                    <w:rPr>
                      <w:rFonts w:hint="default" w:ascii="Times New Roman" w:hAnsi="Times New Roman" w:eastAsia="宋体" w:cs="Times New Roman"/>
                      <w:color w:val="auto"/>
                      <w:kern w:val="0"/>
                      <w:sz w:val="21"/>
                      <w:szCs w:val="21"/>
                      <w:lang w:val="en-US" w:eastAsia="zh-CN" w:bidi="ar"/>
                    </w:rPr>
                    <w:t>固相、液相废弃物在井场完井后10天内必须运往推广区域集中处置场所。</w:t>
                  </w:r>
                  <w:r>
                    <w:rPr>
                      <w:rFonts w:hint="default" w:ascii="Times New Roman" w:hAnsi="Times New Roman" w:eastAsia="宋体" w:cs="Times New Roman"/>
                      <w:color w:val="auto"/>
                      <w:kern w:val="0"/>
                      <w:sz w:val="21"/>
                      <w:szCs w:val="21"/>
                      <w:lang w:val="en-US" w:eastAsia="zh-CN" w:bidi="ar"/>
                    </w:rPr>
                    <w:t>废弃泥浆上清液、压裂返排液、渗滤收集液统一收集，送联合站、试点项目或集中处置站处理后回用于配制钻井液或压裂液，剩余部分由回注井实施同层达标回注</w:t>
                  </w:r>
                </w:p>
              </w:tc>
              <w:tc>
                <w:tcPr>
                  <w:tcW w:w="1208" w:type="pct"/>
                  <w:vAlign w:val="center"/>
                </w:tcPr>
                <w:p w14:paraId="757BA8D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本项目气井</w:t>
                  </w:r>
                  <w:r>
                    <w:rPr>
                      <w:rFonts w:hint="eastAsia" w:ascii="Times New Roman" w:hAnsi="Times New Roman" w:eastAsia="宋体" w:cs="Times New Roman"/>
                      <w:color w:val="auto"/>
                      <w:sz w:val="21"/>
                      <w:szCs w:val="21"/>
                      <w:vertAlign w:val="baseline"/>
                      <w:lang w:val="en-US" w:eastAsia="zh-CN"/>
                    </w:rPr>
                    <w:t>钻井</w:t>
                  </w:r>
                  <w:r>
                    <w:rPr>
                      <w:rFonts w:hint="default" w:ascii="Times New Roman" w:hAnsi="Times New Roman" w:eastAsia="宋体" w:cs="Times New Roman"/>
                      <w:color w:val="auto"/>
                      <w:sz w:val="21"/>
                      <w:szCs w:val="21"/>
                      <w:vertAlign w:val="baseline"/>
                      <w:lang w:val="en-US" w:eastAsia="zh-CN"/>
                    </w:rPr>
                    <w:t>现场设置</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100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移动式泥饼和岩屑收集罐，收集罐底部进行防渗处理并设置围堰。</w:t>
                  </w:r>
                </w:p>
                <w:p w14:paraId="61A6DE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宁榆天然气评价项目组已与陕西榆佳环保科技有限公司签订钻井废弃物处置协议，由榆佳环保科技有限公司负责钻井废液的拉运，确保</w:t>
                  </w:r>
                  <w:r>
                    <w:rPr>
                      <w:rFonts w:hint="default" w:ascii="Times New Roman" w:hAnsi="Times New Roman" w:eastAsia="宋体" w:cs="Times New Roman"/>
                      <w:color w:val="auto"/>
                      <w:kern w:val="0"/>
                      <w:sz w:val="21"/>
                      <w:szCs w:val="21"/>
                      <w:lang w:val="en-US" w:eastAsia="zh-CN" w:bidi="ar"/>
                    </w:rPr>
                    <w:t>压裂返排液、钻井废水在井场完井后10天内</w:t>
                  </w:r>
                  <w:r>
                    <w:rPr>
                      <w:rFonts w:hint="eastAsia" w:ascii="Times New Roman" w:hAnsi="Times New Roman" w:eastAsia="宋体" w:cs="Times New Roman"/>
                      <w:color w:val="auto"/>
                      <w:kern w:val="0"/>
                      <w:sz w:val="21"/>
                      <w:szCs w:val="21"/>
                      <w:lang w:val="en-US" w:eastAsia="zh-CN" w:bidi="ar"/>
                    </w:rPr>
                    <w:t>运往</w:t>
                  </w:r>
                  <w:r>
                    <w:rPr>
                      <w:rFonts w:hint="eastAsia" w:ascii="Times New Roman" w:hAnsi="Times New Roman" w:eastAsia="宋体" w:cs="Times New Roman"/>
                      <w:color w:val="auto"/>
                      <w:sz w:val="21"/>
                      <w:szCs w:val="21"/>
                      <w:vertAlign w:val="baseline"/>
                      <w:lang w:val="en-US" w:eastAsia="zh-CN"/>
                    </w:rPr>
                    <w:t>陕西榆佳环保科技有限公司处置</w:t>
                  </w:r>
                  <w:r>
                    <w:rPr>
                      <w:rFonts w:hint="eastAsia" w:ascii="Times New Roman" w:hAnsi="Times New Roman" w:eastAsia="宋体" w:cs="Times New Roman"/>
                      <w:color w:val="auto"/>
                      <w:kern w:val="0"/>
                      <w:sz w:val="21"/>
                      <w:szCs w:val="21"/>
                      <w:lang w:val="en-US" w:eastAsia="zh-CN" w:bidi="ar"/>
                    </w:rPr>
                    <w:t>。</w:t>
                  </w:r>
                </w:p>
              </w:tc>
              <w:tc>
                <w:tcPr>
                  <w:tcW w:w="540" w:type="pct"/>
                  <w:vAlign w:val="center"/>
                </w:tcPr>
                <w:p w14:paraId="690448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1E0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14:paraId="3A7958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10</w:t>
                  </w:r>
                </w:p>
              </w:tc>
              <w:tc>
                <w:tcPr>
                  <w:tcW w:w="1299" w:type="pct"/>
                  <w:vAlign w:val="center"/>
                </w:tcPr>
                <w:p w14:paraId="17459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《榆林市油（气）开采废弃物处置环保暂行管理办法》</w:t>
                  </w:r>
                </w:p>
              </w:tc>
              <w:tc>
                <w:tcPr>
                  <w:tcW w:w="1620" w:type="pct"/>
                  <w:vAlign w:val="center"/>
                </w:tcPr>
                <w:p w14:paraId="5AE0F5E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井场要在钻井前配备废弃钻井泥浆岩屑地上移动式收集设施，对钻井过程中废弃钻井泥浆岩屑进行不落地收集，收集设施不得混合收集其它废弃物；废弃钻井泥浆岩屑需在油（气）井完井后3天内，</w:t>
                  </w:r>
                  <w:r>
                    <w:rPr>
                      <w:rFonts w:hint="default" w:ascii="Times New Roman" w:hAnsi="Times New Roman" w:eastAsia="宋体" w:cs="Times New Roman"/>
                      <w:color w:val="auto"/>
                      <w:kern w:val="0"/>
                      <w:sz w:val="21"/>
                      <w:szCs w:val="21"/>
                      <w:lang w:val="en-US" w:eastAsia="zh-CN" w:bidi="ar"/>
                    </w:rPr>
                    <w:t>由防渗漏、防抛洒、防扬尘的运输车辆统一运送至油（气）开采废弃物集中处置场所处置</w:t>
                  </w:r>
                </w:p>
              </w:tc>
              <w:tc>
                <w:tcPr>
                  <w:tcW w:w="1208" w:type="pct"/>
                  <w:vAlign w:val="center"/>
                </w:tcPr>
                <w:p w14:paraId="1A0FB2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气井现场</w:t>
                  </w:r>
                  <w:r>
                    <w:rPr>
                      <w:rFonts w:hint="default" w:ascii="Times New Roman" w:hAnsi="Times New Roman" w:eastAsia="宋体" w:cs="Times New Roman"/>
                      <w:color w:val="auto"/>
                      <w:sz w:val="21"/>
                      <w:szCs w:val="21"/>
                      <w:vertAlign w:val="baseline"/>
                      <w:lang w:val="en-US" w:eastAsia="zh-CN"/>
                    </w:rPr>
                    <w:t>设置</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个100m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w:t>
                  </w:r>
                  <w:r>
                    <w:rPr>
                      <w:rFonts w:hint="eastAsia" w:ascii="Times New Roman" w:hAnsi="Times New Roman" w:eastAsia="宋体" w:cs="Times New Roman"/>
                      <w:b w:val="0"/>
                      <w:bCs w:val="0"/>
                      <w:color w:val="auto"/>
                      <w:sz w:val="21"/>
                      <w:szCs w:val="21"/>
                      <w:vertAlign w:val="baseline"/>
                      <w:lang w:val="en-US" w:eastAsia="zh-CN"/>
                    </w:rPr>
                    <w:t>。</w:t>
                  </w:r>
                </w:p>
                <w:p w14:paraId="62F8FD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宁榆天然气评价项目组已与陕西德禾鑫盛环保科技有限公司签订钻井废弃物处置协议，由陕西德禾鑫盛环保科技有限公司负责钻井岩屑、泥浆的拉运，确保</w:t>
                  </w:r>
                  <w:r>
                    <w:rPr>
                      <w:rFonts w:hint="default" w:ascii="Times New Roman" w:hAnsi="Times New Roman" w:eastAsia="宋体" w:cs="Times New Roman"/>
                      <w:color w:val="auto"/>
                      <w:kern w:val="0"/>
                      <w:sz w:val="21"/>
                      <w:szCs w:val="21"/>
                      <w:lang w:val="en-US" w:eastAsia="zh-CN" w:bidi="ar"/>
                    </w:rPr>
                    <w:t>在气井完井后3天内</w:t>
                  </w:r>
                  <w:r>
                    <w:rPr>
                      <w:rFonts w:hint="eastAsia" w:ascii="Times New Roman" w:hAnsi="Times New Roman" w:eastAsia="宋体" w:cs="Times New Roman"/>
                      <w:b w:val="0"/>
                      <w:bCs w:val="0"/>
                      <w:color w:val="auto"/>
                      <w:sz w:val="21"/>
                      <w:szCs w:val="21"/>
                      <w:vertAlign w:val="baseline"/>
                      <w:lang w:val="en-US" w:eastAsia="zh-CN"/>
                    </w:rPr>
                    <w:t>由</w:t>
                  </w:r>
                  <w:r>
                    <w:rPr>
                      <w:rFonts w:hint="eastAsia" w:ascii="Times New Roman" w:hAnsi="Times New Roman" w:eastAsia="宋体" w:cs="Times New Roman"/>
                      <w:color w:val="auto"/>
                      <w:sz w:val="21"/>
                      <w:szCs w:val="21"/>
                      <w:vertAlign w:val="baseline"/>
                      <w:lang w:val="en-US" w:eastAsia="zh-CN"/>
                    </w:rPr>
                    <w:t>陕西德禾鑫盛环保科技有限公司</w:t>
                  </w:r>
                  <w:r>
                    <w:rPr>
                      <w:rFonts w:hint="default" w:ascii="Times New Roman" w:hAnsi="Times New Roman" w:eastAsia="宋体" w:cs="Times New Roman"/>
                      <w:color w:val="auto"/>
                      <w:kern w:val="0"/>
                      <w:sz w:val="21"/>
                      <w:szCs w:val="21"/>
                      <w:lang w:val="en-US" w:eastAsia="zh-CN" w:bidi="ar"/>
                    </w:rPr>
                    <w:t>由防渗漏、防抛洒、防扬尘的运输车辆</w:t>
                  </w:r>
                  <w:r>
                    <w:rPr>
                      <w:rFonts w:hint="eastAsia" w:ascii="Times New Roman" w:hAnsi="Times New Roman" w:eastAsia="宋体" w:cs="Times New Roman"/>
                      <w:color w:val="auto"/>
                      <w:sz w:val="21"/>
                      <w:szCs w:val="21"/>
                      <w:vertAlign w:val="baseline"/>
                      <w:lang w:val="en-US" w:eastAsia="zh-CN"/>
                    </w:rPr>
                    <w:t>拉运处置</w:t>
                  </w:r>
                  <w:r>
                    <w:rPr>
                      <w:rFonts w:hint="eastAsia" w:ascii="Times New Roman" w:hAnsi="Times New Roman" w:eastAsia="宋体" w:cs="Times New Roman"/>
                      <w:b w:val="0"/>
                      <w:bCs w:val="0"/>
                      <w:color w:val="auto"/>
                      <w:sz w:val="21"/>
                      <w:szCs w:val="21"/>
                      <w:vertAlign w:val="baseline"/>
                      <w:lang w:val="en-US" w:eastAsia="zh-CN"/>
                    </w:rPr>
                    <w:t>。</w:t>
                  </w:r>
                </w:p>
              </w:tc>
              <w:tc>
                <w:tcPr>
                  <w:tcW w:w="540" w:type="pct"/>
                  <w:vAlign w:val="center"/>
                </w:tcPr>
                <w:p w14:paraId="67991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585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7107FF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1</w:t>
                  </w:r>
                </w:p>
              </w:tc>
              <w:tc>
                <w:tcPr>
                  <w:tcW w:w="1299" w:type="pct"/>
                  <w:vMerge w:val="restart"/>
                  <w:vAlign w:val="center"/>
                </w:tcPr>
                <w:p w14:paraId="4DB22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《陆上石油天然气开采钻井废物处置污染控制技术要求》</w:t>
                  </w:r>
                </w:p>
              </w:tc>
              <w:tc>
                <w:tcPr>
                  <w:tcW w:w="1620" w:type="pct"/>
                  <w:vAlign w:val="center"/>
                </w:tcPr>
                <w:p w14:paraId="5CD4CC0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钻井废物的收集、贮存、利用、处置，以及处钻井废物处置工程的选址、设计、施工、验收和运行应符合国家和地方固体废物污染防治法律法规与标准要求</w:t>
                  </w:r>
                </w:p>
              </w:tc>
              <w:tc>
                <w:tcPr>
                  <w:tcW w:w="1208" w:type="pct"/>
                  <w:vAlign w:val="center"/>
                </w:tcPr>
                <w:p w14:paraId="0151B8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本项目属于</w:t>
                  </w:r>
                  <w:r>
                    <w:rPr>
                      <w:rFonts w:hint="eastAsia" w:ascii="Times New Roman" w:hAnsi="Times New Roman" w:eastAsia="宋体" w:cs="Times New Roman"/>
                      <w:color w:val="auto"/>
                      <w:sz w:val="21"/>
                      <w:szCs w:val="21"/>
                      <w:vertAlign w:val="baseline"/>
                      <w:lang w:val="en-US" w:eastAsia="zh-CN"/>
                    </w:rPr>
                    <w:t>天然气评价井</w:t>
                  </w:r>
                  <w:r>
                    <w:rPr>
                      <w:rFonts w:hint="default" w:ascii="Times New Roman" w:hAnsi="Times New Roman" w:eastAsia="宋体" w:cs="Times New Roman"/>
                      <w:color w:val="auto"/>
                      <w:sz w:val="21"/>
                      <w:szCs w:val="21"/>
                      <w:vertAlign w:val="baseline"/>
                      <w:lang w:val="en-US" w:eastAsia="zh-CN"/>
                    </w:rPr>
                    <w:t>探井项目，仅涉及施工期，钻井产生的污染物均有妥善处置去向，不会对周边环境产生不良影响。项目钻井废水、洗井废水</w:t>
                  </w:r>
                  <w:r>
                    <w:rPr>
                      <w:rFonts w:hint="eastAsia" w:ascii="Times New Roman" w:hAnsi="Times New Roman" w:eastAsia="宋体" w:cs="Times New Roman"/>
                      <w:color w:val="auto"/>
                      <w:sz w:val="21"/>
                      <w:szCs w:val="21"/>
                      <w:vertAlign w:val="baseline"/>
                      <w:lang w:val="en-US" w:eastAsia="zh-CN"/>
                    </w:rPr>
                    <w:t>委托</w:t>
                  </w:r>
                  <w:r>
                    <w:rPr>
                      <w:rFonts w:hint="eastAsia"/>
                      <w:color w:val="auto"/>
                      <w:sz w:val="21"/>
                      <w:szCs w:val="21"/>
                      <w:lang w:val="en-US" w:eastAsia="zh-CN"/>
                    </w:rPr>
                    <w:t>陕西榆佳环保科技有限公司外运处理。</w:t>
                  </w:r>
                </w:p>
              </w:tc>
              <w:tc>
                <w:tcPr>
                  <w:tcW w:w="540" w:type="pct"/>
                  <w:vAlign w:val="center"/>
                </w:tcPr>
                <w:p w14:paraId="6DDAE4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424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2C1D69D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2E2147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7BD963A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钻井废水处置过程中使用环境友好的原材料与添加剂</w:t>
                  </w:r>
                </w:p>
              </w:tc>
              <w:tc>
                <w:tcPr>
                  <w:tcW w:w="1208" w:type="pct"/>
                  <w:vAlign w:val="center"/>
                </w:tcPr>
                <w:p w14:paraId="1AECC4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本项目气探井长庆油田分公司开发范围内，探井结束后，具备开采价值交由长庆油田分公司</w:t>
                  </w:r>
                  <w:r>
                    <w:rPr>
                      <w:rFonts w:hint="eastAsia" w:ascii="Times New Roman" w:hAnsi="Times New Roman" w:eastAsia="宋体" w:cs="Times New Roman"/>
                      <w:color w:val="auto"/>
                      <w:sz w:val="21"/>
                      <w:szCs w:val="21"/>
                      <w:highlight w:val="none"/>
                      <w:vertAlign w:val="baseline"/>
                      <w:lang w:val="en-US" w:eastAsia="zh-CN"/>
                    </w:rPr>
                    <w:t>第二采气厂</w:t>
                  </w:r>
                  <w:r>
                    <w:rPr>
                      <w:rFonts w:hint="default" w:ascii="Times New Roman" w:hAnsi="Times New Roman" w:eastAsia="宋体" w:cs="Times New Roman"/>
                      <w:color w:val="auto"/>
                      <w:sz w:val="21"/>
                      <w:szCs w:val="21"/>
                      <w:highlight w:val="none"/>
                      <w:vertAlign w:val="baseline"/>
                      <w:lang w:val="en-US" w:eastAsia="zh-CN"/>
                    </w:rPr>
                    <w:t>进行</w:t>
                  </w:r>
                  <w:r>
                    <w:rPr>
                      <w:rFonts w:hint="eastAsia" w:ascii="Times New Roman" w:hAnsi="Times New Roman" w:eastAsia="宋体" w:cs="Times New Roman"/>
                      <w:color w:val="auto"/>
                      <w:sz w:val="21"/>
                      <w:szCs w:val="21"/>
                      <w:highlight w:val="none"/>
                      <w:vertAlign w:val="baseline"/>
                      <w:lang w:val="en-US" w:eastAsia="zh-CN"/>
                    </w:rPr>
                    <w:t>评价井</w:t>
                  </w:r>
                  <w:r>
                    <w:rPr>
                      <w:rFonts w:hint="default" w:ascii="Times New Roman" w:hAnsi="Times New Roman" w:eastAsia="宋体" w:cs="Times New Roman"/>
                      <w:color w:val="auto"/>
                      <w:sz w:val="21"/>
                      <w:szCs w:val="21"/>
                      <w:highlight w:val="none"/>
                      <w:vertAlign w:val="baseline"/>
                      <w:lang w:val="en-US" w:eastAsia="zh-CN"/>
                    </w:rPr>
                    <w:t>的开发</w:t>
                  </w:r>
                  <w:r>
                    <w:rPr>
                      <w:rFonts w:hint="eastAsia" w:ascii="Times New Roman" w:hAnsi="Times New Roman" w:eastAsia="宋体" w:cs="Times New Roman"/>
                      <w:color w:val="auto"/>
                      <w:sz w:val="21"/>
                      <w:szCs w:val="21"/>
                      <w:highlight w:val="none"/>
                      <w:vertAlign w:val="baseline"/>
                      <w:lang w:val="en-US" w:eastAsia="zh-CN"/>
                    </w:rPr>
                    <w:t>维护</w:t>
                  </w:r>
                  <w:r>
                    <w:rPr>
                      <w:rFonts w:hint="default" w:ascii="Times New Roman" w:hAnsi="Times New Roman" w:eastAsia="宋体" w:cs="Times New Roman"/>
                      <w:color w:val="auto"/>
                      <w:sz w:val="21"/>
                      <w:szCs w:val="21"/>
                      <w:highlight w:val="none"/>
                      <w:vertAlign w:val="baseline"/>
                      <w:lang w:val="en-US" w:eastAsia="zh-CN"/>
                    </w:rPr>
                    <w:t>，废弃泥浆、钻井岩屑交由</w:t>
                  </w:r>
                  <w:r>
                    <w:rPr>
                      <w:rFonts w:hint="eastAsia"/>
                      <w:color w:val="auto"/>
                      <w:sz w:val="21"/>
                      <w:szCs w:val="21"/>
                      <w:highlight w:val="none"/>
                      <w:lang w:val="en-US" w:eastAsia="zh-CN"/>
                    </w:rPr>
                    <w:t>陕西德禾鑫盛环保科技有限公司外运处理</w:t>
                  </w:r>
                  <w:r>
                    <w:rPr>
                      <w:rFonts w:hint="eastAsia" w:ascii="Times New Roman" w:hAnsi="Times New Roman" w:eastAsia="宋体" w:cs="Times New Roman"/>
                      <w:color w:val="auto"/>
                      <w:sz w:val="21"/>
                      <w:szCs w:val="21"/>
                      <w:highlight w:val="none"/>
                      <w:vertAlign w:val="baseline"/>
                      <w:lang w:val="en-US" w:eastAsia="zh-CN"/>
                    </w:rPr>
                    <w:t>。</w:t>
                  </w:r>
                </w:p>
              </w:tc>
              <w:tc>
                <w:tcPr>
                  <w:tcW w:w="540" w:type="pct"/>
                  <w:vAlign w:val="center"/>
                </w:tcPr>
                <w:p w14:paraId="50038E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77D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05C7111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78FC7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028839C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对水基钻井液体系钻井废物宜实施固液分离处置，优先考虑钻井液回收</w:t>
                  </w:r>
                </w:p>
              </w:tc>
              <w:tc>
                <w:tcPr>
                  <w:tcW w:w="1208" w:type="pct"/>
                  <w:vMerge w:val="restart"/>
                  <w:vAlign w:val="center"/>
                </w:tcPr>
                <w:p w14:paraId="7F7D38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项目钻井废水、洗井废水</w:t>
                  </w:r>
                  <w:r>
                    <w:rPr>
                      <w:rFonts w:hint="eastAsia" w:ascii="Times New Roman" w:hAnsi="Times New Roman" w:eastAsia="宋体" w:cs="Times New Roman"/>
                      <w:color w:val="auto"/>
                      <w:sz w:val="21"/>
                      <w:szCs w:val="21"/>
                      <w:vertAlign w:val="baseline"/>
                      <w:lang w:val="en-US" w:eastAsia="zh-CN"/>
                    </w:rPr>
                    <w:t>委托</w:t>
                  </w:r>
                  <w:r>
                    <w:rPr>
                      <w:rFonts w:hint="eastAsia"/>
                      <w:color w:val="auto"/>
                      <w:sz w:val="21"/>
                      <w:szCs w:val="21"/>
                      <w:lang w:val="en-US" w:eastAsia="zh-CN"/>
                    </w:rPr>
                    <w:t>陕西榆佳环保科技有限公司外运处理</w:t>
                  </w:r>
                  <w:r>
                    <w:rPr>
                      <w:rFonts w:hint="eastAsia" w:ascii="Times New Roman" w:hAnsi="Times New Roman" w:eastAsia="宋体" w:cs="Times New Roman"/>
                      <w:color w:val="auto"/>
                      <w:sz w:val="21"/>
                      <w:szCs w:val="21"/>
                      <w:vertAlign w:val="baseline"/>
                      <w:lang w:val="en-US" w:eastAsia="zh-CN"/>
                    </w:rPr>
                    <w:t>；已签订</w:t>
                  </w:r>
                  <w:r>
                    <w:rPr>
                      <w:rFonts w:hint="default" w:ascii="Times New Roman" w:hAnsi="Times New Roman" w:eastAsia="宋体" w:cs="Times New Roman"/>
                      <w:color w:val="auto"/>
                      <w:sz w:val="21"/>
                      <w:szCs w:val="21"/>
                      <w:vertAlign w:val="baseline"/>
                      <w:lang w:val="en-US" w:eastAsia="zh-CN"/>
                    </w:rPr>
                    <w:t>压裂返排液裂液</w:t>
                  </w:r>
                  <w:r>
                    <w:rPr>
                      <w:rFonts w:hint="eastAsia" w:ascii="Times New Roman" w:hAnsi="Times New Roman" w:eastAsia="宋体" w:cs="Times New Roman"/>
                      <w:color w:val="auto"/>
                      <w:sz w:val="21"/>
                      <w:szCs w:val="21"/>
                      <w:vertAlign w:val="baseline"/>
                      <w:lang w:val="en-US" w:eastAsia="zh-CN"/>
                    </w:rPr>
                    <w:t>处置合同，钻井过程产生的各类废物均能够得到合理处置</w:t>
                  </w:r>
                  <w:r>
                    <w:rPr>
                      <w:rFonts w:hint="default" w:ascii="Times New Roman" w:hAnsi="Times New Roman" w:eastAsia="宋体" w:cs="Times New Roman"/>
                      <w:color w:val="auto"/>
                      <w:sz w:val="21"/>
                      <w:szCs w:val="21"/>
                      <w:vertAlign w:val="baseline"/>
                      <w:lang w:val="en-US" w:eastAsia="zh-CN"/>
                    </w:rPr>
                    <w:t>，对周边环境影响较小</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1281D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37B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373785B9">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7F18C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4DDECBA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处置过程保护场地周边地表水，地下水、土壤、空气、植被以及野生动植物栖息环境，避免造成环境污染和生态破坏；对钻井废弃物宜采取现场不落地收集措施</w:t>
                  </w:r>
                </w:p>
              </w:tc>
              <w:tc>
                <w:tcPr>
                  <w:tcW w:w="1208" w:type="pct"/>
                  <w:vMerge w:val="continue"/>
                  <w:vAlign w:val="center"/>
                </w:tcPr>
                <w:p w14:paraId="1A3CA0F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540" w:type="pct"/>
                  <w:vAlign w:val="center"/>
                </w:tcPr>
                <w:p w14:paraId="16861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0A9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345F1F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2</w:t>
                  </w:r>
                </w:p>
              </w:tc>
              <w:tc>
                <w:tcPr>
                  <w:tcW w:w="1299" w:type="pct"/>
                  <w:vMerge w:val="restart"/>
                  <w:vAlign w:val="center"/>
                </w:tcPr>
                <w:p w14:paraId="499914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《石油天然气钻井井控技术规范》（GB/T31-33-2014）</w:t>
                  </w:r>
                </w:p>
              </w:tc>
              <w:tc>
                <w:tcPr>
                  <w:tcW w:w="1620" w:type="pct"/>
                  <w:vAlign w:val="center"/>
                </w:tcPr>
                <w:p w14:paraId="27D3767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油气井井口距高压线及其他永久性设施不小于</w:t>
                  </w:r>
                  <w:r>
                    <w:rPr>
                      <w:rFonts w:hint="default" w:ascii="Times New Roman" w:hAnsi="Times New Roman" w:eastAsia="宋体" w:cs="Times New Roman"/>
                      <w:color w:val="auto"/>
                      <w:kern w:val="0"/>
                      <w:sz w:val="21"/>
                      <w:szCs w:val="21"/>
                      <w:lang w:val="en-US" w:eastAsia="zh-CN" w:bidi="ar"/>
                    </w:rPr>
                    <w:t>75m</w:t>
                  </w:r>
                  <w:r>
                    <w:rPr>
                      <w:rFonts w:hint="eastAsia" w:ascii="Times New Roman" w:hAnsi="Times New Roman" w:eastAsia="宋体" w:cs="Times New Roman"/>
                      <w:color w:val="auto"/>
                      <w:kern w:val="0"/>
                      <w:sz w:val="21"/>
                      <w:szCs w:val="21"/>
                      <w:lang w:val="en-US" w:eastAsia="zh-CN" w:bidi="ar"/>
                    </w:rPr>
                    <w:t>；距民宅不小于</w:t>
                  </w:r>
                  <w:r>
                    <w:rPr>
                      <w:rFonts w:hint="default" w:ascii="Times New Roman" w:hAnsi="Times New Roman" w:eastAsia="宋体" w:cs="Times New Roman"/>
                      <w:color w:val="auto"/>
                      <w:kern w:val="0"/>
                      <w:sz w:val="21"/>
                      <w:szCs w:val="21"/>
                      <w:lang w:val="en-US" w:eastAsia="zh-CN" w:bidi="ar"/>
                    </w:rPr>
                    <w:t>100m</w:t>
                  </w:r>
                  <w:r>
                    <w:rPr>
                      <w:rFonts w:hint="eastAsia" w:ascii="Times New Roman" w:hAnsi="Times New Roman" w:eastAsia="宋体" w:cs="Times New Roman"/>
                      <w:color w:val="auto"/>
                      <w:kern w:val="0"/>
                      <w:sz w:val="21"/>
                      <w:szCs w:val="21"/>
                      <w:lang w:val="en-US" w:eastAsia="zh-CN" w:bidi="ar"/>
                    </w:rPr>
                    <w:t>；距铁路及高速公路不小于</w:t>
                  </w:r>
                  <w:r>
                    <w:rPr>
                      <w:rFonts w:hint="default" w:ascii="Times New Roman" w:hAnsi="Times New Roman" w:eastAsia="宋体" w:cs="Times New Roman"/>
                      <w:color w:val="auto"/>
                      <w:kern w:val="0"/>
                      <w:sz w:val="21"/>
                      <w:szCs w:val="21"/>
                      <w:lang w:val="en-US" w:eastAsia="zh-CN" w:bidi="ar"/>
                    </w:rPr>
                    <w:t>200m</w:t>
                  </w:r>
                  <w:r>
                    <w:rPr>
                      <w:rFonts w:hint="eastAsia" w:ascii="Times New Roman" w:hAnsi="Times New Roman" w:eastAsia="宋体" w:cs="Times New Roman"/>
                      <w:color w:val="auto"/>
                      <w:kern w:val="0"/>
                      <w:sz w:val="21"/>
                      <w:szCs w:val="21"/>
                      <w:lang w:val="en-US" w:eastAsia="zh-CN" w:bidi="ar"/>
                    </w:rPr>
                    <w:t>；距学校、医院、油库、人口密集及高危场所等不小于</w:t>
                  </w:r>
                  <w:r>
                    <w:rPr>
                      <w:rFonts w:hint="default" w:ascii="Times New Roman" w:hAnsi="Times New Roman" w:eastAsia="宋体" w:cs="Times New Roman"/>
                      <w:color w:val="auto"/>
                      <w:kern w:val="0"/>
                      <w:sz w:val="21"/>
                      <w:szCs w:val="21"/>
                      <w:lang w:val="en-US" w:eastAsia="zh-CN" w:bidi="ar"/>
                    </w:rPr>
                    <w:t>500m</w:t>
                  </w:r>
                </w:p>
              </w:tc>
              <w:tc>
                <w:tcPr>
                  <w:tcW w:w="1208" w:type="pct"/>
                  <w:vAlign w:val="center"/>
                </w:tcPr>
                <w:p w14:paraId="6C1187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本项目勘探井拟建地附近75m内无高压线及其他永久性设施、100m内无民宅、200m内无铁路及高速公路、500m内无学校、医院、油库、人口密集及高危场所等。</w:t>
                  </w:r>
                </w:p>
              </w:tc>
              <w:tc>
                <w:tcPr>
                  <w:tcW w:w="540" w:type="pct"/>
                  <w:vAlign w:val="center"/>
                </w:tcPr>
                <w:p w14:paraId="58293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E94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0822641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41438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7C8CED0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油气井之间的井口间距不小于2m；高压油气井，高含硫油气井井口距其他井口之间的距离大于钻进本井所用钻机的钻台长度，且不小于8m</w:t>
                  </w:r>
                </w:p>
              </w:tc>
              <w:tc>
                <w:tcPr>
                  <w:tcW w:w="1208" w:type="pct"/>
                  <w:vAlign w:val="center"/>
                </w:tcPr>
                <w:p w14:paraId="408A9C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本项目新建1口天然气评价井。</w:t>
                  </w:r>
                </w:p>
              </w:tc>
              <w:tc>
                <w:tcPr>
                  <w:tcW w:w="540" w:type="pct"/>
                  <w:vAlign w:val="center"/>
                </w:tcPr>
                <w:p w14:paraId="52902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563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13F875B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487F5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580B46C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井筒与地下矿产采掘坑道、矿井通道之间的距离不小于100m</w:t>
                  </w:r>
                </w:p>
              </w:tc>
              <w:tc>
                <w:tcPr>
                  <w:tcW w:w="1208" w:type="pct"/>
                  <w:vAlign w:val="center"/>
                </w:tcPr>
                <w:p w14:paraId="430F56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本项目附近无地下矿产采掘坑道。</w:t>
                  </w:r>
                </w:p>
              </w:tc>
              <w:tc>
                <w:tcPr>
                  <w:tcW w:w="540" w:type="pct"/>
                  <w:vAlign w:val="center"/>
                </w:tcPr>
                <w:p w14:paraId="038B9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2B5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6E456F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3</w:t>
                  </w:r>
                </w:p>
              </w:tc>
              <w:tc>
                <w:tcPr>
                  <w:tcW w:w="1299" w:type="pct"/>
                  <w:vMerge w:val="restart"/>
                  <w:vAlign w:val="center"/>
                </w:tcPr>
                <w:p w14:paraId="3E988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《石油天然气工程项目用地控制指标》（国土资规【2016】14号）</w:t>
                  </w:r>
                </w:p>
              </w:tc>
              <w:tc>
                <w:tcPr>
                  <w:tcW w:w="1620" w:type="pct"/>
                  <w:vAlign w:val="center"/>
                </w:tcPr>
                <w:p w14:paraId="425F0DEF">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进井场道路用地指保证建井及生产期内通往井场的各型车辆安全通行，并能满足抢险车辆通行的新建或扩建道路所占用的土地。</w:t>
                  </w:r>
                </w:p>
                <w:p w14:paraId="1F12400E">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进井场道路用地按道路宽度乘以道路长度进行计算。进井场道路路基用地宽度指标不应大于</w:t>
                  </w:r>
                  <w:r>
                    <w:rPr>
                      <w:rFonts w:hint="default" w:ascii="Times New Roman" w:hAnsi="Times New Roman" w:eastAsia="宋体" w:cs="Times New Roman"/>
                      <w:color w:val="auto"/>
                      <w:kern w:val="0"/>
                      <w:sz w:val="21"/>
                      <w:szCs w:val="21"/>
                      <w:lang w:val="en-US" w:eastAsia="zh-CN" w:bidi="ar"/>
                    </w:rPr>
                    <w:t>4.5m</w:t>
                  </w:r>
                  <w:r>
                    <w:rPr>
                      <w:rFonts w:hint="eastAsia" w:ascii="Times New Roman" w:hAnsi="Times New Roman" w:eastAsia="宋体" w:cs="Times New Roman"/>
                      <w:color w:val="auto"/>
                      <w:kern w:val="0"/>
                      <w:sz w:val="21"/>
                      <w:szCs w:val="21"/>
                      <w:lang w:val="en-US" w:eastAsia="zh-CN" w:bidi="ar"/>
                    </w:rPr>
                    <w:t>，边沟、护坡、防洪坝、挡土墙、错车道等用地按实际情况计算</w:t>
                  </w:r>
                </w:p>
              </w:tc>
              <w:tc>
                <w:tcPr>
                  <w:tcW w:w="1208" w:type="pct"/>
                  <w:vAlign w:val="center"/>
                </w:tcPr>
                <w:p w14:paraId="5B9026E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本项目新建进场道路218m，采用砂石路面，宽度为4m。</w:t>
                  </w:r>
                </w:p>
              </w:tc>
              <w:tc>
                <w:tcPr>
                  <w:tcW w:w="540" w:type="pct"/>
                  <w:vAlign w:val="center"/>
                </w:tcPr>
                <w:p w14:paraId="06A2F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2BD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6A6B0E2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B34C4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33D32A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采气井场用地指保证建井和生产期内钻井作业、井下作业和摆放各种采气设施所占用的土地</w:t>
                  </w:r>
                </w:p>
              </w:tc>
              <w:tc>
                <w:tcPr>
                  <w:tcW w:w="1208" w:type="pct"/>
                  <w:vAlign w:val="center"/>
                </w:tcPr>
                <w:p w14:paraId="3F987C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本项目井场临时占地可保证施工期内钻井作业和摆放各种采气设施。</w:t>
                  </w:r>
                </w:p>
              </w:tc>
              <w:tc>
                <w:tcPr>
                  <w:tcW w:w="540" w:type="pct"/>
                  <w:vAlign w:val="center"/>
                </w:tcPr>
                <w:p w14:paraId="1A8961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BCD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2D9248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4</w:t>
                  </w:r>
                </w:p>
              </w:tc>
              <w:tc>
                <w:tcPr>
                  <w:tcW w:w="1299" w:type="pct"/>
                  <w:vMerge w:val="restart"/>
                  <w:vAlign w:val="center"/>
                </w:tcPr>
                <w:p w14:paraId="55013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榆林市生态环境局关于印发《榆林市油气开发压裂返排液处置管理规定》的通知（榆政环发【2023】71号）</w:t>
                  </w:r>
                </w:p>
              </w:tc>
              <w:tc>
                <w:tcPr>
                  <w:tcW w:w="1620" w:type="pct"/>
                  <w:vAlign w:val="center"/>
                </w:tcPr>
                <w:p w14:paraId="7B79F0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油气开发企业是油气开发压裂返排液污染防治的责任主体，要将压裂返排液处置纳入油气开发项目生态环境保护总体规划及突发环境事件应急预案，制定油气开发压裂返排液治理方案</w:t>
                  </w:r>
                </w:p>
              </w:tc>
              <w:tc>
                <w:tcPr>
                  <w:tcW w:w="1208" w:type="pct"/>
                  <w:shd w:val="clear" w:color="auto" w:fill="auto"/>
                  <w:vAlign w:val="center"/>
                </w:tcPr>
                <w:p w14:paraId="5B4A605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本项目施工过程中将压裂返排液处置纳入油气开发项目生态环境保护总体规划及突发环境事件应急预案中，并且制定压裂返排液治理方案，能够确保压裂返排液得到合理处置</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53B06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1C2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1F0DB37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159E3F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0C1224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无法自行处置压裂返排液的油气开发企业或井下作业总包单位，可与第三方单位签订压裂返排液处置协议，处置协议应明确双方污染防治责任</w:t>
                  </w:r>
                </w:p>
              </w:tc>
              <w:tc>
                <w:tcPr>
                  <w:tcW w:w="1208" w:type="pct"/>
                  <w:vAlign w:val="center"/>
                </w:tcPr>
                <w:p w14:paraId="7AC12B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已签订压裂返排液处置合同，合同中已明确双方污染防治责任。</w:t>
                  </w:r>
                </w:p>
              </w:tc>
              <w:tc>
                <w:tcPr>
                  <w:tcW w:w="540" w:type="pct"/>
                  <w:vAlign w:val="center"/>
                </w:tcPr>
                <w:p w14:paraId="09413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1D3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10F2941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5FCB2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22AFA5E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压裂返排液处置项目的中水用于油田同层回注的，油田回注单位应制定中水回注计划，计划要与回注区域油气开发总体规划及生产回注方案相符，明确回注水质、水量、压强及回注时限等相关指标，其中回注水水质需符合国家相关行业或者企业标准</w:t>
                  </w:r>
                </w:p>
              </w:tc>
              <w:tc>
                <w:tcPr>
                  <w:tcW w:w="1208" w:type="pct"/>
                  <w:vAlign w:val="center"/>
                </w:tcPr>
                <w:p w14:paraId="71C5EE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本项目不涉及中水回注</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463C2B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F23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trPr>
              <w:tc>
                <w:tcPr>
                  <w:tcW w:w="331" w:type="pct"/>
                  <w:vMerge w:val="restart"/>
                  <w:vAlign w:val="center"/>
                </w:tcPr>
                <w:p w14:paraId="3D48A5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5</w:t>
                  </w:r>
                </w:p>
              </w:tc>
              <w:tc>
                <w:tcPr>
                  <w:tcW w:w="1299" w:type="pct"/>
                  <w:vMerge w:val="restart"/>
                  <w:vAlign w:val="center"/>
                </w:tcPr>
                <w:p w14:paraId="44240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《榆林市2025年生态环境保护铁腕治污攻坚行动方案》(榆办字(2025)4号)</w:t>
                  </w:r>
                </w:p>
              </w:tc>
              <w:tc>
                <w:tcPr>
                  <w:tcW w:w="1620" w:type="pct"/>
                  <w:vAlign w:val="center"/>
                </w:tcPr>
                <w:p w14:paraId="00ABBBCD">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208" w:type="pct"/>
                  <w:vAlign w:val="center"/>
                </w:tcPr>
                <w:p w14:paraId="777612BE">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施工期间，项目施工场地严格落实周边围挡、物料裸土覆盖、土方开挖(拆迁)湿法作业、路面硬化、出入车辆清洗、渣土车辆密闭运输“六个百分之百”。</w:t>
                  </w:r>
                </w:p>
              </w:tc>
              <w:tc>
                <w:tcPr>
                  <w:tcW w:w="540" w:type="pct"/>
                  <w:vAlign w:val="center"/>
                </w:tcPr>
                <w:p w14:paraId="55C86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w:t>
                  </w:r>
                </w:p>
                <w:p w14:paraId="39F7E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w:t>
                  </w:r>
                </w:p>
              </w:tc>
            </w:tr>
            <w:tr w14:paraId="7A7C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58D636F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7E4A5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0DAAFAC4">
                  <w:pPr>
                    <w:pStyle w:val="27"/>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四）机动车尾气管控行动。加强机动车污染源头控制，全面落实《关于预下达国Ⅲ及以下排放标准柴油货车淘汰计划(2023-2025年)的通知》(榆政交发【2023】195号)要求。逐步淘汰国Ш及以下排放标准柴油货车。根据省交通厅、省公安厅、省生态环境厅、省商务厅《关于补充明确国三及以下排放标准柴油货车淘汰年度任务的透知》(陕交函〔2024)1614号)要求，12月底前、完成2025年度淘汰任务量5283辆。完善“生态环境部门监测取证、公安交管部门拦车处罚、交通运输部门监督维修”的联合监管模式，各县市区、园区在货车主要通行路口、物流通道、集中停放地等。每月至少组织开展一次货车污染管控联合执法行动，重点检查柴油货车污染控制装置、OBD、污染物排放达标肯况，严厉查处超标排污行为。涉及大宗物科运输的重点业位。落实《陕西省重点用车企业环保门禁及视频监控系统建设技术指南》。全部建立门禁系统，实施移动源管控，鼓励加快非道路移动机械清洁能源替代。</w:t>
                  </w:r>
                </w:p>
              </w:tc>
              <w:tc>
                <w:tcPr>
                  <w:tcW w:w="1208" w:type="pct"/>
                  <w:vAlign w:val="center"/>
                </w:tcPr>
                <w:p w14:paraId="0F8CD505">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项目施工期间，不使用Ⅲ及以下排放标准的柴油货车，使用检测合格且已编码挂牌的非道路移动机械。</w:t>
                  </w:r>
                </w:p>
              </w:tc>
              <w:tc>
                <w:tcPr>
                  <w:tcW w:w="540" w:type="pct"/>
                  <w:vAlign w:val="center"/>
                </w:tcPr>
                <w:p w14:paraId="1991AD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603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31" w:type="pct"/>
                  <w:vMerge w:val="restart"/>
                  <w:vAlign w:val="center"/>
                </w:tcPr>
                <w:p w14:paraId="626689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1299" w:type="pct"/>
                  <w:vMerge w:val="restart"/>
                  <w:vAlign w:val="center"/>
                </w:tcPr>
                <w:p w14:paraId="3079026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《佳县2025年生态环境保护铁腕治污攻坚行动方案</w:t>
                  </w:r>
                  <w:r>
                    <w:rPr>
                      <w:rFonts w:hint="default" w:ascii="Times New Roman" w:hAnsi="Times New Roman" w:eastAsia="宋体" w:cs="Times New Roman"/>
                      <w:color w:val="auto"/>
                      <w:sz w:val="21"/>
                      <w:szCs w:val="21"/>
                      <w:vertAlign w:val="baseline"/>
                      <w:lang w:val="en-US" w:eastAsia="zh-CN"/>
                    </w:rPr>
                    <w:t>》佳办</w:t>
                  </w:r>
                  <w:r>
                    <w:rPr>
                      <w:rFonts w:hint="eastAsia" w:ascii="Times New Roman" w:hAnsi="Times New Roman" w:eastAsia="宋体" w:cs="Times New Roman"/>
                      <w:color w:val="auto"/>
                      <w:sz w:val="21"/>
                      <w:szCs w:val="21"/>
                      <w:vertAlign w:val="baseline"/>
                      <w:lang w:val="en-US" w:eastAsia="zh-CN"/>
                    </w:rPr>
                    <w:t>字</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号）</w:t>
                  </w:r>
                </w:p>
              </w:tc>
              <w:tc>
                <w:tcPr>
                  <w:tcW w:w="1620" w:type="pct"/>
                  <w:vAlign w:val="center"/>
                </w:tcPr>
                <w:p w14:paraId="6C7A0650">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208" w:type="pct"/>
                  <w:vAlign w:val="center"/>
                </w:tcPr>
                <w:p w14:paraId="6544670E">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本项目在勘探过程中将严格按照方案中各项扬尘控制措施进行施工，减缓施工期扬尘污染。</w:t>
                  </w:r>
                </w:p>
              </w:tc>
              <w:tc>
                <w:tcPr>
                  <w:tcW w:w="540" w:type="pct"/>
                  <w:vAlign w:val="center"/>
                </w:tcPr>
                <w:p w14:paraId="55FF5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593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331" w:type="pct"/>
                  <w:vMerge w:val="continue"/>
                  <w:vAlign w:val="center"/>
                </w:tcPr>
                <w:p w14:paraId="17447E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3772E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2071B074">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(三)机动车尾气管控行动。加强机动车污染源头控制，全面落实《关于预下达国Ⅲ及以下排放标准柴油货车淘汰计划(2023-2025年)的通知》(榆政交发</w:t>
                  </w:r>
                  <w:r>
                    <w:rPr>
                      <w:rFonts w:hint="eastAsia" w:ascii="Times New Roman" w:hAnsi="Times New Roman" w:cs="Times New Roman"/>
                      <w:color w:val="auto"/>
                      <w:kern w:val="0"/>
                      <w:sz w:val="21"/>
                      <w:szCs w:val="21"/>
                      <w:lang w:val="en-US" w:eastAsia="zh-CN" w:bidi="ar-SA"/>
                    </w:rPr>
                    <w:t>【2023】</w:t>
                  </w:r>
                  <w:r>
                    <w:rPr>
                      <w:rFonts w:hint="default" w:ascii="Times New Roman" w:hAnsi="Times New Roman" w:eastAsia="宋体" w:cs="Times New Roman"/>
                      <w:color w:val="auto"/>
                      <w:kern w:val="0"/>
                      <w:sz w:val="21"/>
                      <w:szCs w:val="21"/>
                      <w:lang w:val="en-US" w:eastAsia="zh-CN" w:bidi="ar-SA"/>
                    </w:rPr>
                    <w:t>195号)要求逐步淘汰国Ⅲ及以下排放标准柴油货车。根据省交通厅、省公安厅、省生态环境厅、省商务厅《关于补充明确国三及以下排放标准柴油货车淘汰年度任务的通知》(陕交函【2024】1614号)要求及市政府下达任务，12月底前，完成2025年度淘汰任务。完善“生态环境部门监测取证、公安交管部门拦车处罚、交通运输部门监督维修”的联合监管模式，在货车主要通行路口、集中停放地等，每月至少组织开展一次货车污染管控联合执法行动，重点检查柴油货车污染控制装置、0BD、污染物排放达标情况，严厉查处超标排污行为。涉及大宗物料运输的重点单位，落实《陕西省重点用车企业环保门禁及视频监控系统建设技术指南》，全部建立门禁系统，实施移动源管控，鼓励加快非道路移动机械清洁能源替代。</w:t>
                  </w:r>
                </w:p>
              </w:tc>
              <w:tc>
                <w:tcPr>
                  <w:tcW w:w="1208" w:type="pct"/>
                  <w:vAlign w:val="center"/>
                </w:tcPr>
                <w:p w14:paraId="2CEA5760">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本项目在勘探过程中选用符合国家标准的非道路移动机械，定期对其进行维修、保养等，确保施工机械废气符合相关排放标准。</w:t>
                  </w:r>
                </w:p>
              </w:tc>
              <w:tc>
                <w:tcPr>
                  <w:tcW w:w="540" w:type="pct"/>
                  <w:vAlign w:val="center"/>
                </w:tcPr>
                <w:p w14:paraId="6FB0D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9CF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331" w:type="pct"/>
                  <w:vMerge w:val="continue"/>
                  <w:vAlign w:val="center"/>
                </w:tcPr>
                <w:p w14:paraId="0C88E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99" w:type="pct"/>
                  <w:vMerge w:val="continue"/>
                  <w:vAlign w:val="center"/>
                </w:tcPr>
                <w:p w14:paraId="33C0E22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1620" w:type="pct"/>
                  <w:vAlign w:val="center"/>
                </w:tcPr>
                <w:p w14:paraId="5E554A98">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208" w:type="pct"/>
                  <w:vAlign w:val="center"/>
                </w:tcPr>
                <w:p w14:paraId="51FCF56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本项目在勘探过程中将严格按照方案中各项扬尘控制措施进行施工，减缓施工期扬尘污染。</w:t>
                  </w:r>
                </w:p>
              </w:tc>
              <w:tc>
                <w:tcPr>
                  <w:tcW w:w="540" w:type="pct"/>
                  <w:vAlign w:val="center"/>
                </w:tcPr>
                <w:p w14:paraId="6AF781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1CA3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4BB50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299" w:type="pct"/>
                  <w:vMerge w:val="restart"/>
                  <w:vAlign w:val="center"/>
                </w:tcPr>
                <w:p w14:paraId="2EFC08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《榆林市关于开展油气开采废弃物集中处置的通知》</w:t>
                  </w:r>
                </w:p>
              </w:tc>
              <w:tc>
                <w:tcPr>
                  <w:tcW w:w="1620" w:type="pct"/>
                  <w:vAlign w:val="center"/>
                </w:tcPr>
                <w:p w14:paraId="081EF29C">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申报登记：根据《中华人民共和国固体废物污染环境防治法》及《中华人民共和国水污染防治法》相关规定，油气开发业主单位在井场钻井作业15日前，须向所在县区环保局报送《榆林市油气开采废弃物申报表》（见附件1），就单井油气开采废弃物产生情况及“三统一”实施计划进行申报，同时报市局备案；</w:t>
                  </w:r>
                </w:p>
              </w:tc>
              <w:tc>
                <w:tcPr>
                  <w:tcW w:w="1208" w:type="pct"/>
                  <w:vAlign w:val="center"/>
                </w:tcPr>
                <w:p w14:paraId="2ABABE47">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本项目拟</w:t>
                  </w:r>
                  <w:r>
                    <w:rPr>
                      <w:rFonts w:hint="default" w:ascii="Times New Roman" w:hAnsi="Times New Roman" w:eastAsia="宋体" w:cs="Times New Roman"/>
                      <w:color w:val="auto"/>
                      <w:sz w:val="21"/>
                      <w:szCs w:val="21"/>
                      <w:lang w:val="en-US" w:eastAsia="zh-CN"/>
                    </w:rPr>
                    <w:t>在井场钻井作业15日前，向</w:t>
                  </w:r>
                  <w:r>
                    <w:rPr>
                      <w:rFonts w:hint="eastAsia" w:cs="Times New Roman"/>
                      <w:color w:val="auto"/>
                      <w:sz w:val="21"/>
                      <w:szCs w:val="21"/>
                      <w:lang w:val="en-US" w:eastAsia="zh-CN"/>
                    </w:rPr>
                    <w:t>榆林市佳县生态环境局</w:t>
                  </w:r>
                  <w:r>
                    <w:rPr>
                      <w:rFonts w:hint="default" w:ascii="Times New Roman" w:hAnsi="Times New Roman" w:eastAsia="宋体" w:cs="Times New Roman"/>
                      <w:color w:val="auto"/>
                      <w:sz w:val="21"/>
                      <w:szCs w:val="21"/>
                      <w:lang w:val="en-US" w:eastAsia="zh-CN"/>
                    </w:rPr>
                    <w:t>报送《榆林市油气开采废弃物申报表》就单井油气开采废弃物产生情况及“三统一”实施计划进行申报，同时报市局备案</w:t>
                  </w:r>
                  <w:r>
                    <w:rPr>
                      <w:rFonts w:hint="eastAsia" w:cs="Times New Roman"/>
                      <w:color w:val="auto"/>
                      <w:sz w:val="21"/>
                      <w:szCs w:val="21"/>
                      <w:lang w:val="en-US" w:eastAsia="zh-CN"/>
                    </w:rPr>
                    <w:t>。</w:t>
                  </w:r>
                </w:p>
              </w:tc>
              <w:tc>
                <w:tcPr>
                  <w:tcW w:w="540" w:type="pct"/>
                  <w:vAlign w:val="center"/>
                </w:tcPr>
                <w:p w14:paraId="5E0120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98A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77A1E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299" w:type="pct"/>
                  <w:vMerge w:val="continue"/>
                  <w:vAlign w:val="center"/>
                </w:tcPr>
                <w:p w14:paraId="396E0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20" w:type="pct"/>
                  <w:vAlign w:val="center"/>
                </w:tcPr>
                <w:p w14:paraId="455B211F">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理台帐：根据《陕西省煤炭石油天然气开发环境保护条例》及《陕西省固体废物污染环境防治条例》相关规定，油气开发业主单位要建立健全污染环境防治责任制度，采取油气开采废弃物防扬散、防流失、防渗漏或者其他防止污染环境的收集措施，分类贮存。</w:t>
                  </w:r>
                </w:p>
              </w:tc>
              <w:tc>
                <w:tcPr>
                  <w:tcW w:w="1208" w:type="pct"/>
                  <w:vAlign w:val="center"/>
                </w:tcPr>
                <w:p w14:paraId="0A0C4C5A">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中国石油天然气股份有限公司长庆油田分公司设质量安全环保科，设专职人员进行安全环保管理。在施工期制定安全环境管理制度，贯彻执行国家和地方各项环保方针，政策和法规，并采取天然气开采废弃物防扬散、防流失、防渗漏或者其他防止污染环境的收集措施，分类贮存。</w:t>
                  </w:r>
                </w:p>
              </w:tc>
              <w:tc>
                <w:tcPr>
                  <w:tcW w:w="540" w:type="pct"/>
                  <w:vAlign w:val="center"/>
                </w:tcPr>
                <w:p w14:paraId="6AC6E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03D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5A427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299" w:type="pct"/>
                  <w:vMerge w:val="continue"/>
                  <w:vAlign w:val="center"/>
                </w:tcPr>
                <w:p w14:paraId="0B8F97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20" w:type="pct"/>
                  <w:vAlign w:val="center"/>
                </w:tcPr>
                <w:p w14:paraId="691ADBC0">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处置：根据《中华人民共和国固体废物污染环境防治法》、《中华人民共和国水污染防治法》及《陕西省固体废物污染环境防治条例》相关规定，油气开发业主单位应对油气开采废弃物加以利用，对不能利用的，委托有资质单位进行规范化处置，严禁就地固化掩埋。</w:t>
                  </w:r>
                </w:p>
              </w:tc>
              <w:tc>
                <w:tcPr>
                  <w:tcW w:w="1208" w:type="pct"/>
                  <w:vAlign w:val="center"/>
                </w:tcPr>
                <w:p w14:paraId="37D40C46">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项目泥浆上清液排入地上移动式污水罐，用于配制泥浆，循环使用，对钻井完不能利用的送至</w:t>
                  </w:r>
                  <w:r>
                    <w:rPr>
                      <w:rFonts w:hint="eastAsia"/>
                      <w:color w:val="auto"/>
                      <w:sz w:val="21"/>
                      <w:szCs w:val="21"/>
                      <w:lang w:val="en-US" w:eastAsia="zh-CN"/>
                    </w:rPr>
                    <w:t>陕西德禾鑫盛环保科技有限公司</w:t>
                  </w:r>
                  <w:r>
                    <w:rPr>
                      <w:rFonts w:hint="eastAsia" w:cs="Times New Roman"/>
                      <w:color w:val="auto"/>
                      <w:sz w:val="21"/>
                      <w:szCs w:val="21"/>
                      <w:lang w:val="en-US" w:eastAsia="zh-CN"/>
                    </w:rPr>
                    <w:t>处理。</w:t>
                  </w:r>
                </w:p>
              </w:tc>
              <w:tc>
                <w:tcPr>
                  <w:tcW w:w="540" w:type="pct"/>
                  <w:vAlign w:val="center"/>
                </w:tcPr>
                <w:p w14:paraId="328B6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EE7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restart"/>
                  <w:vAlign w:val="center"/>
                </w:tcPr>
                <w:p w14:paraId="0CE52E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1299" w:type="pct"/>
                  <w:vMerge w:val="restart"/>
                  <w:vAlign w:val="center"/>
                </w:tcPr>
                <w:p w14:paraId="0DFCBA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《榆林市矿产资源总体规划》（2021-2025年）</w:t>
                  </w:r>
                </w:p>
              </w:tc>
              <w:tc>
                <w:tcPr>
                  <w:tcW w:w="1620" w:type="pct"/>
                  <w:vAlign w:val="center"/>
                </w:tcPr>
                <w:p w14:paraId="22CF34BD">
                  <w:pPr>
                    <w:pStyle w:val="27"/>
                    <w:keepNext w:val="0"/>
                    <w:keepLines w:val="0"/>
                    <w:pageBreakBefore w:val="0"/>
                    <w:numPr>
                      <w:ilvl w:val="0"/>
                      <w:numId w:val="3"/>
                    </w:numPr>
                    <w:kinsoku/>
                    <w:wordWrap/>
                    <w:overflowPunct/>
                    <w:topLinePunct w:val="0"/>
                    <w:autoSpaceDE/>
                    <w:autoSpaceDN/>
                    <w:bidi w:val="0"/>
                    <w:ind w:firstLine="0" w:firstLineChars="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统筹勘察开发保护区域布局</w:t>
                  </w:r>
                </w:p>
                <w:p w14:paraId="5DEA6503">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加快神木、榆阳、米脂、佳县岩盐的勘察开发程度，大力推进煤、油、气、盐一体化格局发展。</w:t>
                  </w:r>
                </w:p>
              </w:tc>
              <w:tc>
                <w:tcPr>
                  <w:tcW w:w="1208" w:type="pct"/>
                  <w:vAlign w:val="center"/>
                </w:tcPr>
                <w:p w14:paraId="2BF918A5">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本项目位于佳县王家砭镇，为天然气勘探项目，符合“</w:t>
                  </w:r>
                  <w:r>
                    <w:rPr>
                      <w:rFonts w:hint="eastAsia" w:cs="Times New Roman"/>
                      <w:b w:val="0"/>
                      <w:bCs w:val="0"/>
                      <w:color w:val="auto"/>
                      <w:sz w:val="21"/>
                      <w:szCs w:val="21"/>
                      <w:lang w:val="en-US" w:eastAsia="zh-CN"/>
                    </w:rPr>
                    <w:t>大力推进煤、油、气、盐一体化格局发展</w:t>
                  </w:r>
                  <w:r>
                    <w:rPr>
                      <w:rFonts w:hint="eastAsia" w:cs="Times New Roman"/>
                      <w:color w:val="auto"/>
                      <w:sz w:val="21"/>
                      <w:szCs w:val="21"/>
                      <w:lang w:val="en-US" w:eastAsia="zh-CN"/>
                    </w:rPr>
                    <w:t>”要求。</w:t>
                  </w:r>
                </w:p>
              </w:tc>
              <w:tc>
                <w:tcPr>
                  <w:tcW w:w="540" w:type="pct"/>
                  <w:vAlign w:val="center"/>
                </w:tcPr>
                <w:p w14:paraId="24BD1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6F2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63F83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299" w:type="pct"/>
                  <w:vMerge w:val="continue"/>
                  <w:vAlign w:val="center"/>
                </w:tcPr>
                <w:p w14:paraId="662D0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20" w:type="pct"/>
                  <w:vAlign w:val="center"/>
                </w:tcPr>
                <w:p w14:paraId="4C6F7AE8">
                  <w:pPr>
                    <w:pStyle w:val="27"/>
                    <w:keepNext w:val="0"/>
                    <w:keepLines w:val="0"/>
                    <w:pageBreakBefore w:val="0"/>
                    <w:numPr>
                      <w:ilvl w:val="0"/>
                      <w:numId w:val="4"/>
                    </w:numPr>
                    <w:kinsoku/>
                    <w:wordWrap/>
                    <w:overflowPunct/>
                    <w:topLinePunct w:val="0"/>
                    <w:autoSpaceDE/>
                    <w:autoSpaceDN/>
                    <w:bidi w:val="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明确矿产资源勘查开采调控方向</w:t>
                  </w:r>
                </w:p>
                <w:p w14:paraId="3509DDB8">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限制勘察高硫煤，勘察区块投放前应做好论证。结合国家战略性矿产、省市优势紧缺矿产的找矿目标及榆林煤、油、气、盐一体化发展格局，重点勘察石油、天然气、煤炭、煤层气、地热等矿产。</w:t>
                  </w:r>
                </w:p>
              </w:tc>
              <w:tc>
                <w:tcPr>
                  <w:tcW w:w="1208" w:type="pct"/>
                  <w:vAlign w:val="center"/>
                </w:tcPr>
                <w:p w14:paraId="6D5C7108">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本项目位于佳县王家砭镇，为天然气勘探项目，符合“</w:t>
                  </w:r>
                  <w:r>
                    <w:rPr>
                      <w:rFonts w:hint="eastAsia" w:cs="Times New Roman"/>
                      <w:b w:val="0"/>
                      <w:bCs w:val="0"/>
                      <w:color w:val="auto"/>
                      <w:sz w:val="21"/>
                      <w:szCs w:val="21"/>
                      <w:lang w:val="en-US" w:eastAsia="zh-CN"/>
                    </w:rPr>
                    <w:t>重点勘察石油、天然气、煤炭、煤层气、地热等矿产</w:t>
                  </w:r>
                  <w:r>
                    <w:rPr>
                      <w:rFonts w:hint="eastAsia" w:cs="Times New Roman"/>
                      <w:color w:val="auto"/>
                      <w:sz w:val="21"/>
                      <w:szCs w:val="21"/>
                      <w:lang w:val="en-US" w:eastAsia="zh-CN"/>
                    </w:rPr>
                    <w:t>”要求。</w:t>
                  </w:r>
                </w:p>
              </w:tc>
              <w:tc>
                <w:tcPr>
                  <w:tcW w:w="540" w:type="pct"/>
                  <w:vAlign w:val="center"/>
                </w:tcPr>
                <w:p w14:paraId="3320F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EC0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vMerge w:val="continue"/>
                  <w:vAlign w:val="center"/>
                </w:tcPr>
                <w:p w14:paraId="0A4F8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299" w:type="pct"/>
                  <w:vMerge w:val="continue"/>
                  <w:vAlign w:val="center"/>
                </w:tcPr>
                <w:p w14:paraId="30311B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20" w:type="pct"/>
                  <w:vAlign w:val="center"/>
                </w:tcPr>
                <w:p w14:paraId="0DF8E29F">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208" w:type="pct"/>
                  <w:vAlign w:val="center"/>
                </w:tcPr>
                <w:p w14:paraId="1B3A7AA5">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本项目勘察过程中使用电驱动，属于清洁能源，钻进过程采用水基钻井液，勘探工程结束后对场地进行绿化恢复，符合绿色勘察要求。</w:t>
                  </w:r>
                </w:p>
              </w:tc>
              <w:tc>
                <w:tcPr>
                  <w:tcW w:w="540" w:type="pct"/>
                  <w:vAlign w:val="center"/>
                </w:tcPr>
                <w:p w14:paraId="381AA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3B0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31" w:type="pct"/>
                  <w:vMerge w:val="restart"/>
                  <w:vAlign w:val="center"/>
                </w:tcPr>
                <w:p w14:paraId="56C726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1299" w:type="pct"/>
                  <w:vMerge w:val="restart"/>
                  <w:vAlign w:val="center"/>
                </w:tcPr>
                <w:p w14:paraId="5FE1A0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《佳县矿产资源总体规划（2021-2025年）》</w:t>
                  </w:r>
                </w:p>
              </w:tc>
              <w:tc>
                <w:tcPr>
                  <w:tcW w:w="1620" w:type="pct"/>
                  <w:shd w:val="clear" w:color="auto" w:fill="auto"/>
                  <w:vAlign w:val="center"/>
                </w:tcPr>
                <w:p w14:paraId="6DEC53DA">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加强</w:t>
                  </w:r>
                  <w:r>
                    <w:rPr>
                      <w:rFonts w:hint="eastAsia" w:ascii="Times New Roman" w:hAnsi="Times New Roman" w:eastAsia="宋体" w:cs="Times New Roman"/>
                      <w:b w:val="0"/>
                      <w:bCs w:val="0"/>
                      <w:color w:val="auto"/>
                      <w:sz w:val="21"/>
                      <w:szCs w:val="21"/>
                      <w:lang w:val="en" w:eastAsia="en-US"/>
                    </w:rPr>
                    <w:t>矿产资源勘查</w:t>
                  </w:r>
                  <w:r>
                    <w:rPr>
                      <w:rFonts w:hint="eastAsia" w:ascii="Times New Roman" w:hAnsi="Times New Roman" w:eastAsia="宋体" w:cs="Times New Roman"/>
                      <w:b w:val="0"/>
                      <w:bCs w:val="0"/>
                      <w:color w:val="auto"/>
                      <w:sz w:val="21"/>
                      <w:szCs w:val="21"/>
                      <w:lang w:val="en-US" w:eastAsia="zh-CN"/>
                    </w:rPr>
                    <w:t>程度，增加资源储量，提高资源保障程度；提高</w:t>
                  </w:r>
                  <w:r>
                    <w:rPr>
                      <w:rFonts w:hint="eastAsia" w:ascii="Times New Roman" w:hAnsi="Times New Roman" w:eastAsia="宋体" w:cs="Times New Roman"/>
                      <w:b w:val="0"/>
                      <w:bCs w:val="0"/>
                      <w:color w:val="auto"/>
                      <w:sz w:val="21"/>
                      <w:szCs w:val="21"/>
                      <w:lang w:val="en" w:eastAsia="en-US"/>
                    </w:rPr>
                    <w:t>矿产资源开发利用与保护</w:t>
                  </w:r>
                  <w:r>
                    <w:rPr>
                      <w:rFonts w:hint="eastAsia" w:ascii="Times New Roman" w:hAnsi="Times New Roman" w:eastAsia="宋体" w:cs="Times New Roman"/>
                      <w:b w:val="0"/>
                      <w:bCs w:val="0"/>
                      <w:color w:val="auto"/>
                      <w:sz w:val="21"/>
                      <w:szCs w:val="21"/>
                      <w:lang w:val="en-US" w:eastAsia="zh-CN"/>
                    </w:rPr>
                    <w:t>力度</w:t>
                  </w:r>
                  <w:r>
                    <w:rPr>
                      <w:rFonts w:hint="eastAsia" w:ascii="Times New Roman" w:hAnsi="Times New Roman" w:eastAsia="宋体" w:cs="Times New Roman"/>
                      <w:b w:val="0"/>
                      <w:bCs w:val="0"/>
                      <w:color w:val="auto"/>
                      <w:sz w:val="21"/>
                      <w:szCs w:val="21"/>
                      <w:lang w:val="en" w:eastAsia="en-US"/>
                    </w:rPr>
                    <w:t>，合理调控开发总量</w:t>
                  </w:r>
                  <w:r>
                    <w:rPr>
                      <w:rFonts w:hint="eastAsia" w:ascii="Times New Roman" w:hAnsi="Times New Roman" w:eastAsia="宋体" w:cs="Times New Roman"/>
                      <w:b w:val="0"/>
                      <w:bCs w:val="0"/>
                      <w:color w:val="auto"/>
                      <w:sz w:val="21"/>
                      <w:szCs w:val="21"/>
                      <w:lang w:val="en" w:eastAsia="zh-CN"/>
                    </w:rPr>
                    <w:t>；</w:t>
                  </w:r>
                  <w:r>
                    <w:rPr>
                      <w:rFonts w:hint="eastAsia" w:ascii="Times New Roman" w:hAnsi="Times New Roman" w:eastAsia="宋体" w:cs="Times New Roman"/>
                      <w:b w:val="0"/>
                      <w:bCs w:val="0"/>
                      <w:color w:val="auto"/>
                      <w:sz w:val="21"/>
                      <w:szCs w:val="21"/>
                      <w:lang w:val="en-US" w:eastAsia="zh-CN"/>
                    </w:rPr>
                    <w:t>矿山</w:t>
                  </w:r>
                  <w:r>
                    <w:rPr>
                      <w:rFonts w:hint="eastAsia" w:ascii="Times New Roman" w:hAnsi="Times New Roman" w:eastAsia="宋体" w:cs="Times New Roman"/>
                      <w:b w:val="0"/>
                      <w:bCs w:val="0"/>
                      <w:color w:val="auto"/>
                      <w:sz w:val="21"/>
                      <w:szCs w:val="21"/>
                      <w:lang w:val="en" w:eastAsia="en-US"/>
                    </w:rPr>
                    <w:t>开发利用布局与结构更加</w:t>
                  </w:r>
                  <w:r>
                    <w:rPr>
                      <w:rFonts w:hint="eastAsia" w:ascii="Times New Roman" w:hAnsi="Times New Roman" w:eastAsia="宋体" w:cs="Times New Roman"/>
                      <w:b w:val="0"/>
                      <w:bCs w:val="0"/>
                      <w:color w:val="auto"/>
                      <w:sz w:val="21"/>
                      <w:szCs w:val="21"/>
                      <w:lang w:val="en-US" w:eastAsia="zh-CN"/>
                    </w:rPr>
                    <w:t>合理</w:t>
                  </w:r>
                  <w:r>
                    <w:rPr>
                      <w:rFonts w:hint="eastAsia" w:ascii="Times New Roman" w:hAnsi="Times New Roman" w:eastAsia="宋体" w:cs="Times New Roman"/>
                      <w:b w:val="0"/>
                      <w:bCs w:val="0"/>
                      <w:color w:val="auto"/>
                      <w:sz w:val="21"/>
                      <w:szCs w:val="21"/>
                      <w:lang w:val="en" w:eastAsia="en-US"/>
                    </w:rPr>
                    <w:t>，资源节约集约和高效利用水平</w:t>
                  </w:r>
                  <w:r>
                    <w:rPr>
                      <w:rFonts w:hint="eastAsia" w:ascii="Times New Roman" w:hAnsi="Times New Roman" w:eastAsia="宋体" w:cs="Times New Roman"/>
                      <w:b w:val="0"/>
                      <w:bCs w:val="0"/>
                      <w:color w:val="auto"/>
                      <w:sz w:val="21"/>
                      <w:szCs w:val="21"/>
                      <w:lang w:val="en-US" w:eastAsia="zh-CN"/>
                    </w:rPr>
                    <w:t>进一步</w:t>
                  </w:r>
                  <w:r>
                    <w:rPr>
                      <w:rFonts w:hint="eastAsia" w:ascii="Times New Roman" w:hAnsi="Times New Roman" w:eastAsia="宋体" w:cs="Times New Roman"/>
                      <w:b w:val="0"/>
                      <w:bCs w:val="0"/>
                      <w:color w:val="auto"/>
                      <w:sz w:val="21"/>
                      <w:szCs w:val="21"/>
                      <w:lang w:val="en" w:eastAsia="en-US"/>
                    </w:rPr>
                    <w:t>提升。矿产资源绿色</w:t>
                  </w:r>
                  <w:r>
                    <w:rPr>
                      <w:rFonts w:hint="eastAsia" w:ascii="Times New Roman" w:hAnsi="Times New Roman" w:eastAsia="宋体" w:cs="Times New Roman"/>
                      <w:b w:val="0"/>
                      <w:bCs w:val="0"/>
                      <w:color w:val="auto"/>
                      <w:sz w:val="21"/>
                      <w:szCs w:val="21"/>
                      <w:lang w:val="en-US" w:eastAsia="zh-CN"/>
                    </w:rPr>
                    <w:t>勘查</w:t>
                  </w:r>
                  <w:r>
                    <w:rPr>
                      <w:rFonts w:hint="eastAsia" w:ascii="Times New Roman" w:hAnsi="Times New Roman" w:eastAsia="宋体" w:cs="Times New Roman"/>
                      <w:b w:val="0"/>
                      <w:bCs w:val="0"/>
                      <w:color w:val="auto"/>
                      <w:sz w:val="21"/>
                      <w:szCs w:val="21"/>
                      <w:lang w:val="en" w:eastAsia="en-US"/>
                    </w:rPr>
                    <w:t>开采稳步推进</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 w:eastAsia="en-US"/>
                    </w:rPr>
                    <w:t>绿色发展新格局基本形成。</w:t>
                  </w:r>
                </w:p>
              </w:tc>
              <w:tc>
                <w:tcPr>
                  <w:tcW w:w="1208" w:type="pct"/>
                  <w:shd w:val="clear" w:color="auto" w:fill="auto"/>
                  <w:vAlign w:val="center"/>
                </w:tcPr>
                <w:p w14:paraId="6CB2DEE9">
                  <w:pPr>
                    <w:pStyle w:val="27"/>
                    <w:keepNext w:val="0"/>
                    <w:keepLines w:val="0"/>
                    <w:pageBreakBefore w:val="0"/>
                    <w:kinsoku/>
                    <w:wordWrap/>
                    <w:overflowPunct/>
                    <w:topLinePunct w:val="0"/>
                    <w:autoSpaceDE/>
                    <w:autoSpaceDN/>
                    <w:bidi w:val="0"/>
                    <w:ind w:firstLine="0" w:firstLineChars="0"/>
                    <w:jc w:val="both"/>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本项目位于榆林市佳县方塌镇，属于天然气勘探，勘探过程采用电驱动，符合“加强矿产资源勘查程度”、“</w:t>
                  </w:r>
                  <w:r>
                    <w:rPr>
                      <w:rFonts w:hint="eastAsia" w:ascii="Times New Roman" w:hAnsi="Times New Roman" w:eastAsia="宋体" w:cs="Times New Roman"/>
                      <w:b w:val="0"/>
                      <w:bCs w:val="0"/>
                      <w:color w:val="auto"/>
                      <w:sz w:val="21"/>
                      <w:szCs w:val="21"/>
                      <w:lang w:val="en" w:eastAsia="en-US"/>
                    </w:rPr>
                    <w:t>矿产资源绿色</w:t>
                  </w:r>
                  <w:r>
                    <w:rPr>
                      <w:rFonts w:hint="eastAsia" w:ascii="Times New Roman" w:hAnsi="Times New Roman" w:eastAsia="宋体" w:cs="Times New Roman"/>
                      <w:b w:val="0"/>
                      <w:bCs w:val="0"/>
                      <w:color w:val="auto"/>
                      <w:sz w:val="21"/>
                      <w:szCs w:val="21"/>
                      <w:lang w:val="en-US" w:eastAsia="zh-CN"/>
                    </w:rPr>
                    <w:t>勘查</w:t>
                  </w:r>
                  <w:r>
                    <w:rPr>
                      <w:rFonts w:hint="eastAsia" w:ascii="Times New Roman" w:hAnsi="Times New Roman" w:eastAsia="宋体" w:cs="Times New Roman"/>
                      <w:b w:val="0"/>
                      <w:bCs w:val="0"/>
                      <w:color w:val="auto"/>
                      <w:sz w:val="21"/>
                      <w:szCs w:val="21"/>
                      <w:lang w:val="en" w:eastAsia="en-US"/>
                    </w:rPr>
                    <w:t>开采稳步推进</w:t>
                  </w:r>
                  <w:r>
                    <w:rPr>
                      <w:rFonts w:hint="eastAsia" w:cs="Times New Roman"/>
                      <w:color w:val="auto"/>
                      <w:sz w:val="21"/>
                      <w:szCs w:val="21"/>
                      <w:lang w:val="en-US" w:eastAsia="zh-CN"/>
                    </w:rPr>
                    <w:t>”等要求</w:t>
                  </w:r>
                </w:p>
              </w:tc>
              <w:tc>
                <w:tcPr>
                  <w:tcW w:w="540" w:type="pct"/>
                  <w:vAlign w:val="center"/>
                </w:tcPr>
                <w:p w14:paraId="247271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6A8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31" w:type="pct"/>
                  <w:vMerge w:val="continue"/>
                  <w:vAlign w:val="center"/>
                </w:tcPr>
                <w:p w14:paraId="4C318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299" w:type="pct"/>
                  <w:vMerge w:val="continue"/>
                  <w:vAlign w:val="center"/>
                </w:tcPr>
                <w:p w14:paraId="2A72E1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20" w:type="pct"/>
                  <w:shd w:val="clear" w:color="auto" w:fill="auto"/>
                  <w:vAlign w:val="center"/>
                </w:tcPr>
                <w:p w14:paraId="53C31A8C">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bCs/>
                      <w:color w:val="auto"/>
                      <w:sz w:val="21"/>
                      <w:szCs w:val="21"/>
                      <w:lang w:val="en" w:eastAsia="en-US"/>
                    </w:rPr>
                    <w:t>资源勘查程度进一步提高。</w:t>
                  </w:r>
                  <w:r>
                    <w:rPr>
                      <w:rFonts w:hint="eastAsia" w:ascii="Times New Roman" w:hAnsi="Times New Roman" w:eastAsia="宋体" w:cs="Times New Roman"/>
                      <w:b w:val="0"/>
                      <w:bCs w:val="0"/>
                      <w:color w:val="auto"/>
                      <w:sz w:val="21"/>
                      <w:szCs w:val="21"/>
                      <w:lang w:val="en" w:eastAsia="en-US"/>
                    </w:rPr>
                    <w:t>加</w:t>
                  </w:r>
                  <w:r>
                    <w:rPr>
                      <w:rFonts w:hint="eastAsia" w:ascii="Times New Roman" w:hAnsi="Times New Roman" w:eastAsia="宋体" w:cs="Times New Roman"/>
                      <w:b w:val="0"/>
                      <w:bCs w:val="0"/>
                      <w:color w:val="auto"/>
                      <w:sz w:val="21"/>
                      <w:szCs w:val="21"/>
                      <w:lang w:val="en-US" w:eastAsia="zh-CN"/>
                    </w:rPr>
                    <w:t>强煤炭、天然气、岩盐矿产的勘查评价，增加资源储量，稳步提升资源保障水平</w:t>
                  </w:r>
                  <w:r>
                    <w:rPr>
                      <w:rFonts w:hint="eastAsia" w:ascii="Times New Roman" w:hAnsi="Times New Roman" w:eastAsia="宋体" w:cs="Times New Roman"/>
                      <w:b w:val="0"/>
                      <w:bCs w:val="0"/>
                      <w:color w:val="auto"/>
                      <w:sz w:val="21"/>
                      <w:szCs w:val="21"/>
                      <w:lang w:val="en" w:eastAsia="en-US"/>
                    </w:rPr>
                    <w:t>。</w:t>
                  </w:r>
                </w:p>
              </w:tc>
              <w:tc>
                <w:tcPr>
                  <w:tcW w:w="1208" w:type="pct"/>
                  <w:shd w:val="clear" w:color="auto" w:fill="auto"/>
                  <w:vAlign w:val="center"/>
                </w:tcPr>
                <w:p w14:paraId="76DAA1D9">
                  <w:pPr>
                    <w:pStyle w:val="27"/>
                    <w:keepNext w:val="0"/>
                    <w:keepLines w:val="0"/>
                    <w:pageBreakBefore w:val="0"/>
                    <w:kinsoku/>
                    <w:wordWrap/>
                    <w:overflowPunct/>
                    <w:topLinePunct w:val="0"/>
                    <w:autoSpaceDE/>
                    <w:autoSpaceDN/>
                    <w:bidi w:val="0"/>
                    <w:ind w:firstLine="0" w:firstLineChars="0"/>
                    <w:jc w:val="both"/>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本项目属于天然气勘探井建设项目</w:t>
                  </w:r>
                </w:p>
              </w:tc>
              <w:tc>
                <w:tcPr>
                  <w:tcW w:w="540" w:type="pct"/>
                  <w:vAlign w:val="center"/>
                </w:tcPr>
                <w:p w14:paraId="2FD23A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3658ADD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5、与《钻前工程及井场布置技术要求》符合性分析</w:t>
            </w:r>
          </w:p>
          <w:p w14:paraId="760A73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4"/>
                <w:szCs w:val="24"/>
                <w:vertAlign w:val="baseline"/>
                <w:lang w:val="en-US" w:eastAsia="zh-CN"/>
              </w:rPr>
              <w:t>根据《钻前工程及井场布置技术要求》（SY/T5466-2013）中3.2.2节规定，井口位置应满足“距高压线及其它永久性设施不小于75m，距民宅不小于100m，距铁路、高速公路不小于200m，距学校、医院和大型油库等密集型、高危性场所不小于500m”的规定。根据现场踏勘，项目井口75m范围内无高压线及其它永久性设施，100m范围内无居民住宅，200m范围内无高速公路、铁路，500m范围内无学校、医院和大型油库等人口密集性、高危性场所。项目气探井井口选址符合《钻前工程及井场布置技术要求》（SY/T5466-2013）中3.2.2节规定，具体分析见表1-</w:t>
            </w:r>
            <w:r>
              <w:rPr>
                <w:rFonts w:hint="eastAsia" w:ascii="Times New Roman" w:hAnsi="Times New Roman" w:eastAsia="宋体" w:cs="Times New Roman"/>
                <w:color w:val="auto"/>
                <w:sz w:val="24"/>
                <w:szCs w:val="24"/>
                <w:vertAlign w:val="baseline"/>
                <w:lang w:val="en-US" w:eastAsia="zh-CN"/>
              </w:rPr>
              <w:t>8</w:t>
            </w:r>
            <w:r>
              <w:rPr>
                <w:rFonts w:hint="default" w:ascii="Times New Roman" w:hAnsi="Times New Roman" w:eastAsia="宋体" w:cs="Times New Roman"/>
                <w:color w:val="auto"/>
                <w:sz w:val="24"/>
                <w:szCs w:val="24"/>
                <w:vertAlign w:val="baseline"/>
                <w:lang w:val="en-US" w:eastAsia="zh-CN"/>
              </w:rPr>
              <w:t>。</w:t>
            </w:r>
          </w:p>
          <w:p w14:paraId="43BC3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钻前工程及井场布置技术要求</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616"/>
              <w:gridCol w:w="3273"/>
              <w:gridCol w:w="905"/>
            </w:tblGrid>
            <w:tr w14:paraId="7DA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gridSpan w:val="2"/>
                  <w:vAlign w:val="center"/>
                </w:tcPr>
                <w:p w14:paraId="40CB5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《钻前工程及井场布置技术要求》（SY/T5466-2013）</w:t>
                  </w:r>
                </w:p>
              </w:tc>
              <w:tc>
                <w:tcPr>
                  <w:tcW w:w="2117" w:type="pct"/>
                  <w:vAlign w:val="center"/>
                </w:tcPr>
                <w:p w14:paraId="426547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585" w:type="pct"/>
                  <w:vAlign w:val="center"/>
                </w:tcPr>
                <w:p w14:paraId="294FA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符合性分析</w:t>
                  </w:r>
                </w:p>
              </w:tc>
            </w:tr>
            <w:tr w14:paraId="3838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5CAA02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3.1井场选择原则</w:t>
                  </w:r>
                </w:p>
              </w:tc>
              <w:tc>
                <w:tcPr>
                  <w:tcW w:w="1691" w:type="pct"/>
                  <w:vAlign w:val="center"/>
                </w:tcPr>
                <w:p w14:paraId="1CBDD5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井场应避开滑坡、泥石流等不良地质地段，在河滩、海滩地区应避开讯、潮期进行钻前施工</w:t>
                  </w:r>
                </w:p>
              </w:tc>
              <w:tc>
                <w:tcPr>
                  <w:tcW w:w="2117" w:type="pct"/>
                  <w:vAlign w:val="center"/>
                </w:tcPr>
                <w:p w14:paraId="282EE40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本项目井场选址不属于滑坡、泥石流等不良地段，也不属于河滩地区</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73C4D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F41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1B6D6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43FA4A7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满足防洪、防喷、防爆、防毒、防冻等安全要求</w:t>
                  </w:r>
                </w:p>
              </w:tc>
              <w:tc>
                <w:tcPr>
                  <w:tcW w:w="2117" w:type="pct"/>
                  <w:vAlign w:val="center"/>
                </w:tcPr>
                <w:p w14:paraId="680925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本项目选址满足防洪、防喷、防爆、防毒、防冻等安全要求</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3CA595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C62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23FF8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3.2井位的确定</w:t>
                  </w:r>
                </w:p>
              </w:tc>
              <w:tc>
                <w:tcPr>
                  <w:tcW w:w="1691" w:type="pct"/>
                  <w:vAlign w:val="center"/>
                </w:tcPr>
                <w:p w14:paraId="4C1319C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油、气井井口距高压线及其他永久性设施不小于75m，距民宅不小于100m，距铁路、高速公路不小于200m，距学校、医院和大型油库等人口密集型、高危性场所不小于500m。</w:t>
                  </w:r>
                </w:p>
              </w:tc>
              <w:tc>
                <w:tcPr>
                  <w:tcW w:w="2117" w:type="pct"/>
                  <w:vAlign w:val="center"/>
                </w:tcPr>
                <w:p w14:paraId="0A23669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米107-2M</w:t>
                  </w:r>
                  <w:r>
                    <w:rPr>
                      <w:rFonts w:hint="default" w:ascii="Times New Roman" w:hAnsi="Times New Roman" w:eastAsia="宋体" w:cs="Times New Roman"/>
                      <w:color w:val="auto"/>
                      <w:sz w:val="21"/>
                      <w:szCs w:val="21"/>
                      <w:vertAlign w:val="baseline"/>
                      <w:lang w:val="en-US" w:eastAsia="zh-CN"/>
                    </w:rPr>
                    <w:t>井场周围75m无高压线及其他永久性设施，100m范围内无民宅，200m范围内无铁路、高速公路，500米范围内无学校、医院和大型油库等人口密集性、高危性场所</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2268A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F80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3CD8AE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3463B13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在地下矿产采掘区钻井，井筒与采掘坑道、矿井坑道之间的距离不小于100m</w:t>
                  </w:r>
                </w:p>
              </w:tc>
              <w:tc>
                <w:tcPr>
                  <w:tcW w:w="2117" w:type="pct"/>
                  <w:vAlign w:val="center"/>
                </w:tcPr>
                <w:p w14:paraId="3A8A36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本项目钻井区不是地下矿产采掘区</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682B1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A7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2EB09C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4DAE10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井口距堤坝、水库的位置应根据国家水利部门的有关规定执行</w:t>
                  </w:r>
                </w:p>
              </w:tc>
              <w:tc>
                <w:tcPr>
                  <w:tcW w:w="2117" w:type="pct"/>
                  <w:vAlign w:val="center"/>
                </w:tcPr>
                <w:p w14:paraId="54FD70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本项目井口周边不涉及堤坝、水库</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62DED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4B4A89B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6、与《陕北油气田开采清洁文明井场验收标准》符合性分析</w:t>
            </w:r>
          </w:p>
          <w:p w14:paraId="0F9DF3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本项目与《陕北油气田开采清洁文明井场验收标准》（陕环办发【2016】31号）符合性分析见下表：</w:t>
            </w:r>
          </w:p>
          <w:p w14:paraId="4D7494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与《陕北油气田开采清洁文明井场验收标准》符合性分析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616"/>
              <w:gridCol w:w="2699"/>
              <w:gridCol w:w="699"/>
            </w:tblGrid>
            <w:tr w14:paraId="1771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pct"/>
                  <w:gridSpan w:val="2"/>
                  <w:vAlign w:val="center"/>
                </w:tcPr>
                <w:p w14:paraId="18F42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陕环办发【2016】31号</w:t>
                  </w:r>
                </w:p>
              </w:tc>
              <w:tc>
                <w:tcPr>
                  <w:tcW w:w="1746" w:type="pct"/>
                  <w:vAlign w:val="center"/>
                </w:tcPr>
                <w:p w14:paraId="21E9D5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452" w:type="pct"/>
                  <w:vAlign w:val="center"/>
                </w:tcPr>
                <w:p w14:paraId="396DE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4F83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09F3F7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一、钻探井场</w:t>
                  </w:r>
                </w:p>
              </w:tc>
              <w:tc>
                <w:tcPr>
                  <w:tcW w:w="2339" w:type="pct"/>
                  <w:vAlign w:val="center"/>
                </w:tcPr>
                <w:p w14:paraId="4DAB98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w:t>
                  </w:r>
                  <w:r>
                    <w:rPr>
                      <w:rFonts w:hint="default" w:ascii="Times New Roman" w:hAnsi="Times New Roman" w:eastAsia="宋体" w:cs="Times New Roman"/>
                      <w:color w:val="auto"/>
                      <w:kern w:val="0"/>
                      <w:sz w:val="21"/>
                      <w:szCs w:val="21"/>
                      <w:lang w:val="en-US" w:eastAsia="zh-CN" w:bidi="ar"/>
                    </w:rPr>
                    <w:t>钻井作业的泥浆池和泥浆槽必须采取防渗漏、防外溢措施。泥浆上清液应循环使用或处理达标后回注油层。钻井泥浆应当交由有资质单位处置，岩屑及其他废弃物要进行无害化处理</w:t>
                  </w:r>
                </w:p>
              </w:tc>
              <w:tc>
                <w:tcPr>
                  <w:tcW w:w="1746" w:type="pct"/>
                </w:tcPr>
                <w:p w14:paraId="4829340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本项目钻井作业的泥浆罐区、岩屑暂存池等区域进行重点防渗，</w:t>
                  </w:r>
                  <w:r>
                    <w:rPr>
                      <w:rFonts w:hint="default" w:ascii="Times New Roman" w:hAnsi="Times New Roman" w:eastAsia="宋体" w:cs="Times New Roman"/>
                      <w:color w:val="auto"/>
                      <w:kern w:val="0"/>
                      <w:sz w:val="21"/>
                      <w:szCs w:val="21"/>
                      <w:lang w:val="en-US" w:eastAsia="zh-CN" w:bidi="ar"/>
                    </w:rPr>
                    <w:t>防渗层的防渗性能不应低于6.0m厚渗透系数为1.0×10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cm/s的黏土层的防渗性能</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泥浆上清液回用于钻井液配液；废弃泥浆、钻井岩屑委托具有相应处置能力的单位处置；废</w:t>
                  </w:r>
                  <w:r>
                    <w:rPr>
                      <w:rFonts w:hint="eastAsia" w:ascii="Times New Roman" w:hAnsi="Times New Roman" w:eastAsia="宋体" w:cs="Times New Roman"/>
                      <w:color w:val="auto"/>
                      <w:kern w:val="0"/>
                      <w:sz w:val="21"/>
                      <w:szCs w:val="21"/>
                      <w:lang w:val="en-US" w:eastAsia="zh-CN" w:bidi="ar"/>
                    </w:rPr>
                    <w:t>机</w:t>
                  </w:r>
                  <w:r>
                    <w:rPr>
                      <w:rFonts w:hint="default" w:ascii="Times New Roman" w:hAnsi="Times New Roman" w:eastAsia="宋体" w:cs="Times New Roman"/>
                      <w:color w:val="auto"/>
                      <w:kern w:val="0"/>
                      <w:sz w:val="21"/>
                      <w:szCs w:val="21"/>
                      <w:lang w:val="en-US" w:eastAsia="zh-CN" w:bidi="ar"/>
                    </w:rPr>
                    <w:t>油等其它危险废物委托资质单位处置。</w:t>
                  </w:r>
                </w:p>
              </w:tc>
              <w:tc>
                <w:tcPr>
                  <w:tcW w:w="452" w:type="pct"/>
                  <w:vAlign w:val="center"/>
                </w:tcPr>
                <w:p w14:paraId="78D40C5C">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BD1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1C32B5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3F36813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w:t>
                  </w:r>
                  <w:r>
                    <w:rPr>
                      <w:rFonts w:hint="default" w:ascii="Times New Roman" w:hAnsi="Times New Roman" w:eastAsia="宋体" w:cs="Times New Roman"/>
                      <w:color w:val="auto"/>
                      <w:kern w:val="0"/>
                      <w:sz w:val="21"/>
                      <w:szCs w:val="21"/>
                      <w:lang w:val="en-US" w:eastAsia="zh-CN" w:bidi="ar"/>
                    </w:rPr>
                    <w:t>钻井作业必须采取防止污油外泄和渗漏等有效措施，污油要及时回收，废弃污油泥应当交由有资质单位处置</w:t>
                  </w:r>
                </w:p>
              </w:tc>
              <w:tc>
                <w:tcPr>
                  <w:tcW w:w="1746" w:type="pct"/>
                  <w:vAlign w:val="center"/>
                </w:tcPr>
                <w:p w14:paraId="5240EB3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本项目采用水基钻井液，无废弃污油泥产生。</w:t>
                  </w:r>
                </w:p>
              </w:tc>
              <w:tc>
                <w:tcPr>
                  <w:tcW w:w="452" w:type="pct"/>
                  <w:vAlign w:val="center"/>
                </w:tcPr>
                <w:p w14:paraId="67FD017F">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49F4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6CAA021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022B10C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eastAsia" w:ascii="Times New Roman" w:hAnsi="Times New Roman" w:eastAsia="宋体" w:cs="Times New Roman"/>
                      <w:color w:val="auto"/>
                      <w:kern w:val="0"/>
                      <w:sz w:val="21"/>
                      <w:szCs w:val="21"/>
                      <w:lang w:val="en-US" w:eastAsia="zh-CN" w:bidi="ar"/>
                    </w:rPr>
                    <w:t>试气</w:t>
                  </w:r>
                  <w:r>
                    <w:rPr>
                      <w:rFonts w:hint="default" w:ascii="Times New Roman" w:hAnsi="Times New Roman" w:eastAsia="宋体" w:cs="Times New Roman"/>
                      <w:color w:val="auto"/>
                      <w:kern w:val="0"/>
                      <w:sz w:val="21"/>
                      <w:szCs w:val="21"/>
                      <w:lang w:val="en-US" w:eastAsia="zh-CN" w:bidi="ar"/>
                    </w:rPr>
                    <w:t>（气）作业必须采取防喷、导流等有效措施。</w:t>
                  </w:r>
                  <w:r>
                    <w:rPr>
                      <w:rFonts w:hint="eastAsia" w:ascii="Times New Roman" w:hAnsi="Times New Roman" w:eastAsia="宋体" w:cs="Times New Roman"/>
                      <w:color w:val="auto"/>
                      <w:kern w:val="0"/>
                      <w:sz w:val="21"/>
                      <w:szCs w:val="21"/>
                      <w:lang w:val="en-US" w:eastAsia="zh-CN" w:bidi="ar"/>
                    </w:rPr>
                    <w:t>试气</w:t>
                  </w:r>
                  <w:r>
                    <w:rPr>
                      <w:rFonts w:hint="default" w:ascii="Times New Roman" w:hAnsi="Times New Roman" w:eastAsia="宋体" w:cs="Times New Roman"/>
                      <w:color w:val="auto"/>
                      <w:kern w:val="0"/>
                      <w:sz w:val="21"/>
                      <w:szCs w:val="21"/>
                      <w:lang w:val="en-US" w:eastAsia="zh-CN" w:bidi="ar"/>
                    </w:rPr>
                    <w:t>(气)完成后，应在60日内完成泥浆处置、岩屑固化及善后处理</w:t>
                  </w:r>
                  <w:r>
                    <w:rPr>
                      <w:rFonts w:hint="eastAsia" w:ascii="Times New Roman" w:hAnsi="Times New Roman" w:eastAsia="宋体" w:cs="Times New Roman"/>
                      <w:color w:val="auto"/>
                      <w:kern w:val="0"/>
                      <w:sz w:val="21"/>
                      <w:szCs w:val="21"/>
                      <w:lang w:val="en-US" w:eastAsia="zh-CN" w:bidi="ar"/>
                    </w:rPr>
                    <w:t>。</w:t>
                  </w:r>
                </w:p>
              </w:tc>
              <w:tc>
                <w:tcPr>
                  <w:tcW w:w="1746" w:type="pct"/>
                </w:tcPr>
                <w:p w14:paraId="7A4947C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本项目试气作业采取有效的防喷措施。要求企业试气完成后，及时完成泥浆、岩屑等善后处理。</w:t>
                  </w:r>
                </w:p>
              </w:tc>
              <w:tc>
                <w:tcPr>
                  <w:tcW w:w="452" w:type="pct"/>
                  <w:vAlign w:val="center"/>
                </w:tcPr>
                <w:p w14:paraId="7EC9DCB8">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4468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6E299C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三、生态环境修复</w:t>
                  </w:r>
                </w:p>
              </w:tc>
              <w:tc>
                <w:tcPr>
                  <w:tcW w:w="2339" w:type="pct"/>
                  <w:vAlign w:val="center"/>
                </w:tcPr>
                <w:p w14:paraId="55BAA5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井场的道路两侧和围墙内外宜绿化区域应实现林草覆盖，有效覆盖面积不低于98％</w:t>
                  </w:r>
                  <w:r>
                    <w:rPr>
                      <w:rFonts w:hint="eastAsia" w:ascii="Times New Roman" w:hAnsi="Times New Roman" w:eastAsia="宋体" w:cs="Times New Roman"/>
                      <w:color w:val="auto"/>
                      <w:kern w:val="0"/>
                      <w:sz w:val="21"/>
                      <w:szCs w:val="21"/>
                      <w:lang w:val="en-US" w:eastAsia="zh-CN" w:bidi="ar"/>
                    </w:rPr>
                    <w:t>。</w:t>
                  </w:r>
                </w:p>
              </w:tc>
              <w:tc>
                <w:tcPr>
                  <w:tcW w:w="1746" w:type="pct"/>
                  <w:vMerge w:val="restart"/>
                </w:tcPr>
                <w:p w14:paraId="55D9AF8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本项目属于</w:t>
                  </w:r>
                  <w:r>
                    <w:rPr>
                      <w:rFonts w:hint="eastAsia" w:ascii="Times New Roman" w:hAnsi="Times New Roman" w:eastAsia="宋体" w:cs="Times New Roman"/>
                      <w:color w:val="auto"/>
                      <w:kern w:val="0"/>
                      <w:sz w:val="21"/>
                      <w:szCs w:val="21"/>
                      <w:lang w:val="en-US" w:eastAsia="zh-CN" w:bidi="ar"/>
                    </w:rPr>
                    <w:t>评价井钻</w:t>
                  </w:r>
                  <w:r>
                    <w:rPr>
                      <w:rFonts w:hint="default" w:ascii="Times New Roman" w:hAnsi="Times New Roman" w:eastAsia="宋体" w:cs="Times New Roman"/>
                      <w:color w:val="auto"/>
                      <w:kern w:val="0"/>
                      <w:sz w:val="21"/>
                      <w:szCs w:val="21"/>
                      <w:lang w:val="en-US" w:eastAsia="zh-CN" w:bidi="ar"/>
                    </w:rPr>
                    <w:t>井工程，施工期结束后</w:t>
                  </w:r>
                  <w:r>
                    <w:rPr>
                      <w:rFonts w:hint="eastAsia" w:ascii="Times New Roman" w:hAnsi="Times New Roman" w:eastAsia="宋体" w:cs="Times New Roman"/>
                      <w:color w:val="auto"/>
                      <w:kern w:val="0"/>
                      <w:sz w:val="21"/>
                      <w:szCs w:val="21"/>
                      <w:lang w:val="en-US" w:eastAsia="zh-CN" w:bidi="ar"/>
                    </w:rPr>
                    <w:t>。当勘探井不具有开发价值时，采取永久封井，对临时占地恢复原状；当勘探并具有开发价值时，采取临时封井，除预留转成生产井所需的面积外，其他区域恢复原有植被和生态景观，使区域生态景观和谐致。</w:t>
                  </w:r>
                </w:p>
              </w:tc>
              <w:tc>
                <w:tcPr>
                  <w:tcW w:w="452" w:type="pct"/>
                  <w:vAlign w:val="center"/>
                </w:tcPr>
                <w:p w14:paraId="4F4D962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7BE9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14:paraId="79053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7DA2E0F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关闭油（气）井应封堵油（气）层、封闭井口，并同步实施井场复垦还田或植树种草工程措施。</w:t>
                  </w:r>
                </w:p>
              </w:tc>
              <w:tc>
                <w:tcPr>
                  <w:tcW w:w="1746" w:type="pct"/>
                  <w:vMerge w:val="continue"/>
                </w:tcPr>
                <w:p w14:paraId="0839CCE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452" w:type="pct"/>
                  <w:vAlign w:val="center"/>
                </w:tcPr>
                <w:p w14:paraId="1CEB1BF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1EB6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tcPr>
                <w:p w14:paraId="5995CE8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四、清洁文明井场管理</w:t>
                  </w:r>
                </w:p>
              </w:tc>
              <w:tc>
                <w:tcPr>
                  <w:tcW w:w="2339" w:type="pct"/>
                  <w:vAlign w:val="center"/>
                </w:tcPr>
                <w:p w14:paraId="29850A1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井场应做到清洁卫生，无跑、冒、滴、漏现象，场外无油污、无垃圾，杜绝污染物乱堆乱放。</w:t>
                  </w:r>
                </w:p>
              </w:tc>
              <w:tc>
                <w:tcPr>
                  <w:tcW w:w="1746" w:type="pct"/>
                </w:tcPr>
                <w:p w14:paraId="7794C90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要求企业在勘探期井场做到清洁卫生，无跑、冒、滴、漏现象，场外无油污、无垃圾，杜绝污染物乱堆乱放。</w:t>
                  </w:r>
                </w:p>
              </w:tc>
              <w:tc>
                <w:tcPr>
                  <w:tcW w:w="452" w:type="pct"/>
                  <w:vAlign w:val="center"/>
                </w:tcPr>
                <w:p w14:paraId="72C0D99D">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0337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7F017B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2E52B70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按照环境事故应急预案，要对井场操作人员进行应急培训，并储备相应抢险应急物资。</w:t>
                  </w:r>
                </w:p>
              </w:tc>
              <w:tc>
                <w:tcPr>
                  <w:tcW w:w="1746" w:type="pct"/>
                </w:tcPr>
                <w:p w14:paraId="7AFB389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企业已设立安全环保科，并针对单井由专人负责，对井场操作人员进行应急培训，并储备相应抢险应急物资。</w:t>
                  </w:r>
                </w:p>
              </w:tc>
              <w:tc>
                <w:tcPr>
                  <w:tcW w:w="452" w:type="pct"/>
                  <w:vAlign w:val="center"/>
                </w:tcPr>
                <w:p w14:paraId="12954168">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bl>
          <w:p w14:paraId="1D6481F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7、与《绿色勘察指南》（T/CMAS0001-2018）符合性分析</w:t>
            </w:r>
          </w:p>
          <w:p w14:paraId="2DC396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本项目与《绿色勘察指南》（T/CMAS0001-2018）符合性分析见表1-10。</w:t>
            </w:r>
          </w:p>
          <w:p w14:paraId="6ECD4F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表1-10  本项目与《绿色勘察指南》（T/CMAS0001-2018）符合性分析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3628"/>
              <w:gridCol w:w="3075"/>
              <w:gridCol w:w="463"/>
            </w:tblGrid>
            <w:tr w14:paraId="50E1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8FF0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347" w:type="pct"/>
                  <w:vAlign w:val="center"/>
                </w:tcPr>
                <w:p w14:paraId="56123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相关条款</w:t>
                  </w:r>
                </w:p>
              </w:tc>
              <w:tc>
                <w:tcPr>
                  <w:tcW w:w="1989" w:type="pct"/>
                  <w:vAlign w:val="center"/>
                </w:tcPr>
                <w:p w14:paraId="05F8AC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299" w:type="pct"/>
                  <w:vAlign w:val="center"/>
                </w:tcPr>
                <w:p w14:paraId="055097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07BB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5C7B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347" w:type="pct"/>
                  <w:vAlign w:val="center"/>
                </w:tcPr>
                <w:p w14:paraId="05B05E86">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施工剥离的适合复垦的表土，应当收集存放管理，作为施工结束后的复垦、复绿用土。宜将开挖的土石用于工程回填、路基建设及边坡填筑。需外运土石应指定位置并规范管理</w:t>
                  </w:r>
                </w:p>
              </w:tc>
              <w:tc>
                <w:tcPr>
                  <w:tcW w:w="1989" w:type="pct"/>
                  <w:vAlign w:val="center"/>
                </w:tcPr>
                <w:p w14:paraId="701486A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项目施工剥离的适合复垦的表土，收集存放于临时堆土场，作为施工结束后的复垦、复绿用土。开挖的土石用于工程回填。本项目不需要外运土方。</w:t>
                  </w:r>
                </w:p>
              </w:tc>
              <w:tc>
                <w:tcPr>
                  <w:tcW w:w="299" w:type="pct"/>
                  <w:vAlign w:val="center"/>
                </w:tcPr>
                <w:p w14:paraId="1C5B5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D37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EE8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347" w:type="pct"/>
                  <w:vAlign w:val="center"/>
                </w:tcPr>
                <w:p w14:paraId="4097E17B">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施工中挖填形成的边坡及土石堆场边坡应做好支护或拦挡，预防崩塌、滑坡、泥石流等地质灾害，尽量减少土石压占土地面积。</w:t>
                  </w:r>
                </w:p>
              </w:tc>
              <w:tc>
                <w:tcPr>
                  <w:tcW w:w="1989" w:type="pct"/>
                  <w:vAlign w:val="center"/>
                </w:tcPr>
                <w:p w14:paraId="1DB3329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施工过程中尽量减少土石压占土地面积。挖填形成的边坡及土石堆场边坡做好拦挡，预防各类地质灾害。</w:t>
                  </w:r>
                </w:p>
              </w:tc>
              <w:tc>
                <w:tcPr>
                  <w:tcW w:w="299" w:type="pct"/>
                  <w:vAlign w:val="center"/>
                </w:tcPr>
                <w:p w14:paraId="1442C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EA0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FF46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347" w:type="pct"/>
                  <w:vAlign w:val="center"/>
                </w:tcPr>
                <w:p w14:paraId="3DCCC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统筹规划勘察场地进入通道，充分利用已有可利用的公路、村道等</w:t>
                  </w:r>
                </w:p>
              </w:tc>
              <w:tc>
                <w:tcPr>
                  <w:tcW w:w="1989" w:type="pct"/>
                  <w:vMerge w:val="restart"/>
                  <w:vAlign w:val="center"/>
                </w:tcPr>
                <w:p w14:paraId="75D27A6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项目充分利用已有公路、村道、油区道路等现有道路，尽量减少新增临时道路，减少植被破坏。</w:t>
                  </w:r>
                </w:p>
              </w:tc>
              <w:tc>
                <w:tcPr>
                  <w:tcW w:w="299" w:type="pct"/>
                  <w:vAlign w:val="center"/>
                </w:tcPr>
                <w:p w14:paraId="5C523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B22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E7AE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347" w:type="pct"/>
                  <w:vAlign w:val="center"/>
                </w:tcPr>
                <w:p w14:paraId="6E5DB14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在确保安全情况下，道路修筑尽可能减少占用土地、植物移植，以及对水环境和野生动物保护的影响。</w:t>
                  </w:r>
                </w:p>
              </w:tc>
              <w:tc>
                <w:tcPr>
                  <w:tcW w:w="1989" w:type="pct"/>
                  <w:vMerge w:val="continue"/>
                  <w:vAlign w:val="center"/>
                </w:tcPr>
                <w:p w14:paraId="2A240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99" w:type="pct"/>
                  <w:vAlign w:val="center"/>
                </w:tcPr>
                <w:p w14:paraId="043FE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9F0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7C958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347" w:type="pct"/>
                  <w:vAlign w:val="center"/>
                </w:tcPr>
                <w:p w14:paraId="6E0BC246">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一般应按照现场施工设备、附属设施安装、施工操作、钻进液循环系统、材料物资存放、临建房屋等施工需要，依据现场地形条件进行分区布置，以满足减小环境影响和安全文明施工为原则，严格控制场地平整使用土地面积</w:t>
                  </w:r>
                </w:p>
              </w:tc>
              <w:tc>
                <w:tcPr>
                  <w:tcW w:w="1989" w:type="pct"/>
                  <w:vAlign w:val="center"/>
                </w:tcPr>
                <w:p w14:paraId="30F4DC2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项目钻探施工场地按要求分区布设，满足安全距离要求同时严格控制占地面积，进行文明施工。</w:t>
                  </w:r>
                </w:p>
              </w:tc>
              <w:tc>
                <w:tcPr>
                  <w:tcW w:w="299" w:type="pct"/>
                  <w:vAlign w:val="center"/>
                </w:tcPr>
                <w:p w14:paraId="273D0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0C0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1642A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2347" w:type="pct"/>
                  <w:vAlign w:val="center"/>
                </w:tcPr>
                <w:p w14:paraId="123422E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钻探设备安装及其施工操作场地，鼓励优先采用模块化的便携式探矿设备</w:t>
                  </w:r>
                </w:p>
              </w:tc>
              <w:tc>
                <w:tcPr>
                  <w:tcW w:w="1989" w:type="pct"/>
                  <w:vAlign w:val="center"/>
                </w:tcPr>
                <w:p w14:paraId="3B60BCA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项目钻探设备模块化的便携式探矿设备。</w:t>
                  </w:r>
                </w:p>
              </w:tc>
              <w:tc>
                <w:tcPr>
                  <w:tcW w:w="299" w:type="pct"/>
                  <w:vAlign w:val="center"/>
                </w:tcPr>
                <w:p w14:paraId="0CC7A8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DC2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CAF2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2347" w:type="pct"/>
                  <w:vAlign w:val="center"/>
                </w:tcPr>
                <w:p w14:paraId="3F723E7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钻进液循环系统场地，清水池或浆液池及废浆液池可不与钻进施工机场同一场地布置，其开挖容积应按钻孔深度进行计算，不宜小于钻孔容积的2倍</w:t>
                  </w:r>
                </w:p>
              </w:tc>
              <w:tc>
                <w:tcPr>
                  <w:tcW w:w="1989" w:type="pct"/>
                  <w:vAlign w:val="center"/>
                </w:tcPr>
                <w:p w14:paraId="44FA969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项目采用最新要求的泥浆不落地成套设备，钻井泥浆采用泥浆罐收集并循环使用。</w:t>
                  </w:r>
                </w:p>
              </w:tc>
              <w:tc>
                <w:tcPr>
                  <w:tcW w:w="299" w:type="pct"/>
                  <w:vAlign w:val="center"/>
                </w:tcPr>
                <w:p w14:paraId="3B0AA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B33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3BD6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2347" w:type="pct"/>
                  <w:vAlign w:val="center"/>
                </w:tcPr>
                <w:p w14:paraId="73D9309B">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照附属设备、设施安装及操作使用需求，在最大限度减少环境扰动前提下，依地形分区平整场地</w:t>
                  </w:r>
                </w:p>
              </w:tc>
              <w:tc>
                <w:tcPr>
                  <w:tcW w:w="1989" w:type="pct"/>
                  <w:vAlign w:val="center"/>
                </w:tcPr>
                <w:p w14:paraId="57B3032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岩心棚及材料库、备用管材物资堆场、值班休息房、油料堆场、废弃物资及垃圾场、工地厕所场地等附属设备设施场地按相关要求分区布设。</w:t>
                  </w:r>
                </w:p>
              </w:tc>
              <w:tc>
                <w:tcPr>
                  <w:tcW w:w="299" w:type="pct"/>
                  <w:vAlign w:val="center"/>
                </w:tcPr>
                <w:p w14:paraId="1CD29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82F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51FF0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2347" w:type="pct"/>
                  <w:vAlign w:val="center"/>
                </w:tcPr>
                <w:p w14:paraId="223533FE">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钻探（钻井）施工场地应设置排水沟，确保现场无低洼积水。若施工机场边坡上方汇水面大或位于冲沟附近，应设置截水沟</w:t>
                  </w:r>
                </w:p>
              </w:tc>
              <w:tc>
                <w:tcPr>
                  <w:tcW w:w="1989" w:type="pct"/>
                  <w:vAlign w:val="center"/>
                </w:tcPr>
                <w:p w14:paraId="2E06B3A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钻探（钻井）施工场地四周设置截排水沟对雨水进行引流，防止站场水土流失。</w:t>
                  </w:r>
                </w:p>
              </w:tc>
              <w:tc>
                <w:tcPr>
                  <w:tcW w:w="299" w:type="pct"/>
                  <w:vAlign w:val="center"/>
                </w:tcPr>
                <w:p w14:paraId="7D868A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68E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A698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347" w:type="pct"/>
                  <w:vAlign w:val="center"/>
                </w:tcPr>
                <w:p w14:paraId="7C8BFF2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主要设备及配套技术应处于国内先进水平。施工设备应具备安、拆快捷、便于搬运，机械化、智能化程度高，施工操作安全简便、劳动强度低、生产效率高，工程质量好、节能、环保等特点。优先采用模块化、轻便化、小型化、集成度高的钻探施工及其配套设备</w:t>
                  </w:r>
                </w:p>
              </w:tc>
              <w:tc>
                <w:tcPr>
                  <w:tcW w:w="1989" w:type="pct"/>
                  <w:vAlign w:val="center"/>
                </w:tcPr>
                <w:p w14:paraId="4C0B834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属于模块化、轻便化、小型化、集成度高的设备。且采用先进的泥浆收集循环利用成套设备。均具有机械化、智能化程度高，施工操作安全简便、劳动强度低、生产效率高，工程质量好、节能、环保等特点。</w:t>
                  </w:r>
                </w:p>
              </w:tc>
              <w:tc>
                <w:tcPr>
                  <w:tcW w:w="299" w:type="pct"/>
                  <w:vAlign w:val="center"/>
                </w:tcPr>
                <w:p w14:paraId="1714E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F08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2C7CB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w:t>
                  </w:r>
                </w:p>
              </w:tc>
              <w:tc>
                <w:tcPr>
                  <w:tcW w:w="2347" w:type="pct"/>
                  <w:vAlign w:val="center"/>
                </w:tcPr>
                <w:p w14:paraId="10EDAFF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技术工艺应先进合理，切合勘查施工要求，钻进效率高，质量优，节能减排，安全环保。积极采用定向钻探、绳索取心金刚石钻进、冲击回转钻进、空气潜孔钻进、不提钻换钻头等先进的钻探施工方法及技术工艺。除浅表层开孔外，尽量采用金刚石绳索取心、双层管或三层管钻进技术工艺</w:t>
                  </w:r>
                </w:p>
              </w:tc>
              <w:tc>
                <w:tcPr>
                  <w:tcW w:w="1989" w:type="pct"/>
                  <w:vAlign w:val="center"/>
                </w:tcPr>
                <w:p w14:paraId="6861565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钻机及配套钻井设备，钻进效率高，质量优，节能减排，安全环保。</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钻机主要用于岩心勘探的钻机。项目采用金刚石绳索取心钻进工艺，在钻探施工过程的回次钻进中，不用提出全套钻柱(包括外管)、而借助绳索打捞器打捞内管取心，可实现长孔段连续钻进，工艺较为先进。</w:t>
                  </w:r>
                </w:p>
              </w:tc>
              <w:tc>
                <w:tcPr>
                  <w:tcW w:w="299" w:type="pct"/>
                  <w:vAlign w:val="center"/>
                </w:tcPr>
                <w:p w14:paraId="5FFFDD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AD0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A3603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2347" w:type="pct"/>
                  <w:vAlign w:val="center"/>
                </w:tcPr>
                <w:p w14:paraId="5C48598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面及地下污染</w:t>
                  </w:r>
                </w:p>
              </w:tc>
              <w:tc>
                <w:tcPr>
                  <w:tcW w:w="1989" w:type="pct"/>
                  <w:vAlign w:val="center"/>
                </w:tcPr>
                <w:p w14:paraId="5083AEC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项目采用水基型钻井液，具有无毒无害、可自然降解的特点，钻井泥浆采用泥浆罐收集并循环利用，要求泥浆不落地。</w:t>
                  </w:r>
                </w:p>
              </w:tc>
              <w:tc>
                <w:tcPr>
                  <w:tcW w:w="299" w:type="pct"/>
                  <w:vAlign w:val="center"/>
                </w:tcPr>
                <w:p w14:paraId="03219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73E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5413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c>
                <w:tcPr>
                  <w:tcW w:w="2347" w:type="pct"/>
                  <w:vAlign w:val="center"/>
                </w:tcPr>
                <w:p w14:paraId="4516EDC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勘查产生的废水可循环利用的应循环利用；对外排放应经沉淀和按规定进行技术处理，按照</w:t>
                  </w:r>
                  <w:r>
                    <w:rPr>
                      <w:rFonts w:hint="default" w:ascii="Times New Roman" w:hAnsi="Times New Roman" w:eastAsia="宋体" w:cs="Times New Roman"/>
                      <w:color w:val="auto"/>
                      <w:kern w:val="0"/>
                      <w:sz w:val="21"/>
                      <w:szCs w:val="21"/>
                      <w:lang w:val="en-US" w:eastAsia="zh-CN" w:bidi="ar"/>
                    </w:rPr>
                    <w:t>GB8978</w:t>
                  </w:r>
                  <w:r>
                    <w:rPr>
                      <w:rFonts w:hint="eastAsia" w:ascii="宋体" w:hAnsi="宋体" w:eastAsia="宋体" w:cs="宋体"/>
                      <w:color w:val="auto"/>
                      <w:kern w:val="0"/>
                      <w:sz w:val="21"/>
                      <w:szCs w:val="21"/>
                      <w:lang w:val="en-US" w:eastAsia="zh-CN" w:bidi="ar"/>
                    </w:rPr>
                    <w:t>标准执行</w:t>
                  </w:r>
                </w:p>
              </w:tc>
              <w:tc>
                <w:tcPr>
                  <w:tcW w:w="1989" w:type="pct"/>
                  <w:vAlign w:val="center"/>
                </w:tcPr>
                <w:p w14:paraId="1FFB0E8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泥浆上清液排入地上移动式污水罐，用于配制泥浆，循环使用，洗井废水、压裂返排液排入井场设置的地上废水收集罐，送至陕西榆佳环保科技有限公司处理；生活污水排入移动式环保厕所内后清掏用作农肥。</w:t>
                  </w:r>
                </w:p>
              </w:tc>
              <w:tc>
                <w:tcPr>
                  <w:tcW w:w="299" w:type="pct"/>
                  <w:vAlign w:val="center"/>
                </w:tcPr>
                <w:p w14:paraId="25DBD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449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6DF65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2347" w:type="pct"/>
                  <w:vAlign w:val="center"/>
                </w:tcPr>
                <w:p w14:paraId="74414B4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油气表层钻井应使用空气钻或清水钻进方式，钻进过程中遇到水层，固井时应避开水层，防止地表水受到污染。油气钻进施工中，如出现孔内泥浆严重漏失及涌水现象，应快速穿越漏失及涌水地层后，及时对漏失及涌水地层孔段采用快干水泥基堵漏材料进行封堵，孔深较浅时，亦可采用套管隔离，预防泥浆对地下水造成污染破坏</w:t>
                  </w:r>
                </w:p>
              </w:tc>
              <w:tc>
                <w:tcPr>
                  <w:tcW w:w="1989" w:type="pct"/>
                  <w:vAlign w:val="center"/>
                </w:tcPr>
                <w:p w14:paraId="03FA235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表层钻井使用清水钻，钻进过程中遇到水层，固井时避开水层，防止地表水受到污染。钻进施工中，如出现孔内泥浆严重漏失及涌水现象，应快速穿越漏失及涌水地层后，及时对漏失及涌水地层孔段采用快干水泥基堵漏材料进行封堵，孔深较浅时，亦可采用套管隔离，预防泥浆对地下水造成污染和破坏。</w:t>
                  </w:r>
                </w:p>
              </w:tc>
              <w:tc>
                <w:tcPr>
                  <w:tcW w:w="299" w:type="pct"/>
                  <w:vAlign w:val="center"/>
                </w:tcPr>
                <w:p w14:paraId="0D77F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6D7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02A3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2347" w:type="pct"/>
                  <w:vAlign w:val="center"/>
                </w:tcPr>
                <w:p w14:paraId="1D678005">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勘查施工道路、场地平整、现场作业应充分考虑到野生动植物保护。勘查机械设备应安装消声装置或场地修隔音设施，降低施工噪音；在有人居住区和野生动物栖息附近，夜间应停止有噪声影响的作业活动</w:t>
                  </w:r>
                </w:p>
              </w:tc>
              <w:tc>
                <w:tcPr>
                  <w:tcW w:w="1989" w:type="pct"/>
                  <w:vAlign w:val="center"/>
                </w:tcPr>
                <w:p w14:paraId="28C166A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场地平整、现场作业选用低噪声设备，文明施工，减少占地，做好野生动植物保护的施工宣传。项目钻井和泥浆收集处理成套设备均配备减震基座和减震垫，空气动力设备安装消声装置</w:t>
                  </w:r>
                  <w:r>
                    <w:rPr>
                      <w:rFonts w:hint="eastAsia" w:ascii="Times New Roman" w:hAnsi="Times New Roman" w:eastAsia="宋体" w:cs="Times New Roman"/>
                      <w:color w:val="auto"/>
                      <w:sz w:val="21"/>
                      <w:szCs w:val="21"/>
                      <w:lang w:eastAsia="zh-CN"/>
                    </w:rPr>
                    <w:t>。</w:t>
                  </w:r>
                </w:p>
              </w:tc>
              <w:tc>
                <w:tcPr>
                  <w:tcW w:w="299" w:type="pct"/>
                  <w:vAlign w:val="center"/>
                </w:tcPr>
                <w:p w14:paraId="079D8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C61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4C49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2347" w:type="pct"/>
                  <w:vAlign w:val="center"/>
                </w:tcPr>
                <w:p w14:paraId="255F058C">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对容易产生粉尘的作业，采取喷雾、洒水等措施最大限度地降低勘查施工作业中产生的粉尘</w:t>
                  </w:r>
                </w:p>
              </w:tc>
              <w:tc>
                <w:tcPr>
                  <w:tcW w:w="1989" w:type="pct"/>
                  <w:vAlign w:val="center"/>
                </w:tcPr>
                <w:p w14:paraId="1E5653D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项目土方施工过程中配套洒水车进行洒水抑尘</w:t>
                  </w:r>
                  <w:r>
                    <w:rPr>
                      <w:rFonts w:hint="eastAsia" w:ascii="Times New Roman" w:hAnsi="Times New Roman" w:eastAsia="宋体" w:cs="Times New Roman"/>
                      <w:color w:val="auto"/>
                      <w:sz w:val="21"/>
                      <w:szCs w:val="21"/>
                      <w:lang w:eastAsia="zh-CN"/>
                    </w:rPr>
                    <w:t>。</w:t>
                  </w:r>
                </w:p>
              </w:tc>
              <w:tc>
                <w:tcPr>
                  <w:tcW w:w="299" w:type="pct"/>
                  <w:vAlign w:val="center"/>
                </w:tcPr>
                <w:p w14:paraId="26E093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6BE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AD181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2347" w:type="pct"/>
                  <w:vAlign w:val="center"/>
                </w:tcPr>
                <w:p w14:paraId="3271C27B">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采用喷雾、洒水、加设除尘装置等措施处置运输过程中产生的粉尘及其扩散</w:t>
                  </w:r>
                </w:p>
              </w:tc>
              <w:tc>
                <w:tcPr>
                  <w:tcW w:w="1989" w:type="pct"/>
                  <w:vAlign w:val="center"/>
                </w:tcPr>
                <w:p w14:paraId="36B42D1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项目运输过程中加盖篷布防止扬尘，对运输道路配套洒水车进行洒水抑尘</w:t>
                  </w:r>
                  <w:r>
                    <w:rPr>
                      <w:rFonts w:hint="eastAsia" w:ascii="Times New Roman" w:hAnsi="Times New Roman" w:eastAsia="宋体" w:cs="Times New Roman"/>
                      <w:color w:val="auto"/>
                      <w:sz w:val="21"/>
                      <w:szCs w:val="21"/>
                      <w:lang w:eastAsia="zh-CN"/>
                    </w:rPr>
                    <w:t>。</w:t>
                  </w:r>
                </w:p>
              </w:tc>
              <w:tc>
                <w:tcPr>
                  <w:tcW w:w="299" w:type="pct"/>
                  <w:vAlign w:val="center"/>
                </w:tcPr>
                <w:p w14:paraId="375549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913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845B0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2347" w:type="pct"/>
                  <w:vAlign w:val="center"/>
                </w:tcPr>
                <w:p w14:paraId="5F1C5208">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施工现场不应燃烧秸秆、衣物及其他产生烟尘、废气污染的物品</w:t>
                  </w:r>
                </w:p>
              </w:tc>
              <w:tc>
                <w:tcPr>
                  <w:tcW w:w="1989" w:type="pct"/>
                  <w:vAlign w:val="center"/>
                </w:tcPr>
                <w:p w14:paraId="488E3DF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施工现场按要求不允许燃烧秸秆、衣物及其他产生烟尘、废气污染的物品</w:t>
                  </w:r>
                  <w:r>
                    <w:rPr>
                      <w:rFonts w:hint="eastAsia" w:ascii="Times New Roman" w:hAnsi="Times New Roman" w:eastAsia="宋体" w:cs="Times New Roman"/>
                      <w:color w:val="auto"/>
                      <w:sz w:val="21"/>
                      <w:szCs w:val="21"/>
                      <w:lang w:eastAsia="zh-CN"/>
                    </w:rPr>
                    <w:t>。</w:t>
                  </w:r>
                </w:p>
              </w:tc>
              <w:tc>
                <w:tcPr>
                  <w:tcW w:w="299" w:type="pct"/>
                  <w:vAlign w:val="center"/>
                </w:tcPr>
                <w:p w14:paraId="5C257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35D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D9EF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2347" w:type="pct"/>
                  <w:vAlign w:val="center"/>
                </w:tcPr>
                <w:p w14:paraId="547A4B8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废弃物管理按照GB18599执行</w:t>
                  </w:r>
                </w:p>
              </w:tc>
              <w:tc>
                <w:tcPr>
                  <w:tcW w:w="1989" w:type="pct"/>
                  <w:vAlign w:val="center"/>
                </w:tcPr>
                <w:p w14:paraId="2A2DDE98">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0"/>
                      <w:sz w:val="21"/>
                      <w:szCs w:val="21"/>
                    </w:rPr>
                    <w:t>项目钻井过程中采取不落地收集措施，废弃泥浆实施固液分离处理，钻井泥浆</w:t>
                  </w:r>
                  <w:r>
                    <w:rPr>
                      <w:rFonts w:hint="eastAsia" w:ascii="Times New Roman" w:hAnsi="Times New Roman" w:cs="Times New Roman"/>
                      <w:snapToGrid w:val="0"/>
                      <w:color w:val="auto"/>
                      <w:kern w:val="0"/>
                      <w:sz w:val="21"/>
                      <w:szCs w:val="21"/>
                      <w:lang w:val="en-US" w:eastAsia="zh-CN"/>
                    </w:rPr>
                    <w:t>和岩屑</w:t>
                  </w:r>
                  <w:r>
                    <w:rPr>
                      <w:rFonts w:hint="default" w:ascii="Times New Roman" w:hAnsi="Times New Roman" w:cs="Times New Roman"/>
                      <w:bCs/>
                      <w:color w:val="auto"/>
                      <w:sz w:val="21"/>
                      <w:szCs w:val="21"/>
                    </w:rPr>
                    <w:t>外运处置</w:t>
                  </w:r>
                  <w:r>
                    <w:rPr>
                      <w:rFonts w:hint="eastAsia" w:ascii="Times New Roman" w:hAnsi="Times New Roman" w:eastAsia="宋体" w:cs="Times New Roman"/>
                      <w:bCs/>
                      <w:color w:val="auto"/>
                      <w:sz w:val="21"/>
                      <w:szCs w:val="21"/>
                      <w:lang w:eastAsia="zh-CN"/>
                    </w:rPr>
                    <w:t>。</w:t>
                  </w:r>
                </w:p>
              </w:tc>
              <w:tc>
                <w:tcPr>
                  <w:tcW w:w="299" w:type="pct"/>
                  <w:vAlign w:val="center"/>
                </w:tcPr>
                <w:p w14:paraId="0EFBC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393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AA28E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2347" w:type="pct"/>
                  <w:vAlign w:val="center"/>
                </w:tcPr>
                <w:p w14:paraId="10492AB2">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生活固体废弃物应分类处置，按照GB18485、CJJ17执行</w:t>
                  </w:r>
                </w:p>
              </w:tc>
              <w:tc>
                <w:tcPr>
                  <w:tcW w:w="1989" w:type="pct"/>
                  <w:vAlign w:val="center"/>
                </w:tcPr>
                <w:p w14:paraId="05E36A2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生活垃圾集中收集后送环卫部门指定地点堆放</w:t>
                  </w:r>
                  <w:r>
                    <w:rPr>
                      <w:rFonts w:hint="eastAsia" w:ascii="Times New Roman" w:hAnsi="Times New Roman" w:eastAsia="宋体" w:cs="Times New Roman"/>
                      <w:color w:val="auto"/>
                      <w:sz w:val="21"/>
                      <w:szCs w:val="21"/>
                      <w:lang w:eastAsia="zh-CN"/>
                    </w:rPr>
                    <w:t>。</w:t>
                  </w:r>
                </w:p>
              </w:tc>
              <w:tc>
                <w:tcPr>
                  <w:tcW w:w="299" w:type="pct"/>
                  <w:vAlign w:val="center"/>
                </w:tcPr>
                <w:p w14:paraId="1736B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0DC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B0D7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2347" w:type="pct"/>
                  <w:vAlign w:val="center"/>
                </w:tcPr>
                <w:p w14:paraId="4ADB12E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勘查施工区（点）工作结束后，应及时拆除现场施工设备、物资和临时设施，清除现场各类杂物、垃圾及污染物</w:t>
                  </w:r>
                </w:p>
              </w:tc>
              <w:tc>
                <w:tcPr>
                  <w:tcW w:w="1989" w:type="pct"/>
                  <w:vAlign w:val="center"/>
                </w:tcPr>
                <w:p w14:paraId="774A2DF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项目施工结束后，立即拆除现场施工设备、物资和临时设施，清除现场各类杂物、垃圾及污染物</w:t>
                  </w:r>
                  <w:r>
                    <w:rPr>
                      <w:rFonts w:hint="eastAsia" w:ascii="Times New Roman" w:hAnsi="Times New Roman" w:eastAsia="宋体" w:cs="Times New Roman"/>
                      <w:color w:val="auto"/>
                      <w:sz w:val="21"/>
                      <w:szCs w:val="21"/>
                      <w:lang w:eastAsia="zh-CN"/>
                    </w:rPr>
                    <w:t>。</w:t>
                  </w:r>
                </w:p>
              </w:tc>
              <w:tc>
                <w:tcPr>
                  <w:tcW w:w="299" w:type="pct"/>
                  <w:vAlign w:val="center"/>
                </w:tcPr>
                <w:p w14:paraId="0B46F7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914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FF48B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w:t>
                  </w:r>
                </w:p>
              </w:tc>
              <w:tc>
                <w:tcPr>
                  <w:tcW w:w="2347" w:type="pct"/>
                  <w:vAlign w:val="center"/>
                </w:tcPr>
                <w:p w14:paraId="3265C34A">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现场的垃圾、油污、废液、沉渣及其它固体废物应进行分类清理、收集，按照GB18599等相关规定进行焚烧、消毒、沉淀、固化等处理</w:t>
                  </w:r>
                </w:p>
              </w:tc>
              <w:tc>
                <w:tcPr>
                  <w:tcW w:w="1989" w:type="pct"/>
                  <w:vAlign w:val="center"/>
                </w:tcPr>
                <w:p w14:paraId="3413DC92">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项目产生的落地油及时回收，保证落地油回收率能够达到100%；废机油等危险废物严格执行国家和本省的有关规定，进行收集、贮存、利用和处置，施工结束后，交给有</w:t>
                  </w:r>
                  <w:r>
                    <w:rPr>
                      <w:rFonts w:hint="eastAsia" w:ascii="Times New Roman" w:hAnsi="Times New Roman" w:eastAsia="宋体" w:cs="Times New Roman"/>
                      <w:color w:val="auto"/>
                      <w:sz w:val="21"/>
                      <w:szCs w:val="21"/>
                      <w:lang w:val="en-US" w:eastAsia="zh-CN"/>
                    </w:rPr>
                    <w:t>资质</w:t>
                  </w:r>
                  <w:r>
                    <w:rPr>
                      <w:rFonts w:hint="default" w:ascii="Times New Roman" w:hAnsi="Times New Roman" w:cs="Times New Roman"/>
                      <w:color w:val="auto"/>
                      <w:sz w:val="21"/>
                      <w:szCs w:val="21"/>
                    </w:rPr>
                    <w:t>的单位进行处置</w:t>
                  </w:r>
                  <w:r>
                    <w:rPr>
                      <w:rFonts w:hint="eastAsia" w:ascii="Times New Roman" w:hAnsi="Times New Roman" w:eastAsia="宋体" w:cs="Times New Roman"/>
                      <w:color w:val="auto"/>
                      <w:sz w:val="21"/>
                      <w:szCs w:val="21"/>
                      <w:lang w:eastAsia="zh-CN"/>
                    </w:rPr>
                    <w:t>。</w:t>
                  </w:r>
                </w:p>
              </w:tc>
              <w:tc>
                <w:tcPr>
                  <w:tcW w:w="299" w:type="pct"/>
                  <w:vAlign w:val="center"/>
                </w:tcPr>
                <w:p w14:paraId="32D074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18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B28A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2347" w:type="pct"/>
                  <w:vAlign w:val="center"/>
                </w:tcPr>
                <w:p w14:paraId="7462E8D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对于现场不能处置的污染物，应外运到专业处理场处理</w:t>
                  </w:r>
                </w:p>
              </w:tc>
              <w:tc>
                <w:tcPr>
                  <w:tcW w:w="1989" w:type="pct"/>
                  <w:vAlign w:val="center"/>
                </w:tcPr>
                <w:p w14:paraId="49CFB84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项目危险废物委托</w:t>
                  </w:r>
                  <w:r>
                    <w:rPr>
                      <w:rFonts w:hint="default" w:ascii="Times New Roman" w:hAnsi="Times New Roman" w:cs="Times New Roman"/>
                      <w:color w:val="auto"/>
                      <w:sz w:val="21"/>
                      <w:szCs w:val="21"/>
                      <w:lang w:val="en-US" w:eastAsia="zh-CN"/>
                    </w:rPr>
                    <w:t>有</w:t>
                  </w:r>
                  <w:r>
                    <w:rPr>
                      <w:rFonts w:hint="default" w:ascii="Times New Roman" w:hAnsi="Times New Roman" w:cs="Times New Roman"/>
                      <w:color w:val="auto"/>
                      <w:sz w:val="21"/>
                      <w:szCs w:val="21"/>
                    </w:rPr>
                    <w:t>资质单位外运处置；废钻井泥浆、岩屑进行不落地收集，井场配备地上移动收集设施，</w:t>
                  </w:r>
                  <w:r>
                    <w:rPr>
                      <w:rFonts w:hint="default" w:ascii="Times New Roman" w:hAnsi="Times New Roman" w:cs="Times New Roman"/>
                      <w:color w:val="auto"/>
                      <w:sz w:val="21"/>
                      <w:szCs w:val="21"/>
                      <w:lang w:val="en-US" w:eastAsia="zh-CN"/>
                    </w:rPr>
                    <w:t>并委托陕西德禾鑫盛环保科技有限公司</w:t>
                  </w:r>
                  <w:r>
                    <w:rPr>
                      <w:rFonts w:hint="default" w:ascii="Times New Roman" w:hAnsi="Times New Roman" w:cs="Times New Roman"/>
                      <w:color w:val="auto"/>
                      <w:sz w:val="21"/>
                      <w:szCs w:val="21"/>
                    </w:rPr>
                    <w:t>进行处置；生活垃圾收集后送环卫部门指定地点堆放</w:t>
                  </w:r>
                  <w:r>
                    <w:rPr>
                      <w:rFonts w:hint="default" w:ascii="Times New Roman" w:hAnsi="Times New Roman" w:eastAsia="宋体" w:cs="Times New Roman"/>
                      <w:color w:val="auto"/>
                      <w:sz w:val="21"/>
                      <w:szCs w:val="21"/>
                      <w:lang w:eastAsia="zh-CN"/>
                    </w:rPr>
                    <w:t>。</w:t>
                  </w:r>
                </w:p>
              </w:tc>
              <w:tc>
                <w:tcPr>
                  <w:tcW w:w="299" w:type="pct"/>
                  <w:vAlign w:val="center"/>
                </w:tcPr>
                <w:p w14:paraId="713FF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DBF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4A70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c>
                <w:tcPr>
                  <w:tcW w:w="2347" w:type="pct"/>
                  <w:vAlign w:val="center"/>
                </w:tcPr>
                <w:p w14:paraId="33C194D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场地恢复平整应根据恢复治理设计要求，结合现场情况，尽可能按原始地形地貌平整。难以复原的地段，应按恢复治理设计场地平整标高进行平整，尽可能与自然环境相协调</w:t>
                  </w:r>
                </w:p>
              </w:tc>
              <w:tc>
                <w:tcPr>
                  <w:tcW w:w="1989" w:type="pct"/>
                  <w:vAlign w:val="center"/>
                </w:tcPr>
                <w:p w14:paraId="753BB24B">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评价要求项目施工结束后，对不具有利用价值的勘探井进行永久封井，</w:t>
                  </w:r>
                  <w:r>
                    <w:rPr>
                      <w:rFonts w:hint="eastAsia" w:ascii="Times New Roman" w:hAnsi="Times New Roman" w:cs="Times New Roman"/>
                      <w:color w:val="auto"/>
                      <w:sz w:val="21"/>
                      <w:szCs w:val="21"/>
                      <w:lang w:val="en-US" w:eastAsia="zh-CN"/>
                    </w:rPr>
                    <w:t>临时占地</w:t>
                  </w:r>
                  <w:r>
                    <w:rPr>
                      <w:rFonts w:hint="default" w:ascii="Times New Roman" w:hAnsi="Times New Roman" w:cs="Times New Roman"/>
                      <w:color w:val="auto"/>
                      <w:sz w:val="21"/>
                      <w:szCs w:val="21"/>
                    </w:rPr>
                    <w:t>恢复原土地类型</w:t>
                  </w:r>
                  <w:r>
                    <w:rPr>
                      <w:rFonts w:hint="eastAsia" w:ascii="Times New Roman" w:hAnsi="Times New Roman" w:eastAsia="宋体" w:cs="Times New Roman"/>
                      <w:color w:val="auto"/>
                      <w:sz w:val="21"/>
                      <w:szCs w:val="21"/>
                      <w:lang w:eastAsia="zh-CN"/>
                    </w:rPr>
                    <w:t>。</w:t>
                  </w:r>
                </w:p>
              </w:tc>
              <w:tc>
                <w:tcPr>
                  <w:tcW w:w="299" w:type="pct"/>
                  <w:vAlign w:val="center"/>
                </w:tcPr>
                <w:p w14:paraId="753232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973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11EA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2347" w:type="pct"/>
                  <w:vAlign w:val="center"/>
                </w:tcPr>
                <w:p w14:paraId="33B52252">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钻探及其他施工现场场地平整中，应彻底清除场地上污染物。废浆，废液应进行固化处理，深埋于开挖的坑、池底部，上部回填无污染的土壤</w:t>
                  </w:r>
                </w:p>
              </w:tc>
              <w:tc>
                <w:tcPr>
                  <w:tcW w:w="1989" w:type="pct"/>
                  <w:vAlign w:val="center"/>
                </w:tcPr>
                <w:p w14:paraId="6A73FC7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项目采用泥浆不落地工艺，废弃钻井泥浆和岩屑进行收集后，委托外运处置</w:t>
                  </w:r>
                  <w:r>
                    <w:rPr>
                      <w:rFonts w:hint="eastAsia" w:ascii="Times New Roman" w:hAnsi="Times New Roman" w:eastAsia="宋体" w:cs="Times New Roman"/>
                      <w:color w:val="auto"/>
                      <w:sz w:val="21"/>
                      <w:szCs w:val="21"/>
                      <w:lang w:eastAsia="zh-CN"/>
                    </w:rPr>
                    <w:t>。</w:t>
                  </w:r>
                </w:p>
              </w:tc>
              <w:tc>
                <w:tcPr>
                  <w:tcW w:w="299" w:type="pct"/>
                  <w:vAlign w:val="center"/>
                </w:tcPr>
                <w:p w14:paraId="4A164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67A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7DD6C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w:t>
                  </w:r>
                </w:p>
              </w:tc>
              <w:tc>
                <w:tcPr>
                  <w:tcW w:w="2347" w:type="pct"/>
                  <w:vAlign w:val="center"/>
                </w:tcPr>
                <w:p w14:paraId="2499CC4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钻探现场应严格按照地质设计要求认真做好封孔工作，保证封孔质量，孔口用水泥砂浆树立规范的标志桩</w:t>
                  </w:r>
                </w:p>
              </w:tc>
              <w:tc>
                <w:tcPr>
                  <w:tcW w:w="1989" w:type="pct"/>
                  <w:vAlign w:val="center"/>
                </w:tcPr>
                <w:p w14:paraId="486CC672">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项目已提出封井要求，建设单位应根据相关要求认真做好封孔工作，保证封孔质量，孔口用水泥砂浆树立规范的标志桩</w:t>
                  </w:r>
                  <w:r>
                    <w:rPr>
                      <w:rFonts w:hint="eastAsia" w:ascii="Times New Roman" w:hAnsi="Times New Roman" w:eastAsia="宋体" w:cs="Times New Roman"/>
                      <w:color w:val="auto"/>
                      <w:sz w:val="21"/>
                      <w:szCs w:val="21"/>
                      <w:lang w:eastAsia="zh-CN"/>
                    </w:rPr>
                    <w:t>。</w:t>
                  </w:r>
                </w:p>
              </w:tc>
              <w:tc>
                <w:tcPr>
                  <w:tcW w:w="299" w:type="pct"/>
                  <w:vAlign w:val="center"/>
                </w:tcPr>
                <w:p w14:paraId="60C6E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006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7889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27</w:t>
                  </w:r>
                </w:p>
              </w:tc>
              <w:tc>
                <w:tcPr>
                  <w:tcW w:w="2347" w:type="pct"/>
                  <w:vAlign w:val="center"/>
                </w:tcPr>
                <w:p w14:paraId="4965D584">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施工道路及临建场地根据设计恢复地类及保留需求进行平整</w:t>
                  </w:r>
                </w:p>
              </w:tc>
              <w:tc>
                <w:tcPr>
                  <w:tcW w:w="1989" w:type="pct"/>
                  <w:vAlign w:val="center"/>
                </w:tcPr>
                <w:p w14:paraId="6C40D953">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若永久封井，占用</w:t>
                  </w:r>
                  <w:r>
                    <w:rPr>
                      <w:rFonts w:hint="eastAsia" w:ascii="Times New Roman" w:hAnsi="Times New Roman" w:cs="Times New Roman"/>
                      <w:color w:val="auto"/>
                      <w:sz w:val="21"/>
                      <w:szCs w:val="21"/>
                      <w:lang w:val="en-US" w:eastAsia="zh-CN"/>
                    </w:rPr>
                    <w:t>施工便道</w:t>
                  </w:r>
                  <w:r>
                    <w:rPr>
                      <w:rFonts w:hint="default" w:ascii="Times New Roman" w:hAnsi="Times New Roman" w:cs="Times New Roman"/>
                      <w:color w:val="auto"/>
                      <w:sz w:val="21"/>
                      <w:szCs w:val="21"/>
                    </w:rPr>
                    <w:t>临时用地进行恢复原土地类型</w:t>
                  </w:r>
                  <w:r>
                    <w:rPr>
                      <w:rFonts w:hint="eastAsia" w:ascii="Times New Roman" w:hAnsi="Times New Roman" w:eastAsia="宋体" w:cs="Times New Roman"/>
                      <w:color w:val="auto"/>
                      <w:sz w:val="21"/>
                      <w:szCs w:val="21"/>
                      <w:lang w:eastAsia="zh-CN"/>
                    </w:rPr>
                    <w:t>。</w:t>
                  </w:r>
                </w:p>
              </w:tc>
              <w:tc>
                <w:tcPr>
                  <w:tcW w:w="299" w:type="pct"/>
                  <w:vAlign w:val="center"/>
                </w:tcPr>
                <w:p w14:paraId="4AAA2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55B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6F8A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2347" w:type="pct"/>
                  <w:vAlign w:val="center"/>
                </w:tcPr>
                <w:p w14:paraId="63A35F8A">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场地的覆土厚度及土质应符合恢复地类的复绿设计及相关行业的规范标准要求</w:t>
                  </w:r>
                </w:p>
              </w:tc>
              <w:tc>
                <w:tcPr>
                  <w:tcW w:w="1989" w:type="pct"/>
                  <w:vAlign w:val="center"/>
                </w:tcPr>
                <w:p w14:paraId="3C65AD60">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项目要求场地的覆土厚度及土质必须复核相关规范标准要求</w:t>
                  </w:r>
                  <w:r>
                    <w:rPr>
                      <w:rFonts w:hint="eastAsia" w:ascii="Times New Roman" w:hAnsi="Times New Roman" w:eastAsia="宋体" w:cs="Times New Roman"/>
                      <w:color w:val="auto"/>
                      <w:sz w:val="21"/>
                      <w:szCs w:val="21"/>
                      <w:lang w:eastAsia="zh-CN"/>
                    </w:rPr>
                    <w:t>。</w:t>
                  </w:r>
                </w:p>
              </w:tc>
              <w:tc>
                <w:tcPr>
                  <w:tcW w:w="299" w:type="pct"/>
                  <w:vAlign w:val="center"/>
                </w:tcPr>
                <w:p w14:paraId="1D174B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F7C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2F4B4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w:t>
                  </w:r>
                </w:p>
              </w:tc>
              <w:tc>
                <w:tcPr>
                  <w:tcW w:w="2347" w:type="pct"/>
                  <w:vAlign w:val="center"/>
                </w:tcPr>
                <w:p w14:paraId="71675787">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仅压占未挖损及污染的场地，可采取深翻，松土、培土等方式，满足相关规定和设计恢复治理要求</w:t>
                  </w:r>
                </w:p>
              </w:tc>
              <w:tc>
                <w:tcPr>
                  <w:tcW w:w="1989" w:type="pct"/>
                  <w:vAlign w:val="center"/>
                </w:tcPr>
                <w:p w14:paraId="33CACD1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项目仅压占未挖损及污染的场地，要求采取深翻，松土、培土等方式</w:t>
                  </w:r>
                  <w:r>
                    <w:rPr>
                      <w:rFonts w:hint="eastAsia" w:eastAsia="宋体" w:cs="宋体"/>
                      <w:color w:val="auto"/>
                      <w:sz w:val="21"/>
                      <w:szCs w:val="21"/>
                      <w:lang w:eastAsia="zh-CN" w:bidi="ar"/>
                    </w:rPr>
                    <w:t>。</w:t>
                  </w:r>
                </w:p>
              </w:tc>
              <w:tc>
                <w:tcPr>
                  <w:tcW w:w="299" w:type="pct"/>
                  <w:vAlign w:val="center"/>
                </w:tcPr>
                <w:p w14:paraId="48C857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3D1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A1F6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2347" w:type="pct"/>
                  <w:vAlign w:val="center"/>
                </w:tcPr>
                <w:p w14:paraId="2FF81BDC">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草地复绿，一般采用播撒方式培植，草种应适应当地生长并与原草地环境协调。</w:t>
                  </w:r>
                  <w:r>
                    <w:rPr>
                      <w:rFonts w:hint="eastAsia" w:ascii="Times New Roman" w:hAnsi="Times New Roman" w:cs="Times New Roman"/>
                      <w:color w:val="auto"/>
                      <w:sz w:val="21"/>
                      <w:szCs w:val="21"/>
                      <w:lang w:eastAsia="zh-CN"/>
                    </w:rPr>
                    <w:t>草地</w:t>
                  </w:r>
                  <w:r>
                    <w:rPr>
                      <w:rFonts w:hint="default" w:ascii="Times New Roman" w:hAnsi="Times New Roman" w:cs="Times New Roman"/>
                      <w:color w:val="auto"/>
                      <w:sz w:val="21"/>
                      <w:szCs w:val="21"/>
                    </w:rPr>
                    <w:t>复绿，林木品种适合当地生长，应结合当地居民及社会经济发展及环境的协调要求，林木的种植施工应符合相关行业规程及规范标准。耕地复垦，经现场深翻、松土及覆土后，应满足当地农作物耕种条件</w:t>
                  </w:r>
                </w:p>
              </w:tc>
              <w:tc>
                <w:tcPr>
                  <w:tcW w:w="1989" w:type="pct"/>
                  <w:vAlign w:val="center"/>
                </w:tcPr>
                <w:p w14:paraId="7ADA33F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highlight w:val="none"/>
                      <w:lang w:val="en-US" w:eastAsia="zh-CN" w:bidi="ar"/>
                    </w:rPr>
                    <w:t>项目临时占地类型主要为耕地、种植园用地、林地、草地，施工结束后，永久封井时，生态恢复根据原有占地类型和</w:t>
                  </w:r>
                  <w:r>
                    <w:rPr>
                      <w:rFonts w:hint="eastAsia" w:cs="宋体"/>
                      <w:color w:val="auto"/>
                      <w:sz w:val="21"/>
                      <w:szCs w:val="21"/>
                      <w:highlight w:val="none"/>
                      <w:lang w:bidi="ar"/>
                    </w:rPr>
                    <w:t>环境条件，耕地交由农户进行复垦，园地种植原有果树</w:t>
                  </w:r>
                  <w:r>
                    <w:rPr>
                      <w:rFonts w:hint="eastAsia" w:eastAsia="宋体" w:cs="宋体"/>
                      <w:color w:val="auto"/>
                      <w:sz w:val="21"/>
                      <w:szCs w:val="21"/>
                      <w:highlight w:val="none"/>
                      <w:lang w:eastAsia="zh-CN" w:bidi="ar"/>
                    </w:rPr>
                    <w:t>，</w:t>
                  </w:r>
                  <w:r>
                    <w:rPr>
                      <w:rFonts w:hint="eastAsia" w:cs="宋体"/>
                      <w:color w:val="auto"/>
                      <w:sz w:val="21"/>
                      <w:szCs w:val="21"/>
                      <w:highlight w:val="none"/>
                      <w:lang w:val="en-US" w:eastAsia="zh-CN" w:bidi="ar"/>
                    </w:rPr>
                    <w:t>林地和草地</w:t>
                  </w:r>
                  <w:r>
                    <w:rPr>
                      <w:rFonts w:hint="eastAsia" w:cs="宋体"/>
                      <w:color w:val="auto"/>
                      <w:sz w:val="21"/>
                      <w:szCs w:val="21"/>
                      <w:highlight w:val="none"/>
                      <w:lang w:bidi="ar"/>
                    </w:rPr>
                    <w:t>选择当地土著种和优势种进行</w:t>
                  </w:r>
                  <w:r>
                    <w:rPr>
                      <w:rFonts w:hint="eastAsia" w:cs="宋体"/>
                      <w:color w:val="auto"/>
                      <w:sz w:val="21"/>
                      <w:szCs w:val="21"/>
                      <w:highlight w:val="none"/>
                      <w:lang w:val="en-US" w:eastAsia="zh-CN" w:bidi="ar"/>
                    </w:rPr>
                    <w:t>植被</w:t>
                  </w:r>
                  <w:r>
                    <w:rPr>
                      <w:rFonts w:hint="eastAsia" w:cs="宋体"/>
                      <w:color w:val="auto"/>
                      <w:sz w:val="21"/>
                      <w:szCs w:val="21"/>
                      <w:highlight w:val="none"/>
                      <w:lang w:bidi="ar"/>
                    </w:rPr>
                    <w:t>恢复，并需符合相关行业规程及规范标准</w:t>
                  </w:r>
                  <w:r>
                    <w:rPr>
                      <w:rFonts w:hint="eastAsia" w:eastAsia="宋体" w:cs="宋体"/>
                      <w:color w:val="auto"/>
                      <w:sz w:val="21"/>
                      <w:szCs w:val="21"/>
                      <w:highlight w:val="none"/>
                      <w:lang w:eastAsia="zh-CN" w:bidi="ar"/>
                    </w:rPr>
                    <w:t>。</w:t>
                  </w:r>
                </w:p>
              </w:tc>
              <w:tc>
                <w:tcPr>
                  <w:tcW w:w="299" w:type="pct"/>
                  <w:vAlign w:val="center"/>
                </w:tcPr>
                <w:p w14:paraId="0EF66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BFA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0F24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2347" w:type="pct"/>
                  <w:vAlign w:val="center"/>
                </w:tcPr>
                <w:p w14:paraId="25F3012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复垦复绿施工中，应做好环境恢复治理工程的维护管理。在工程质保期及植被恢复养护期间，应对损坏或检查不合格的工程进行修补和返工处理</w:t>
                  </w:r>
                </w:p>
              </w:tc>
              <w:tc>
                <w:tcPr>
                  <w:tcW w:w="1989" w:type="pct"/>
                  <w:vAlign w:val="center"/>
                </w:tcPr>
                <w:p w14:paraId="05D8FDD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项目在进行生态恢复过程中应严格按照生态恢复治理方案进行维护管理，定期对恢复达不到要求的工程进行返工处理</w:t>
                  </w:r>
                  <w:r>
                    <w:rPr>
                      <w:rFonts w:hint="eastAsia" w:eastAsia="宋体" w:cs="宋体"/>
                      <w:color w:val="auto"/>
                      <w:sz w:val="21"/>
                      <w:szCs w:val="21"/>
                      <w:lang w:eastAsia="zh-CN" w:bidi="ar"/>
                    </w:rPr>
                    <w:t>。</w:t>
                  </w:r>
                </w:p>
              </w:tc>
              <w:tc>
                <w:tcPr>
                  <w:tcW w:w="299" w:type="pct"/>
                  <w:vAlign w:val="center"/>
                </w:tcPr>
                <w:p w14:paraId="6FAD68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EA0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97527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w:t>
                  </w:r>
                </w:p>
              </w:tc>
              <w:tc>
                <w:tcPr>
                  <w:tcW w:w="2347" w:type="pct"/>
                  <w:vAlign w:val="center"/>
                </w:tcPr>
                <w:p w14:paraId="3F9B2C6A">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恢复治理工作应达到现场无污染破坏痕迹，生态恢复良好，环境协调</w:t>
                  </w:r>
                </w:p>
              </w:tc>
              <w:tc>
                <w:tcPr>
                  <w:tcW w:w="1989" w:type="pct"/>
                  <w:vAlign w:val="center"/>
                </w:tcPr>
                <w:p w14:paraId="5E98EAD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评价要求永久封井场地恢复达到现场无污染破坏痕迹</w:t>
                  </w:r>
                  <w:r>
                    <w:rPr>
                      <w:rFonts w:hint="eastAsia" w:ascii="Times New Roman" w:hAnsi="Times New Roman" w:eastAsia="宋体" w:cs="Times New Roman"/>
                      <w:color w:val="auto"/>
                      <w:sz w:val="21"/>
                      <w:szCs w:val="21"/>
                      <w:lang w:eastAsia="zh-CN"/>
                    </w:rPr>
                    <w:t>。</w:t>
                  </w:r>
                </w:p>
              </w:tc>
              <w:tc>
                <w:tcPr>
                  <w:tcW w:w="299" w:type="pct"/>
                  <w:vAlign w:val="center"/>
                </w:tcPr>
                <w:p w14:paraId="77D87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12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31FE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w:t>
                  </w:r>
                </w:p>
              </w:tc>
              <w:tc>
                <w:tcPr>
                  <w:tcW w:w="2347" w:type="pct"/>
                  <w:vAlign w:val="center"/>
                </w:tcPr>
                <w:p w14:paraId="76B80AE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推进智能化建设，采用信息技术、网络技术、控制技术、智能技术，实现勘查投资决策、工作部署和现场管信息化、智能化</w:t>
                  </w:r>
                </w:p>
              </w:tc>
              <w:tc>
                <w:tcPr>
                  <w:tcW w:w="1989" w:type="pct"/>
                  <w:vAlign w:val="center"/>
                </w:tcPr>
                <w:p w14:paraId="237B2997">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项目勘探采用信息技术、网络技术、控制技术、智能技术进行钻探，实现现场管信息化、智能化</w:t>
                  </w:r>
                  <w:r>
                    <w:rPr>
                      <w:rFonts w:hint="eastAsia" w:ascii="Times New Roman" w:hAnsi="Times New Roman" w:eastAsia="宋体" w:cs="Times New Roman"/>
                      <w:color w:val="auto"/>
                      <w:sz w:val="21"/>
                      <w:szCs w:val="21"/>
                      <w:lang w:eastAsia="zh-CN"/>
                    </w:rPr>
                    <w:t>。</w:t>
                  </w:r>
                </w:p>
              </w:tc>
              <w:tc>
                <w:tcPr>
                  <w:tcW w:w="299" w:type="pct"/>
                  <w:vAlign w:val="center"/>
                </w:tcPr>
                <w:p w14:paraId="23D87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0C08E06B">
            <w:pPr>
              <w:jc w:val="both"/>
              <w:rPr>
                <w:rFonts w:hint="default" w:ascii="Times New Roman" w:hAnsi="Times New Roman" w:eastAsia="宋体" w:cs="Times New Roman"/>
                <w:color w:val="auto"/>
                <w:sz w:val="21"/>
                <w:szCs w:val="21"/>
                <w:vertAlign w:val="baseline"/>
                <w:lang w:val="en-US" w:eastAsia="zh-CN"/>
              </w:rPr>
            </w:pPr>
          </w:p>
        </w:tc>
      </w:tr>
    </w:tbl>
    <w:p w14:paraId="23441C47">
      <w:pP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br w:type="page"/>
      </w:r>
    </w:p>
    <w:p w14:paraId="0B85D655">
      <w:pPr>
        <w:numPr>
          <w:ilvl w:val="0"/>
          <w:numId w:val="5"/>
        </w:numPr>
        <w:jc w:val="center"/>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建设内容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616"/>
      </w:tblGrid>
      <w:tr w14:paraId="6E56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1" w:type="dxa"/>
            <w:vAlign w:val="center"/>
          </w:tcPr>
          <w:p w14:paraId="6810A83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地理位置</w:t>
            </w:r>
          </w:p>
        </w:tc>
        <w:tc>
          <w:tcPr>
            <w:tcW w:w="8597" w:type="dxa"/>
            <w:vAlign w:val="center"/>
          </w:tcPr>
          <w:p w14:paraId="5693E4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项目选址位于榆林市佳县王家砭镇张家沟村，临时占地面积为14348m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，根据榆林市投资项目选址“一张图”控制线数据，占地类型为耕地、种植园用地、林地、草地，不涉及基本农田。</w:t>
            </w:r>
            <w:r>
              <w:rPr>
                <w:rFonts w:hint="default" w:ascii="Times New Roman" w:hAnsi="Times New Roman" w:eastAsia="宋体" w:cs="Times New Roman"/>
                <w:color w:val="auto"/>
                <w:sz w:val="24"/>
                <w:szCs w:val="24"/>
                <w:vertAlign w:val="baseline"/>
                <w:lang w:val="en-US" w:eastAsia="zh-CN"/>
              </w:rPr>
              <w:t>项目所在区域场地开阔，井场坐标见表2-1。项目地理位置见附图1。</w:t>
            </w:r>
          </w:p>
          <w:p w14:paraId="3E25C35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  井场拐点坐标一览表（2000国家大地坐标系）</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626"/>
              <w:gridCol w:w="2450"/>
              <w:gridCol w:w="2452"/>
            </w:tblGrid>
            <w:tr w14:paraId="5C2C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restart"/>
                  <w:vAlign w:val="center"/>
                </w:tcPr>
                <w:p w14:paraId="6991DB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气探井</w:t>
                  </w:r>
                </w:p>
              </w:tc>
              <w:tc>
                <w:tcPr>
                  <w:tcW w:w="969" w:type="pct"/>
                  <w:vMerge w:val="restart"/>
                  <w:vAlign w:val="center"/>
                </w:tcPr>
                <w:p w14:paraId="6B8E6B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界址点号</w:t>
                  </w:r>
                </w:p>
              </w:tc>
              <w:tc>
                <w:tcPr>
                  <w:tcW w:w="2921" w:type="pct"/>
                  <w:gridSpan w:val="2"/>
                  <w:vAlign w:val="center"/>
                </w:tcPr>
                <w:p w14:paraId="71DC69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界址点坐标</w:t>
                  </w:r>
                </w:p>
              </w:tc>
            </w:tr>
            <w:tr w14:paraId="1A02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5157C9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969" w:type="pct"/>
                  <w:vMerge w:val="continue"/>
                  <w:vAlign w:val="center"/>
                </w:tcPr>
                <w:p w14:paraId="4A0BB6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460" w:type="pct"/>
                  <w:vAlign w:val="center"/>
                </w:tcPr>
                <w:p w14:paraId="66A493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X</w:t>
                  </w:r>
                </w:p>
              </w:tc>
              <w:tc>
                <w:tcPr>
                  <w:tcW w:w="1461" w:type="pct"/>
                  <w:vAlign w:val="center"/>
                </w:tcPr>
                <w:p w14:paraId="365D2C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Y</w:t>
                  </w:r>
                </w:p>
              </w:tc>
            </w:tr>
            <w:tr w14:paraId="3F9F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108" w:type="pct"/>
                  <w:vMerge w:val="restart"/>
                  <w:vAlign w:val="center"/>
                </w:tcPr>
                <w:p w14:paraId="248EDC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米107-2M井场</w:t>
                  </w:r>
                </w:p>
              </w:tc>
              <w:tc>
                <w:tcPr>
                  <w:tcW w:w="969" w:type="pct"/>
                  <w:vAlign w:val="center"/>
                </w:tcPr>
                <w:p w14:paraId="490ABB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w:t>
                  </w:r>
                </w:p>
              </w:tc>
              <w:tc>
                <w:tcPr>
                  <w:tcW w:w="1460" w:type="pct"/>
                  <w:shd w:val="clear" w:color="auto" w:fill="auto"/>
                  <w:vAlign w:val="center"/>
                </w:tcPr>
                <w:p w14:paraId="7825BA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2"/>
                      <w:szCs w:val="22"/>
                      <w:u w:val="none"/>
                      <w:lang w:val="en-US" w:eastAsia="zh-CN" w:bidi="ar-SA"/>
                    </w:rPr>
                  </w:pPr>
                  <w:r>
                    <w:rPr>
                      <w:rFonts w:hint="default" w:ascii="Times New Roman" w:hAnsi="Times New Roman" w:eastAsia="宋体" w:cs="Times New Roman"/>
                      <w:color w:val="auto"/>
                      <w:sz w:val="21"/>
                      <w:szCs w:val="21"/>
                      <w:vertAlign w:val="baseline"/>
                      <w:lang w:val="en-US" w:eastAsia="zh-CN"/>
                    </w:rPr>
                    <w:t>37435925.179</w:t>
                  </w:r>
                </w:p>
              </w:tc>
              <w:tc>
                <w:tcPr>
                  <w:tcW w:w="1461" w:type="pct"/>
                  <w:shd w:val="clear" w:color="auto" w:fill="auto"/>
                  <w:vAlign w:val="center"/>
                </w:tcPr>
                <w:p w14:paraId="5D60AD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4228548.639</w:t>
                  </w:r>
                </w:p>
              </w:tc>
            </w:tr>
            <w:tr w14:paraId="18E3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5B463C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vAlign w:val="center"/>
                </w:tcPr>
                <w:p w14:paraId="58113E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J2</w:t>
                  </w:r>
                </w:p>
              </w:tc>
              <w:tc>
                <w:tcPr>
                  <w:tcW w:w="1460" w:type="pct"/>
                  <w:shd w:val="clear" w:color="auto" w:fill="auto"/>
                  <w:vAlign w:val="center"/>
                </w:tcPr>
                <w:p w14:paraId="7512FC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37435961.070</w:t>
                  </w:r>
                </w:p>
              </w:tc>
              <w:tc>
                <w:tcPr>
                  <w:tcW w:w="1461" w:type="pct"/>
                  <w:shd w:val="clear" w:color="auto" w:fill="auto"/>
                  <w:vAlign w:val="center"/>
                </w:tcPr>
                <w:p w14:paraId="1F6B10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4228565.515</w:t>
                  </w:r>
                </w:p>
              </w:tc>
            </w:tr>
            <w:tr w14:paraId="18F1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658E0B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vAlign w:val="center"/>
                </w:tcPr>
                <w:p w14:paraId="260418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J3</w:t>
                  </w:r>
                </w:p>
              </w:tc>
              <w:tc>
                <w:tcPr>
                  <w:tcW w:w="1460" w:type="pct"/>
                  <w:shd w:val="clear" w:color="auto" w:fill="auto"/>
                  <w:vAlign w:val="center"/>
                </w:tcPr>
                <w:p w14:paraId="535CE3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37435967.309</w:t>
                  </w:r>
                </w:p>
              </w:tc>
              <w:tc>
                <w:tcPr>
                  <w:tcW w:w="1461" w:type="pct"/>
                  <w:shd w:val="clear" w:color="auto" w:fill="auto"/>
                  <w:vAlign w:val="center"/>
                </w:tcPr>
                <w:p w14:paraId="12FCBF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4228568.449</w:t>
                  </w:r>
                </w:p>
              </w:tc>
            </w:tr>
            <w:tr w14:paraId="405D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699840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vAlign w:val="center"/>
                </w:tcPr>
                <w:p w14:paraId="6C77DA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J4</w:t>
                  </w:r>
                </w:p>
              </w:tc>
              <w:tc>
                <w:tcPr>
                  <w:tcW w:w="1460" w:type="pct"/>
                  <w:shd w:val="clear" w:color="auto" w:fill="auto"/>
                  <w:vAlign w:val="center"/>
                </w:tcPr>
                <w:p w14:paraId="0213E9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37436006.625</w:t>
                  </w:r>
                </w:p>
              </w:tc>
              <w:tc>
                <w:tcPr>
                  <w:tcW w:w="1461" w:type="pct"/>
                  <w:shd w:val="clear" w:color="auto" w:fill="auto"/>
                  <w:vAlign w:val="center"/>
                </w:tcPr>
                <w:p w14:paraId="165487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4228586.935</w:t>
                  </w:r>
                </w:p>
              </w:tc>
            </w:tr>
            <w:tr w14:paraId="2E28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5C3616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vAlign w:val="center"/>
                </w:tcPr>
                <w:p w14:paraId="38D5B5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J5</w:t>
                  </w:r>
                </w:p>
              </w:tc>
              <w:tc>
                <w:tcPr>
                  <w:tcW w:w="1460" w:type="pct"/>
                  <w:shd w:val="clear" w:color="auto" w:fill="auto"/>
                  <w:vAlign w:val="center"/>
                </w:tcPr>
                <w:p w14:paraId="4B1881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37436066.198</w:t>
                  </w:r>
                </w:p>
              </w:tc>
              <w:tc>
                <w:tcPr>
                  <w:tcW w:w="1461" w:type="pct"/>
                  <w:shd w:val="clear" w:color="auto" w:fill="auto"/>
                  <w:vAlign w:val="center"/>
                </w:tcPr>
                <w:p w14:paraId="20C1DE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4228460.243</w:t>
                  </w:r>
                </w:p>
              </w:tc>
            </w:tr>
            <w:tr w14:paraId="1138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405C0A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shd w:val="clear" w:color="auto" w:fill="auto"/>
                  <w:vAlign w:val="center"/>
                </w:tcPr>
                <w:p w14:paraId="2B747D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J6</w:t>
                  </w:r>
                </w:p>
              </w:tc>
              <w:tc>
                <w:tcPr>
                  <w:tcW w:w="1460" w:type="pct"/>
                  <w:shd w:val="clear" w:color="auto" w:fill="auto"/>
                  <w:vAlign w:val="center"/>
                </w:tcPr>
                <w:p w14:paraId="196AD1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37435984.752</w:t>
                  </w:r>
                </w:p>
              </w:tc>
              <w:tc>
                <w:tcPr>
                  <w:tcW w:w="1461" w:type="pct"/>
                  <w:shd w:val="clear" w:color="auto" w:fill="auto"/>
                  <w:vAlign w:val="center"/>
                </w:tcPr>
                <w:p w14:paraId="518ECE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4228421.946</w:t>
                  </w:r>
                </w:p>
              </w:tc>
            </w:tr>
            <w:tr w14:paraId="2015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restart"/>
                  <w:vAlign w:val="center"/>
                </w:tcPr>
                <w:p w14:paraId="786B98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米107-2M生活区</w:t>
                  </w:r>
                </w:p>
              </w:tc>
              <w:tc>
                <w:tcPr>
                  <w:tcW w:w="969" w:type="pct"/>
                  <w:shd w:val="clear" w:color="auto" w:fill="auto"/>
                  <w:vAlign w:val="center"/>
                </w:tcPr>
                <w:p w14:paraId="12EAC1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J1</w:t>
                  </w:r>
                </w:p>
              </w:tc>
              <w:tc>
                <w:tcPr>
                  <w:tcW w:w="1460" w:type="pct"/>
                  <w:shd w:val="clear" w:color="auto" w:fill="auto"/>
                  <w:vAlign w:val="center"/>
                </w:tcPr>
                <w:p w14:paraId="5389CA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37435957.656</w:t>
                  </w:r>
                </w:p>
              </w:tc>
              <w:tc>
                <w:tcPr>
                  <w:tcW w:w="1461" w:type="pct"/>
                  <w:shd w:val="clear" w:color="auto" w:fill="auto"/>
                  <w:vAlign w:val="center"/>
                </w:tcPr>
                <w:p w14:paraId="1B5179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4228732.429</w:t>
                  </w:r>
                </w:p>
              </w:tc>
            </w:tr>
            <w:tr w14:paraId="0FFC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3901DE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shd w:val="clear" w:color="auto" w:fill="auto"/>
                  <w:vAlign w:val="center"/>
                </w:tcPr>
                <w:p w14:paraId="1C6D57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J2</w:t>
                  </w:r>
                </w:p>
              </w:tc>
              <w:tc>
                <w:tcPr>
                  <w:tcW w:w="1460" w:type="pct"/>
                  <w:shd w:val="clear" w:color="auto" w:fill="auto"/>
                  <w:vAlign w:val="center"/>
                </w:tcPr>
                <w:p w14:paraId="5F148B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37435987.940</w:t>
                  </w:r>
                </w:p>
              </w:tc>
              <w:tc>
                <w:tcPr>
                  <w:tcW w:w="1461" w:type="pct"/>
                  <w:shd w:val="clear" w:color="auto" w:fill="auto"/>
                  <w:vAlign w:val="center"/>
                </w:tcPr>
                <w:p w14:paraId="7B409C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4228714.883</w:t>
                  </w:r>
                </w:p>
              </w:tc>
            </w:tr>
            <w:tr w14:paraId="1719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7AE11C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shd w:val="clear" w:color="auto" w:fill="auto"/>
                  <w:vAlign w:val="center"/>
                </w:tcPr>
                <w:p w14:paraId="327963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J3</w:t>
                  </w:r>
                </w:p>
              </w:tc>
              <w:tc>
                <w:tcPr>
                  <w:tcW w:w="1460" w:type="pct"/>
                  <w:shd w:val="clear" w:color="auto" w:fill="auto"/>
                  <w:vAlign w:val="center"/>
                </w:tcPr>
                <w:p w14:paraId="248B29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37435975.407</w:t>
                  </w:r>
                </w:p>
              </w:tc>
              <w:tc>
                <w:tcPr>
                  <w:tcW w:w="1461" w:type="pct"/>
                  <w:shd w:val="clear" w:color="auto" w:fill="auto"/>
                  <w:vAlign w:val="center"/>
                </w:tcPr>
                <w:p w14:paraId="5D388C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4228693.251</w:t>
                  </w:r>
                </w:p>
              </w:tc>
            </w:tr>
            <w:tr w14:paraId="60A9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6161F9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shd w:val="clear" w:color="auto" w:fill="auto"/>
                  <w:vAlign w:val="center"/>
                </w:tcPr>
                <w:p w14:paraId="7F728A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J4</w:t>
                  </w:r>
                </w:p>
              </w:tc>
              <w:tc>
                <w:tcPr>
                  <w:tcW w:w="1460" w:type="pct"/>
                  <w:shd w:val="clear" w:color="auto" w:fill="auto"/>
                  <w:vAlign w:val="center"/>
                </w:tcPr>
                <w:p w14:paraId="78830B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37435952.548</w:t>
                  </w:r>
                </w:p>
              </w:tc>
              <w:tc>
                <w:tcPr>
                  <w:tcW w:w="1461" w:type="pct"/>
                  <w:shd w:val="clear" w:color="auto" w:fill="auto"/>
                  <w:vAlign w:val="center"/>
                </w:tcPr>
                <w:p w14:paraId="688691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4228706.496</w:t>
                  </w:r>
                </w:p>
              </w:tc>
            </w:tr>
            <w:tr w14:paraId="6590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69C1C3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69" w:type="pct"/>
                  <w:shd w:val="clear" w:color="auto" w:fill="auto"/>
                  <w:vAlign w:val="center"/>
                </w:tcPr>
                <w:p w14:paraId="670233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J5</w:t>
                  </w:r>
                </w:p>
              </w:tc>
              <w:tc>
                <w:tcPr>
                  <w:tcW w:w="1460" w:type="pct"/>
                  <w:shd w:val="clear" w:color="auto" w:fill="auto"/>
                  <w:vAlign w:val="center"/>
                </w:tcPr>
                <w:p w14:paraId="73A1E8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37435945.123</w:t>
                  </w:r>
                </w:p>
              </w:tc>
              <w:tc>
                <w:tcPr>
                  <w:tcW w:w="1461" w:type="pct"/>
                  <w:shd w:val="clear" w:color="auto" w:fill="auto"/>
                  <w:vAlign w:val="center"/>
                </w:tcPr>
                <w:p w14:paraId="4670B73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4228710.797</w:t>
                  </w:r>
                </w:p>
              </w:tc>
            </w:tr>
            <w:tr w14:paraId="102E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08" w:type="pct"/>
                  <w:vMerge w:val="restart"/>
                  <w:vAlign w:val="center"/>
                </w:tcPr>
                <w:p w14:paraId="5DCD9C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米107-2M井场临时道路</w:t>
                  </w:r>
                </w:p>
              </w:tc>
              <w:tc>
                <w:tcPr>
                  <w:tcW w:w="969" w:type="pct"/>
                  <w:shd w:val="clear" w:color="auto" w:fill="auto"/>
                  <w:vAlign w:val="center"/>
                </w:tcPr>
                <w:p w14:paraId="709364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J1</w:t>
                  </w:r>
                </w:p>
              </w:tc>
              <w:tc>
                <w:tcPr>
                  <w:tcW w:w="1460" w:type="pct"/>
                  <w:shd w:val="clear" w:color="auto" w:fill="auto"/>
                  <w:vAlign w:val="center"/>
                </w:tcPr>
                <w:p w14:paraId="5576CC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37435945.123</w:t>
                  </w:r>
                </w:p>
              </w:tc>
              <w:tc>
                <w:tcPr>
                  <w:tcW w:w="1461" w:type="pct"/>
                  <w:shd w:val="clear" w:color="auto" w:fill="auto"/>
                  <w:vAlign w:val="center"/>
                </w:tcPr>
                <w:p w14:paraId="279CB3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4228710.797</w:t>
                  </w:r>
                </w:p>
              </w:tc>
            </w:tr>
            <w:tr w14:paraId="6067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55604B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969" w:type="pct"/>
                  <w:shd w:val="clear" w:color="auto" w:fill="auto"/>
                  <w:vAlign w:val="center"/>
                </w:tcPr>
                <w:p w14:paraId="138622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J2</w:t>
                  </w:r>
                </w:p>
              </w:tc>
              <w:tc>
                <w:tcPr>
                  <w:tcW w:w="1460" w:type="pct"/>
                  <w:shd w:val="clear" w:color="auto" w:fill="auto"/>
                  <w:vAlign w:val="center"/>
                </w:tcPr>
                <w:p w14:paraId="5AA599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37435952.548</w:t>
                  </w:r>
                </w:p>
              </w:tc>
              <w:tc>
                <w:tcPr>
                  <w:tcW w:w="1461" w:type="pct"/>
                  <w:shd w:val="clear" w:color="auto" w:fill="auto"/>
                  <w:vAlign w:val="center"/>
                </w:tcPr>
                <w:p w14:paraId="54BEBD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4228706.496</w:t>
                  </w:r>
                </w:p>
              </w:tc>
            </w:tr>
            <w:tr w14:paraId="633C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026BFA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969" w:type="pct"/>
                  <w:shd w:val="clear" w:color="auto" w:fill="auto"/>
                  <w:vAlign w:val="center"/>
                </w:tcPr>
                <w:p w14:paraId="4D1C2A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J3</w:t>
                  </w:r>
                </w:p>
              </w:tc>
              <w:tc>
                <w:tcPr>
                  <w:tcW w:w="1460" w:type="pct"/>
                  <w:shd w:val="clear" w:color="auto" w:fill="auto"/>
                  <w:vAlign w:val="center"/>
                </w:tcPr>
                <w:p w14:paraId="56A2FF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37435971.182</w:t>
                  </w:r>
                </w:p>
              </w:tc>
              <w:tc>
                <w:tcPr>
                  <w:tcW w:w="1461" w:type="pct"/>
                  <w:shd w:val="clear" w:color="auto" w:fill="auto"/>
                  <w:vAlign w:val="center"/>
                </w:tcPr>
                <w:p w14:paraId="608F50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4228633.663</w:t>
                  </w:r>
                </w:p>
              </w:tc>
            </w:tr>
            <w:tr w14:paraId="2274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6D82B6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969" w:type="pct"/>
                  <w:shd w:val="clear" w:color="auto" w:fill="auto"/>
                  <w:vAlign w:val="center"/>
                </w:tcPr>
                <w:p w14:paraId="7ECED3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J4</w:t>
                  </w:r>
                </w:p>
              </w:tc>
              <w:tc>
                <w:tcPr>
                  <w:tcW w:w="1460" w:type="pct"/>
                  <w:shd w:val="clear" w:color="auto" w:fill="auto"/>
                  <w:vAlign w:val="center"/>
                </w:tcPr>
                <w:p w14:paraId="50E8E6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37435967.309</w:t>
                  </w:r>
                </w:p>
              </w:tc>
              <w:tc>
                <w:tcPr>
                  <w:tcW w:w="1461" w:type="pct"/>
                  <w:shd w:val="clear" w:color="auto" w:fill="auto"/>
                  <w:vAlign w:val="center"/>
                </w:tcPr>
                <w:p w14:paraId="6D1117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4228568.449</w:t>
                  </w:r>
                </w:p>
              </w:tc>
            </w:tr>
            <w:tr w14:paraId="4350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3DA286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969" w:type="pct"/>
                  <w:shd w:val="clear" w:color="auto" w:fill="auto"/>
                  <w:vAlign w:val="center"/>
                </w:tcPr>
                <w:p w14:paraId="7872E2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J5</w:t>
                  </w:r>
                </w:p>
              </w:tc>
              <w:tc>
                <w:tcPr>
                  <w:tcW w:w="1460" w:type="pct"/>
                  <w:shd w:val="clear" w:color="auto" w:fill="auto"/>
                  <w:vAlign w:val="center"/>
                </w:tcPr>
                <w:p w14:paraId="27086B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37435961.070</w:t>
                  </w:r>
                </w:p>
              </w:tc>
              <w:tc>
                <w:tcPr>
                  <w:tcW w:w="1461" w:type="pct"/>
                  <w:shd w:val="clear" w:color="auto" w:fill="auto"/>
                  <w:vAlign w:val="center"/>
                </w:tcPr>
                <w:p w14:paraId="229E11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4228565.515</w:t>
                  </w:r>
                </w:p>
              </w:tc>
            </w:tr>
            <w:tr w14:paraId="6849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pct"/>
                  <w:vMerge w:val="continue"/>
                  <w:vAlign w:val="center"/>
                </w:tcPr>
                <w:p w14:paraId="44F37E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969" w:type="pct"/>
                  <w:shd w:val="clear" w:color="auto" w:fill="auto"/>
                  <w:vAlign w:val="center"/>
                </w:tcPr>
                <w:p w14:paraId="491414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J6</w:t>
                  </w:r>
                </w:p>
              </w:tc>
              <w:tc>
                <w:tcPr>
                  <w:tcW w:w="1460" w:type="pct"/>
                  <w:shd w:val="clear" w:color="auto" w:fill="auto"/>
                  <w:vAlign w:val="center"/>
                </w:tcPr>
                <w:p w14:paraId="2D115A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37435965.129</w:t>
                  </w:r>
                </w:p>
              </w:tc>
              <w:tc>
                <w:tcPr>
                  <w:tcW w:w="1461" w:type="pct"/>
                  <w:shd w:val="clear" w:color="auto" w:fill="auto"/>
                  <w:vAlign w:val="center"/>
                </w:tcPr>
                <w:p w14:paraId="4D6EF5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4228632.955</w:t>
                  </w:r>
                </w:p>
              </w:tc>
            </w:tr>
          </w:tbl>
          <w:p w14:paraId="6D7FCD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p>
        </w:tc>
      </w:tr>
      <w:tr w14:paraId="569D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691" w:type="dxa"/>
            <w:vAlign w:val="center"/>
          </w:tcPr>
          <w:p w14:paraId="7656A083">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项目组成及规模</w:t>
            </w:r>
          </w:p>
        </w:tc>
        <w:tc>
          <w:tcPr>
            <w:tcW w:w="8597" w:type="dxa"/>
            <w:vAlign w:val="center"/>
          </w:tcPr>
          <w:p w14:paraId="6E9A3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一、项目建设背景</w:t>
            </w:r>
          </w:p>
          <w:p w14:paraId="30F24FCA">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天然气是一种重要的化石能源，天然气的杂质含量极少，属于洁净能源。</w:t>
            </w:r>
            <w:r>
              <w:rPr>
                <w:rFonts w:hint="default" w:ascii="Times New Roman" w:hAnsi="Times New Roman" w:cs="Times New Roman"/>
                <w:color w:val="auto"/>
                <w:sz w:val="24"/>
                <w:lang w:val="en-US" w:eastAsia="zh-CN"/>
              </w:rPr>
              <w:t>积极开发利用天然气，可以有效减少常规能源尤其是煤炭资源的消耗，对于优化城市能源结构，提高人民的生活质量，建设生态文明社会，促进可持续发展具有重要的意义。在天然气开发过程中，勘探工作旨在为后期的开发建设提供科技依据。按照勘探阶段、勘探程序以及勘探目的，可将探井划分为地质井、参数井、预探井、评价井等。</w:t>
            </w:r>
          </w:p>
          <w:p w14:paraId="60BE58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位于中国石油天然气股份有限公司长庆油田分公司矿权范围内，中国石油天然气股份有限公司已取得《陕西鄂尔多斯盆地米脂气田天然气开采采矿许可证》(证号:C1000002022081318000407)、《陕西鄂尔多斯盆地神木气田米38区天然气开采采矿许可证》(证号:C10000020101318000067)，勘察范围包含本项目井场。</w:t>
            </w:r>
          </w:p>
          <w:p w14:paraId="013406F9">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vertAlign w:val="baseline"/>
                <w:lang w:val="en-US" w:eastAsia="zh-CN"/>
              </w:rPr>
              <w:t>本项目属于天然气评价井建设工程，选址位于</w:t>
            </w:r>
            <w:r>
              <w:rPr>
                <w:rFonts w:hint="default" w:ascii="Times New Roman" w:hAnsi="Times New Roman" w:eastAsia="宋体" w:cs="Times New Roman"/>
                <w:b w:val="0"/>
                <w:bCs w:val="0"/>
                <w:color w:val="auto"/>
                <w:sz w:val="24"/>
                <w:szCs w:val="24"/>
                <w:highlight w:val="none"/>
                <w:vertAlign w:val="baseline"/>
                <w:lang w:val="en-US" w:eastAsia="zh-CN"/>
              </w:rPr>
              <w:t>陕西鄂尔多斯盆地米脂气田、神木气田米38区天然气开采范围内</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color w:val="auto"/>
                <w:sz w:val="24"/>
                <w:szCs w:val="24"/>
              </w:rPr>
              <w:t>属于长庆油田分公司第二采气厂的负责范围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第二采气厂于2024年取得榆林市生态环境局关于《长庆油田分公司第二采气厂2024年产能建设工程环境影响报告书》的批复（榆政环发〔2024〕110号），第二采气厂下辖气田截至2023年底，已建成气井2317口、井场586座；天然气处理厂6座、采出水回注井14口、集气站57座、增压站4座、清管站12座；集气干线25条，总长约521.3km；集气支线45条，总长约576.6km；外输管线5条，总长约342.5km，同时配套建设采气管线、注醇管线、注水管线、站场道路等配套工程及设施，基本实现了天然气密闭集输。2024年拟新建集气站2座，钻试返排液处理站1座，改扩建站场18座；部署井场186座（含新、扩建井场），拟新钻采气井479口。第二采气厂2024产能环评中本项目所在气田主要开发上古气，层位主要有山西组山2、石盒子组盒8等。</w:t>
            </w:r>
            <w:r>
              <w:rPr>
                <w:rFonts w:hint="default" w:ascii="Times New Roman" w:hAnsi="Times New Roman" w:eastAsia="宋体" w:cs="Times New Roman"/>
                <w:color w:val="auto"/>
                <w:sz w:val="24"/>
                <w:szCs w:val="24"/>
                <w:lang w:val="en-US" w:eastAsia="zh-CN"/>
              </w:rPr>
              <w:t>本次勘探层位属于石炭系上统本溪组。气田上古生界地层划分见表2-</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14:paraId="05D504E0">
            <w:pPr>
              <w:snapToGrid w:val="0"/>
              <w:spacing w:line="240" w:lineRule="auto"/>
              <w:jc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rPr>
              <w:t>表</w:t>
            </w:r>
            <w:r>
              <w:rPr>
                <w:rFonts w:hint="default" w:ascii="Times New Roman" w:hAnsi="Times New Roman" w:eastAsia="宋体" w:cs="Times New Roman"/>
                <w:b/>
                <w:color w:val="auto"/>
                <w:sz w:val="21"/>
                <w:szCs w:val="22"/>
                <w:lang w:val="en-US" w:eastAsia="zh-CN"/>
              </w:rPr>
              <w:t>2-</w:t>
            </w:r>
            <w:r>
              <w:rPr>
                <w:rFonts w:hint="eastAsia" w:ascii="Times New Roman" w:hAnsi="Times New Roman" w:eastAsia="宋体" w:cs="Times New Roman"/>
                <w:b/>
                <w:color w:val="auto"/>
                <w:sz w:val="21"/>
                <w:szCs w:val="22"/>
                <w:lang w:val="en-US" w:eastAsia="zh-CN"/>
              </w:rPr>
              <w:t>2</w:t>
            </w:r>
            <w:r>
              <w:rPr>
                <w:rFonts w:hint="default" w:ascii="Times New Roman" w:hAnsi="Times New Roman" w:cs="Times New Roman"/>
                <w:b/>
                <w:color w:val="auto"/>
                <w:sz w:val="21"/>
                <w:szCs w:val="22"/>
              </w:rPr>
              <w:t xml:space="preserve">  气田所在区域上古生界地层划分简表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208"/>
              <w:gridCol w:w="1208"/>
              <w:gridCol w:w="1212"/>
              <w:gridCol w:w="1668"/>
              <w:gridCol w:w="2074"/>
            </w:tblGrid>
            <w:tr w14:paraId="1075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2770" w:type="pct"/>
                  <w:gridSpan w:val="4"/>
                  <w:vAlign w:val="center"/>
                </w:tcPr>
                <w:p w14:paraId="27BFFF5C">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层位</w:t>
                  </w:r>
                </w:p>
              </w:tc>
              <w:tc>
                <w:tcPr>
                  <w:tcW w:w="994" w:type="pct"/>
                  <w:vMerge w:val="restart"/>
                  <w:vAlign w:val="center"/>
                </w:tcPr>
                <w:p w14:paraId="68D28DF0">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层位代号</w:t>
                  </w:r>
                </w:p>
              </w:tc>
              <w:tc>
                <w:tcPr>
                  <w:tcW w:w="1236" w:type="pct"/>
                  <w:vMerge w:val="restart"/>
                  <w:vAlign w:val="center"/>
                </w:tcPr>
                <w:p w14:paraId="1E4C1D95">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岩相</w:t>
                  </w:r>
                </w:p>
              </w:tc>
            </w:tr>
            <w:tr w14:paraId="3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608" w:type="pct"/>
                  <w:vAlign w:val="center"/>
                </w:tcPr>
                <w:p w14:paraId="60BD991A">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系</w:t>
                  </w:r>
                </w:p>
              </w:tc>
              <w:tc>
                <w:tcPr>
                  <w:tcW w:w="720" w:type="pct"/>
                  <w:vAlign w:val="center"/>
                </w:tcPr>
                <w:p w14:paraId="31029BF3">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统</w:t>
                  </w:r>
                </w:p>
              </w:tc>
              <w:tc>
                <w:tcPr>
                  <w:tcW w:w="720" w:type="pct"/>
                  <w:vAlign w:val="center"/>
                </w:tcPr>
                <w:p w14:paraId="3C9E7BDD">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组</w:t>
                  </w:r>
                </w:p>
              </w:tc>
              <w:tc>
                <w:tcPr>
                  <w:tcW w:w="722" w:type="pct"/>
                  <w:vAlign w:val="center"/>
                </w:tcPr>
                <w:p w14:paraId="098FA047">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r>
                    <w:rPr>
                      <w:rFonts w:hint="default" w:ascii="Times New Roman" w:hAnsi="Times New Roman" w:eastAsia="宋体" w:cs="Times New Roman"/>
                      <w:b/>
                      <w:snapToGrid w:val="0"/>
                      <w:color w:val="auto"/>
                      <w:kern w:val="0"/>
                      <w:sz w:val="21"/>
                      <w:szCs w:val="21"/>
                      <w:lang w:val="pt-BR"/>
                    </w:rPr>
                    <w:t>段</w:t>
                  </w:r>
                </w:p>
              </w:tc>
              <w:tc>
                <w:tcPr>
                  <w:tcW w:w="994" w:type="pct"/>
                  <w:vMerge w:val="continue"/>
                  <w:vAlign w:val="center"/>
                </w:tcPr>
                <w:p w14:paraId="73F9BADB">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p>
              </w:tc>
              <w:tc>
                <w:tcPr>
                  <w:tcW w:w="1236" w:type="pct"/>
                  <w:vMerge w:val="continue"/>
                  <w:vAlign w:val="center"/>
                </w:tcPr>
                <w:p w14:paraId="6D54DBC9">
                  <w:pPr>
                    <w:snapToGrid w:val="0"/>
                    <w:spacing w:line="240" w:lineRule="auto"/>
                    <w:ind w:firstLine="0" w:firstLineChars="0"/>
                    <w:jc w:val="center"/>
                    <w:rPr>
                      <w:rFonts w:hint="default" w:ascii="Times New Roman" w:hAnsi="Times New Roman" w:eastAsia="宋体" w:cs="Times New Roman"/>
                      <w:b/>
                      <w:snapToGrid w:val="0"/>
                      <w:color w:val="auto"/>
                      <w:kern w:val="0"/>
                      <w:sz w:val="21"/>
                      <w:szCs w:val="21"/>
                      <w:lang w:val="pt-BR"/>
                    </w:rPr>
                  </w:pPr>
                </w:p>
              </w:tc>
            </w:tr>
            <w:tr w14:paraId="270D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restart"/>
                  <w:vAlign w:val="center"/>
                </w:tcPr>
                <w:p w14:paraId="6E6AB1EB">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二叠系</w:t>
                  </w:r>
                </w:p>
              </w:tc>
              <w:tc>
                <w:tcPr>
                  <w:tcW w:w="720" w:type="pct"/>
                  <w:vAlign w:val="center"/>
                </w:tcPr>
                <w:p w14:paraId="60719DE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上统</w:t>
                  </w:r>
                </w:p>
              </w:tc>
              <w:tc>
                <w:tcPr>
                  <w:tcW w:w="720" w:type="pct"/>
                  <w:vAlign w:val="center"/>
                </w:tcPr>
                <w:p w14:paraId="39BC4C85">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石千峰组</w:t>
                  </w:r>
                </w:p>
              </w:tc>
              <w:tc>
                <w:tcPr>
                  <w:tcW w:w="722" w:type="pct"/>
                  <w:vAlign w:val="center"/>
                </w:tcPr>
                <w:p w14:paraId="017108B9">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w:t>
                  </w:r>
                </w:p>
              </w:tc>
              <w:tc>
                <w:tcPr>
                  <w:tcW w:w="994" w:type="pct"/>
                  <w:vAlign w:val="center"/>
                </w:tcPr>
                <w:p w14:paraId="07F237B4">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3</w:t>
                  </w:r>
                  <w:r>
                    <w:rPr>
                      <w:rFonts w:hint="default" w:ascii="Times New Roman" w:hAnsi="Times New Roman" w:eastAsia="宋体" w:cs="Times New Roman"/>
                      <w:bCs/>
                      <w:snapToGrid w:val="0"/>
                      <w:color w:val="auto"/>
                      <w:kern w:val="0"/>
                      <w:sz w:val="21"/>
                      <w:szCs w:val="21"/>
                      <w:lang w:val="pt-BR"/>
                    </w:rPr>
                    <w:t>q</w:t>
                  </w:r>
                </w:p>
              </w:tc>
              <w:tc>
                <w:tcPr>
                  <w:tcW w:w="1236" w:type="pct"/>
                  <w:vAlign w:val="center"/>
                </w:tcPr>
                <w:p w14:paraId="068A3066">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泛滥平原</w:t>
                  </w:r>
                </w:p>
              </w:tc>
            </w:tr>
            <w:tr w14:paraId="122A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5E228D4E">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restart"/>
                  <w:vAlign w:val="center"/>
                </w:tcPr>
                <w:p w14:paraId="66330EC2">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中统</w:t>
                  </w:r>
                </w:p>
              </w:tc>
              <w:tc>
                <w:tcPr>
                  <w:tcW w:w="720" w:type="pct"/>
                  <w:vMerge w:val="restart"/>
                  <w:vAlign w:val="center"/>
                </w:tcPr>
                <w:p w14:paraId="46284341">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上石盒子组</w:t>
                  </w:r>
                </w:p>
              </w:tc>
              <w:tc>
                <w:tcPr>
                  <w:tcW w:w="722" w:type="pct"/>
                  <w:vAlign w:val="center"/>
                </w:tcPr>
                <w:p w14:paraId="34BEBEE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1</w:t>
                  </w:r>
                </w:p>
              </w:tc>
              <w:tc>
                <w:tcPr>
                  <w:tcW w:w="994" w:type="pct"/>
                  <w:vAlign w:val="center"/>
                </w:tcPr>
                <w:p w14:paraId="00B2EA3E">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sh</w:t>
                  </w:r>
                  <w:r>
                    <w:rPr>
                      <w:rFonts w:hint="default" w:ascii="Times New Roman" w:hAnsi="Times New Roman" w:eastAsia="宋体" w:cs="Times New Roman"/>
                      <w:bCs/>
                      <w:snapToGrid w:val="0"/>
                      <w:color w:val="auto"/>
                      <w:kern w:val="0"/>
                      <w:sz w:val="21"/>
                      <w:szCs w:val="21"/>
                      <w:vertAlign w:val="subscript"/>
                      <w:lang w:val="pt-BR"/>
                    </w:rPr>
                    <w:t>1</w:t>
                  </w:r>
                </w:p>
              </w:tc>
              <w:tc>
                <w:tcPr>
                  <w:tcW w:w="1236" w:type="pct"/>
                  <w:vMerge w:val="restart"/>
                  <w:vAlign w:val="center"/>
                </w:tcPr>
                <w:p w14:paraId="5A72C53B">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滨浅湖沉积</w:t>
                  </w:r>
                </w:p>
              </w:tc>
            </w:tr>
            <w:tr w14:paraId="055F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579404C2">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380E57D7">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6E0A6AD0">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000FAC7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2</w:t>
                  </w:r>
                </w:p>
              </w:tc>
              <w:tc>
                <w:tcPr>
                  <w:tcW w:w="994" w:type="pct"/>
                  <w:vAlign w:val="center"/>
                </w:tcPr>
                <w:p w14:paraId="58665051">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sh</w:t>
                  </w:r>
                  <w:r>
                    <w:rPr>
                      <w:rFonts w:hint="default" w:ascii="Times New Roman" w:hAnsi="Times New Roman" w:eastAsia="宋体" w:cs="Times New Roman"/>
                      <w:bCs/>
                      <w:snapToGrid w:val="0"/>
                      <w:color w:val="auto"/>
                      <w:kern w:val="0"/>
                      <w:sz w:val="21"/>
                      <w:szCs w:val="21"/>
                      <w:vertAlign w:val="subscript"/>
                      <w:lang w:val="pt-BR"/>
                    </w:rPr>
                    <w:t>2</w:t>
                  </w:r>
                </w:p>
              </w:tc>
              <w:tc>
                <w:tcPr>
                  <w:tcW w:w="1236" w:type="pct"/>
                  <w:vMerge w:val="continue"/>
                  <w:vAlign w:val="center"/>
                </w:tcPr>
                <w:p w14:paraId="37972DF8">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7362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724900E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48B1F81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4521471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6C784F1E">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3</w:t>
                  </w:r>
                </w:p>
              </w:tc>
              <w:tc>
                <w:tcPr>
                  <w:tcW w:w="994" w:type="pct"/>
                  <w:vAlign w:val="center"/>
                </w:tcPr>
                <w:p w14:paraId="7FF4BF05">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sh</w:t>
                  </w:r>
                  <w:r>
                    <w:rPr>
                      <w:rFonts w:hint="default" w:ascii="Times New Roman" w:hAnsi="Times New Roman" w:eastAsia="宋体" w:cs="Times New Roman"/>
                      <w:bCs/>
                      <w:snapToGrid w:val="0"/>
                      <w:color w:val="auto"/>
                      <w:kern w:val="0"/>
                      <w:sz w:val="21"/>
                      <w:szCs w:val="21"/>
                      <w:vertAlign w:val="subscript"/>
                      <w:lang w:val="pt-BR"/>
                    </w:rPr>
                    <w:t>3</w:t>
                  </w:r>
                </w:p>
              </w:tc>
              <w:tc>
                <w:tcPr>
                  <w:tcW w:w="1236" w:type="pct"/>
                  <w:vMerge w:val="continue"/>
                  <w:vAlign w:val="center"/>
                </w:tcPr>
                <w:p w14:paraId="579887C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17E9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11AF212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7BC8FF2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5FA5677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68DDA644">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4</w:t>
                  </w:r>
                </w:p>
              </w:tc>
              <w:tc>
                <w:tcPr>
                  <w:tcW w:w="994" w:type="pct"/>
                  <w:vAlign w:val="center"/>
                </w:tcPr>
                <w:p w14:paraId="5E59B46E">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sh</w:t>
                  </w:r>
                  <w:r>
                    <w:rPr>
                      <w:rFonts w:hint="default" w:ascii="Times New Roman" w:hAnsi="Times New Roman" w:eastAsia="宋体" w:cs="Times New Roman"/>
                      <w:bCs/>
                      <w:snapToGrid w:val="0"/>
                      <w:color w:val="auto"/>
                      <w:kern w:val="0"/>
                      <w:sz w:val="21"/>
                      <w:szCs w:val="21"/>
                      <w:vertAlign w:val="subscript"/>
                      <w:lang w:val="pt-BR"/>
                    </w:rPr>
                    <w:t>4</w:t>
                  </w:r>
                </w:p>
              </w:tc>
              <w:tc>
                <w:tcPr>
                  <w:tcW w:w="1236" w:type="pct"/>
                  <w:vMerge w:val="continue"/>
                  <w:vAlign w:val="center"/>
                </w:tcPr>
                <w:p w14:paraId="24DBC58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05E4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133F8B5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5E772CF2">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restart"/>
                  <w:vAlign w:val="center"/>
                </w:tcPr>
                <w:p w14:paraId="7DCD0888">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下石盒子组</w:t>
                  </w:r>
                </w:p>
              </w:tc>
              <w:tc>
                <w:tcPr>
                  <w:tcW w:w="722" w:type="pct"/>
                  <w:vAlign w:val="center"/>
                </w:tcPr>
                <w:p w14:paraId="47DCDE4C">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5</w:t>
                  </w:r>
                </w:p>
              </w:tc>
              <w:tc>
                <w:tcPr>
                  <w:tcW w:w="994" w:type="pct"/>
                  <w:vAlign w:val="center"/>
                </w:tcPr>
                <w:p w14:paraId="1A0B65F0">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x</w:t>
                  </w:r>
                  <w:r>
                    <w:rPr>
                      <w:rFonts w:hint="default" w:ascii="Times New Roman" w:hAnsi="Times New Roman" w:eastAsia="宋体" w:cs="Times New Roman"/>
                      <w:bCs/>
                      <w:snapToGrid w:val="0"/>
                      <w:color w:val="auto"/>
                      <w:kern w:val="0"/>
                      <w:sz w:val="21"/>
                      <w:szCs w:val="21"/>
                      <w:vertAlign w:val="subscript"/>
                      <w:lang w:val="pt-BR"/>
                    </w:rPr>
                    <w:t>5</w:t>
                  </w:r>
                </w:p>
              </w:tc>
              <w:tc>
                <w:tcPr>
                  <w:tcW w:w="1236" w:type="pct"/>
                  <w:vMerge w:val="restart"/>
                  <w:vAlign w:val="center"/>
                </w:tcPr>
                <w:p w14:paraId="70752D74">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河流－三角洲沉积</w:t>
                  </w:r>
                </w:p>
              </w:tc>
            </w:tr>
            <w:tr w14:paraId="3FDE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2CBAF679">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210332E7">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3B621480">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0B6E5054">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6</w:t>
                  </w:r>
                </w:p>
              </w:tc>
              <w:tc>
                <w:tcPr>
                  <w:tcW w:w="994" w:type="pct"/>
                  <w:vAlign w:val="center"/>
                </w:tcPr>
                <w:p w14:paraId="0B9861D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x</w:t>
                  </w:r>
                  <w:r>
                    <w:rPr>
                      <w:rFonts w:hint="default" w:ascii="Times New Roman" w:hAnsi="Times New Roman" w:eastAsia="宋体" w:cs="Times New Roman"/>
                      <w:bCs/>
                      <w:snapToGrid w:val="0"/>
                      <w:color w:val="auto"/>
                      <w:kern w:val="0"/>
                      <w:sz w:val="21"/>
                      <w:szCs w:val="21"/>
                      <w:vertAlign w:val="subscript"/>
                      <w:lang w:val="pt-BR"/>
                    </w:rPr>
                    <w:t>6</w:t>
                  </w:r>
                </w:p>
              </w:tc>
              <w:tc>
                <w:tcPr>
                  <w:tcW w:w="1236" w:type="pct"/>
                  <w:vMerge w:val="continue"/>
                  <w:vAlign w:val="center"/>
                </w:tcPr>
                <w:p w14:paraId="7DD34F72">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61A8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393D5A87">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25355509">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2DE300FE">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6F6E8E56">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7</w:t>
                  </w:r>
                </w:p>
              </w:tc>
              <w:tc>
                <w:tcPr>
                  <w:tcW w:w="994" w:type="pct"/>
                  <w:vAlign w:val="center"/>
                </w:tcPr>
                <w:p w14:paraId="4ED0AA7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x</w:t>
                  </w:r>
                  <w:r>
                    <w:rPr>
                      <w:rFonts w:hint="default" w:ascii="Times New Roman" w:hAnsi="Times New Roman" w:eastAsia="宋体" w:cs="Times New Roman"/>
                      <w:bCs/>
                      <w:snapToGrid w:val="0"/>
                      <w:color w:val="auto"/>
                      <w:kern w:val="0"/>
                      <w:sz w:val="21"/>
                      <w:szCs w:val="21"/>
                      <w:vertAlign w:val="subscript"/>
                      <w:lang w:val="pt-BR"/>
                    </w:rPr>
                    <w:t>7</w:t>
                  </w:r>
                </w:p>
              </w:tc>
              <w:tc>
                <w:tcPr>
                  <w:tcW w:w="1236" w:type="pct"/>
                  <w:vMerge w:val="continue"/>
                  <w:vAlign w:val="center"/>
                </w:tcPr>
                <w:p w14:paraId="32A7B295">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17DA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73F9AF78">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100715D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3CF440D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00356A62">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盒</w:t>
                  </w:r>
                  <w:r>
                    <w:rPr>
                      <w:rFonts w:hint="default" w:ascii="Times New Roman" w:hAnsi="Times New Roman" w:eastAsia="宋体" w:cs="Times New Roman"/>
                      <w:bCs/>
                      <w:snapToGrid w:val="0"/>
                      <w:color w:val="auto"/>
                      <w:kern w:val="0"/>
                      <w:sz w:val="21"/>
                      <w:szCs w:val="21"/>
                      <w:vertAlign w:val="subscript"/>
                      <w:lang w:val="pt-BR"/>
                    </w:rPr>
                    <w:t>8</w:t>
                  </w:r>
                </w:p>
              </w:tc>
              <w:tc>
                <w:tcPr>
                  <w:tcW w:w="994" w:type="pct"/>
                  <w:vAlign w:val="center"/>
                </w:tcPr>
                <w:p w14:paraId="6EB2E3BB">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x</w:t>
                  </w:r>
                  <w:r>
                    <w:rPr>
                      <w:rFonts w:hint="default" w:ascii="Times New Roman" w:hAnsi="Times New Roman" w:eastAsia="宋体" w:cs="Times New Roman"/>
                      <w:bCs/>
                      <w:snapToGrid w:val="0"/>
                      <w:color w:val="auto"/>
                      <w:kern w:val="0"/>
                      <w:sz w:val="21"/>
                      <w:szCs w:val="21"/>
                      <w:vertAlign w:val="subscript"/>
                      <w:lang w:val="pt-BR"/>
                    </w:rPr>
                    <w:t>8</w:t>
                  </w:r>
                </w:p>
              </w:tc>
              <w:tc>
                <w:tcPr>
                  <w:tcW w:w="1236" w:type="pct"/>
                  <w:vMerge w:val="continue"/>
                  <w:vAlign w:val="center"/>
                </w:tcPr>
                <w:p w14:paraId="2600993E">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0477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5D13232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restart"/>
                  <w:vAlign w:val="center"/>
                </w:tcPr>
                <w:p w14:paraId="7C52B1B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下统</w:t>
                  </w:r>
                </w:p>
              </w:tc>
              <w:tc>
                <w:tcPr>
                  <w:tcW w:w="720" w:type="pct"/>
                  <w:vMerge w:val="restart"/>
                  <w:vAlign w:val="center"/>
                </w:tcPr>
                <w:p w14:paraId="138E19A5">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山西组</w:t>
                  </w:r>
                </w:p>
              </w:tc>
              <w:tc>
                <w:tcPr>
                  <w:tcW w:w="722" w:type="pct"/>
                  <w:vAlign w:val="center"/>
                </w:tcPr>
                <w:p w14:paraId="625E23E6">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山</w:t>
                  </w:r>
                  <w:r>
                    <w:rPr>
                      <w:rFonts w:hint="default" w:ascii="Times New Roman" w:hAnsi="Times New Roman" w:eastAsia="宋体" w:cs="Times New Roman"/>
                      <w:bCs/>
                      <w:snapToGrid w:val="0"/>
                      <w:color w:val="auto"/>
                      <w:kern w:val="0"/>
                      <w:sz w:val="21"/>
                      <w:szCs w:val="21"/>
                      <w:vertAlign w:val="subscript"/>
                      <w:lang w:val="pt-BR"/>
                    </w:rPr>
                    <w:t>1</w:t>
                  </w:r>
                </w:p>
              </w:tc>
              <w:tc>
                <w:tcPr>
                  <w:tcW w:w="994" w:type="pct"/>
                  <w:vAlign w:val="center"/>
                </w:tcPr>
                <w:p w14:paraId="1A2ADAEC">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1</w:t>
                  </w:r>
                  <w:r>
                    <w:rPr>
                      <w:rFonts w:hint="default" w:ascii="Times New Roman" w:hAnsi="Times New Roman" w:eastAsia="宋体" w:cs="Times New Roman"/>
                      <w:bCs/>
                      <w:snapToGrid w:val="0"/>
                      <w:color w:val="auto"/>
                      <w:kern w:val="0"/>
                      <w:sz w:val="21"/>
                      <w:szCs w:val="21"/>
                      <w:lang w:val="pt-BR"/>
                    </w:rPr>
                    <w:t>s</w:t>
                  </w:r>
                  <w:r>
                    <w:rPr>
                      <w:rFonts w:hint="default" w:ascii="Times New Roman" w:hAnsi="Times New Roman" w:eastAsia="宋体" w:cs="Times New Roman"/>
                      <w:bCs/>
                      <w:snapToGrid w:val="0"/>
                      <w:color w:val="auto"/>
                      <w:kern w:val="0"/>
                      <w:sz w:val="21"/>
                      <w:szCs w:val="21"/>
                      <w:vertAlign w:val="subscript"/>
                      <w:lang w:val="pt-BR"/>
                    </w:rPr>
                    <w:t>1</w:t>
                  </w:r>
                </w:p>
              </w:tc>
              <w:tc>
                <w:tcPr>
                  <w:tcW w:w="1236" w:type="pct"/>
                  <w:vMerge w:val="restart"/>
                  <w:vAlign w:val="center"/>
                </w:tcPr>
                <w:p w14:paraId="670ACD6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河流－三角洲沉积</w:t>
                  </w:r>
                </w:p>
              </w:tc>
            </w:tr>
            <w:tr w14:paraId="69AB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12B56C97">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1F1930DF">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61C1346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2" w:type="pct"/>
                  <w:vAlign w:val="center"/>
                </w:tcPr>
                <w:p w14:paraId="7091E22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山</w:t>
                  </w:r>
                  <w:r>
                    <w:rPr>
                      <w:rFonts w:hint="default" w:ascii="Times New Roman" w:hAnsi="Times New Roman" w:eastAsia="宋体" w:cs="Times New Roman"/>
                      <w:bCs/>
                      <w:snapToGrid w:val="0"/>
                      <w:color w:val="auto"/>
                      <w:kern w:val="0"/>
                      <w:sz w:val="21"/>
                      <w:szCs w:val="21"/>
                      <w:vertAlign w:val="subscript"/>
                      <w:lang w:val="pt-BR"/>
                    </w:rPr>
                    <w:t>2</w:t>
                  </w:r>
                </w:p>
              </w:tc>
              <w:tc>
                <w:tcPr>
                  <w:tcW w:w="994" w:type="pct"/>
                  <w:vAlign w:val="center"/>
                </w:tcPr>
                <w:p w14:paraId="3D81AB84">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1</w:t>
                  </w:r>
                  <w:r>
                    <w:rPr>
                      <w:rFonts w:hint="default" w:ascii="Times New Roman" w:hAnsi="Times New Roman" w:eastAsia="宋体" w:cs="Times New Roman"/>
                      <w:bCs/>
                      <w:snapToGrid w:val="0"/>
                      <w:color w:val="auto"/>
                      <w:kern w:val="0"/>
                      <w:sz w:val="21"/>
                      <w:szCs w:val="21"/>
                      <w:lang w:val="pt-BR"/>
                    </w:rPr>
                    <w:t>s</w:t>
                  </w:r>
                  <w:r>
                    <w:rPr>
                      <w:rFonts w:hint="default" w:ascii="Times New Roman" w:hAnsi="Times New Roman" w:eastAsia="宋体" w:cs="Times New Roman"/>
                      <w:bCs/>
                      <w:snapToGrid w:val="0"/>
                      <w:color w:val="auto"/>
                      <w:kern w:val="0"/>
                      <w:sz w:val="21"/>
                      <w:szCs w:val="21"/>
                      <w:vertAlign w:val="subscript"/>
                      <w:lang w:val="pt-BR"/>
                    </w:rPr>
                    <w:t>2</w:t>
                  </w:r>
                </w:p>
              </w:tc>
              <w:tc>
                <w:tcPr>
                  <w:tcW w:w="1236" w:type="pct"/>
                  <w:vMerge w:val="continue"/>
                  <w:vAlign w:val="center"/>
                </w:tcPr>
                <w:p w14:paraId="284FC1F0">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r>
            <w:tr w14:paraId="4F4F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Merge w:val="continue"/>
                  <w:vAlign w:val="center"/>
                </w:tcPr>
                <w:p w14:paraId="35BE2CA1">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Merge w:val="continue"/>
                  <w:vAlign w:val="center"/>
                </w:tcPr>
                <w:p w14:paraId="73857F2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p>
              </w:tc>
              <w:tc>
                <w:tcPr>
                  <w:tcW w:w="720" w:type="pct"/>
                  <w:vAlign w:val="center"/>
                </w:tcPr>
                <w:p w14:paraId="2881EE6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太原组</w:t>
                  </w:r>
                </w:p>
              </w:tc>
              <w:tc>
                <w:tcPr>
                  <w:tcW w:w="722" w:type="pct"/>
                  <w:vAlign w:val="center"/>
                </w:tcPr>
                <w:p w14:paraId="5596946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w:t>
                  </w:r>
                </w:p>
              </w:tc>
              <w:tc>
                <w:tcPr>
                  <w:tcW w:w="994" w:type="pct"/>
                  <w:vAlign w:val="center"/>
                </w:tcPr>
                <w:p w14:paraId="4D10EF62">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P</w:t>
                  </w:r>
                  <w:r>
                    <w:rPr>
                      <w:rFonts w:hint="default" w:ascii="Times New Roman" w:hAnsi="Times New Roman" w:eastAsia="宋体" w:cs="Times New Roman"/>
                      <w:bCs/>
                      <w:snapToGrid w:val="0"/>
                      <w:color w:val="auto"/>
                      <w:kern w:val="0"/>
                      <w:sz w:val="21"/>
                      <w:szCs w:val="21"/>
                      <w:vertAlign w:val="subscript"/>
                      <w:lang w:val="pt-BR"/>
                    </w:rPr>
                    <w:t>1</w:t>
                  </w:r>
                  <w:r>
                    <w:rPr>
                      <w:rFonts w:hint="default" w:ascii="Times New Roman" w:hAnsi="Times New Roman" w:eastAsia="宋体" w:cs="Times New Roman"/>
                      <w:bCs/>
                      <w:snapToGrid w:val="0"/>
                      <w:color w:val="auto"/>
                      <w:kern w:val="0"/>
                      <w:sz w:val="21"/>
                      <w:szCs w:val="21"/>
                      <w:lang w:val="pt-BR"/>
                    </w:rPr>
                    <w:t>t</w:t>
                  </w:r>
                </w:p>
              </w:tc>
              <w:tc>
                <w:tcPr>
                  <w:tcW w:w="1236" w:type="pct"/>
                  <w:vAlign w:val="center"/>
                </w:tcPr>
                <w:p w14:paraId="4A2BA653">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三角洲平原</w:t>
                  </w:r>
                </w:p>
              </w:tc>
            </w:tr>
            <w:tr w14:paraId="5A40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8" w:type="pct"/>
                  <w:vAlign w:val="center"/>
                </w:tcPr>
                <w:p w14:paraId="71AF8585">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石炭系</w:t>
                  </w:r>
                </w:p>
              </w:tc>
              <w:tc>
                <w:tcPr>
                  <w:tcW w:w="720" w:type="pct"/>
                  <w:vAlign w:val="center"/>
                </w:tcPr>
                <w:p w14:paraId="4FB0886A">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上统</w:t>
                  </w:r>
                </w:p>
              </w:tc>
              <w:tc>
                <w:tcPr>
                  <w:tcW w:w="720" w:type="pct"/>
                  <w:vAlign w:val="center"/>
                </w:tcPr>
                <w:p w14:paraId="5651CB9D">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本溪组</w:t>
                  </w:r>
                </w:p>
              </w:tc>
              <w:tc>
                <w:tcPr>
                  <w:tcW w:w="722" w:type="pct"/>
                  <w:vAlign w:val="center"/>
                </w:tcPr>
                <w:p w14:paraId="03D1F618">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w:t>
                  </w:r>
                </w:p>
              </w:tc>
              <w:tc>
                <w:tcPr>
                  <w:tcW w:w="994" w:type="pct"/>
                  <w:vAlign w:val="center"/>
                </w:tcPr>
                <w:p w14:paraId="6421704B">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C</w:t>
                  </w:r>
                  <w:r>
                    <w:rPr>
                      <w:rFonts w:hint="default" w:ascii="Times New Roman" w:hAnsi="Times New Roman" w:eastAsia="宋体" w:cs="Times New Roman"/>
                      <w:bCs/>
                      <w:snapToGrid w:val="0"/>
                      <w:color w:val="auto"/>
                      <w:kern w:val="0"/>
                      <w:sz w:val="21"/>
                      <w:szCs w:val="21"/>
                      <w:vertAlign w:val="subscript"/>
                      <w:lang w:val="pt-BR"/>
                    </w:rPr>
                    <w:t>2</w:t>
                  </w:r>
                  <w:r>
                    <w:rPr>
                      <w:rFonts w:hint="default" w:ascii="Times New Roman" w:hAnsi="Times New Roman" w:eastAsia="宋体" w:cs="Times New Roman"/>
                      <w:bCs/>
                      <w:snapToGrid w:val="0"/>
                      <w:color w:val="auto"/>
                      <w:kern w:val="0"/>
                      <w:sz w:val="21"/>
                      <w:szCs w:val="21"/>
                      <w:lang w:val="pt-BR"/>
                    </w:rPr>
                    <w:t>b</w:t>
                  </w:r>
                </w:p>
              </w:tc>
              <w:tc>
                <w:tcPr>
                  <w:tcW w:w="1236" w:type="pct"/>
                  <w:vAlign w:val="center"/>
                </w:tcPr>
                <w:p w14:paraId="3A698828">
                  <w:pPr>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lang w:val="pt-BR"/>
                    </w:rPr>
                  </w:pPr>
                  <w:r>
                    <w:rPr>
                      <w:rFonts w:hint="default" w:ascii="Times New Roman" w:hAnsi="Times New Roman" w:eastAsia="宋体" w:cs="Times New Roman"/>
                      <w:bCs/>
                      <w:snapToGrid w:val="0"/>
                      <w:color w:val="auto"/>
                      <w:kern w:val="0"/>
                      <w:sz w:val="21"/>
                      <w:szCs w:val="21"/>
                      <w:lang w:val="pt-BR"/>
                    </w:rPr>
                    <w:t>障壁岛－泻湖</w:t>
                  </w:r>
                </w:p>
              </w:tc>
            </w:tr>
          </w:tbl>
          <w:p w14:paraId="7F8456A2">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sz w:val="24"/>
                <w:szCs w:val="24"/>
              </w:rPr>
              <w:t>根据建设单位提供资料，本次天然气探井不在第二采气厂2024年陕西区域新建及扩建天然气井场部署计划内，属于加密勘探新层位。</w:t>
            </w:r>
            <w:r>
              <w:rPr>
                <w:rFonts w:hint="default" w:ascii="Times New Roman" w:hAnsi="Times New Roman" w:cs="Times New Roman"/>
                <w:color w:val="auto"/>
                <w:sz w:val="24"/>
                <w:highlight w:val="none"/>
                <w:lang w:val="en-US" w:eastAsia="zh-CN"/>
              </w:rPr>
              <w:t>本次在佳县王家砭镇张家沟村新建1口气井</w:t>
            </w:r>
            <w:r>
              <w:rPr>
                <w:rFonts w:hint="default" w:ascii="Times New Roman" w:hAnsi="Times New Roman" w:eastAsia="宋体" w:cs="Times New Roman"/>
                <w:b w:val="0"/>
                <w:color w:val="auto"/>
                <w:sz w:val="24"/>
                <w:szCs w:val="24"/>
                <w:highlight w:val="none"/>
                <w:lang w:val="en-US" w:eastAsia="zh-CN"/>
              </w:rPr>
              <w:t>旨在现有气田区域内</w:t>
            </w:r>
            <w:r>
              <w:rPr>
                <w:rFonts w:hint="default" w:ascii="Times New Roman" w:hAnsi="Times New Roman" w:eastAsia="宋体" w:cs="Times New Roman"/>
                <w:color w:val="auto"/>
                <w:sz w:val="24"/>
                <w:highlight w:val="none"/>
              </w:rPr>
              <w:t>寻找新的适合开发的</w:t>
            </w:r>
            <w:r>
              <w:rPr>
                <w:rFonts w:hint="default"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为气田后续产能建设提供决策依据，</w:t>
            </w:r>
            <w:r>
              <w:rPr>
                <w:rFonts w:hint="default" w:ascii="Times New Roman" w:hAnsi="Times New Roman" w:eastAsia="宋体" w:cs="Times New Roman"/>
                <w:color w:val="auto"/>
                <w:sz w:val="24"/>
                <w:szCs w:val="24"/>
              </w:rPr>
              <w:t>新层位未确定产能</w:t>
            </w:r>
            <w:r>
              <w:rPr>
                <w:rFonts w:hint="default" w:ascii="Times New Roman" w:hAnsi="Times New Roman" w:eastAsia="宋体" w:cs="Times New Roman"/>
                <w:b w:val="0"/>
                <w:bCs w:val="0"/>
                <w:color w:val="auto"/>
                <w:sz w:val="24"/>
                <w:szCs w:val="24"/>
                <w:highlight w:val="none"/>
                <w:vertAlign w:val="baseline"/>
                <w:lang w:val="en-US" w:eastAsia="zh-CN"/>
              </w:rPr>
              <w:t>。</w:t>
            </w:r>
          </w:p>
          <w:p w14:paraId="5601CF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rPr>
              <w:t>根据现场踏勘，目前项目未动工，正在办理前期手续。</w:t>
            </w:r>
            <w:r>
              <w:rPr>
                <w:rFonts w:hint="default" w:ascii="Times New Roman" w:hAnsi="Times New Roman" w:eastAsia="宋体" w:cs="Times New Roman"/>
                <w:b w:val="0"/>
                <w:bCs w:val="0"/>
                <w:color w:val="auto"/>
                <w:sz w:val="24"/>
                <w:szCs w:val="24"/>
                <w:vertAlign w:val="baseline"/>
                <w:lang w:val="en-US" w:eastAsia="zh-CN"/>
              </w:rPr>
              <w:t>若测试具有工业产能，另行履行相关产能环保手续后期交由区块所属中国石油天然气股份有限公司长庆油田分公司第二采气厂进行井场建设。</w:t>
            </w:r>
          </w:p>
          <w:p w14:paraId="735C63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二、项目建设内容及规模</w:t>
            </w:r>
          </w:p>
          <w:p w14:paraId="0A4644B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本项目新建天然气评价井1口，井型为直井，设计完钻井深米107-2M井为2750m，目的层为石炭系上统本溪组。井场按照《钻前工程及井场布置技术要求》（SY/T5466-2013）进行设计建设。</w:t>
            </w:r>
          </w:p>
          <w:p w14:paraId="59B93A3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内容包括钻前工程（建设内容主要为新建进场道路、井场修建和平整、修建设备基础、泥浆罐、污水罐、临时办公生活区等）、钻井工程（建设内容主要为钻井、测井、录井、固井等）、完井测试（主要包括完井作业和油气测试，洗井、射孔、压裂、试气等）及封井作业。项目测井方式为电测井，不涉及放射性源的使用。</w:t>
            </w:r>
          </w:p>
          <w:p w14:paraId="3081E2B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本次评价仅对勘探过程中对环境的影响进行分析，不包括天然气开采、采气生产站外管道建设评价。</w:t>
            </w:r>
          </w:p>
          <w:p w14:paraId="2AF2FF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项目组成及建设内容一览表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36"/>
              <w:gridCol w:w="1086"/>
              <w:gridCol w:w="6178"/>
            </w:tblGrid>
            <w:tr w14:paraId="4FC9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5301D1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1522" w:type="dxa"/>
                  <w:gridSpan w:val="2"/>
                  <w:vAlign w:val="center"/>
                </w:tcPr>
                <w:p w14:paraId="0E1C4F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6178" w:type="dxa"/>
                  <w:vAlign w:val="center"/>
                </w:tcPr>
                <w:p w14:paraId="6E0C7A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工程内容</w:t>
                  </w:r>
                </w:p>
              </w:tc>
            </w:tr>
            <w:tr w14:paraId="4154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46E3C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主体工程</w:t>
                  </w:r>
                </w:p>
              </w:tc>
              <w:tc>
                <w:tcPr>
                  <w:tcW w:w="436" w:type="dxa"/>
                  <w:vMerge w:val="restart"/>
                  <w:vAlign w:val="center"/>
                </w:tcPr>
                <w:p w14:paraId="4EF717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w:t>
                  </w:r>
                </w:p>
              </w:tc>
              <w:tc>
                <w:tcPr>
                  <w:tcW w:w="1086" w:type="dxa"/>
                  <w:vAlign w:val="center"/>
                </w:tcPr>
                <w:p w14:paraId="4B0CA4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w:t>
                  </w:r>
                </w:p>
              </w:tc>
              <w:tc>
                <w:tcPr>
                  <w:tcW w:w="6178" w:type="dxa"/>
                  <w:vAlign w:val="center"/>
                </w:tcPr>
                <w:p w14:paraId="523466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包括机房、钻台、井口，主要进行钻井活动及完井测试，采用常规钻井工艺，钻井为直井，米107-2M井钻井身为2750m，主要进行探勘天然气储藏情况。钻井过程包括下套管和固井等作业，当钻至目的层后完井测试。主要布置钻机、井架、底座、天车、绞车、游动滑车等钻井设备，以及钻井控制系统、井控制装置。</w:t>
                  </w:r>
                </w:p>
              </w:tc>
            </w:tr>
            <w:tr w14:paraId="452A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F7A0E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F4495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31019DE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w:t>
                  </w:r>
                </w:p>
              </w:tc>
              <w:tc>
                <w:tcPr>
                  <w:tcW w:w="6178" w:type="dxa"/>
                  <w:vAlign w:val="center"/>
                </w:tcPr>
                <w:p w14:paraId="37110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泥浆循环系统紧邻钻井区，主要包括钻井液振动筛、真空除气器、除砂除泥一体机、液气分离器、搅拌器、砂浆、泥浆罐</w:t>
                  </w:r>
                  <w:r>
                    <w:rPr>
                      <w:rFonts w:hint="default" w:ascii="Times New Roman" w:hAnsi="Times New Roman" w:eastAsia="宋体" w:cs="Times New Roman"/>
                      <w:b w:val="0"/>
                      <w:bCs w:val="0"/>
                      <w:color w:val="auto"/>
                      <w:sz w:val="21"/>
                      <w:szCs w:val="21"/>
                      <w:vertAlign w:val="baseline"/>
                      <w:lang w:val="en-US" w:eastAsia="zh-CN"/>
                    </w:rPr>
                    <w:t>（7个50m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泥浆循环罐）</w:t>
                  </w:r>
                  <w:r>
                    <w:rPr>
                      <w:rFonts w:hint="default" w:ascii="Times New Roman" w:hAnsi="Times New Roman" w:eastAsia="宋体" w:cs="Times New Roman"/>
                      <w:b w:val="0"/>
                      <w:bCs w:val="0"/>
                      <w:color w:val="auto"/>
                      <w:sz w:val="21"/>
                      <w:szCs w:val="21"/>
                      <w:vertAlign w:val="baseline"/>
                      <w:lang w:val="en-US" w:eastAsia="zh-CN"/>
                    </w:rPr>
                    <w:t>、岩屑罐</w:t>
                  </w:r>
                  <w:r>
                    <w:rPr>
                      <w:rFonts w:hint="default" w:ascii="Times New Roman" w:hAnsi="Times New Roman" w:eastAsia="宋体" w:cs="Times New Roman"/>
                      <w:b w:val="0"/>
                      <w:bCs w:val="0"/>
                      <w:color w:val="auto"/>
                      <w:sz w:val="21"/>
                      <w:szCs w:val="21"/>
                      <w:vertAlign w:val="baseline"/>
                      <w:lang w:val="en-US" w:eastAsia="zh-CN"/>
                    </w:rPr>
                    <w:t>（3个100m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移动式泥饼及岩屑收集罐）</w:t>
                  </w:r>
                  <w:r>
                    <w:rPr>
                      <w:rFonts w:hint="default" w:ascii="Times New Roman" w:hAnsi="Times New Roman" w:eastAsia="宋体" w:cs="Times New Roman"/>
                      <w:b w:val="0"/>
                      <w:bCs w:val="0"/>
                      <w:color w:val="auto"/>
                      <w:sz w:val="21"/>
                      <w:szCs w:val="21"/>
                      <w:vertAlign w:val="baseline"/>
                      <w:lang w:val="en-US" w:eastAsia="zh-CN"/>
                    </w:rPr>
                    <w:t>等，通过泥浆循环系统实现泥浆与岩屑的分离，本项目为水基钻井泥浆。</w:t>
                  </w:r>
                </w:p>
              </w:tc>
            </w:tr>
            <w:tr w14:paraId="3DFC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B9D7C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7832A0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118C64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放喷池</w:t>
                  </w:r>
                </w:p>
              </w:tc>
              <w:tc>
                <w:tcPr>
                  <w:tcW w:w="6178" w:type="dxa"/>
                  <w:vAlign w:val="center"/>
                </w:tcPr>
                <w:p w14:paraId="721B28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井场设置</w:t>
                  </w:r>
                  <w:r>
                    <w:rPr>
                      <w:rFonts w:hint="default" w:ascii="Times New Roman" w:hAnsi="Times New Roman" w:eastAsia="宋体" w:cs="Times New Roman"/>
                      <w:color w:val="auto"/>
                      <w:sz w:val="21"/>
                      <w:szCs w:val="21"/>
                      <w:highlight w:val="none"/>
                      <w:lang w:eastAsia="zh-CN"/>
                    </w:rPr>
                    <w:t>放喷池</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座，容积为10</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天然气</w:t>
                  </w:r>
                  <w:r>
                    <w:rPr>
                      <w:rFonts w:hint="default" w:ascii="Times New Roman" w:hAnsi="Times New Roman" w:eastAsia="宋体" w:cs="Times New Roman"/>
                      <w:b w:val="0"/>
                      <w:bCs w:val="0"/>
                      <w:color w:val="auto"/>
                      <w:sz w:val="21"/>
                      <w:szCs w:val="21"/>
                      <w:vertAlign w:val="baseline"/>
                      <w:lang w:val="en-US" w:eastAsia="zh-CN"/>
                    </w:rPr>
                    <w:t>经管线引至放散管后点火放喷，放喷口设置，放喷池井场内下风向，放喷口安装防喷器和控制装置；井下安装压力传感装置和事故报警器；组织员工应急培训、应急演练、设置井口防喷器组、点火装置（距离地面高度约为0.5m）、放喷管线、灭火器、铁锹及沙袋、临时土围堰。</w:t>
                  </w:r>
                </w:p>
              </w:tc>
            </w:tr>
            <w:tr w14:paraId="4D44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566E3E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1522" w:type="dxa"/>
                  <w:gridSpan w:val="2"/>
                  <w:vAlign w:val="center"/>
                </w:tcPr>
                <w:p w14:paraId="2A090A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井口基础</w:t>
                  </w:r>
                </w:p>
              </w:tc>
              <w:tc>
                <w:tcPr>
                  <w:tcW w:w="6178" w:type="dxa"/>
                  <w:vAlign w:val="center"/>
                </w:tcPr>
                <w:p w14:paraId="3AA454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加固井口，方便其他配套设施安装。</w:t>
                  </w:r>
                </w:p>
              </w:tc>
            </w:tr>
            <w:tr w14:paraId="6822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13DE1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45E1AC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生活区</w:t>
                  </w:r>
                </w:p>
              </w:tc>
              <w:tc>
                <w:tcPr>
                  <w:tcW w:w="6178" w:type="dxa"/>
                  <w:vAlign w:val="center"/>
                </w:tcPr>
                <w:p w14:paraId="272DEB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米107-2M井场生活区位于井场北侧，占地面积875m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w:t>
                  </w:r>
                </w:p>
              </w:tc>
            </w:tr>
            <w:tr w14:paraId="4F60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525C5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1781F9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临时进场道路</w:t>
                  </w:r>
                </w:p>
              </w:tc>
              <w:tc>
                <w:tcPr>
                  <w:tcW w:w="6178" w:type="dxa"/>
                  <w:vAlign w:val="center"/>
                </w:tcPr>
                <w:p w14:paraId="09BD05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米107-2M井场新建进场道路</w:t>
                  </w:r>
                  <w:r>
                    <w:rPr>
                      <w:rFonts w:hint="default" w:ascii="Times New Roman" w:hAnsi="Times New Roman" w:eastAsia="宋体" w:cs="Times New Roman"/>
                      <w:b w:val="0"/>
                      <w:bCs w:val="0"/>
                      <w:color w:val="auto"/>
                      <w:sz w:val="21"/>
                      <w:szCs w:val="21"/>
                      <w:highlight w:val="none"/>
                      <w:vertAlign w:val="baseline"/>
                      <w:lang w:val="en-US" w:eastAsia="zh-CN"/>
                    </w:rPr>
                    <w:t>218米</w:t>
                  </w:r>
                  <w:r>
                    <w:rPr>
                      <w:rFonts w:hint="default" w:ascii="Times New Roman" w:hAnsi="Times New Roman" w:eastAsia="宋体" w:cs="Times New Roman"/>
                      <w:b w:val="0"/>
                      <w:bCs w:val="0"/>
                      <w:color w:val="auto"/>
                      <w:sz w:val="21"/>
                      <w:szCs w:val="21"/>
                      <w:vertAlign w:val="baseline"/>
                      <w:lang w:val="en-US" w:eastAsia="zh-CN"/>
                    </w:rPr>
                    <w:t>，宽度4米，砂石路面。</w:t>
                  </w:r>
                </w:p>
              </w:tc>
            </w:tr>
            <w:tr w14:paraId="45F2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C7A0A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76505BE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临时堆场</w:t>
                  </w:r>
                </w:p>
              </w:tc>
              <w:tc>
                <w:tcPr>
                  <w:tcW w:w="6178" w:type="dxa"/>
                  <w:vAlign w:val="center"/>
                </w:tcPr>
                <w:p w14:paraId="491A4DFE">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项目占地范围内米107-2M井场内设置1座表土堆场，面积约</w:t>
                  </w:r>
                  <w:r>
                    <w:rPr>
                      <w:rFonts w:hint="eastAsia" w:ascii="Times New Roman" w:hAnsi="Times New Roman" w:cs="Times New Roman"/>
                      <w:color w:val="auto"/>
                      <w:sz w:val="21"/>
                      <w:szCs w:val="21"/>
                      <w:lang w:val="en-US" w:eastAsia="zh-CN"/>
                    </w:rPr>
                    <w:t>1400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，1座其他土石方堆场，面积约2</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；均位于井场内。</w:t>
                  </w:r>
                </w:p>
              </w:tc>
            </w:tr>
            <w:tr w14:paraId="2D88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1B10D7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4C61011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物料区</w:t>
                  </w:r>
                </w:p>
              </w:tc>
              <w:tc>
                <w:tcPr>
                  <w:tcW w:w="6178" w:type="dxa"/>
                  <w:shd w:val="clear" w:color="auto" w:fill="auto"/>
                  <w:vAlign w:val="center"/>
                </w:tcPr>
                <w:p w14:paraId="563891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单井场物料区占地面积600m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cs="Times New Roman"/>
                      <w:color w:val="auto"/>
                      <w:sz w:val="21"/>
                      <w:szCs w:val="21"/>
                      <w:lang w:val="en-US" w:eastAsia="zh-CN"/>
                    </w:rPr>
                    <w:t>主要设有综合房、修理房、发电机房、井控房、临时停车场等，按照简单防渗要求进行防渗。材料房、临时环保厕所按一般防渗区要求进行防渗。钻井液材料房，存放探头等钻井生产工具，按照重点防渗区要求进行防渗处理。</w:t>
                  </w:r>
                </w:p>
              </w:tc>
            </w:tr>
            <w:tr w14:paraId="7DC4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43E89E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储运工程</w:t>
                  </w:r>
                </w:p>
              </w:tc>
              <w:tc>
                <w:tcPr>
                  <w:tcW w:w="1522" w:type="dxa"/>
                  <w:gridSpan w:val="2"/>
                  <w:vAlign w:val="center"/>
                </w:tcPr>
                <w:p w14:paraId="2AF63C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储罐</w:t>
                  </w:r>
                </w:p>
              </w:tc>
              <w:tc>
                <w:tcPr>
                  <w:tcW w:w="6178" w:type="dxa"/>
                  <w:vAlign w:val="center"/>
                </w:tcPr>
                <w:p w14:paraId="1990C2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井场设置1个75m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洗井废水罐、3个75m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压裂返排液罐、1个10.6m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放喷废液收集罐，储罐区按照重点防渗区要求进行防渗处理。</w:t>
                  </w:r>
                </w:p>
              </w:tc>
            </w:tr>
            <w:tr w14:paraId="0B3D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5D8297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公用工程</w:t>
                  </w:r>
                </w:p>
              </w:tc>
              <w:tc>
                <w:tcPr>
                  <w:tcW w:w="1522" w:type="dxa"/>
                  <w:gridSpan w:val="2"/>
                  <w:vAlign w:val="center"/>
                </w:tcPr>
                <w:p w14:paraId="1E8348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供水</w:t>
                  </w:r>
                </w:p>
              </w:tc>
              <w:tc>
                <w:tcPr>
                  <w:tcW w:w="6178" w:type="dxa"/>
                  <w:vAlign w:val="center"/>
                </w:tcPr>
                <w:p w14:paraId="1AF20E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生产用水采用水罐车拉运至井场，生活用水采用桶装水。</w:t>
                  </w:r>
                </w:p>
              </w:tc>
            </w:tr>
            <w:tr w14:paraId="5CF9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F1B1B4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441FA1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供电</w:t>
                  </w:r>
                </w:p>
              </w:tc>
              <w:tc>
                <w:tcPr>
                  <w:tcW w:w="6178" w:type="dxa"/>
                  <w:vAlign w:val="center"/>
                </w:tcPr>
                <w:p w14:paraId="1E6F08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市政供电。</w:t>
                  </w:r>
                </w:p>
              </w:tc>
            </w:tr>
            <w:tr w14:paraId="148E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5399FA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restart"/>
                  <w:vAlign w:val="center"/>
                </w:tcPr>
                <w:p w14:paraId="17C67D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排水</w:t>
                  </w:r>
                </w:p>
              </w:tc>
              <w:tc>
                <w:tcPr>
                  <w:tcW w:w="1086" w:type="dxa"/>
                  <w:vAlign w:val="center"/>
                </w:tcPr>
                <w:p w14:paraId="239C53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78" w:type="dxa"/>
                  <w:vAlign w:val="center"/>
                </w:tcPr>
                <w:p w14:paraId="0A47B197">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施工期生活污水均排入卫生旱厕，定期清掏用作农肥。</w:t>
                  </w:r>
                </w:p>
              </w:tc>
            </w:tr>
            <w:tr w14:paraId="673D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vAlign w:val="center"/>
                </w:tcPr>
                <w:p w14:paraId="70C1A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36" w:type="dxa"/>
                  <w:vMerge w:val="continue"/>
                  <w:vAlign w:val="center"/>
                </w:tcPr>
                <w:p w14:paraId="2F614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086" w:type="dxa"/>
                  <w:vAlign w:val="center"/>
                </w:tcPr>
                <w:p w14:paraId="0353E6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78" w:type="dxa"/>
                  <w:vAlign w:val="center"/>
                </w:tcPr>
                <w:p w14:paraId="1FD360E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钻井废水经泥浆水循环系统处理</w:t>
                  </w:r>
                  <w:r>
                    <w:rPr>
                      <w:rFonts w:hint="default" w:ascii="Times New Roman" w:hAnsi="Times New Roman" w:cs="Times New Roman"/>
                      <w:color w:val="auto"/>
                      <w:sz w:val="21"/>
                      <w:szCs w:val="21"/>
                      <w:lang w:val="en-US" w:eastAsia="zh-CN"/>
                    </w:rPr>
                    <w:t>，委托陕西榆佳环保科技有限公司外运处理。</w:t>
                  </w:r>
                </w:p>
              </w:tc>
            </w:tr>
            <w:tr w14:paraId="3EE7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4EDC9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052F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3FD463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78" w:type="dxa"/>
                  <w:vAlign w:val="center"/>
                </w:tcPr>
                <w:p w14:paraId="0659174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洗井废水临时暂存于洗井废水罐，</w:t>
                  </w:r>
                  <w:r>
                    <w:rPr>
                      <w:rFonts w:hint="default" w:ascii="Times New Roman" w:hAnsi="Times New Roman" w:cs="Times New Roman"/>
                      <w:color w:val="auto"/>
                      <w:sz w:val="21"/>
                      <w:szCs w:val="21"/>
                      <w:lang w:val="en-US" w:eastAsia="zh-CN"/>
                    </w:rPr>
                    <w:t>委托陕西榆佳环保科技有限公司外运处理。</w:t>
                  </w:r>
                </w:p>
              </w:tc>
            </w:tr>
            <w:tr w14:paraId="52F4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05BB72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20F48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15EBF6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78" w:type="dxa"/>
                  <w:vAlign w:val="center"/>
                </w:tcPr>
                <w:p w14:paraId="506E7BB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临时收集贮存于专用收集罐，</w:t>
                  </w:r>
                  <w:r>
                    <w:rPr>
                      <w:rFonts w:hint="default" w:ascii="Times New Roman" w:hAnsi="Times New Roman" w:cs="Times New Roman"/>
                      <w:color w:val="auto"/>
                      <w:sz w:val="21"/>
                      <w:szCs w:val="21"/>
                      <w:lang w:val="en-US" w:eastAsia="zh-CN"/>
                    </w:rPr>
                    <w:t>委托陕西榆佳环保科技有限公司外运处理。</w:t>
                  </w:r>
                </w:p>
              </w:tc>
            </w:tr>
            <w:tr w14:paraId="146B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378EBF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436" w:type="dxa"/>
                  <w:vMerge w:val="restart"/>
                  <w:vAlign w:val="center"/>
                </w:tcPr>
                <w:p w14:paraId="03A9A9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1086" w:type="dxa"/>
                  <w:vAlign w:val="center"/>
                </w:tcPr>
                <w:p w14:paraId="01F5E1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施工扬尘</w:t>
                  </w:r>
                </w:p>
              </w:tc>
              <w:tc>
                <w:tcPr>
                  <w:tcW w:w="6178" w:type="dxa"/>
                  <w:vAlign w:val="center"/>
                </w:tcPr>
                <w:p w14:paraId="5FD16B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井场设置施工围挡，洒水抑尘，表土及建材堆放设置挡板并采用篷布遮盖，施工运输车辆采用密闭措施。</w:t>
                  </w:r>
                </w:p>
              </w:tc>
            </w:tr>
            <w:tr w14:paraId="5F8E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vMerge w:val="continue"/>
                  <w:vAlign w:val="center"/>
                </w:tcPr>
                <w:p w14:paraId="1E3A9D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6A748F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1C52A6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测试废气</w:t>
                  </w:r>
                </w:p>
              </w:tc>
              <w:tc>
                <w:tcPr>
                  <w:tcW w:w="6178" w:type="dxa"/>
                  <w:vAlign w:val="center"/>
                </w:tcPr>
                <w:p w14:paraId="21CFFF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井场设置放喷池1座，测试放喷及事故放喷的天然气经专用放喷管线引至放喷池后，燃烧排放。</w:t>
                  </w:r>
                </w:p>
              </w:tc>
            </w:tr>
            <w:tr w14:paraId="62E6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E47EA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restart"/>
                  <w:vAlign w:val="center"/>
                </w:tcPr>
                <w:p w14:paraId="50F562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1086" w:type="dxa"/>
                  <w:vAlign w:val="center"/>
                </w:tcPr>
                <w:p w14:paraId="1B7869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78" w:type="dxa"/>
                  <w:vAlign w:val="center"/>
                </w:tcPr>
                <w:p w14:paraId="3A3BB9BD">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钻井废水经泥浆水循环系统处理后优先作为钻井液配水回用，钻井结束后，不能回用的钻井废水委托陕西榆佳环保科技有限公司外运处理。</w:t>
                  </w:r>
                </w:p>
              </w:tc>
            </w:tr>
            <w:tr w14:paraId="6683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EF0BD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3F9EE8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148471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78" w:type="dxa"/>
                  <w:vAlign w:val="center"/>
                </w:tcPr>
                <w:p w14:paraId="49D10AD0">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井场设有1个75m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洗井废水储罐，施工产生的洗井废水临时收集贮存于洗井废水储罐中，委托陕西榆佳环保科技有限公司外运处理。</w:t>
                  </w:r>
                </w:p>
              </w:tc>
            </w:tr>
            <w:tr w14:paraId="6CE5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90" w:type="dxa"/>
                  <w:vMerge w:val="continue"/>
                  <w:vAlign w:val="center"/>
                </w:tcPr>
                <w:p w14:paraId="1EC1D0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678BE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0CC998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78" w:type="dxa"/>
                  <w:vAlign w:val="center"/>
                </w:tcPr>
                <w:p w14:paraId="1448AEFD">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井场设有3个75m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压裂返排液储罐，施工产生的压裂返排液临时收集贮存于压裂返排液储罐中，委托陕西榆佳环保科技有限公司外运处理。</w:t>
                  </w:r>
                </w:p>
              </w:tc>
            </w:tr>
            <w:tr w14:paraId="5C44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F2FD2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5583D2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18A5CD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放喷废水</w:t>
                  </w:r>
                </w:p>
              </w:tc>
              <w:tc>
                <w:tcPr>
                  <w:tcW w:w="6178" w:type="dxa"/>
                  <w:vAlign w:val="center"/>
                </w:tcPr>
                <w:p w14:paraId="6EB53299">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收集至井场内放喷池暂存，</w:t>
                  </w:r>
                  <w:r>
                    <w:rPr>
                      <w:rFonts w:hint="default" w:ascii="Times New Roman" w:hAnsi="Times New Roman" w:cs="Times New Roman"/>
                      <w:color w:val="auto"/>
                      <w:sz w:val="21"/>
                      <w:szCs w:val="21"/>
                      <w:lang w:val="en-US" w:eastAsia="zh-CN"/>
                    </w:rPr>
                    <w:t>委托陕西榆佳环保科技有限公司外运处理。</w:t>
                  </w:r>
                </w:p>
              </w:tc>
            </w:tr>
            <w:tr w14:paraId="5793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AEAAA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5173C0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1B7946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78" w:type="dxa"/>
                  <w:vAlign w:val="center"/>
                </w:tcPr>
                <w:p w14:paraId="41D5A220">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由卫生旱厕收集后由用于周边农田施肥。</w:t>
                  </w:r>
                </w:p>
              </w:tc>
            </w:tr>
            <w:tr w14:paraId="55C4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90" w:type="dxa"/>
                  <w:vMerge w:val="continue"/>
                  <w:vAlign w:val="center"/>
                </w:tcPr>
                <w:p w14:paraId="6894BA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22776B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w:t>
                  </w:r>
                </w:p>
              </w:tc>
              <w:tc>
                <w:tcPr>
                  <w:tcW w:w="6178" w:type="dxa"/>
                  <w:vAlign w:val="center"/>
                </w:tcPr>
                <w:p w14:paraId="59FE160C">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重点防渗区：钻井工作区、泥浆不落地系统区、钻井液材料房、储罐区、放喷池。防渗层的防渗性能不应低于6.0m厚渗透系数为1.0×10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vertAlign w:val="baseline"/>
                      <w:lang w:val="en-US" w:eastAsia="zh-CN"/>
                    </w:rPr>
                    <w:t>cm/s的黏土层的防渗性能</w:t>
                  </w: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45A1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90" w:type="dxa"/>
                  <w:vMerge w:val="continue"/>
                  <w:vAlign w:val="center"/>
                </w:tcPr>
                <w:p w14:paraId="212323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0B1151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shd w:val="clear" w:color="auto" w:fill="auto"/>
                  <w:vAlign w:val="center"/>
                </w:tcPr>
                <w:p w14:paraId="59B8C250">
                  <w:pPr>
                    <w:keepNext w:val="0"/>
                    <w:keepLines w:val="0"/>
                    <w:widowControl/>
                    <w:suppressLineNumbers w:val="0"/>
                    <w:jc w:val="both"/>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危废贮存库：至少1m厚黏土层（渗透系数不大于10</w:t>
                  </w:r>
                  <w:r>
                    <w:rPr>
                      <w:rFonts w:hint="default" w:ascii="Times New Roman" w:hAnsi="Times New Roman" w:eastAsia="宋体" w:cs="Times New Roman"/>
                      <w:b w:val="0"/>
                      <w:bCs w:val="0"/>
                      <w:color w:val="auto"/>
                      <w:sz w:val="21"/>
                      <w:szCs w:val="21"/>
                      <w:vertAlign w:val="superscript"/>
                      <w:lang w:val="en-US" w:eastAsia="zh-CN" w:bidi="ar-SA"/>
                    </w:rPr>
                    <w:t>-7</w:t>
                  </w:r>
                  <w:r>
                    <w:rPr>
                      <w:rFonts w:hint="default" w:ascii="Times New Roman" w:hAnsi="Times New Roman" w:eastAsia="宋体" w:cs="Times New Roman"/>
                      <w:b w:val="0"/>
                      <w:bCs w:val="0"/>
                      <w:color w:val="auto"/>
                      <w:sz w:val="21"/>
                      <w:szCs w:val="21"/>
                      <w:vertAlign w:val="baseline"/>
                      <w:lang w:val="en-US" w:eastAsia="zh-CN" w:bidi="ar-SA"/>
                    </w:rPr>
                    <w:t>cm/s）的防渗层，或至少2mm厚高密度聚乙烯膜等人工防渗材料（渗透系数不大于10</w:t>
                  </w:r>
                  <w:r>
                    <w:rPr>
                      <w:rFonts w:hint="default" w:ascii="Times New Roman" w:hAnsi="Times New Roman" w:eastAsia="宋体" w:cs="Times New Roman"/>
                      <w:b w:val="0"/>
                      <w:bCs w:val="0"/>
                      <w:color w:val="auto"/>
                      <w:sz w:val="21"/>
                      <w:szCs w:val="21"/>
                      <w:vertAlign w:val="superscript"/>
                      <w:lang w:val="en-US" w:eastAsia="zh-CN" w:bidi="ar-SA"/>
                    </w:rPr>
                    <w:t>-10</w:t>
                  </w:r>
                  <w:r>
                    <w:rPr>
                      <w:rFonts w:hint="default" w:ascii="Times New Roman" w:hAnsi="Times New Roman" w:eastAsia="宋体" w:cs="Times New Roman"/>
                      <w:b w:val="0"/>
                      <w:bCs w:val="0"/>
                      <w:color w:val="auto"/>
                      <w:sz w:val="21"/>
                      <w:szCs w:val="21"/>
                      <w:vertAlign w:val="baseline"/>
                      <w:lang w:val="en-US" w:eastAsia="zh-CN" w:bidi="ar-SA"/>
                    </w:rPr>
                    <w:t>cm/s），或其他防渗性能等效的材料。</w:t>
                  </w:r>
                </w:p>
              </w:tc>
            </w:tr>
            <w:tr w14:paraId="12AC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vAlign w:val="center"/>
                </w:tcPr>
                <w:p w14:paraId="29AD5F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4872AB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5B1C9EA3">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一般防渗区：卫生旱厕、原辅材料存储区。防渗层的防渗性能不应低于1.5m厚渗透系数为1.0×10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cm/s的黏土层的防渗性能</w:t>
                  </w:r>
                  <w:r>
                    <w:rPr>
                      <w:rFonts w:hint="eastAsia" w:ascii="Times New Roman" w:hAnsi="Times New Roman" w:eastAsia="宋体" w:cs="Times New Roman"/>
                      <w:b w:val="0"/>
                      <w:bCs w:val="0"/>
                      <w:color w:val="auto"/>
                      <w:sz w:val="21"/>
                      <w:szCs w:val="21"/>
                      <w:vertAlign w:val="baseline"/>
                      <w:lang w:val="en-US" w:eastAsia="zh-CN"/>
                    </w:rPr>
                    <w:t>。</w:t>
                  </w:r>
                </w:p>
              </w:tc>
            </w:tr>
            <w:tr w14:paraId="01E8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138DE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4669E3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4890B432">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简单防渗区：生活区、物料区等其他区域。采用黏土碾压方式进行防渗。</w:t>
                  </w:r>
                </w:p>
              </w:tc>
            </w:tr>
            <w:tr w14:paraId="73F2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136385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0D1B2C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6178" w:type="dxa"/>
                  <w:vAlign w:val="center"/>
                </w:tcPr>
                <w:p w14:paraId="4D127430">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泥饼、钻井岩屑：分别暂存于移动式收集罐内，施工结束后委托陕西德禾鑫盛环保科技有限公司外运处理。有能力单位由防渗漏、防抛洒、防扬尘的运输车辆统一外运处置。</w:t>
                  </w:r>
                </w:p>
              </w:tc>
            </w:tr>
            <w:tr w14:paraId="2070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3C68E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6A941E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6CDEAC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废机油：暂存于撬装式危废贮存库，委托有资质单位进行处置。</w:t>
                  </w:r>
                </w:p>
              </w:tc>
            </w:tr>
            <w:tr w14:paraId="34FC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11A08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3DAAF9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27AD18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废防渗膜：暂存于撬装式危废贮存库，交由有资质单位回收处置。</w:t>
                  </w:r>
                </w:p>
              </w:tc>
            </w:tr>
            <w:tr w14:paraId="2412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35CD4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0187E3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7328C1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废包装袋：废包装袋集中收集后交由物资回收公司进行回收再利用。</w:t>
                  </w:r>
                </w:p>
              </w:tc>
            </w:tr>
            <w:tr w14:paraId="63DC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vMerge w:val="continue"/>
                  <w:vAlign w:val="center"/>
                </w:tcPr>
                <w:p w14:paraId="7ECEDF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555A7D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542AC9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生活垃圾：经垃圾桶收集后定期交佳县环卫部门处理。</w:t>
                  </w:r>
                </w:p>
              </w:tc>
            </w:tr>
            <w:tr w14:paraId="0DAE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BA8F0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1D96A8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739F5B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岩芯：取出的岩芯首选用于产气量、气密性等的研究，废弃岩芯交陕西德禾鑫盛环保科技有限公司外运处理。</w:t>
                  </w:r>
                </w:p>
              </w:tc>
            </w:tr>
            <w:tr w14:paraId="68A1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90" w:type="dxa"/>
                  <w:vMerge w:val="continue"/>
                  <w:vAlign w:val="center"/>
                </w:tcPr>
                <w:p w14:paraId="60E388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2029D1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6178" w:type="dxa"/>
                  <w:vAlign w:val="center"/>
                </w:tcPr>
                <w:p w14:paraId="778B24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泥浆泵加衬弹性垫料，管理和作业过程中平稳操作，避免特种作业时产生非正常噪声。</w:t>
                  </w:r>
                </w:p>
              </w:tc>
            </w:tr>
            <w:tr w14:paraId="34E7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DFFF2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3CF23F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w:t>
                  </w:r>
                </w:p>
              </w:tc>
              <w:tc>
                <w:tcPr>
                  <w:tcW w:w="6178" w:type="dxa"/>
                  <w:vAlign w:val="center"/>
                </w:tcPr>
                <w:p w14:paraId="7CA338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对临时占用土地进行表土留存，分层回填，整平翻松，恢复植被。</w:t>
                  </w:r>
                </w:p>
              </w:tc>
            </w:tr>
            <w:tr w14:paraId="4FFC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restart"/>
                  <w:vAlign w:val="center"/>
                </w:tcPr>
                <w:p w14:paraId="7D2F89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依托工程</w:t>
                  </w:r>
                </w:p>
              </w:tc>
              <w:tc>
                <w:tcPr>
                  <w:tcW w:w="1522" w:type="dxa"/>
                  <w:gridSpan w:val="2"/>
                  <w:vAlign w:val="center"/>
                </w:tcPr>
                <w:p w14:paraId="3328538C">
                  <w:pPr>
                    <w:pStyle w:val="2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陕西榆佳环保科技有限公司</w:t>
                  </w:r>
                </w:p>
              </w:tc>
              <w:tc>
                <w:tcPr>
                  <w:tcW w:w="6178" w:type="dxa"/>
                  <w:vAlign w:val="center"/>
                </w:tcPr>
                <w:p w14:paraId="3B08355E">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陕西榆佳环保科技有限公司位于榆林市佳县王家砭镇榆佳经济技术开发区，主要处理佳县及周边气田开采过程产生的泥浆压滤液和压裂</w:t>
                  </w:r>
                  <w:r>
                    <w:rPr>
                      <w:rFonts w:hint="default" w:ascii="Times New Roman" w:hAnsi="Times New Roman" w:cs="Times New Roman"/>
                      <w:color w:val="auto"/>
                      <w:sz w:val="21"/>
                      <w:szCs w:val="21"/>
                      <w:highlight w:val="none"/>
                      <w:lang w:val="en-US" w:eastAsia="zh-CN"/>
                    </w:rPr>
                    <w:t>返排液。项目采用“二级酸析反应沉淀+液碱+CO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+隔膜压滤＋精密过滤＋紫外杀菌”工艺对作业废水进行无害化处理，处理规模为2000m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/d，处理后水质达到《碎屑岩油藏注水水质指标技术要求及分析方法》（SY/T5329-2022）用于油(气)开采企业钻井作业或钻井泥浆的配置等。</w:t>
                  </w:r>
                </w:p>
                <w:p w14:paraId="6AC14753">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该项目于2024年7月11日取得了榆林市生态环境局下发的环评批复（榆政环批复〔2024〕85号），于2024年10月9日取得了榆林市生态环境局下发的排污许可证，证书编号为91610828MA7LY0FQ2A001V，于2024年12月28日完成了竣工环境保护验收，目前正常运行。</w:t>
                  </w:r>
                </w:p>
                <w:p w14:paraId="27538872">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本项目钻井废水、洗井废水、压裂返排液、放喷废水等施工废水产生</w:t>
                  </w:r>
                  <w:r>
                    <w:rPr>
                      <w:rFonts w:hint="default" w:ascii="Times New Roman" w:hAnsi="Times New Roman" w:cs="Times New Roman"/>
                      <w:color w:val="auto"/>
                      <w:sz w:val="21"/>
                      <w:szCs w:val="21"/>
                      <w:highlight w:val="none"/>
                      <w:shd w:val="clear"/>
                      <w:lang w:val="en-US" w:eastAsia="zh-CN"/>
                    </w:rPr>
                    <w:t>量共</w:t>
                  </w:r>
                  <w:r>
                    <w:rPr>
                      <w:rFonts w:hint="eastAsia" w:ascii="Times New Roman" w:hAnsi="Times New Roman" w:cs="Times New Roman"/>
                      <w:color w:val="auto"/>
                      <w:sz w:val="21"/>
                      <w:szCs w:val="21"/>
                      <w:highlight w:val="none"/>
                      <w:shd w:val="clear"/>
                      <w:lang w:val="en-US" w:eastAsia="zh-CN"/>
                    </w:rPr>
                    <w:t>756.125</w:t>
                  </w:r>
                  <w:r>
                    <w:rPr>
                      <w:rFonts w:hint="default" w:ascii="Times New Roman" w:hAnsi="Times New Roman" w:cs="Times New Roman"/>
                      <w:color w:val="auto"/>
                      <w:sz w:val="21"/>
                      <w:szCs w:val="21"/>
                      <w:highlight w:val="none"/>
                      <w:shd w:val="clear"/>
                      <w:lang w:val="en-US" w:eastAsia="zh-CN"/>
                    </w:rPr>
                    <w:t>m</w:t>
                  </w:r>
                  <w:r>
                    <w:rPr>
                      <w:rFonts w:hint="default" w:ascii="Times New Roman" w:hAnsi="Times New Roman" w:cs="Times New Roman"/>
                      <w:color w:val="auto"/>
                      <w:sz w:val="21"/>
                      <w:szCs w:val="21"/>
                      <w:highlight w:val="none"/>
                      <w:shd w:val="clear"/>
                      <w:vertAlign w:val="superscript"/>
                      <w:lang w:val="en-US" w:eastAsia="zh-CN"/>
                    </w:rPr>
                    <w:t>3</w:t>
                  </w:r>
                  <w:r>
                    <w:rPr>
                      <w:rFonts w:hint="default" w:ascii="Times New Roman" w:hAnsi="Times New Roman" w:cs="Times New Roman"/>
                      <w:color w:val="auto"/>
                      <w:sz w:val="21"/>
                      <w:szCs w:val="21"/>
                      <w:highlight w:val="none"/>
                      <w:shd w:val="clear"/>
                      <w:lang w:val="en-US" w:eastAsia="zh-CN"/>
                    </w:rPr>
                    <w:t>，处理</w:t>
                  </w:r>
                  <w:r>
                    <w:rPr>
                      <w:rFonts w:hint="default" w:ascii="Times New Roman" w:hAnsi="Times New Roman" w:cs="Times New Roman"/>
                      <w:color w:val="auto"/>
                      <w:sz w:val="21"/>
                      <w:szCs w:val="21"/>
                      <w:highlight w:val="none"/>
                      <w:lang w:val="en-US" w:eastAsia="zh-CN"/>
                    </w:rPr>
                    <w:t>能力能够满足本项目需求，依托可行。</w:t>
                  </w:r>
                </w:p>
              </w:tc>
            </w:tr>
            <w:tr w14:paraId="21FA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continue"/>
                  <w:vAlign w:val="center"/>
                </w:tcPr>
                <w:p w14:paraId="351041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057772AA">
                  <w:pPr>
                    <w:pStyle w:val="2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陕西德禾鑫盛环保科技有限公司</w:t>
                  </w:r>
                </w:p>
              </w:tc>
              <w:tc>
                <w:tcPr>
                  <w:tcW w:w="6178" w:type="dxa"/>
                  <w:vAlign w:val="center"/>
                </w:tcPr>
                <w:p w14:paraId="004F7A58">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陕西德禾鑫盛环保科技有限公司《关于佳县刘国具油气田开采废弃物集中处理项目（重大变动）环境影响报告书》位于佳县刘国具镇斗范梁村，设计钻井岩屑、钻井废弃物处置量25万t/a、5万t/a。该项目于2023年6月9日取得榆林市行政审批服务局环评批复文件（榆政审批生态发〔2023〕4号）。已于2024年3月18日取得榆林市生态环境局下发排污许可证，证书编号为：91610828MA7C36978Y001V；于2024年4月19日完成竣工环境保护验收，目前运行正常。</w:t>
                  </w:r>
                </w:p>
                <w:p w14:paraId="06766242">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本项目施工期产生的钻井岩屑为494t，废弃钻井泥浆</w:t>
                  </w:r>
                  <w:r>
                    <w:rPr>
                      <w:rFonts w:hint="default" w:ascii="Times New Roman" w:hAnsi="Times New Roman" w:cs="Times New Roman"/>
                      <w:color w:val="auto"/>
                      <w:sz w:val="21"/>
                      <w:szCs w:val="20"/>
                      <w:highlight w:val="none"/>
                      <w:lang w:val="en-US" w:eastAsia="zh-CN"/>
                    </w:rPr>
                    <w:t>（泥饼）</w:t>
                  </w:r>
                  <w:r>
                    <w:rPr>
                      <w:rFonts w:hint="default" w:ascii="Times New Roman" w:hAnsi="Times New Roman" w:cs="Times New Roman"/>
                      <w:color w:val="auto"/>
                      <w:sz w:val="21"/>
                      <w:szCs w:val="21"/>
                      <w:highlight w:val="none"/>
                      <w:lang w:val="en-US" w:eastAsia="zh-CN"/>
                    </w:rPr>
                    <w:t>为17.5t，处置能力能够满足本项目需求，依托可行。</w:t>
                  </w:r>
                </w:p>
              </w:tc>
            </w:tr>
            <w:tr w14:paraId="23DD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0" w:type="dxa"/>
                  <w:gridSpan w:val="4"/>
                  <w:vAlign w:val="center"/>
                </w:tcPr>
                <w:p w14:paraId="5830E5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备注：完井测试结果表明不具有开采价值，则进行永久封井并处理；若井场有工业开采价值，需建设标准化井场进行开采，本次评价仅针对气井的勘探过程，不对后续标准后井场建设及采气过程进行评价。</w:t>
                  </w:r>
                </w:p>
              </w:tc>
            </w:tr>
          </w:tbl>
          <w:p w14:paraId="5524C4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三、井身结构</w:t>
            </w:r>
          </w:p>
          <w:p w14:paraId="09C54597">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本项目设计米107-2M井身为2750m，井型为直井，井身结构设计数据见表2-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p>
          <w:p w14:paraId="24A8E9F6">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米107-2M</w:t>
            </w:r>
            <w:r>
              <w:rPr>
                <w:rFonts w:hint="default" w:ascii="Times New Roman" w:hAnsi="Times New Roman" w:cs="Times New Roman"/>
                <w:color w:val="auto"/>
                <w:sz w:val="21"/>
                <w:szCs w:val="21"/>
                <w:lang w:eastAsia="zh-CN"/>
              </w:rPr>
              <w:t>井身结构表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398"/>
              <w:gridCol w:w="1398"/>
              <w:gridCol w:w="1398"/>
              <w:gridCol w:w="1398"/>
              <w:gridCol w:w="1399"/>
              <w:gridCol w:w="1399"/>
            </w:tblGrid>
            <w:tr w14:paraId="0270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2D07AC76">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开钻次序</w:t>
                  </w:r>
                </w:p>
              </w:tc>
              <w:tc>
                <w:tcPr>
                  <w:tcW w:w="833" w:type="pct"/>
                  <w:tcBorders>
                    <w:tl2br w:val="nil"/>
                    <w:tr2bl w:val="nil"/>
                  </w:tcBorders>
                  <w:noWrap w:val="0"/>
                  <w:vAlign w:val="center"/>
                </w:tcPr>
                <w:p w14:paraId="03C7C67D">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井深（m）</w:t>
                  </w:r>
                </w:p>
              </w:tc>
              <w:tc>
                <w:tcPr>
                  <w:tcW w:w="833" w:type="pct"/>
                  <w:tcBorders>
                    <w:tl2br w:val="nil"/>
                    <w:tr2bl w:val="nil"/>
                  </w:tcBorders>
                  <w:noWrap w:val="0"/>
                  <w:vAlign w:val="center"/>
                </w:tcPr>
                <w:p w14:paraId="4845E6B1">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钻头尺寸（mm）</w:t>
                  </w:r>
                </w:p>
              </w:tc>
              <w:tc>
                <w:tcPr>
                  <w:tcW w:w="833" w:type="pct"/>
                  <w:tcBorders>
                    <w:tl2br w:val="nil"/>
                    <w:tr2bl w:val="nil"/>
                  </w:tcBorders>
                  <w:noWrap w:val="0"/>
                  <w:vAlign w:val="center"/>
                </w:tcPr>
                <w:p w14:paraId="5EFA326D">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套管尺寸（mm）</w:t>
                  </w:r>
                </w:p>
              </w:tc>
              <w:tc>
                <w:tcPr>
                  <w:tcW w:w="833" w:type="pct"/>
                  <w:tcBorders>
                    <w:tl2br w:val="nil"/>
                    <w:tr2bl w:val="nil"/>
                  </w:tcBorders>
                  <w:noWrap w:val="0"/>
                  <w:vAlign w:val="center"/>
                </w:tcPr>
                <w:p w14:paraId="2878484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套管下深（m）</w:t>
                  </w:r>
                </w:p>
              </w:tc>
              <w:tc>
                <w:tcPr>
                  <w:tcW w:w="833" w:type="pct"/>
                  <w:tcBorders>
                    <w:tl2br w:val="nil"/>
                    <w:tr2bl w:val="nil"/>
                  </w:tcBorders>
                  <w:noWrap w:val="0"/>
                  <w:vAlign w:val="center"/>
                </w:tcPr>
                <w:p w14:paraId="7C8AA27D">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水泥返高</w:t>
                  </w:r>
                </w:p>
              </w:tc>
            </w:tr>
            <w:tr w14:paraId="2E27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46897EC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一开</w:t>
                  </w:r>
                </w:p>
              </w:tc>
              <w:tc>
                <w:tcPr>
                  <w:tcW w:w="833" w:type="pct"/>
                  <w:tcBorders>
                    <w:tl2br w:val="nil"/>
                    <w:tr2bl w:val="nil"/>
                  </w:tcBorders>
                  <w:noWrap w:val="0"/>
                  <w:vAlign w:val="center"/>
                </w:tcPr>
                <w:p w14:paraId="76AFB3FE">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0~600</w:t>
                  </w:r>
                </w:p>
              </w:tc>
              <w:tc>
                <w:tcPr>
                  <w:tcW w:w="833" w:type="pct"/>
                  <w:tcBorders>
                    <w:tl2br w:val="nil"/>
                    <w:tr2bl w:val="nil"/>
                  </w:tcBorders>
                  <w:noWrap w:val="0"/>
                  <w:vAlign w:val="center"/>
                </w:tcPr>
                <w:p w14:paraId="16B40195">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346</w:t>
                  </w:r>
                </w:p>
              </w:tc>
              <w:tc>
                <w:tcPr>
                  <w:tcW w:w="833" w:type="pct"/>
                  <w:tcBorders>
                    <w:tl2br w:val="nil"/>
                    <w:tr2bl w:val="nil"/>
                  </w:tcBorders>
                  <w:noWrap w:val="0"/>
                  <w:vAlign w:val="center"/>
                </w:tcPr>
                <w:p w14:paraId="491312C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273.1</w:t>
                  </w:r>
                </w:p>
              </w:tc>
              <w:tc>
                <w:tcPr>
                  <w:tcW w:w="833" w:type="pct"/>
                  <w:tcBorders>
                    <w:tl2br w:val="nil"/>
                    <w:tr2bl w:val="nil"/>
                  </w:tcBorders>
                  <w:noWrap w:val="0"/>
                  <w:vAlign w:val="center"/>
                </w:tcPr>
                <w:p w14:paraId="53A7488B">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下到稳定岩层</w:t>
                  </w:r>
                </w:p>
              </w:tc>
              <w:tc>
                <w:tcPr>
                  <w:tcW w:w="833" w:type="pct"/>
                  <w:tcBorders>
                    <w:tl2br w:val="nil"/>
                    <w:tr2bl w:val="nil"/>
                  </w:tcBorders>
                  <w:noWrap w:val="0"/>
                  <w:vAlign w:val="center"/>
                </w:tcPr>
                <w:p w14:paraId="64E534EC">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地面</w:t>
                  </w:r>
                </w:p>
              </w:tc>
            </w:tr>
            <w:tr w14:paraId="662B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432046E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二开</w:t>
                  </w:r>
                </w:p>
              </w:tc>
              <w:tc>
                <w:tcPr>
                  <w:tcW w:w="833" w:type="pct"/>
                  <w:tcBorders>
                    <w:tl2br w:val="nil"/>
                    <w:tr2bl w:val="nil"/>
                  </w:tcBorders>
                  <w:noWrap w:val="0"/>
                  <w:vAlign w:val="center"/>
                </w:tcPr>
                <w:p w14:paraId="7F7CEE75">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600~2750</w:t>
                  </w:r>
                </w:p>
              </w:tc>
              <w:tc>
                <w:tcPr>
                  <w:tcW w:w="833" w:type="pct"/>
                  <w:tcBorders>
                    <w:tl2br w:val="nil"/>
                    <w:tr2bl w:val="nil"/>
                  </w:tcBorders>
                  <w:noWrap w:val="0"/>
                  <w:vAlign w:val="center"/>
                </w:tcPr>
                <w:p w14:paraId="4EBAF247">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w:t>
                  </w:r>
                </w:p>
              </w:tc>
              <w:tc>
                <w:tcPr>
                  <w:tcW w:w="833" w:type="pct"/>
                  <w:tcBorders>
                    <w:tl2br w:val="nil"/>
                    <w:tr2bl w:val="nil"/>
                  </w:tcBorders>
                  <w:noWrap w:val="0"/>
                  <w:vAlign w:val="center"/>
                </w:tcPr>
                <w:p w14:paraId="786B34E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219.1</w:t>
                  </w:r>
                </w:p>
              </w:tc>
              <w:tc>
                <w:tcPr>
                  <w:tcW w:w="833" w:type="pct"/>
                  <w:tcBorders>
                    <w:tl2br w:val="nil"/>
                    <w:tr2bl w:val="nil"/>
                  </w:tcBorders>
                  <w:noWrap w:val="0"/>
                  <w:vAlign w:val="center"/>
                </w:tcPr>
                <w:p w14:paraId="4BED1C8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距井底3～5m</w:t>
                  </w:r>
                </w:p>
              </w:tc>
              <w:tc>
                <w:tcPr>
                  <w:tcW w:w="833" w:type="pct"/>
                  <w:tcBorders>
                    <w:tl2br w:val="nil"/>
                    <w:tr2bl w:val="nil"/>
                  </w:tcBorders>
                  <w:noWrap w:val="0"/>
                  <w:vAlign w:val="center"/>
                </w:tcPr>
                <w:p w14:paraId="7971B32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地面</w:t>
                  </w:r>
                </w:p>
              </w:tc>
            </w:tr>
          </w:tbl>
          <w:p w14:paraId="1F8DCCD1">
            <w:pPr>
              <w:pStyle w:val="26"/>
              <w:keepNext w:val="0"/>
              <w:keepLines w:val="0"/>
              <w:pageBreakBefore w:val="0"/>
              <w:widowControl w:val="0"/>
              <w:kinsoku/>
              <w:wordWrap/>
              <w:overflowPunct/>
              <w:topLinePunct w:val="0"/>
              <w:autoSpaceDE/>
              <w:autoSpaceDN/>
              <w:bidi w:val="0"/>
              <w:adjustRightInd w:val="0"/>
              <w:snapToGrid w:val="0"/>
              <w:spacing w:before="79" w:beforeLines="25"/>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本项目直井井身结构示意图见图2-1。</w:t>
            </w:r>
          </w:p>
          <w:p w14:paraId="71CB3684">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281680" cy="3202305"/>
                  <wp:effectExtent l="0" t="0" r="13970" b="1714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8"/>
                          <a:stretch>
                            <a:fillRect/>
                          </a:stretch>
                        </pic:blipFill>
                        <pic:spPr>
                          <a:xfrm>
                            <a:off x="0" y="0"/>
                            <a:ext cx="3281680" cy="3202305"/>
                          </a:xfrm>
                          <a:prstGeom prst="rect">
                            <a:avLst/>
                          </a:prstGeom>
                        </pic:spPr>
                      </pic:pic>
                    </a:graphicData>
                  </a:graphic>
                </wp:inline>
              </w:drawing>
            </w:r>
          </w:p>
          <w:p w14:paraId="4AEFFC1F">
            <w:pPr>
              <w:pStyle w:val="10"/>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eastAsia="zh-CN"/>
              </w:rPr>
              <w:t xml:space="preserve">  井身结构图</w:t>
            </w:r>
          </w:p>
          <w:p w14:paraId="7F7BA4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四、工程占地</w:t>
            </w:r>
          </w:p>
          <w:p w14:paraId="79E986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项目占地为临时占地，总占地面积约为</w:t>
            </w:r>
            <w:r>
              <w:rPr>
                <w:rFonts w:hint="default" w:ascii="Times New Roman" w:hAnsi="Times New Roman" w:eastAsia="宋体" w:cs="Times New Roman"/>
                <w:b w:val="0"/>
                <w:bCs w:val="0"/>
                <w:color w:val="auto"/>
                <w:sz w:val="24"/>
                <w:szCs w:val="24"/>
                <w:highlight w:val="none"/>
                <w:vertAlign w:val="baseline"/>
                <w:lang w:val="en-US" w:eastAsia="zh-CN"/>
              </w:rPr>
              <w:t>14348m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，其中井场占地12598m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，生活区占地875m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井场道路占地</w:t>
            </w:r>
            <w:r>
              <w:rPr>
                <w:rFonts w:hint="default" w:ascii="Times New Roman" w:hAnsi="Times New Roman" w:eastAsia="宋体" w:cs="Times New Roman"/>
                <w:b w:val="0"/>
                <w:bCs w:val="0"/>
                <w:color w:val="auto"/>
                <w:sz w:val="24"/>
                <w:szCs w:val="24"/>
                <w:highlight w:val="none"/>
                <w:vertAlign w:val="baseline"/>
                <w:lang w:val="en-US" w:eastAsia="zh-CN"/>
              </w:rPr>
              <w:t>873m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，若完井测试表明气井有开采价值，再征用井场用地。</w:t>
            </w:r>
          </w:p>
          <w:p w14:paraId="67F45B7D">
            <w:pPr>
              <w:pStyle w:val="1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占地面积情况表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779"/>
              <w:gridCol w:w="1787"/>
              <w:gridCol w:w="1787"/>
              <w:gridCol w:w="1517"/>
              <w:gridCol w:w="1517"/>
            </w:tblGrid>
            <w:tr w14:paraId="1197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1061" w:type="pct"/>
                  <w:tcBorders>
                    <w:tl2br w:val="nil"/>
                    <w:tr2bl w:val="nil"/>
                  </w:tcBorders>
                  <w:noWrap w:val="0"/>
                  <w:vAlign w:val="center"/>
                </w:tcPr>
                <w:p w14:paraId="544CF74C">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井号</w:t>
                  </w:r>
                </w:p>
              </w:tc>
              <w:tc>
                <w:tcPr>
                  <w:tcW w:w="1065" w:type="pct"/>
                  <w:tcBorders>
                    <w:tl2br w:val="nil"/>
                    <w:tr2bl w:val="nil"/>
                  </w:tcBorders>
                  <w:noWrap w:val="0"/>
                  <w:vAlign w:val="center"/>
                </w:tcPr>
                <w:p w14:paraId="39F3C6E1">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井场面积（m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1065" w:type="pct"/>
                  <w:tcBorders>
                    <w:tl2br w:val="nil"/>
                    <w:tr2bl w:val="nil"/>
                  </w:tcBorders>
                  <w:noWrap w:val="0"/>
                  <w:vAlign w:val="center"/>
                </w:tcPr>
                <w:p w14:paraId="170ED03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生活区面积（m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904" w:type="pct"/>
                  <w:tcBorders>
                    <w:tl2br w:val="nil"/>
                    <w:tr2bl w:val="nil"/>
                  </w:tcBorders>
                  <w:noWrap w:val="0"/>
                  <w:vAlign w:val="center"/>
                </w:tcPr>
                <w:p w14:paraId="40A2AF8C">
                  <w:pPr>
                    <w:pStyle w:val="27"/>
                    <w:bidi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进场道路面积（m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904" w:type="pct"/>
                  <w:tcBorders>
                    <w:tl2br w:val="nil"/>
                    <w:tr2bl w:val="nil"/>
                  </w:tcBorders>
                  <w:noWrap w:val="0"/>
                  <w:vAlign w:val="center"/>
                </w:tcPr>
                <w:p w14:paraId="0C89684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vertAlign w:val="baseline"/>
                      <w:lang w:val="en-US" w:eastAsia="zh-CN"/>
                    </w:rPr>
                    <w:t>）</w:t>
                  </w:r>
                </w:p>
              </w:tc>
            </w:tr>
            <w:tr w14:paraId="09CB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1061" w:type="pct"/>
                  <w:tcBorders>
                    <w:tl2br w:val="nil"/>
                    <w:tr2bl w:val="nil"/>
                  </w:tcBorders>
                  <w:noWrap w:val="0"/>
                  <w:vAlign w:val="center"/>
                </w:tcPr>
                <w:p w14:paraId="31ADF48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米107-2M井</w:t>
                  </w:r>
                </w:p>
              </w:tc>
              <w:tc>
                <w:tcPr>
                  <w:tcW w:w="1065" w:type="pct"/>
                  <w:tcBorders>
                    <w:tl2br w:val="nil"/>
                    <w:tr2bl w:val="nil"/>
                  </w:tcBorders>
                  <w:noWrap w:val="0"/>
                  <w:vAlign w:val="center"/>
                </w:tcPr>
                <w:p w14:paraId="4B19664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12598</w:t>
                  </w:r>
                  <w:r>
                    <w:rPr>
                      <w:rFonts w:hint="default" w:ascii="Times New Roman" w:hAnsi="Times New Roman" w:cs="Times New Roman"/>
                      <w:b w:val="0"/>
                      <w:bCs w:val="0"/>
                      <w:color w:val="auto"/>
                      <w:sz w:val="24"/>
                      <w:szCs w:val="24"/>
                      <w:highlight w:val="none"/>
                      <w:vertAlign w:val="baseline"/>
                      <w:lang w:val="en-US" w:eastAsia="zh-CN"/>
                    </w:rPr>
                    <w:t>.76</w:t>
                  </w:r>
                </w:p>
              </w:tc>
              <w:tc>
                <w:tcPr>
                  <w:tcW w:w="1065" w:type="pct"/>
                  <w:tcBorders>
                    <w:tl2br w:val="nil"/>
                    <w:tr2bl w:val="nil"/>
                  </w:tcBorders>
                  <w:noWrap w:val="0"/>
                  <w:vAlign w:val="center"/>
                </w:tcPr>
                <w:p w14:paraId="640714F4">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875</w:t>
                  </w:r>
                </w:p>
              </w:tc>
              <w:tc>
                <w:tcPr>
                  <w:tcW w:w="904" w:type="pct"/>
                  <w:tcBorders>
                    <w:tl2br w:val="nil"/>
                    <w:tr2bl w:val="nil"/>
                  </w:tcBorders>
                  <w:noWrap w:val="0"/>
                  <w:vAlign w:val="center"/>
                </w:tcPr>
                <w:p w14:paraId="0AE23F2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873</w:t>
                  </w:r>
                  <w:r>
                    <w:rPr>
                      <w:rFonts w:hint="default" w:ascii="Times New Roman" w:hAnsi="Times New Roman" w:cs="Times New Roman"/>
                      <w:b w:val="0"/>
                      <w:bCs w:val="0"/>
                      <w:color w:val="auto"/>
                      <w:sz w:val="24"/>
                      <w:szCs w:val="24"/>
                      <w:highlight w:val="none"/>
                      <w:vertAlign w:val="baseline"/>
                      <w:lang w:val="en-US" w:eastAsia="zh-CN"/>
                    </w:rPr>
                    <w:t>.32</w:t>
                  </w:r>
                </w:p>
              </w:tc>
              <w:tc>
                <w:tcPr>
                  <w:tcW w:w="904" w:type="pct"/>
                  <w:tcBorders>
                    <w:tl2br w:val="nil"/>
                    <w:tr2bl w:val="nil"/>
                  </w:tcBorders>
                  <w:noWrap w:val="0"/>
                  <w:vAlign w:val="center"/>
                </w:tcPr>
                <w:p w14:paraId="2963243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4"/>
                      <w:szCs w:val="24"/>
                      <w:highlight w:val="none"/>
                      <w:vertAlign w:val="baseline"/>
                      <w:lang w:val="en-US" w:eastAsia="zh-CN"/>
                    </w:rPr>
                    <w:t>14348</w:t>
                  </w:r>
                </w:p>
              </w:tc>
            </w:tr>
          </w:tbl>
          <w:p w14:paraId="2D56EB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五、项目主要设备清单</w:t>
            </w:r>
          </w:p>
          <w:p w14:paraId="1D5B7D4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根据《榆林市人民政府关于禁止使用高排放非道路移动机械的通告》要求，项目施工现场禁止使用高排放非道路移动机械，禁止使用未编码登记挂牌及环保检测不达标的非道路移动机械。</w:t>
            </w:r>
          </w:p>
          <w:p w14:paraId="421D4B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（1）钻井设备</w:t>
            </w:r>
          </w:p>
          <w:p w14:paraId="4985A7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项目主要设备清单见表2-</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w:t>
            </w:r>
          </w:p>
          <w:p w14:paraId="2AE866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项目单井主要设备清单一览表</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423"/>
              <w:gridCol w:w="956"/>
              <w:gridCol w:w="1622"/>
              <w:gridCol w:w="2222"/>
              <w:gridCol w:w="932"/>
              <w:gridCol w:w="868"/>
              <w:gridCol w:w="1369"/>
            </w:tblGrid>
            <w:tr w14:paraId="4BDF9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3FD8E0F6">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535" w:type="pct"/>
                  <w:gridSpan w:val="2"/>
                  <w:tcBorders>
                    <w:tl2br w:val="nil"/>
                    <w:tr2bl w:val="nil"/>
                  </w:tcBorders>
                  <w:noWrap w:val="0"/>
                  <w:vAlign w:val="center"/>
                </w:tcPr>
                <w:p w14:paraId="7F5A4B4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23" w:type="pct"/>
                  <w:tcBorders>
                    <w:tl2br w:val="nil"/>
                    <w:tr2bl w:val="nil"/>
                  </w:tcBorders>
                  <w:noWrap w:val="0"/>
                  <w:vAlign w:val="center"/>
                </w:tcPr>
                <w:p w14:paraId="4204C00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555" w:type="pct"/>
                  <w:tcBorders>
                    <w:tl2br w:val="nil"/>
                    <w:tr2bl w:val="nil"/>
                  </w:tcBorders>
                  <w:noWrap w:val="0"/>
                  <w:vAlign w:val="center"/>
                </w:tcPr>
                <w:p w14:paraId="09008E2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规格</w:t>
                  </w:r>
                </w:p>
              </w:tc>
              <w:tc>
                <w:tcPr>
                  <w:tcW w:w="517" w:type="pct"/>
                  <w:tcBorders>
                    <w:tl2br w:val="nil"/>
                    <w:tr2bl w:val="nil"/>
                  </w:tcBorders>
                  <w:noWrap w:val="0"/>
                  <w:vAlign w:val="center"/>
                </w:tcPr>
                <w:p w14:paraId="748E6A3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数量</w:t>
                  </w:r>
                </w:p>
              </w:tc>
              <w:tc>
                <w:tcPr>
                  <w:tcW w:w="815" w:type="pct"/>
                  <w:tcBorders>
                    <w:tl2br w:val="nil"/>
                    <w:tr2bl w:val="nil"/>
                  </w:tcBorders>
                  <w:noWrap w:val="0"/>
                  <w:vAlign w:val="center"/>
                </w:tcPr>
                <w:p w14:paraId="3EBCCF8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1E0271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64C0B89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569" w:type="pct"/>
                  <w:vMerge w:val="restart"/>
                  <w:tcBorders>
                    <w:tl2br w:val="nil"/>
                    <w:tr2bl w:val="nil"/>
                  </w:tcBorders>
                  <w:noWrap w:val="0"/>
                  <w:vAlign w:val="center"/>
                </w:tcPr>
                <w:p w14:paraId="70686B1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钻井设备</w:t>
                  </w:r>
                </w:p>
              </w:tc>
              <w:tc>
                <w:tcPr>
                  <w:tcW w:w="966" w:type="pct"/>
                  <w:tcBorders>
                    <w:tl2br w:val="nil"/>
                    <w:tr2bl w:val="nil"/>
                  </w:tcBorders>
                  <w:noWrap w:val="0"/>
                  <w:vAlign w:val="center"/>
                </w:tcPr>
                <w:p w14:paraId="7693113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w:t>
                  </w:r>
                </w:p>
              </w:tc>
              <w:tc>
                <w:tcPr>
                  <w:tcW w:w="1323" w:type="pct"/>
                  <w:tcBorders>
                    <w:tl2br w:val="nil"/>
                    <w:tr2bl w:val="nil"/>
                  </w:tcBorders>
                  <w:noWrap w:val="0"/>
                  <w:vAlign w:val="center"/>
                </w:tcPr>
                <w:p w14:paraId="6D8BE79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ZJ50</w:t>
                  </w:r>
                </w:p>
              </w:tc>
              <w:tc>
                <w:tcPr>
                  <w:tcW w:w="555" w:type="pct"/>
                  <w:tcBorders>
                    <w:tl2br w:val="nil"/>
                    <w:tr2bl w:val="nil"/>
                  </w:tcBorders>
                  <w:noWrap w:val="0"/>
                  <w:vAlign w:val="center"/>
                </w:tcPr>
                <w:p w14:paraId="15E6135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荷载315t</w:t>
                  </w:r>
                </w:p>
              </w:tc>
              <w:tc>
                <w:tcPr>
                  <w:tcW w:w="517" w:type="pct"/>
                  <w:tcBorders>
                    <w:tl2br w:val="nil"/>
                    <w:tr2bl w:val="nil"/>
                  </w:tcBorders>
                  <w:noWrap w:val="0"/>
                  <w:vAlign w:val="center"/>
                </w:tcPr>
                <w:p w14:paraId="737A62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8F2EB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BD7C5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84A0C2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14241A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3B8FD8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井架</w:t>
                  </w:r>
                </w:p>
              </w:tc>
              <w:tc>
                <w:tcPr>
                  <w:tcW w:w="1323" w:type="pct"/>
                  <w:tcBorders>
                    <w:tl2br w:val="nil"/>
                    <w:tr2bl w:val="nil"/>
                  </w:tcBorders>
                  <w:noWrap w:val="0"/>
                  <w:vAlign w:val="center"/>
                </w:tcPr>
                <w:p w14:paraId="1759FFB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JJ315/45-K</w:t>
                  </w:r>
                </w:p>
              </w:tc>
              <w:tc>
                <w:tcPr>
                  <w:tcW w:w="555" w:type="pct"/>
                  <w:tcBorders>
                    <w:tl2br w:val="nil"/>
                    <w:tr2bl w:val="nil"/>
                  </w:tcBorders>
                  <w:noWrap w:val="0"/>
                  <w:vAlign w:val="center"/>
                </w:tcPr>
                <w:p w14:paraId="06C85EC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CE1F81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E30C24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12F9C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6D81828">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4BB03CE">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7B0A68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底座</w:t>
                  </w:r>
                </w:p>
              </w:tc>
              <w:tc>
                <w:tcPr>
                  <w:tcW w:w="1323" w:type="pct"/>
                  <w:tcBorders>
                    <w:tl2br w:val="nil"/>
                    <w:tr2bl w:val="nil"/>
                  </w:tcBorders>
                  <w:noWrap w:val="0"/>
                  <w:vAlign w:val="center"/>
                </w:tcPr>
                <w:p w14:paraId="3C9AAB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DZ450/9-S</w:t>
                  </w:r>
                  <w:r>
                    <w:rPr>
                      <w:rFonts w:hint="default" w:ascii="Times New Roman" w:hAnsi="Times New Roman" w:eastAsia="宋体" w:cs="Times New Roman"/>
                      <w:color w:val="auto"/>
                      <w:sz w:val="21"/>
                      <w:szCs w:val="21"/>
                    </w:rPr>
                    <w:t>底座</w:t>
                  </w:r>
                </w:p>
              </w:tc>
              <w:tc>
                <w:tcPr>
                  <w:tcW w:w="555" w:type="pct"/>
                  <w:tcBorders>
                    <w:tl2br w:val="nil"/>
                    <w:tr2bl w:val="nil"/>
                  </w:tcBorders>
                  <w:noWrap w:val="0"/>
                  <w:vAlign w:val="center"/>
                </w:tcPr>
                <w:p w14:paraId="753DB33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3EC43C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7C11A2A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D95F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254255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E41910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C6692B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天车</w:t>
                  </w:r>
                </w:p>
              </w:tc>
              <w:tc>
                <w:tcPr>
                  <w:tcW w:w="1323" w:type="pct"/>
                  <w:tcBorders>
                    <w:tl2br w:val="nil"/>
                    <w:tr2bl w:val="nil"/>
                  </w:tcBorders>
                  <w:noWrap w:val="0"/>
                  <w:vAlign w:val="center"/>
                </w:tcPr>
                <w:p w14:paraId="4C2BBEF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TC-315</w:t>
                  </w:r>
                </w:p>
              </w:tc>
              <w:tc>
                <w:tcPr>
                  <w:tcW w:w="555" w:type="pct"/>
                  <w:tcBorders>
                    <w:tl2br w:val="nil"/>
                    <w:tr2bl w:val="nil"/>
                  </w:tcBorders>
                  <w:noWrap w:val="0"/>
                  <w:vAlign w:val="center"/>
                </w:tcPr>
                <w:p w14:paraId="15F0699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517" w:type="pct"/>
                  <w:tcBorders>
                    <w:tl2br w:val="nil"/>
                    <w:tr2bl w:val="nil"/>
                  </w:tcBorders>
                  <w:noWrap w:val="0"/>
                  <w:vAlign w:val="center"/>
                </w:tcPr>
                <w:p w14:paraId="7483A6E6">
                  <w:pPr>
                    <w:adjustRightInd w:val="0"/>
                    <w:snapToGrid w:val="0"/>
                    <w:jc w:val="center"/>
                    <w:rPr>
                      <w:rFonts w:hint="default" w:ascii="Times New Roman" w:hAnsi="Times New Roman" w:cs="Times New Roman"/>
                      <w:color w:val="auto"/>
                      <w:sz w:val="21"/>
                      <w:szCs w:val="21"/>
                    </w:rPr>
                  </w:pPr>
                </w:p>
              </w:tc>
              <w:tc>
                <w:tcPr>
                  <w:tcW w:w="815" w:type="pct"/>
                  <w:tcBorders>
                    <w:tl2br w:val="nil"/>
                    <w:tr2bl w:val="nil"/>
                  </w:tcBorders>
                  <w:noWrap w:val="0"/>
                  <w:vAlign w:val="center"/>
                </w:tcPr>
                <w:p w14:paraId="5A188DE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8E7AD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44F48F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C6565E8">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D0D970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绞车</w:t>
                  </w:r>
                </w:p>
              </w:tc>
              <w:tc>
                <w:tcPr>
                  <w:tcW w:w="1323" w:type="pct"/>
                  <w:tcBorders>
                    <w:tl2br w:val="nil"/>
                    <w:tr2bl w:val="nil"/>
                  </w:tcBorders>
                  <w:noWrap w:val="0"/>
                  <w:vAlign w:val="center"/>
                </w:tcPr>
                <w:p w14:paraId="41FA144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JC50DB</w:t>
                  </w:r>
                </w:p>
              </w:tc>
              <w:tc>
                <w:tcPr>
                  <w:tcW w:w="555" w:type="pct"/>
                  <w:tcBorders>
                    <w:tl2br w:val="nil"/>
                    <w:tr2bl w:val="nil"/>
                  </w:tcBorders>
                  <w:noWrap w:val="0"/>
                  <w:vAlign w:val="center"/>
                </w:tcPr>
                <w:p w14:paraId="598DB41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12411BC">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1</w:t>
                  </w:r>
                  <w:r>
                    <w:rPr>
                      <w:rFonts w:hint="default" w:ascii="Times New Roman" w:hAnsi="Times New Roman" w:eastAsia="宋体" w:cs="Times New Roman"/>
                      <w:color w:val="auto"/>
                      <w:sz w:val="21"/>
                      <w:szCs w:val="21"/>
                      <w:lang w:val="en-US"/>
                    </w:rPr>
                    <w:t>台</w:t>
                  </w:r>
                </w:p>
              </w:tc>
              <w:tc>
                <w:tcPr>
                  <w:tcW w:w="815" w:type="pct"/>
                  <w:tcBorders>
                    <w:tl2br w:val="nil"/>
                    <w:tr2bl w:val="nil"/>
                  </w:tcBorders>
                  <w:noWrap w:val="0"/>
                  <w:vAlign w:val="center"/>
                </w:tcPr>
                <w:p w14:paraId="6919C2D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6E0568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48CEA9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6CF84D6">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1D9EA1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游动滑车</w:t>
                  </w:r>
                </w:p>
              </w:tc>
              <w:tc>
                <w:tcPr>
                  <w:tcW w:w="1323" w:type="pct"/>
                  <w:tcBorders>
                    <w:tl2br w:val="nil"/>
                    <w:tr2bl w:val="nil"/>
                  </w:tcBorders>
                  <w:noWrap w:val="0"/>
                  <w:vAlign w:val="center"/>
                </w:tcPr>
                <w:p w14:paraId="586FCB6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YC-315</w:t>
                  </w:r>
                </w:p>
              </w:tc>
              <w:tc>
                <w:tcPr>
                  <w:tcW w:w="555" w:type="pct"/>
                  <w:tcBorders>
                    <w:tl2br w:val="nil"/>
                    <w:tr2bl w:val="nil"/>
                  </w:tcBorders>
                  <w:noWrap w:val="0"/>
                  <w:vAlign w:val="center"/>
                </w:tcPr>
                <w:p w14:paraId="4A14F3A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F7F056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D548E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1CEA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8EE0B7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F32E55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D426B8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大钩</w:t>
                  </w:r>
                </w:p>
              </w:tc>
              <w:tc>
                <w:tcPr>
                  <w:tcW w:w="1323" w:type="pct"/>
                  <w:tcBorders>
                    <w:tl2br w:val="nil"/>
                    <w:tr2bl w:val="nil"/>
                  </w:tcBorders>
                  <w:noWrap w:val="0"/>
                  <w:vAlign w:val="center"/>
                </w:tcPr>
                <w:p w14:paraId="0788B2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DG-315</w:t>
                  </w:r>
                </w:p>
              </w:tc>
              <w:tc>
                <w:tcPr>
                  <w:tcW w:w="555" w:type="pct"/>
                  <w:tcBorders>
                    <w:tl2br w:val="nil"/>
                    <w:tr2bl w:val="nil"/>
                  </w:tcBorders>
                  <w:noWrap w:val="0"/>
                  <w:vAlign w:val="center"/>
                </w:tcPr>
                <w:p w14:paraId="51E9AAA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83936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07DAB48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4005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296C76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6EF96B6">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355470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转盘</w:t>
                  </w:r>
                </w:p>
              </w:tc>
              <w:tc>
                <w:tcPr>
                  <w:tcW w:w="1323" w:type="pct"/>
                  <w:tcBorders>
                    <w:tl2br w:val="nil"/>
                    <w:tr2bl w:val="nil"/>
                  </w:tcBorders>
                  <w:noWrap w:val="0"/>
                  <w:vAlign w:val="center"/>
                </w:tcPr>
                <w:p w14:paraId="207B3B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ZP-275</w:t>
                  </w:r>
                </w:p>
              </w:tc>
              <w:tc>
                <w:tcPr>
                  <w:tcW w:w="555" w:type="pct"/>
                  <w:tcBorders>
                    <w:tl2br w:val="nil"/>
                    <w:tr2bl w:val="nil"/>
                  </w:tcBorders>
                  <w:noWrap w:val="0"/>
                  <w:vAlign w:val="center"/>
                </w:tcPr>
                <w:p w14:paraId="3C480F0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F9DA48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341866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10A79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822CA0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FE2669D">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EAC9D4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泥浆泵</w:t>
                  </w:r>
                </w:p>
              </w:tc>
              <w:tc>
                <w:tcPr>
                  <w:tcW w:w="1323" w:type="pct"/>
                  <w:tcBorders>
                    <w:tl2br w:val="nil"/>
                    <w:tr2bl w:val="nil"/>
                  </w:tcBorders>
                  <w:noWrap w:val="0"/>
                  <w:vAlign w:val="center"/>
                </w:tcPr>
                <w:p w14:paraId="0F0010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F-1600</w:t>
                  </w:r>
                </w:p>
              </w:tc>
              <w:tc>
                <w:tcPr>
                  <w:tcW w:w="555" w:type="pct"/>
                  <w:tcBorders>
                    <w:tl2br w:val="nil"/>
                    <w:tr2bl w:val="nil"/>
                  </w:tcBorders>
                  <w:noWrap w:val="0"/>
                  <w:vAlign w:val="center"/>
                </w:tcPr>
                <w:p w14:paraId="3E8D3FA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A5DC3A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B539B9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D4641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25A8749">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7E021B9">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19A371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除砂器</w:t>
                  </w:r>
                </w:p>
              </w:tc>
              <w:tc>
                <w:tcPr>
                  <w:tcW w:w="1323" w:type="pct"/>
                  <w:tcBorders>
                    <w:tl2br w:val="nil"/>
                    <w:tr2bl w:val="nil"/>
                  </w:tcBorders>
                  <w:noWrap w:val="0"/>
                  <w:vAlign w:val="center"/>
                </w:tcPr>
                <w:p w14:paraId="532461D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ZQJ250×2</w:t>
                  </w:r>
                </w:p>
              </w:tc>
              <w:tc>
                <w:tcPr>
                  <w:tcW w:w="555" w:type="pct"/>
                  <w:tcBorders>
                    <w:tl2br w:val="nil"/>
                    <w:tr2bl w:val="nil"/>
                  </w:tcBorders>
                  <w:noWrap w:val="0"/>
                  <w:vAlign w:val="center"/>
                </w:tcPr>
                <w:p w14:paraId="589D370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7CDFDD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5338E7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DE4A5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BFCEF0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8287BC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F3570F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除泥器</w:t>
                  </w:r>
                </w:p>
              </w:tc>
              <w:tc>
                <w:tcPr>
                  <w:tcW w:w="1323" w:type="pct"/>
                  <w:tcBorders>
                    <w:tl2br w:val="nil"/>
                    <w:tr2bl w:val="nil"/>
                  </w:tcBorders>
                  <w:noWrap w:val="0"/>
                  <w:vAlign w:val="center"/>
                </w:tcPr>
                <w:p w14:paraId="58E6463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ZQJ100×10</w:t>
                  </w:r>
                </w:p>
              </w:tc>
              <w:tc>
                <w:tcPr>
                  <w:tcW w:w="555" w:type="pct"/>
                  <w:tcBorders>
                    <w:tl2br w:val="nil"/>
                    <w:tr2bl w:val="nil"/>
                  </w:tcBorders>
                  <w:noWrap w:val="0"/>
                  <w:vAlign w:val="center"/>
                </w:tcPr>
                <w:p w14:paraId="6C4949F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6AD0A7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150BC8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2BE17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22D531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8865369">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73D41C9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离心机</w:t>
                  </w:r>
                </w:p>
              </w:tc>
              <w:tc>
                <w:tcPr>
                  <w:tcW w:w="1323" w:type="pct"/>
                  <w:tcBorders>
                    <w:tl2br w:val="nil"/>
                    <w:tr2bl w:val="nil"/>
                  </w:tcBorders>
                  <w:noWrap w:val="0"/>
                  <w:vAlign w:val="center"/>
                </w:tcPr>
                <w:p w14:paraId="3555554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LW600</w:t>
                  </w:r>
                </w:p>
              </w:tc>
              <w:tc>
                <w:tcPr>
                  <w:tcW w:w="555" w:type="pct"/>
                  <w:tcBorders>
                    <w:tl2br w:val="nil"/>
                    <w:tr2bl w:val="nil"/>
                  </w:tcBorders>
                  <w:noWrap w:val="0"/>
                  <w:vAlign w:val="center"/>
                </w:tcPr>
                <w:p w14:paraId="24E463F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CD5FAF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4EE04CF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CD5E5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AFCA1D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202A184D">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CB4DFE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除气器</w:t>
                  </w:r>
                </w:p>
              </w:tc>
              <w:tc>
                <w:tcPr>
                  <w:tcW w:w="1323" w:type="pct"/>
                  <w:tcBorders>
                    <w:tl2br w:val="nil"/>
                    <w:tr2bl w:val="nil"/>
                  </w:tcBorders>
                  <w:noWrap w:val="0"/>
                  <w:vAlign w:val="center"/>
                </w:tcPr>
                <w:p w14:paraId="154CDDE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CQ1/4</w:t>
                  </w:r>
                </w:p>
              </w:tc>
              <w:tc>
                <w:tcPr>
                  <w:tcW w:w="555" w:type="pct"/>
                  <w:tcBorders>
                    <w:tl2br w:val="nil"/>
                    <w:tr2bl w:val="nil"/>
                  </w:tcBorders>
                  <w:noWrap w:val="0"/>
                  <w:vAlign w:val="center"/>
                </w:tcPr>
                <w:p w14:paraId="6A17F3E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6539AA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B61882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90804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0CA8CD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901DF8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D22109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振动筛</w:t>
                  </w:r>
                </w:p>
              </w:tc>
              <w:tc>
                <w:tcPr>
                  <w:tcW w:w="1323" w:type="pct"/>
                  <w:tcBorders>
                    <w:tl2br w:val="nil"/>
                    <w:tr2bl w:val="nil"/>
                  </w:tcBorders>
                  <w:noWrap w:val="0"/>
                  <w:vAlign w:val="center"/>
                </w:tcPr>
                <w:p w14:paraId="5BBE0A6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CQ-2</w:t>
                  </w:r>
                </w:p>
              </w:tc>
              <w:tc>
                <w:tcPr>
                  <w:tcW w:w="555" w:type="pct"/>
                  <w:tcBorders>
                    <w:tl2br w:val="nil"/>
                    <w:tr2bl w:val="nil"/>
                  </w:tcBorders>
                  <w:noWrap w:val="0"/>
                  <w:vAlign w:val="center"/>
                </w:tcPr>
                <w:p w14:paraId="20DF1B7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D53B63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2165C4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9F324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41C234E">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9A71466">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CA2E95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漏斗</w:t>
                  </w:r>
                </w:p>
              </w:tc>
              <w:tc>
                <w:tcPr>
                  <w:tcW w:w="1323" w:type="pct"/>
                  <w:tcBorders>
                    <w:tl2br w:val="nil"/>
                    <w:tr2bl w:val="nil"/>
                  </w:tcBorders>
                  <w:noWrap w:val="0"/>
                  <w:vAlign w:val="center"/>
                </w:tcPr>
                <w:p w14:paraId="676EA33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35D651E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6109B2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26746C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502D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271223C">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1400954">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B81483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加重泵</w:t>
                  </w:r>
                </w:p>
              </w:tc>
              <w:tc>
                <w:tcPr>
                  <w:tcW w:w="1323" w:type="pct"/>
                  <w:tcBorders>
                    <w:tl2br w:val="nil"/>
                    <w:tr2bl w:val="nil"/>
                  </w:tcBorders>
                  <w:noWrap w:val="0"/>
                  <w:vAlign w:val="center"/>
                </w:tcPr>
                <w:p w14:paraId="625822F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4612C32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593D3E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472089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EA6C5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269248E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569" w:type="pct"/>
                  <w:vMerge w:val="restart"/>
                  <w:tcBorders>
                    <w:tl2br w:val="nil"/>
                    <w:tr2bl w:val="nil"/>
                  </w:tcBorders>
                  <w:noWrap w:val="0"/>
                  <w:vAlign w:val="center"/>
                </w:tcPr>
                <w:p w14:paraId="0A2B2CA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钻机控制系统</w:t>
                  </w:r>
                </w:p>
              </w:tc>
              <w:tc>
                <w:tcPr>
                  <w:tcW w:w="966" w:type="pct"/>
                  <w:tcBorders>
                    <w:tl2br w:val="nil"/>
                    <w:tr2bl w:val="nil"/>
                  </w:tcBorders>
                  <w:noWrap w:val="0"/>
                  <w:vAlign w:val="center"/>
                </w:tcPr>
                <w:p w14:paraId="096765A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自动压风机</w:t>
                  </w:r>
                </w:p>
              </w:tc>
              <w:tc>
                <w:tcPr>
                  <w:tcW w:w="1323" w:type="pct"/>
                  <w:tcBorders>
                    <w:tl2br w:val="nil"/>
                    <w:tr2bl w:val="nil"/>
                  </w:tcBorders>
                  <w:noWrap w:val="0"/>
                  <w:vAlign w:val="center"/>
                </w:tcPr>
                <w:p w14:paraId="394DBB2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7966052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D0027D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64E04C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8659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C0D1F1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3FE078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8E2C5B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电动压风机</w:t>
                  </w:r>
                </w:p>
              </w:tc>
              <w:tc>
                <w:tcPr>
                  <w:tcW w:w="1323" w:type="pct"/>
                  <w:tcBorders>
                    <w:tl2br w:val="nil"/>
                    <w:tr2bl w:val="nil"/>
                  </w:tcBorders>
                  <w:noWrap w:val="0"/>
                  <w:vAlign w:val="center"/>
                </w:tcPr>
                <w:p w14:paraId="06D18B3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5C78155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9B613F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4635CAC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21236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25B093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269C03F">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37268F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刹车系统</w:t>
                  </w:r>
                </w:p>
              </w:tc>
              <w:tc>
                <w:tcPr>
                  <w:tcW w:w="1323" w:type="pct"/>
                  <w:tcBorders>
                    <w:tl2br w:val="nil"/>
                    <w:tr2bl w:val="nil"/>
                  </w:tcBorders>
                  <w:noWrap w:val="0"/>
                  <w:vAlign w:val="center"/>
                </w:tcPr>
                <w:p w14:paraId="1DEA13C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PSZ75</w:t>
                  </w:r>
                  <w:r>
                    <w:rPr>
                      <w:rFonts w:hint="default" w:ascii="Times New Roman" w:hAnsi="Times New Roman" w:eastAsia="宋体" w:cs="Times New Roman"/>
                      <w:color w:val="auto"/>
                      <w:sz w:val="21"/>
                      <w:szCs w:val="21"/>
                    </w:rPr>
                    <w:t>液压盘刹车系统</w:t>
                  </w:r>
                </w:p>
              </w:tc>
              <w:tc>
                <w:tcPr>
                  <w:tcW w:w="555" w:type="pct"/>
                  <w:tcBorders>
                    <w:tl2br w:val="nil"/>
                    <w:tr2bl w:val="nil"/>
                  </w:tcBorders>
                  <w:noWrap w:val="0"/>
                  <w:vAlign w:val="center"/>
                </w:tcPr>
                <w:p w14:paraId="0127A9B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0CC6CB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08D09B0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7C05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B9DC96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DD35F90">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81EE56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辅助刹车</w:t>
                  </w:r>
                </w:p>
              </w:tc>
              <w:tc>
                <w:tcPr>
                  <w:tcW w:w="1323" w:type="pct"/>
                  <w:tcBorders>
                    <w:tl2br w:val="nil"/>
                    <w:tr2bl w:val="nil"/>
                  </w:tcBorders>
                  <w:noWrap w:val="0"/>
                  <w:vAlign w:val="center"/>
                </w:tcPr>
                <w:p w14:paraId="4983F5F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SDF50L</w:t>
                  </w:r>
                </w:p>
              </w:tc>
              <w:tc>
                <w:tcPr>
                  <w:tcW w:w="555" w:type="pct"/>
                  <w:tcBorders>
                    <w:tl2br w:val="nil"/>
                    <w:tr2bl w:val="nil"/>
                  </w:tcBorders>
                  <w:noWrap w:val="0"/>
                  <w:vAlign w:val="center"/>
                </w:tcPr>
                <w:p w14:paraId="41FF233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69D9BE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15BA217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2AE2B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4152C5D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569" w:type="pct"/>
                  <w:vMerge w:val="restart"/>
                  <w:tcBorders>
                    <w:tl2br w:val="nil"/>
                    <w:tr2bl w:val="nil"/>
                  </w:tcBorders>
                  <w:noWrap w:val="0"/>
                  <w:vAlign w:val="center"/>
                </w:tcPr>
                <w:p w14:paraId="5C59666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井控装置</w:t>
                  </w:r>
                </w:p>
              </w:tc>
              <w:tc>
                <w:tcPr>
                  <w:tcW w:w="966" w:type="pct"/>
                  <w:tcBorders>
                    <w:tl2br w:val="nil"/>
                    <w:tr2bl w:val="nil"/>
                  </w:tcBorders>
                  <w:noWrap w:val="0"/>
                  <w:vAlign w:val="center"/>
                </w:tcPr>
                <w:p w14:paraId="707D739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环形防喷器</w:t>
                  </w:r>
                </w:p>
              </w:tc>
              <w:tc>
                <w:tcPr>
                  <w:tcW w:w="1323" w:type="pct"/>
                  <w:tcBorders>
                    <w:tl2br w:val="nil"/>
                    <w:tr2bl w:val="nil"/>
                  </w:tcBorders>
                  <w:noWrap w:val="0"/>
                  <w:vAlign w:val="center"/>
                </w:tcPr>
                <w:p w14:paraId="385801B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FH28-35</w:t>
                  </w:r>
                </w:p>
              </w:tc>
              <w:tc>
                <w:tcPr>
                  <w:tcW w:w="555" w:type="pct"/>
                  <w:tcBorders>
                    <w:tl2br w:val="nil"/>
                    <w:tr2bl w:val="nil"/>
                  </w:tcBorders>
                  <w:noWrap w:val="0"/>
                  <w:vAlign w:val="center"/>
                </w:tcPr>
                <w:p w14:paraId="63BE1E5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54A765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068F365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60DF8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4FF02B1">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DFA946A">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2E033F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闸板防喷器</w:t>
                  </w:r>
                </w:p>
              </w:tc>
              <w:tc>
                <w:tcPr>
                  <w:tcW w:w="1323" w:type="pct"/>
                  <w:tcBorders>
                    <w:tl2br w:val="nil"/>
                    <w:tr2bl w:val="nil"/>
                  </w:tcBorders>
                  <w:noWrap w:val="0"/>
                  <w:vAlign w:val="center"/>
                </w:tcPr>
                <w:p w14:paraId="7363663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2FZ28-35</w:t>
                  </w:r>
                </w:p>
              </w:tc>
              <w:tc>
                <w:tcPr>
                  <w:tcW w:w="555" w:type="pct"/>
                  <w:tcBorders>
                    <w:tl2br w:val="nil"/>
                    <w:tr2bl w:val="nil"/>
                  </w:tcBorders>
                  <w:noWrap w:val="0"/>
                  <w:vAlign w:val="center"/>
                </w:tcPr>
                <w:p w14:paraId="31554BA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1C23CF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6DF913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3C24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845302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6014319">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9BB12F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四通</w:t>
                  </w:r>
                </w:p>
              </w:tc>
              <w:tc>
                <w:tcPr>
                  <w:tcW w:w="1323" w:type="pct"/>
                  <w:tcBorders>
                    <w:tl2br w:val="nil"/>
                    <w:tr2bl w:val="nil"/>
                  </w:tcBorders>
                  <w:noWrap w:val="0"/>
                  <w:vAlign w:val="center"/>
                </w:tcPr>
                <w:p w14:paraId="29B20CC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FS28-35</w:t>
                  </w:r>
                </w:p>
              </w:tc>
              <w:tc>
                <w:tcPr>
                  <w:tcW w:w="555" w:type="pct"/>
                  <w:tcBorders>
                    <w:tl2br w:val="nil"/>
                    <w:tr2bl w:val="nil"/>
                  </w:tcBorders>
                  <w:noWrap w:val="0"/>
                  <w:vAlign w:val="center"/>
                </w:tcPr>
                <w:p w14:paraId="512E09B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07B3C7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0C782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34908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5" w:hRule="atLeast"/>
                <w:jc w:val="center"/>
              </w:trPr>
              <w:tc>
                <w:tcPr>
                  <w:tcW w:w="252" w:type="pct"/>
                  <w:vMerge w:val="continue"/>
                  <w:tcBorders>
                    <w:tl2br w:val="nil"/>
                    <w:tr2bl w:val="nil"/>
                  </w:tcBorders>
                  <w:noWrap w:val="0"/>
                  <w:vAlign w:val="center"/>
                </w:tcPr>
                <w:p w14:paraId="37EC12D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B7021F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1D855E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节流管汇</w:t>
                  </w:r>
                </w:p>
              </w:tc>
              <w:tc>
                <w:tcPr>
                  <w:tcW w:w="1323" w:type="pct"/>
                  <w:tcBorders>
                    <w:tl2br w:val="nil"/>
                    <w:tr2bl w:val="nil"/>
                  </w:tcBorders>
                  <w:noWrap w:val="0"/>
                  <w:vAlign w:val="center"/>
                </w:tcPr>
                <w:p w14:paraId="14232F5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JG-35</w:t>
                  </w:r>
                </w:p>
              </w:tc>
              <w:tc>
                <w:tcPr>
                  <w:tcW w:w="555" w:type="pct"/>
                  <w:tcBorders>
                    <w:tl2br w:val="nil"/>
                    <w:tr2bl w:val="nil"/>
                  </w:tcBorders>
                  <w:noWrap w:val="0"/>
                  <w:vAlign w:val="center"/>
                </w:tcPr>
                <w:p w14:paraId="2F04DEC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206B0A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1014576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1C571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10095E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C6B37F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E4F28C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压井管汇</w:t>
                  </w:r>
                </w:p>
              </w:tc>
              <w:tc>
                <w:tcPr>
                  <w:tcW w:w="1323" w:type="pct"/>
                  <w:tcBorders>
                    <w:tl2br w:val="nil"/>
                    <w:tr2bl w:val="nil"/>
                  </w:tcBorders>
                  <w:noWrap w:val="0"/>
                  <w:vAlign w:val="center"/>
                </w:tcPr>
                <w:p w14:paraId="5FC74FD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YJ-35</w:t>
                  </w:r>
                </w:p>
              </w:tc>
              <w:tc>
                <w:tcPr>
                  <w:tcW w:w="555" w:type="pct"/>
                  <w:tcBorders>
                    <w:tl2br w:val="nil"/>
                    <w:tr2bl w:val="nil"/>
                  </w:tcBorders>
                  <w:noWrap w:val="0"/>
                  <w:vAlign w:val="center"/>
                </w:tcPr>
                <w:p w14:paraId="3EE635E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BF4FE9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379374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D876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DCEB8B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C661D9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E79B37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控制装置</w:t>
                  </w:r>
                </w:p>
              </w:tc>
              <w:tc>
                <w:tcPr>
                  <w:tcW w:w="1323" w:type="pct"/>
                  <w:tcBorders>
                    <w:tl2br w:val="nil"/>
                    <w:tr2bl w:val="nil"/>
                  </w:tcBorders>
                  <w:noWrap w:val="0"/>
                  <w:vAlign w:val="center"/>
                </w:tcPr>
                <w:p w14:paraId="222E6FC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FKQ3204B</w:t>
                  </w:r>
                </w:p>
              </w:tc>
              <w:tc>
                <w:tcPr>
                  <w:tcW w:w="555" w:type="pct"/>
                  <w:tcBorders>
                    <w:tl2br w:val="nil"/>
                    <w:tr2bl w:val="nil"/>
                  </w:tcBorders>
                  <w:noWrap w:val="0"/>
                  <w:vAlign w:val="center"/>
                </w:tcPr>
                <w:p w14:paraId="522779B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FD9132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2C559C9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7268D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519F500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569" w:type="pct"/>
                  <w:vMerge w:val="restart"/>
                  <w:tcBorders>
                    <w:tl2br w:val="nil"/>
                    <w:tr2bl w:val="nil"/>
                  </w:tcBorders>
                  <w:noWrap w:val="0"/>
                  <w:vAlign w:val="center"/>
                </w:tcPr>
                <w:p w14:paraId="374090C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检测系统</w:t>
                  </w:r>
                </w:p>
              </w:tc>
              <w:tc>
                <w:tcPr>
                  <w:tcW w:w="966" w:type="pct"/>
                  <w:tcBorders>
                    <w:tl2br w:val="nil"/>
                    <w:tr2bl w:val="nil"/>
                  </w:tcBorders>
                  <w:noWrap w:val="0"/>
                  <w:vAlign w:val="center"/>
                </w:tcPr>
                <w:p w14:paraId="42F75FB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固定式多功能气体检测仪</w:t>
                  </w:r>
                </w:p>
              </w:tc>
              <w:tc>
                <w:tcPr>
                  <w:tcW w:w="1323" w:type="pct"/>
                  <w:tcBorders>
                    <w:tl2br w:val="nil"/>
                    <w:tr2bl w:val="nil"/>
                  </w:tcBorders>
                  <w:noWrap w:val="0"/>
                  <w:vAlign w:val="center"/>
                </w:tcPr>
                <w:p w14:paraId="193F22F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11389B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87BCA8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04B2670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BE05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A69C48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254DF5B4">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736856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便携式复合气体检测仪</w:t>
                  </w:r>
                </w:p>
              </w:tc>
              <w:tc>
                <w:tcPr>
                  <w:tcW w:w="1323" w:type="pct"/>
                  <w:tcBorders>
                    <w:tl2br w:val="nil"/>
                    <w:tr2bl w:val="nil"/>
                  </w:tcBorders>
                  <w:noWrap w:val="0"/>
                  <w:vAlign w:val="center"/>
                </w:tcPr>
                <w:p w14:paraId="7D0EBCF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7A96E50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644687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C75B15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FF00F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4C96D1C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569" w:type="pct"/>
                  <w:tcBorders>
                    <w:tl2br w:val="nil"/>
                    <w:tr2bl w:val="nil"/>
                  </w:tcBorders>
                  <w:noWrap w:val="0"/>
                  <w:vAlign w:val="center"/>
                </w:tcPr>
                <w:p w14:paraId="5220D79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呼吸器</w:t>
                  </w:r>
                </w:p>
              </w:tc>
              <w:tc>
                <w:tcPr>
                  <w:tcW w:w="966" w:type="pct"/>
                  <w:tcBorders>
                    <w:tl2br w:val="nil"/>
                    <w:tr2bl w:val="nil"/>
                  </w:tcBorders>
                  <w:noWrap w:val="0"/>
                  <w:vAlign w:val="center"/>
                </w:tcPr>
                <w:p w14:paraId="7D1F85B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正压式空气呼吸器</w:t>
                  </w:r>
                </w:p>
              </w:tc>
              <w:tc>
                <w:tcPr>
                  <w:tcW w:w="1323" w:type="pct"/>
                  <w:tcBorders>
                    <w:tl2br w:val="nil"/>
                    <w:tr2bl w:val="nil"/>
                  </w:tcBorders>
                  <w:noWrap w:val="0"/>
                  <w:vAlign w:val="center"/>
                </w:tcPr>
                <w:p w14:paraId="526DB3C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C7B01D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21D2C6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15" w:type="pct"/>
                  <w:tcBorders>
                    <w:tl2br w:val="nil"/>
                    <w:tr2bl w:val="nil"/>
                  </w:tcBorders>
                  <w:noWrap w:val="0"/>
                  <w:vAlign w:val="center"/>
                </w:tcPr>
                <w:p w14:paraId="6E198B6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当班生产人员每人1套，并配备2套作为公用</w:t>
                  </w:r>
                </w:p>
              </w:tc>
            </w:tr>
            <w:tr w14:paraId="32285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5DC87D0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6</w:t>
                  </w:r>
                </w:p>
              </w:tc>
              <w:tc>
                <w:tcPr>
                  <w:tcW w:w="569" w:type="pct"/>
                  <w:vMerge w:val="restart"/>
                  <w:tcBorders>
                    <w:tl2br w:val="nil"/>
                    <w:tr2bl w:val="nil"/>
                  </w:tcBorders>
                  <w:noWrap w:val="0"/>
                  <w:vAlign w:val="center"/>
                </w:tcPr>
                <w:p w14:paraId="2A82B4A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循环系统 配置</w:t>
                  </w:r>
                </w:p>
              </w:tc>
              <w:tc>
                <w:tcPr>
                  <w:tcW w:w="966" w:type="pct"/>
                  <w:tcBorders>
                    <w:tl2br w:val="nil"/>
                    <w:tr2bl w:val="nil"/>
                  </w:tcBorders>
                  <w:noWrap w:val="0"/>
                  <w:vAlign w:val="center"/>
                </w:tcPr>
                <w:p w14:paraId="0C2325A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钻井泵</w:t>
                  </w:r>
                </w:p>
              </w:tc>
              <w:tc>
                <w:tcPr>
                  <w:tcW w:w="1323" w:type="pct"/>
                  <w:tcBorders>
                    <w:tl2br w:val="nil"/>
                    <w:tr2bl w:val="nil"/>
                  </w:tcBorders>
                  <w:noWrap w:val="0"/>
                  <w:vAlign w:val="center"/>
                </w:tcPr>
                <w:p w14:paraId="0D5FE99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4F3BB0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76D816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E6205B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2DED5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F0F433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4967448">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42B253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洗井废水罐</w:t>
                  </w:r>
                </w:p>
              </w:tc>
              <w:tc>
                <w:tcPr>
                  <w:tcW w:w="1323" w:type="pct"/>
                  <w:tcBorders>
                    <w:tl2br w:val="nil"/>
                    <w:tr2bl w:val="nil"/>
                  </w:tcBorders>
                  <w:noWrap w:val="0"/>
                  <w:vAlign w:val="center"/>
                </w:tcPr>
                <w:p w14:paraId="72E0C21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AB5CCC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355318A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2634A01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B0D2D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28259B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AEE0DE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4C20AE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压裂返排液罐</w:t>
                  </w:r>
                </w:p>
              </w:tc>
              <w:tc>
                <w:tcPr>
                  <w:tcW w:w="1323" w:type="pct"/>
                  <w:tcBorders>
                    <w:tl2br w:val="nil"/>
                    <w:tr2bl w:val="nil"/>
                  </w:tcBorders>
                  <w:noWrap w:val="0"/>
                  <w:vAlign w:val="center"/>
                </w:tcPr>
                <w:p w14:paraId="5B97ECF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219A5BC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366B47C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45DC96A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1C742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2026193">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7D3EBE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DA32C3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移动式泥饼和岩屑收集罐</w:t>
                  </w:r>
                </w:p>
              </w:tc>
              <w:tc>
                <w:tcPr>
                  <w:tcW w:w="1323" w:type="pct"/>
                  <w:tcBorders>
                    <w:tl2br w:val="nil"/>
                    <w:tr2bl w:val="nil"/>
                  </w:tcBorders>
                  <w:noWrap w:val="0"/>
                  <w:vAlign w:val="center"/>
                </w:tcPr>
                <w:p w14:paraId="30EC827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EDE0B8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7F8E5B1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13C220B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4588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955228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C3A083C">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1F6C5A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放喷废液收集罐</w:t>
                  </w:r>
                </w:p>
              </w:tc>
              <w:tc>
                <w:tcPr>
                  <w:tcW w:w="1323" w:type="pct"/>
                  <w:tcBorders>
                    <w:tl2br w:val="nil"/>
                    <w:tr2bl w:val="nil"/>
                  </w:tcBorders>
                  <w:noWrap w:val="0"/>
                  <w:vAlign w:val="center"/>
                </w:tcPr>
                <w:p w14:paraId="3A5CB0D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6351BA2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7BD6E13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7445B81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2E77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C9B3FF0">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C9D322C">
                  <w:pPr>
                    <w:adjustRightInd w:val="0"/>
                    <w:snapToGrid w:val="0"/>
                    <w:jc w:val="center"/>
                    <w:rPr>
                      <w:rFonts w:hint="default" w:ascii="Times New Roman" w:hAnsi="Times New Roman" w:cs="Times New Roman"/>
                      <w:color w:val="auto"/>
                      <w:sz w:val="21"/>
                      <w:szCs w:val="21"/>
                    </w:rPr>
                  </w:pPr>
                </w:p>
              </w:tc>
              <w:tc>
                <w:tcPr>
                  <w:tcW w:w="1622" w:type="dxa"/>
                  <w:tcBorders>
                    <w:tl2br w:val="nil"/>
                    <w:tr2bl w:val="nil"/>
                  </w:tcBorders>
                  <w:noWrap w:val="0"/>
                  <w:vAlign w:val="center"/>
                </w:tcPr>
                <w:p w14:paraId="23870E5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泥浆循环罐</w:t>
                  </w:r>
                </w:p>
              </w:tc>
              <w:tc>
                <w:tcPr>
                  <w:tcW w:w="2222" w:type="dxa"/>
                  <w:tcBorders>
                    <w:tl2br w:val="nil"/>
                    <w:tr2bl w:val="nil"/>
                  </w:tcBorders>
                  <w:noWrap w:val="0"/>
                  <w:vAlign w:val="center"/>
                </w:tcPr>
                <w:p w14:paraId="401B121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32" w:type="dxa"/>
                  <w:tcBorders>
                    <w:tl2br w:val="nil"/>
                    <w:tr2bl w:val="nil"/>
                  </w:tcBorders>
                  <w:noWrap w:val="0"/>
                  <w:vAlign w:val="center"/>
                </w:tcPr>
                <w:p w14:paraId="7E64FE2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p>
              </w:tc>
              <w:tc>
                <w:tcPr>
                  <w:tcW w:w="868" w:type="dxa"/>
                  <w:tcBorders>
                    <w:tl2br w:val="nil"/>
                    <w:tr2bl w:val="nil"/>
                  </w:tcBorders>
                  <w:noWrap w:val="0"/>
                  <w:vAlign w:val="center"/>
                </w:tcPr>
                <w:p w14:paraId="0B9A8BE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7个</w:t>
                  </w:r>
                </w:p>
              </w:tc>
              <w:tc>
                <w:tcPr>
                  <w:tcW w:w="1369" w:type="dxa"/>
                  <w:tcBorders>
                    <w:tl2br w:val="nil"/>
                    <w:tr2bl w:val="nil"/>
                  </w:tcBorders>
                  <w:noWrap w:val="0"/>
                  <w:vAlign w:val="center"/>
                </w:tcPr>
                <w:p w14:paraId="2AA6B41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1DAF6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F33B58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D26510E">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A68949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搅拌器</w:t>
                  </w:r>
                </w:p>
              </w:tc>
              <w:tc>
                <w:tcPr>
                  <w:tcW w:w="1323" w:type="pct"/>
                  <w:tcBorders>
                    <w:tl2br w:val="nil"/>
                    <w:tr2bl w:val="nil"/>
                  </w:tcBorders>
                  <w:noWrap w:val="0"/>
                  <w:vAlign w:val="center"/>
                </w:tcPr>
                <w:p w14:paraId="52CF7D1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6AE31C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NJ-7.5</w:t>
                  </w:r>
                </w:p>
              </w:tc>
              <w:tc>
                <w:tcPr>
                  <w:tcW w:w="517" w:type="pct"/>
                  <w:tcBorders>
                    <w:tl2br w:val="nil"/>
                    <w:tr2bl w:val="nil"/>
                  </w:tcBorders>
                  <w:noWrap w:val="0"/>
                  <w:vAlign w:val="center"/>
                </w:tcPr>
                <w:p w14:paraId="243BC9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3C0030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DD9F9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20478E1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569" w:type="pct"/>
                  <w:tcBorders>
                    <w:tl2br w:val="nil"/>
                    <w:tr2bl w:val="nil"/>
                  </w:tcBorders>
                  <w:noWrap w:val="0"/>
                  <w:vAlign w:val="center"/>
                </w:tcPr>
                <w:p w14:paraId="7A9B78E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压裂设备</w:t>
                  </w:r>
                </w:p>
              </w:tc>
              <w:tc>
                <w:tcPr>
                  <w:tcW w:w="966" w:type="pct"/>
                  <w:tcBorders>
                    <w:tl2br w:val="nil"/>
                    <w:tr2bl w:val="nil"/>
                  </w:tcBorders>
                  <w:noWrap w:val="0"/>
                  <w:vAlign w:val="center"/>
                </w:tcPr>
                <w:p w14:paraId="497EC2D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压裂车</w:t>
                  </w:r>
                </w:p>
              </w:tc>
              <w:tc>
                <w:tcPr>
                  <w:tcW w:w="1323" w:type="pct"/>
                  <w:tcBorders>
                    <w:tl2br w:val="nil"/>
                    <w:tr2bl w:val="nil"/>
                  </w:tcBorders>
                  <w:noWrap w:val="0"/>
                  <w:vAlign w:val="center"/>
                </w:tcPr>
                <w:p w14:paraId="73A5F4B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2573BCC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88F731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4台</w:t>
                  </w:r>
                </w:p>
              </w:tc>
              <w:tc>
                <w:tcPr>
                  <w:tcW w:w="815" w:type="pct"/>
                  <w:tcBorders>
                    <w:tl2br w:val="nil"/>
                    <w:tr2bl w:val="nil"/>
                  </w:tcBorders>
                  <w:noWrap w:val="0"/>
                  <w:vAlign w:val="center"/>
                </w:tcPr>
                <w:p w14:paraId="16466F5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由发动机、液力传动箱、压力泵、吸入排出管汇、安全系统、润滑系统、电路系统、液压系统、仪表及控制系统等组成</w:t>
                  </w:r>
                </w:p>
              </w:tc>
            </w:tr>
          </w:tbl>
          <w:p w14:paraId="5E5DD34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（2）测井设备</w:t>
            </w:r>
          </w:p>
          <w:p w14:paraId="183150D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测井是利用专用仪器设备测量岩层的电化学特性、导电特性、声学特性、放射性等地球物理特性，以获取岩层的孔隙度、渗透率以及含气情况等地层信息。本项目完井测井采用CPlog系列仪器，小井眼采用吉艾GILEE系列仪器，测井项目包括双侧向、声波时差、自然伽马、自然电位、井径、方位等。</w:t>
            </w:r>
          </w:p>
          <w:p w14:paraId="43396C9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（3）录井设备</w:t>
            </w:r>
          </w:p>
          <w:p w14:paraId="7F42A89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录井是利用肉眼、综合录井仪，观察、采集、收集、记录、分析随钻过程中由井筒返出的固体、液体、气体等井筒返出物信息，以此建立录井地质剖面、发现油气显示，并为钻井提供信息服务。录井主要设备为综合录井仪。</w:t>
            </w:r>
          </w:p>
          <w:p w14:paraId="7E7BBB8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（4）钻井泥浆固液分离设备</w:t>
            </w:r>
          </w:p>
          <w:p w14:paraId="34E884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钻井泥浆固液分离设备见表2-</w:t>
            </w:r>
            <w:r>
              <w:rPr>
                <w:rFonts w:hint="eastAsia" w:ascii="Times New Roman" w:hAnsi="Times New Roman" w:eastAsia="宋体" w:cs="Times New Roman"/>
                <w:b w:val="0"/>
                <w:bCs w:val="0"/>
                <w:color w:val="auto"/>
                <w:sz w:val="24"/>
                <w:szCs w:val="24"/>
                <w:vertAlign w:val="baseline"/>
                <w:lang w:val="en-US" w:eastAsia="zh-CN"/>
              </w:rPr>
              <w:t>7</w:t>
            </w:r>
            <w:r>
              <w:rPr>
                <w:rFonts w:hint="default" w:ascii="Times New Roman" w:hAnsi="Times New Roman" w:eastAsia="宋体" w:cs="Times New Roman"/>
                <w:b w:val="0"/>
                <w:bCs w:val="0"/>
                <w:color w:val="auto"/>
                <w:sz w:val="24"/>
                <w:szCs w:val="24"/>
                <w:vertAlign w:val="baseline"/>
                <w:lang w:val="en-US" w:eastAsia="zh-CN"/>
              </w:rPr>
              <w:t>。</w:t>
            </w:r>
          </w:p>
          <w:p w14:paraId="706E4D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单井钻井泥浆固液分离设备一览表</w:t>
            </w:r>
          </w:p>
          <w:tbl>
            <w:tblPr>
              <w:tblStyle w:val="19"/>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477"/>
              <w:gridCol w:w="2342"/>
              <w:gridCol w:w="1760"/>
              <w:gridCol w:w="2386"/>
              <w:gridCol w:w="1422"/>
            </w:tblGrid>
            <w:tr w14:paraId="27EE22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284" w:type="pct"/>
                  <w:tcBorders>
                    <w:tl2br w:val="nil"/>
                    <w:tr2bl w:val="nil"/>
                  </w:tcBorders>
                  <w:noWrap w:val="0"/>
                  <w:vAlign w:val="center"/>
                </w:tcPr>
                <w:p w14:paraId="4C00F06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396" w:type="pct"/>
                  <w:tcBorders>
                    <w:tl2br w:val="nil"/>
                    <w:tr2bl w:val="nil"/>
                  </w:tcBorders>
                  <w:noWrap w:val="0"/>
                  <w:vAlign w:val="center"/>
                </w:tcPr>
                <w:p w14:paraId="0343CFA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名称</w:t>
                  </w:r>
                </w:p>
              </w:tc>
              <w:tc>
                <w:tcPr>
                  <w:tcW w:w="1049" w:type="pct"/>
                  <w:tcBorders>
                    <w:tl2br w:val="nil"/>
                    <w:tr2bl w:val="nil"/>
                  </w:tcBorders>
                  <w:noWrap w:val="0"/>
                  <w:vAlign w:val="center"/>
                </w:tcPr>
                <w:p w14:paraId="72E0DAD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1422" w:type="pct"/>
                  <w:tcBorders>
                    <w:tl2br w:val="nil"/>
                    <w:tr2bl w:val="nil"/>
                  </w:tcBorders>
                  <w:noWrap w:val="0"/>
                  <w:vAlign w:val="center"/>
                </w:tcPr>
                <w:p w14:paraId="4BC74376">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载荷或功率（KN/KW）</w:t>
                  </w:r>
                </w:p>
              </w:tc>
              <w:tc>
                <w:tcPr>
                  <w:tcW w:w="847" w:type="pct"/>
                  <w:tcBorders>
                    <w:tl2br w:val="nil"/>
                    <w:tr2bl w:val="nil"/>
                  </w:tcBorders>
                  <w:noWrap w:val="0"/>
                  <w:vAlign w:val="center"/>
                </w:tcPr>
                <w:p w14:paraId="45C864F2">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数量（台）</w:t>
                  </w:r>
                </w:p>
              </w:tc>
            </w:tr>
            <w:tr w14:paraId="653FBA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vMerge w:val="restart"/>
                  <w:tcBorders>
                    <w:tl2br w:val="nil"/>
                    <w:tr2bl w:val="nil"/>
                  </w:tcBorders>
                  <w:noWrap w:val="0"/>
                  <w:vAlign w:val="center"/>
                </w:tcPr>
                <w:p w14:paraId="3EAE624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96" w:type="pct"/>
                  <w:tcBorders>
                    <w:tl2br w:val="nil"/>
                    <w:tr2bl w:val="nil"/>
                  </w:tcBorders>
                  <w:noWrap w:val="0"/>
                  <w:vAlign w:val="center"/>
                </w:tcPr>
                <w:p w14:paraId="1132534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螺旋输送系统（轴）</w:t>
                  </w:r>
                </w:p>
              </w:tc>
              <w:tc>
                <w:tcPr>
                  <w:tcW w:w="1049" w:type="pct"/>
                  <w:tcBorders>
                    <w:tl2br w:val="nil"/>
                    <w:tr2bl w:val="nil"/>
                  </w:tcBorders>
                  <w:noWrap w:val="0"/>
                  <w:vAlign w:val="center"/>
                </w:tcPr>
                <w:p w14:paraId="6983848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SS-300-12000</w:t>
                  </w:r>
                </w:p>
              </w:tc>
              <w:tc>
                <w:tcPr>
                  <w:tcW w:w="1422" w:type="pct"/>
                  <w:tcBorders>
                    <w:tl2br w:val="nil"/>
                    <w:tr2bl w:val="nil"/>
                  </w:tcBorders>
                  <w:noWrap w:val="0"/>
                  <w:vAlign w:val="center"/>
                </w:tcPr>
                <w:p w14:paraId="05522AD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5.5×3kW</w:t>
                  </w:r>
                </w:p>
              </w:tc>
              <w:tc>
                <w:tcPr>
                  <w:tcW w:w="847" w:type="pct"/>
                  <w:tcBorders>
                    <w:tl2br w:val="nil"/>
                    <w:tr2bl w:val="nil"/>
                  </w:tcBorders>
                  <w:noWrap w:val="0"/>
                  <w:vAlign w:val="center"/>
                </w:tcPr>
                <w:p w14:paraId="184A5A9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240006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vMerge w:val="continue"/>
                  <w:tcBorders>
                    <w:tl2br w:val="nil"/>
                    <w:tr2bl w:val="nil"/>
                  </w:tcBorders>
                  <w:noWrap w:val="0"/>
                  <w:vAlign w:val="center"/>
                </w:tcPr>
                <w:p w14:paraId="649E00C8">
                  <w:pPr>
                    <w:adjustRightInd w:val="0"/>
                    <w:snapToGrid w:val="0"/>
                    <w:jc w:val="center"/>
                    <w:rPr>
                      <w:rFonts w:hint="default" w:ascii="Times New Roman" w:hAnsi="Times New Roman" w:cs="Times New Roman"/>
                      <w:color w:val="auto"/>
                      <w:sz w:val="21"/>
                      <w:szCs w:val="21"/>
                    </w:rPr>
                  </w:pPr>
                </w:p>
              </w:tc>
              <w:tc>
                <w:tcPr>
                  <w:tcW w:w="1396" w:type="pct"/>
                  <w:tcBorders>
                    <w:tl2br w:val="nil"/>
                    <w:tr2bl w:val="nil"/>
                  </w:tcBorders>
                  <w:noWrap w:val="0"/>
                  <w:vAlign w:val="center"/>
                </w:tcPr>
                <w:p w14:paraId="7684B41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螺旋输送系统（有轴）</w:t>
                  </w:r>
                </w:p>
              </w:tc>
              <w:tc>
                <w:tcPr>
                  <w:tcW w:w="1049" w:type="pct"/>
                  <w:tcBorders>
                    <w:tl2br w:val="nil"/>
                    <w:tr2bl w:val="nil"/>
                  </w:tcBorders>
                  <w:noWrap w:val="0"/>
                  <w:vAlign w:val="center"/>
                </w:tcPr>
                <w:p w14:paraId="546E2DE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SS-200-6000</w:t>
                  </w:r>
                </w:p>
              </w:tc>
              <w:tc>
                <w:tcPr>
                  <w:tcW w:w="1422" w:type="pct"/>
                  <w:tcBorders>
                    <w:tl2br w:val="nil"/>
                    <w:tr2bl w:val="nil"/>
                  </w:tcBorders>
                  <w:noWrap w:val="0"/>
                  <w:vAlign w:val="center"/>
                </w:tcPr>
                <w:p w14:paraId="5B8BF40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2.2×3kW</w:t>
                  </w:r>
                </w:p>
              </w:tc>
              <w:tc>
                <w:tcPr>
                  <w:tcW w:w="847" w:type="pct"/>
                  <w:tcBorders>
                    <w:tl2br w:val="nil"/>
                    <w:tr2bl w:val="nil"/>
                  </w:tcBorders>
                  <w:noWrap w:val="0"/>
                  <w:vAlign w:val="center"/>
                </w:tcPr>
                <w:p w14:paraId="0819594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64E6DC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20CE953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1396" w:type="pct"/>
                  <w:tcBorders>
                    <w:tl2br w:val="nil"/>
                    <w:tr2bl w:val="nil"/>
                  </w:tcBorders>
                  <w:noWrap w:val="0"/>
                  <w:vAlign w:val="center"/>
                </w:tcPr>
                <w:p w14:paraId="6BB26C8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除砂器</w:t>
                  </w:r>
                </w:p>
              </w:tc>
              <w:tc>
                <w:tcPr>
                  <w:tcW w:w="1049" w:type="pct"/>
                  <w:tcBorders>
                    <w:tl2br w:val="nil"/>
                    <w:tr2bl w:val="nil"/>
                  </w:tcBorders>
                  <w:noWrap w:val="0"/>
                  <w:vAlign w:val="center"/>
                </w:tcPr>
                <w:p w14:paraId="29065E2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w:t>
                  </w:r>
                </w:p>
              </w:tc>
              <w:tc>
                <w:tcPr>
                  <w:tcW w:w="1422" w:type="pct"/>
                  <w:tcBorders>
                    <w:tl2br w:val="nil"/>
                    <w:tr2bl w:val="nil"/>
                  </w:tcBorders>
                  <w:noWrap w:val="0"/>
                  <w:vAlign w:val="center"/>
                </w:tcPr>
                <w:p w14:paraId="4607150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47" w:type="pct"/>
                  <w:tcBorders>
                    <w:tl2br w:val="nil"/>
                    <w:tr2bl w:val="nil"/>
                  </w:tcBorders>
                  <w:noWrap w:val="0"/>
                  <w:vAlign w:val="center"/>
                </w:tcPr>
                <w:p w14:paraId="22D30CF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10313C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6593D3A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1396" w:type="pct"/>
                  <w:tcBorders>
                    <w:tl2br w:val="nil"/>
                    <w:tr2bl w:val="nil"/>
                  </w:tcBorders>
                  <w:noWrap w:val="0"/>
                  <w:vAlign w:val="center"/>
                </w:tcPr>
                <w:p w14:paraId="767475E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除泥器</w:t>
                  </w:r>
                </w:p>
              </w:tc>
              <w:tc>
                <w:tcPr>
                  <w:tcW w:w="1049" w:type="pct"/>
                  <w:tcBorders>
                    <w:tl2br w:val="nil"/>
                    <w:tr2bl w:val="nil"/>
                  </w:tcBorders>
                  <w:noWrap w:val="0"/>
                  <w:vAlign w:val="center"/>
                </w:tcPr>
                <w:p w14:paraId="52861BA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w:t>
                  </w:r>
                </w:p>
              </w:tc>
              <w:tc>
                <w:tcPr>
                  <w:tcW w:w="1422" w:type="pct"/>
                  <w:tcBorders>
                    <w:tl2br w:val="nil"/>
                    <w:tr2bl w:val="nil"/>
                  </w:tcBorders>
                  <w:noWrap w:val="0"/>
                  <w:vAlign w:val="center"/>
                </w:tcPr>
                <w:p w14:paraId="6676F10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47" w:type="pct"/>
                  <w:tcBorders>
                    <w:tl2br w:val="nil"/>
                    <w:tr2bl w:val="nil"/>
                  </w:tcBorders>
                  <w:noWrap w:val="0"/>
                  <w:vAlign w:val="center"/>
                </w:tcPr>
                <w:p w14:paraId="4B8BECA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3DFBD3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30639DB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1396" w:type="pct"/>
                  <w:tcBorders>
                    <w:tl2br w:val="nil"/>
                    <w:tr2bl w:val="nil"/>
                  </w:tcBorders>
                  <w:noWrap w:val="0"/>
                  <w:vAlign w:val="center"/>
                </w:tcPr>
                <w:p w14:paraId="2A9847E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甩干机</w:t>
                  </w:r>
                </w:p>
              </w:tc>
              <w:tc>
                <w:tcPr>
                  <w:tcW w:w="1049" w:type="pct"/>
                  <w:tcBorders>
                    <w:tl2br w:val="nil"/>
                    <w:tr2bl w:val="nil"/>
                  </w:tcBorders>
                  <w:noWrap w:val="0"/>
                  <w:vAlign w:val="center"/>
                </w:tcPr>
                <w:p w14:paraId="2749710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GHD-1</w:t>
                  </w:r>
                </w:p>
              </w:tc>
              <w:tc>
                <w:tcPr>
                  <w:tcW w:w="1422" w:type="pct"/>
                  <w:tcBorders>
                    <w:tl2br w:val="nil"/>
                    <w:tr2bl w:val="nil"/>
                  </w:tcBorders>
                  <w:noWrap w:val="0"/>
                  <w:vAlign w:val="center"/>
                </w:tcPr>
                <w:p w14:paraId="47E38F4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18.5kW</w:t>
                  </w:r>
                </w:p>
              </w:tc>
              <w:tc>
                <w:tcPr>
                  <w:tcW w:w="847" w:type="pct"/>
                  <w:tcBorders>
                    <w:tl2br w:val="nil"/>
                    <w:tr2bl w:val="nil"/>
                  </w:tcBorders>
                  <w:noWrap w:val="0"/>
                  <w:vAlign w:val="center"/>
                </w:tcPr>
                <w:p w14:paraId="114FC2C2">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134BDA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2C3BA9E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1396" w:type="pct"/>
                  <w:tcBorders>
                    <w:tl2br w:val="nil"/>
                    <w:tr2bl w:val="nil"/>
                  </w:tcBorders>
                  <w:noWrap w:val="0"/>
                  <w:vAlign w:val="center"/>
                </w:tcPr>
                <w:p w14:paraId="49A3388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离心机</w:t>
                  </w:r>
                </w:p>
              </w:tc>
              <w:tc>
                <w:tcPr>
                  <w:tcW w:w="1049" w:type="pct"/>
                  <w:tcBorders>
                    <w:tl2br w:val="nil"/>
                    <w:tr2bl w:val="nil"/>
                  </w:tcBorders>
                  <w:noWrap w:val="0"/>
                  <w:vAlign w:val="center"/>
                </w:tcPr>
                <w:p w14:paraId="575287A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LW600</w:t>
                  </w:r>
                </w:p>
              </w:tc>
              <w:tc>
                <w:tcPr>
                  <w:tcW w:w="1422" w:type="pct"/>
                  <w:tcBorders>
                    <w:tl2br w:val="nil"/>
                    <w:tr2bl w:val="nil"/>
                  </w:tcBorders>
                  <w:noWrap w:val="0"/>
                  <w:vAlign w:val="center"/>
                </w:tcPr>
                <w:p w14:paraId="54D8D5B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7.5KW</w:t>
                  </w:r>
                </w:p>
              </w:tc>
              <w:tc>
                <w:tcPr>
                  <w:tcW w:w="847" w:type="pct"/>
                  <w:tcBorders>
                    <w:tl2br w:val="nil"/>
                    <w:tr2bl w:val="nil"/>
                  </w:tcBorders>
                  <w:noWrap w:val="0"/>
                  <w:vAlign w:val="center"/>
                </w:tcPr>
                <w:p w14:paraId="4A11C41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2</w:t>
                  </w:r>
                </w:p>
              </w:tc>
            </w:tr>
            <w:tr w14:paraId="3A3E3A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60CED0F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1396" w:type="pct"/>
                  <w:tcBorders>
                    <w:tl2br w:val="nil"/>
                    <w:tr2bl w:val="nil"/>
                  </w:tcBorders>
                  <w:noWrap w:val="0"/>
                  <w:vAlign w:val="center"/>
                </w:tcPr>
                <w:p w14:paraId="0F72D97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储罐搅拌系统</w:t>
                  </w:r>
                </w:p>
              </w:tc>
              <w:tc>
                <w:tcPr>
                  <w:tcW w:w="1049" w:type="pct"/>
                  <w:tcBorders>
                    <w:tl2br w:val="nil"/>
                    <w:tr2bl w:val="nil"/>
                  </w:tcBorders>
                  <w:noWrap w:val="0"/>
                  <w:vAlign w:val="center"/>
                </w:tcPr>
                <w:p w14:paraId="71D577D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22" w:type="pct"/>
                  <w:tcBorders>
                    <w:tl2br w:val="nil"/>
                    <w:tr2bl w:val="nil"/>
                  </w:tcBorders>
                  <w:noWrap w:val="0"/>
                  <w:vAlign w:val="center"/>
                </w:tcPr>
                <w:p w14:paraId="7B6A608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11kW</w:t>
                  </w:r>
                </w:p>
              </w:tc>
              <w:tc>
                <w:tcPr>
                  <w:tcW w:w="847" w:type="pct"/>
                  <w:tcBorders>
                    <w:tl2br w:val="nil"/>
                    <w:tr2bl w:val="nil"/>
                  </w:tcBorders>
                  <w:noWrap w:val="0"/>
                  <w:vAlign w:val="center"/>
                </w:tcPr>
                <w:p w14:paraId="5FA777B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3</w:t>
                  </w:r>
                </w:p>
              </w:tc>
            </w:tr>
            <w:tr w14:paraId="31F84A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738CACB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1396" w:type="pct"/>
                  <w:tcBorders>
                    <w:tl2br w:val="nil"/>
                    <w:tr2bl w:val="nil"/>
                  </w:tcBorders>
                  <w:noWrap w:val="0"/>
                  <w:vAlign w:val="center"/>
                </w:tcPr>
                <w:p w14:paraId="6BCE21A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废液缓冲罐</w:t>
                  </w:r>
                </w:p>
              </w:tc>
              <w:tc>
                <w:tcPr>
                  <w:tcW w:w="1049" w:type="pct"/>
                  <w:tcBorders>
                    <w:tl2br w:val="nil"/>
                    <w:tr2bl w:val="nil"/>
                  </w:tcBorders>
                  <w:noWrap w:val="0"/>
                  <w:vAlign w:val="center"/>
                </w:tcPr>
                <w:p w14:paraId="4C276FE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422" w:type="pct"/>
                  <w:tcBorders>
                    <w:tl2br w:val="nil"/>
                    <w:tr2bl w:val="nil"/>
                  </w:tcBorders>
                  <w:noWrap w:val="0"/>
                  <w:vAlign w:val="center"/>
                </w:tcPr>
                <w:p w14:paraId="7BF0BDA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847" w:type="pct"/>
                  <w:tcBorders>
                    <w:tl2br w:val="nil"/>
                    <w:tr2bl w:val="nil"/>
                  </w:tcBorders>
                  <w:noWrap w:val="0"/>
                  <w:vAlign w:val="center"/>
                </w:tcPr>
                <w:p w14:paraId="7EAA52A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3C52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1BEF45C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1396" w:type="pct"/>
                  <w:tcBorders>
                    <w:tl2br w:val="nil"/>
                    <w:tr2bl w:val="nil"/>
                  </w:tcBorders>
                  <w:noWrap w:val="0"/>
                  <w:vAlign w:val="center"/>
                </w:tcPr>
                <w:p w14:paraId="0544F8A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返排液收集罐</w:t>
                  </w:r>
                </w:p>
              </w:tc>
              <w:tc>
                <w:tcPr>
                  <w:tcW w:w="1049" w:type="pct"/>
                  <w:tcBorders>
                    <w:tl2br w:val="nil"/>
                    <w:tr2bl w:val="nil"/>
                  </w:tcBorders>
                  <w:noWrap w:val="0"/>
                  <w:vAlign w:val="center"/>
                </w:tcPr>
                <w:p w14:paraId="1302CD2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422" w:type="pct"/>
                  <w:tcBorders>
                    <w:tl2br w:val="nil"/>
                    <w:tr2bl w:val="nil"/>
                  </w:tcBorders>
                  <w:noWrap w:val="0"/>
                  <w:vAlign w:val="center"/>
                </w:tcPr>
                <w:p w14:paraId="6E355CD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847" w:type="pct"/>
                  <w:tcBorders>
                    <w:tl2br w:val="nil"/>
                    <w:tr2bl w:val="nil"/>
                  </w:tcBorders>
                  <w:noWrap w:val="0"/>
                  <w:vAlign w:val="center"/>
                </w:tcPr>
                <w:p w14:paraId="63B7D7A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2A9148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4D83E24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9</w:t>
                  </w:r>
                </w:p>
              </w:tc>
              <w:tc>
                <w:tcPr>
                  <w:tcW w:w="1396" w:type="pct"/>
                  <w:tcBorders>
                    <w:tl2br w:val="nil"/>
                    <w:tr2bl w:val="nil"/>
                  </w:tcBorders>
                  <w:noWrap w:val="0"/>
                  <w:vAlign w:val="center"/>
                </w:tcPr>
                <w:p w14:paraId="3DE8AA7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泥饼、</w:t>
                  </w:r>
                  <w:r>
                    <w:rPr>
                      <w:rFonts w:hint="default" w:ascii="Times New Roman" w:hAnsi="Times New Roman" w:eastAsia="宋体" w:cs="Times New Roman"/>
                      <w:color w:val="auto"/>
                      <w:sz w:val="21"/>
                      <w:szCs w:val="21"/>
                    </w:rPr>
                    <w:t>岩屑收集罐</w:t>
                  </w:r>
                </w:p>
              </w:tc>
              <w:tc>
                <w:tcPr>
                  <w:tcW w:w="1049" w:type="pct"/>
                  <w:tcBorders>
                    <w:tl2br w:val="nil"/>
                    <w:tr2bl w:val="nil"/>
                  </w:tcBorders>
                  <w:noWrap w:val="0"/>
                  <w:vAlign w:val="center"/>
                </w:tcPr>
                <w:p w14:paraId="26DB1AB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422" w:type="pct"/>
                  <w:tcBorders>
                    <w:tl2br w:val="nil"/>
                    <w:tr2bl w:val="nil"/>
                  </w:tcBorders>
                  <w:noWrap w:val="0"/>
                  <w:vAlign w:val="center"/>
                </w:tcPr>
                <w:p w14:paraId="683588A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47" w:type="pct"/>
                  <w:tcBorders>
                    <w:tl2br w:val="nil"/>
                    <w:tr2bl w:val="nil"/>
                  </w:tcBorders>
                  <w:noWrap w:val="0"/>
                  <w:vAlign w:val="center"/>
                </w:tcPr>
                <w:p w14:paraId="473B6BD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3</w:t>
                  </w:r>
                </w:p>
              </w:tc>
            </w:tr>
            <w:tr w14:paraId="4A0492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441E17B3">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c>
                <w:tcPr>
                  <w:tcW w:w="1396" w:type="pct"/>
                  <w:tcBorders>
                    <w:tl2br w:val="nil"/>
                    <w:tr2bl w:val="nil"/>
                  </w:tcBorders>
                  <w:noWrap w:val="0"/>
                  <w:vAlign w:val="center"/>
                </w:tcPr>
                <w:p w14:paraId="7B1E78B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振动筛</w:t>
                  </w:r>
                </w:p>
              </w:tc>
              <w:tc>
                <w:tcPr>
                  <w:tcW w:w="1049" w:type="pct"/>
                  <w:tcBorders>
                    <w:tl2br w:val="nil"/>
                    <w:tr2bl w:val="nil"/>
                  </w:tcBorders>
                  <w:noWrap w:val="0"/>
                  <w:vAlign w:val="center"/>
                </w:tcPr>
                <w:p w14:paraId="196C609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V20-h</w:t>
                  </w:r>
                </w:p>
              </w:tc>
              <w:tc>
                <w:tcPr>
                  <w:tcW w:w="1422" w:type="pct"/>
                  <w:tcBorders>
                    <w:tl2br w:val="nil"/>
                    <w:tr2bl w:val="nil"/>
                  </w:tcBorders>
                  <w:noWrap w:val="0"/>
                  <w:vAlign w:val="center"/>
                </w:tcPr>
                <w:p w14:paraId="57BF6F2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2.5kW</w:t>
                  </w:r>
                </w:p>
              </w:tc>
              <w:tc>
                <w:tcPr>
                  <w:tcW w:w="847" w:type="pct"/>
                  <w:tcBorders>
                    <w:tl2br w:val="nil"/>
                    <w:tr2bl w:val="nil"/>
                  </w:tcBorders>
                  <w:noWrap w:val="0"/>
                  <w:vAlign w:val="center"/>
                </w:tcPr>
                <w:p w14:paraId="72B5A23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70BFF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284" w:type="pct"/>
                  <w:tcBorders>
                    <w:tl2br w:val="nil"/>
                    <w:tr2bl w:val="nil"/>
                  </w:tcBorders>
                  <w:noWrap w:val="0"/>
                  <w:vAlign w:val="center"/>
                </w:tcPr>
                <w:p w14:paraId="47B79CB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396" w:type="pct"/>
                  <w:tcBorders>
                    <w:tl2br w:val="nil"/>
                    <w:tr2bl w:val="nil"/>
                  </w:tcBorders>
                  <w:noWrap w:val="0"/>
                  <w:vAlign w:val="center"/>
                </w:tcPr>
                <w:p w14:paraId="33F02C1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压滤机</w:t>
                  </w:r>
                </w:p>
              </w:tc>
              <w:tc>
                <w:tcPr>
                  <w:tcW w:w="1049" w:type="pct"/>
                  <w:tcBorders>
                    <w:tl2br w:val="nil"/>
                    <w:tr2bl w:val="nil"/>
                  </w:tcBorders>
                  <w:noWrap w:val="0"/>
                  <w:vAlign w:val="center"/>
                </w:tcPr>
                <w:p w14:paraId="502A414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XMZG200-1250-U</w:t>
                  </w:r>
                </w:p>
              </w:tc>
              <w:tc>
                <w:tcPr>
                  <w:tcW w:w="1422" w:type="pct"/>
                  <w:tcBorders>
                    <w:tl2br w:val="nil"/>
                    <w:tr2bl w:val="nil"/>
                  </w:tcBorders>
                  <w:noWrap w:val="0"/>
                  <w:vAlign w:val="center"/>
                </w:tcPr>
                <w:p w14:paraId="3412DA8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过滤面积200m</w:t>
                  </w:r>
                  <w:r>
                    <w:rPr>
                      <w:rFonts w:hint="default" w:ascii="Times New Roman" w:hAnsi="Times New Roman" w:eastAsia="宋体" w:cs="Times New Roman"/>
                      <w:color w:val="auto"/>
                      <w:sz w:val="21"/>
                      <w:szCs w:val="21"/>
                      <w:vertAlign w:val="superscript"/>
                      <w:lang w:val="en-US" w:eastAsia="zh-CN"/>
                    </w:rPr>
                    <w:t>2</w:t>
                  </w:r>
                </w:p>
              </w:tc>
              <w:tc>
                <w:tcPr>
                  <w:tcW w:w="847" w:type="pct"/>
                  <w:tcBorders>
                    <w:tl2br w:val="nil"/>
                    <w:tr2bl w:val="nil"/>
                  </w:tcBorders>
                  <w:noWrap w:val="0"/>
                  <w:vAlign w:val="center"/>
                </w:tcPr>
                <w:p w14:paraId="5789EF8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r>
          </w:tbl>
          <w:p w14:paraId="17699D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六、主要原辅材料</w:t>
            </w:r>
          </w:p>
          <w:p w14:paraId="59508F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项目主要原辅材料消耗情况见表2-</w:t>
            </w:r>
            <w:r>
              <w:rPr>
                <w:rFonts w:hint="eastAsia" w:ascii="Times New Roman" w:hAnsi="Times New Roman" w:eastAsia="宋体" w:cs="Times New Roman"/>
                <w:b w:val="0"/>
                <w:bCs w:val="0"/>
                <w:color w:val="auto"/>
                <w:sz w:val="24"/>
                <w:szCs w:val="24"/>
                <w:vertAlign w:val="baseline"/>
                <w:lang w:val="en-US" w:eastAsia="zh-CN"/>
              </w:rPr>
              <w:t>8</w:t>
            </w:r>
            <w:r>
              <w:rPr>
                <w:rFonts w:hint="default" w:ascii="Times New Roman" w:hAnsi="Times New Roman" w:eastAsia="宋体" w:cs="Times New Roman"/>
                <w:b w:val="0"/>
                <w:bCs w:val="0"/>
                <w:color w:val="auto"/>
                <w:sz w:val="24"/>
                <w:szCs w:val="24"/>
                <w:vertAlign w:val="baseline"/>
                <w:lang w:val="en-US" w:eastAsia="zh-CN"/>
              </w:rPr>
              <w:t>。</w:t>
            </w:r>
          </w:p>
          <w:p w14:paraId="2B0B052E">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431" w:leftChars="0" w:hanging="431"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项目主要原辅材料消耗表</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42"/>
              <w:gridCol w:w="1199"/>
              <w:gridCol w:w="1132"/>
              <w:gridCol w:w="5419"/>
            </w:tblGrid>
            <w:tr w14:paraId="4BB1D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jc w:val="center"/>
              </w:trPr>
              <w:tc>
                <w:tcPr>
                  <w:tcW w:w="383" w:type="pct"/>
                  <w:tcBorders>
                    <w:tl2br w:val="nil"/>
                    <w:tr2bl w:val="nil"/>
                  </w:tcBorders>
                  <w:noWrap w:val="0"/>
                  <w:vAlign w:val="center"/>
                </w:tcPr>
                <w:p w14:paraId="607696FC">
                  <w:pPr>
                    <w:spacing w:line="36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714" w:type="pct"/>
                  <w:tcBorders>
                    <w:tl2br w:val="nil"/>
                    <w:tr2bl w:val="nil"/>
                  </w:tcBorders>
                  <w:noWrap w:val="0"/>
                  <w:vAlign w:val="center"/>
                </w:tcPr>
                <w:p w14:paraId="34C08B9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原料名称</w:t>
                  </w:r>
                </w:p>
              </w:tc>
              <w:tc>
                <w:tcPr>
                  <w:tcW w:w="674" w:type="pct"/>
                  <w:tcBorders>
                    <w:tl2br w:val="nil"/>
                    <w:tr2bl w:val="nil"/>
                  </w:tcBorders>
                  <w:noWrap w:val="0"/>
                  <w:vAlign w:val="center"/>
                </w:tcPr>
                <w:p w14:paraId="2FDE36FE">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项目用量</w:t>
                  </w:r>
                </w:p>
              </w:tc>
              <w:tc>
                <w:tcPr>
                  <w:tcW w:w="3228" w:type="pct"/>
                  <w:tcBorders>
                    <w:tl2br w:val="nil"/>
                    <w:tr2bl w:val="nil"/>
                  </w:tcBorders>
                  <w:noWrap w:val="0"/>
                  <w:vAlign w:val="center"/>
                </w:tcPr>
                <w:p w14:paraId="69494127">
                  <w:pPr>
                    <w:spacing w:line="36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64F8FA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3" w:type="pct"/>
                  <w:tcBorders>
                    <w:tl2br w:val="nil"/>
                    <w:tr2bl w:val="nil"/>
                  </w:tcBorders>
                  <w:noWrap w:val="0"/>
                  <w:vAlign w:val="center"/>
                </w:tcPr>
                <w:p w14:paraId="1625D8AA">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4" w:type="pct"/>
                  <w:tcBorders>
                    <w:tl2br w:val="nil"/>
                    <w:tr2bl w:val="nil"/>
                  </w:tcBorders>
                  <w:noWrap w:val="0"/>
                  <w:vAlign w:val="center"/>
                </w:tcPr>
                <w:p w14:paraId="1B21D815">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新鲜水</w:t>
                  </w:r>
                </w:p>
              </w:tc>
              <w:tc>
                <w:tcPr>
                  <w:tcW w:w="674" w:type="pct"/>
                  <w:tcBorders>
                    <w:tl2br w:val="nil"/>
                    <w:tr2bl w:val="nil"/>
                  </w:tcBorders>
                  <w:noWrap w:val="0"/>
                  <w:vAlign w:val="center"/>
                </w:tcPr>
                <w:p w14:paraId="0C392CF7">
                  <w:pPr>
                    <w:adjustRightInd w:val="0"/>
                    <w:snapToGrid w:val="0"/>
                    <w:spacing w:line="360" w:lineRule="exact"/>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876.25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228" w:type="pct"/>
                  <w:tcBorders>
                    <w:tl2br w:val="nil"/>
                    <w:tr2bl w:val="nil"/>
                  </w:tcBorders>
                  <w:noWrap w:val="0"/>
                  <w:vAlign w:val="center"/>
                </w:tcPr>
                <w:p w14:paraId="4106DD5B">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用于生活、钻井和洗井，罐车拉运及储存</w:t>
                  </w:r>
                  <w:r>
                    <w:rPr>
                      <w:rFonts w:hint="default" w:ascii="Times New Roman" w:hAnsi="Times New Roman" w:eastAsia="宋体" w:cs="Times New Roman"/>
                      <w:color w:val="auto"/>
                      <w:sz w:val="21"/>
                      <w:szCs w:val="21"/>
                      <w:lang w:eastAsia="zh-CN"/>
                    </w:rPr>
                    <w:t>。</w:t>
                  </w:r>
                </w:p>
              </w:tc>
            </w:tr>
            <w:tr w14:paraId="0226D3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49577C86">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714" w:type="pct"/>
                  <w:tcBorders>
                    <w:tl2br w:val="nil"/>
                    <w:tr2bl w:val="nil"/>
                  </w:tcBorders>
                  <w:noWrap w:val="0"/>
                  <w:vAlign w:val="center"/>
                </w:tcPr>
                <w:p w14:paraId="2E05BF7E">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钻井液添加剂</w:t>
                  </w:r>
                </w:p>
              </w:tc>
              <w:tc>
                <w:tcPr>
                  <w:tcW w:w="674" w:type="pct"/>
                  <w:tcBorders>
                    <w:tl2br w:val="nil"/>
                    <w:tr2bl w:val="nil"/>
                  </w:tcBorders>
                  <w:noWrap w:val="0"/>
                  <w:vAlign w:val="center"/>
                </w:tcPr>
                <w:p w14:paraId="6482FE7F">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61</w:t>
                  </w:r>
                  <w:r>
                    <w:rPr>
                      <w:rFonts w:hint="default" w:ascii="Times New Roman" w:hAnsi="Times New Roman" w:cs="Times New Roman"/>
                      <w:color w:val="auto"/>
                      <w:sz w:val="21"/>
                      <w:szCs w:val="21"/>
                    </w:rPr>
                    <w:t>t</w:t>
                  </w:r>
                </w:p>
              </w:tc>
              <w:tc>
                <w:tcPr>
                  <w:tcW w:w="3228" w:type="pct"/>
                  <w:tcBorders>
                    <w:tl2br w:val="nil"/>
                    <w:tr2bl w:val="nil"/>
                  </w:tcBorders>
                  <w:noWrap w:val="0"/>
                  <w:vAlign w:val="center"/>
                </w:tcPr>
                <w:p w14:paraId="2C3E460B">
                  <w:pPr>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携带岩屑，稳定井壁，减少钻机磨损，平衡（控制）地层压力等，添加剂储罐置于进行防渗处理的围堰内</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由车辆拉运至材料房内暂存。</w:t>
                  </w:r>
                </w:p>
              </w:tc>
            </w:tr>
            <w:tr w14:paraId="3E9B78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2E959A6D">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714" w:type="pct"/>
                  <w:tcBorders>
                    <w:tl2br w:val="nil"/>
                    <w:tr2bl w:val="nil"/>
                  </w:tcBorders>
                  <w:noWrap w:val="0"/>
                  <w:vAlign w:val="center"/>
                </w:tcPr>
                <w:p w14:paraId="3CF17421">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压裂液</w:t>
                  </w:r>
                </w:p>
              </w:tc>
              <w:tc>
                <w:tcPr>
                  <w:tcW w:w="674" w:type="pct"/>
                  <w:tcBorders>
                    <w:tl2br w:val="nil"/>
                    <w:tr2bl w:val="nil"/>
                  </w:tcBorders>
                  <w:noWrap w:val="0"/>
                  <w:vAlign w:val="center"/>
                </w:tcPr>
                <w:p w14:paraId="3646312C">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300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228" w:type="pct"/>
                  <w:tcBorders>
                    <w:tl2br w:val="nil"/>
                    <w:tr2bl w:val="nil"/>
                  </w:tcBorders>
                  <w:noWrap w:val="0"/>
                  <w:vAlign w:val="center"/>
                </w:tcPr>
                <w:p w14:paraId="10D432EC">
                  <w:pPr>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用于压裂作业，形成油气高渗透带，改善气层导流能力，压裂液储罐置于进行防渗处理的围堰内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主成分为水凝胶，用于压裂作业，形成油气高渗透带，改善油气层导流能力。</w:t>
                  </w:r>
                </w:p>
              </w:tc>
            </w:tr>
            <w:tr w14:paraId="5F34B8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shd w:val="clear" w:color="auto" w:fill="auto"/>
                  <w:noWrap w:val="0"/>
                  <w:vAlign w:val="center"/>
                </w:tcPr>
                <w:p w14:paraId="48BD6258">
                  <w:pPr>
                    <w:spacing w:line="36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714" w:type="pct"/>
                  <w:tcBorders>
                    <w:tl2br w:val="nil"/>
                    <w:tr2bl w:val="nil"/>
                  </w:tcBorders>
                  <w:shd w:val="clear" w:color="auto" w:fill="auto"/>
                  <w:noWrap w:val="0"/>
                  <w:vAlign w:val="center"/>
                </w:tcPr>
                <w:p w14:paraId="2C4CDC04">
                  <w:pPr>
                    <w:spacing w:line="36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射孔液</w:t>
                  </w:r>
                </w:p>
              </w:tc>
              <w:tc>
                <w:tcPr>
                  <w:tcW w:w="674" w:type="pct"/>
                  <w:tcBorders>
                    <w:tl2br w:val="nil"/>
                    <w:tr2bl w:val="nil"/>
                  </w:tcBorders>
                  <w:shd w:val="clear" w:color="auto" w:fill="auto"/>
                  <w:noWrap w:val="0"/>
                  <w:vAlign w:val="center"/>
                </w:tcPr>
                <w:p w14:paraId="7B700EE2">
                  <w:pPr>
                    <w:adjustRightInd w:val="0"/>
                    <w:snapToGrid w:val="0"/>
                    <w:spacing w:line="36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228" w:type="pct"/>
                  <w:tcBorders>
                    <w:tl2br w:val="nil"/>
                    <w:tr2bl w:val="nil"/>
                  </w:tcBorders>
                  <w:shd w:val="clear" w:color="auto" w:fill="auto"/>
                  <w:noWrap w:val="0"/>
                  <w:vAlign w:val="center"/>
                </w:tcPr>
                <w:p w14:paraId="128A161F">
                  <w:pPr>
                    <w:jc w:val="both"/>
                    <w:rPr>
                      <w:rFonts w:hint="default" w:ascii="Times New Roman" w:hAnsi="Times New Roman" w:eastAsia="宋体" w:cs="Times New Roman"/>
                      <w:color w:val="auto"/>
                      <w:sz w:val="21"/>
                      <w:szCs w:val="21"/>
                      <w:lang w:val="en-US" w:eastAsia="en-US" w:bidi="ar-SA"/>
                    </w:rPr>
                  </w:pPr>
                  <w:r>
                    <w:rPr>
                      <w:rFonts w:hint="default" w:ascii="Times New Roman" w:hAnsi="Times New Roman" w:cs="Times New Roman"/>
                      <w:color w:val="auto"/>
                      <w:sz w:val="21"/>
                      <w:szCs w:val="21"/>
                    </w:rPr>
                    <w:t>外购成品，存放于原辅料存放区，液态物质采用桶装，固态物质采用袋装，按其性质，分区堆放，</w:t>
                  </w:r>
                  <w:r>
                    <w:rPr>
                      <w:rFonts w:hint="default" w:ascii="Times New Roman" w:hAnsi="Times New Roman" w:cs="Times New Roman"/>
                      <w:color w:val="auto"/>
                      <w:sz w:val="21"/>
                      <w:szCs w:val="21"/>
                    </w:rPr>
                    <w:t>原辅料存放区下面</w:t>
                  </w:r>
                  <w:r>
                    <w:rPr>
                      <w:rFonts w:hint="eastAsia" w:ascii="Times New Roman" w:hAnsi="Times New Roman" w:eastAsia="宋体" w:cs="Times New Roman"/>
                      <w:color w:val="auto"/>
                      <w:sz w:val="21"/>
                      <w:szCs w:val="21"/>
                      <w:lang w:val="en-US" w:eastAsia="zh-CN"/>
                    </w:rPr>
                    <w:t>做防渗处理</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t>上面遮盖篷布。</w:t>
                  </w:r>
                </w:p>
              </w:tc>
            </w:tr>
            <w:tr w14:paraId="10D677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363D2C49">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14" w:type="pct"/>
                  <w:tcBorders>
                    <w:tl2br w:val="nil"/>
                    <w:tr2bl w:val="nil"/>
                  </w:tcBorders>
                  <w:noWrap w:val="0"/>
                  <w:vAlign w:val="center"/>
                </w:tcPr>
                <w:p w14:paraId="525DE5E9">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机油</w:t>
                  </w:r>
                </w:p>
              </w:tc>
              <w:tc>
                <w:tcPr>
                  <w:tcW w:w="674" w:type="pct"/>
                  <w:tcBorders>
                    <w:tl2br w:val="nil"/>
                    <w:tr2bl w:val="nil"/>
                  </w:tcBorders>
                  <w:noWrap w:val="0"/>
                  <w:vAlign w:val="center"/>
                </w:tcPr>
                <w:p w14:paraId="7D183FB3">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r>
                    <w:rPr>
                      <w:rFonts w:hint="default" w:ascii="Times New Roman" w:hAnsi="Times New Roman" w:eastAsia="宋体" w:cs="Times New Roman"/>
                      <w:color w:val="auto"/>
                      <w:sz w:val="21"/>
                      <w:szCs w:val="21"/>
                      <w:lang w:val="en-US" w:eastAsia="zh-CN"/>
                    </w:rPr>
                    <w:t>L</w:t>
                  </w:r>
                </w:p>
              </w:tc>
              <w:tc>
                <w:tcPr>
                  <w:tcW w:w="3228" w:type="pct"/>
                  <w:tcBorders>
                    <w:tl2br w:val="nil"/>
                    <w:tr2bl w:val="nil"/>
                  </w:tcBorders>
                  <w:noWrap w:val="0"/>
                  <w:vAlign w:val="center"/>
                </w:tcPr>
                <w:p w14:paraId="66E5700E">
                  <w:pPr>
                    <w:keepNext w:val="0"/>
                    <w:keepLines w:val="0"/>
                    <w:widowControl/>
                    <w:suppressLineNumbers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对发动机起到润滑减磨、辅助冷却降温、密封防漏、防锈防蚀、减震缓冲等作用。密度：0.91×10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（kg/m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r>
            <w:tr w14:paraId="63ACD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34AE37DA">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714" w:type="pct"/>
                  <w:tcBorders>
                    <w:tl2br w:val="nil"/>
                    <w:tr2bl w:val="nil"/>
                  </w:tcBorders>
                  <w:noWrap w:val="0"/>
                  <w:vAlign w:val="center"/>
                </w:tcPr>
                <w:p w14:paraId="6F2D7B32">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水泥浆</w:t>
                  </w:r>
                </w:p>
              </w:tc>
              <w:tc>
                <w:tcPr>
                  <w:tcW w:w="674" w:type="pct"/>
                  <w:tcBorders>
                    <w:tl2br w:val="nil"/>
                    <w:tr2bl w:val="nil"/>
                  </w:tcBorders>
                  <w:noWrap w:val="0"/>
                  <w:vAlign w:val="center"/>
                </w:tcPr>
                <w:p w14:paraId="1F0C93C6">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240t</w:t>
                  </w:r>
                </w:p>
              </w:tc>
              <w:tc>
                <w:tcPr>
                  <w:tcW w:w="3228" w:type="pct"/>
                  <w:tcBorders>
                    <w:tl2br w:val="nil"/>
                    <w:tr2bl w:val="nil"/>
                  </w:tcBorders>
                  <w:noWrap w:val="0"/>
                  <w:vAlign w:val="center"/>
                </w:tcPr>
                <w:p w14:paraId="38B8A932">
                  <w:pPr>
                    <w:pStyle w:val="27"/>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作为固井和封井材料，G级纯水泥，外购成品，罐车运输至井场使用，水泥中添加降失水剂（主要为水溶性聚合物及有机材料），以调节水泥性能。</w:t>
                  </w:r>
                </w:p>
              </w:tc>
            </w:tr>
          </w:tbl>
          <w:p w14:paraId="36FFA0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中钻井液的循环程序包括：钻井、液罐、经泵→地面、管汇→立管→水龙带、水龙头→钻柱内→钻头→钻柱外环形空间→井口、泥浆（钻井液）槽→钻井液净化设备→钻井液罐。一开采用膨润土钻井液，二开采用聚合物钻井液。根据企业实际施工经验，单井钻井液组成及用量情况见表2-</w:t>
            </w:r>
            <w:r>
              <w:rPr>
                <w:rFonts w:hint="eastAsia" w:ascii="Times New Roman" w:hAnsi="Times New Roman" w:eastAsia="宋体" w:cs="Times New Roman"/>
                <w:b w:val="0"/>
                <w:bCs w:val="0"/>
                <w:color w:val="auto"/>
                <w:sz w:val="24"/>
                <w:szCs w:val="24"/>
                <w:vertAlign w:val="baseline"/>
                <w:lang w:val="en-US" w:eastAsia="zh-CN"/>
              </w:rPr>
              <w:t>9</w:t>
            </w:r>
            <w:r>
              <w:rPr>
                <w:rFonts w:hint="default" w:ascii="Times New Roman" w:hAnsi="Times New Roman" w:eastAsia="宋体" w:cs="Times New Roman"/>
                <w:b w:val="0"/>
                <w:bCs w:val="0"/>
                <w:color w:val="auto"/>
                <w:sz w:val="24"/>
                <w:szCs w:val="24"/>
                <w:vertAlign w:val="baseline"/>
                <w:lang w:val="en-US" w:eastAsia="zh-CN"/>
              </w:rPr>
              <w:t>。</w:t>
            </w:r>
          </w:p>
          <w:p w14:paraId="075171A9">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431" w:leftChars="0" w:hanging="431"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单井钻井液（现场配置）组成及用量表</w:t>
            </w:r>
          </w:p>
          <w:tbl>
            <w:tblPr>
              <w:tblStyle w:val="19"/>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29"/>
              <w:gridCol w:w="2281"/>
              <w:gridCol w:w="849"/>
              <w:gridCol w:w="849"/>
              <w:gridCol w:w="849"/>
              <w:gridCol w:w="1563"/>
              <w:gridCol w:w="767"/>
            </w:tblGrid>
            <w:tr w14:paraId="20E77A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5" w:hRule="atLeast"/>
                <w:tblHeader/>
                <w:jc w:val="center"/>
              </w:trPr>
              <w:tc>
                <w:tcPr>
                  <w:tcW w:w="732" w:type="pct"/>
                  <w:tcBorders>
                    <w:tl2br w:val="nil"/>
                    <w:tr2bl w:val="nil"/>
                  </w:tcBorders>
                  <w:noWrap w:val="0"/>
                  <w:vAlign w:val="center"/>
                </w:tcPr>
                <w:p w14:paraId="0CADCD6B">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材料名称</w:t>
                  </w:r>
                </w:p>
              </w:tc>
              <w:tc>
                <w:tcPr>
                  <w:tcW w:w="1359" w:type="pct"/>
                  <w:tcBorders>
                    <w:tl2br w:val="nil"/>
                    <w:tr2bl w:val="nil"/>
                  </w:tcBorders>
                  <w:noWrap w:val="0"/>
                  <w:vAlign w:val="center"/>
                </w:tcPr>
                <w:p w14:paraId="48B4DBC8">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506" w:type="pct"/>
                  <w:tcBorders>
                    <w:tl2br w:val="nil"/>
                    <w:tr2bl w:val="nil"/>
                  </w:tcBorders>
                  <w:noWrap w:val="0"/>
                  <w:vAlign w:val="center"/>
                </w:tcPr>
                <w:p w14:paraId="4FAB0341">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一开用量（吨）</w:t>
                  </w:r>
                </w:p>
              </w:tc>
              <w:tc>
                <w:tcPr>
                  <w:tcW w:w="506" w:type="pct"/>
                  <w:tcBorders>
                    <w:tl2br w:val="nil"/>
                    <w:tr2bl w:val="nil"/>
                  </w:tcBorders>
                  <w:noWrap w:val="0"/>
                  <w:vAlign w:val="center"/>
                </w:tcPr>
                <w:p w14:paraId="37F4D4A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二开用量（吨）</w:t>
                  </w:r>
                </w:p>
              </w:tc>
              <w:tc>
                <w:tcPr>
                  <w:tcW w:w="506" w:type="pct"/>
                  <w:tcBorders>
                    <w:tl2br w:val="nil"/>
                    <w:tr2bl w:val="nil"/>
                  </w:tcBorders>
                  <w:noWrap w:val="0"/>
                  <w:vAlign w:val="center"/>
                </w:tcPr>
                <w:p w14:paraId="7D5A4A2E">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总用量（吨）</w:t>
                  </w:r>
                </w:p>
              </w:tc>
              <w:tc>
                <w:tcPr>
                  <w:tcW w:w="932" w:type="pct"/>
                  <w:tcBorders>
                    <w:tl2br w:val="nil"/>
                    <w:tr2bl w:val="nil"/>
                  </w:tcBorders>
                  <w:noWrap w:val="0"/>
                  <w:vAlign w:val="center"/>
                </w:tcPr>
                <w:p w14:paraId="30B635D3">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c>
                <w:tcPr>
                  <w:tcW w:w="457" w:type="pct"/>
                  <w:tcBorders>
                    <w:tl2br w:val="nil"/>
                    <w:tr2bl w:val="nil"/>
                  </w:tcBorders>
                  <w:noWrap w:val="0"/>
                  <w:vAlign w:val="center"/>
                </w:tcPr>
                <w:p w14:paraId="59ACB724">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存放位置</w:t>
                  </w:r>
                </w:p>
              </w:tc>
            </w:tr>
            <w:tr w14:paraId="600F1B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6095239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膨润土</w:t>
                  </w:r>
                </w:p>
              </w:tc>
              <w:tc>
                <w:tcPr>
                  <w:tcW w:w="1359" w:type="pct"/>
                  <w:tcBorders>
                    <w:tl2br w:val="nil"/>
                    <w:tr2bl w:val="nil"/>
                  </w:tcBorders>
                  <w:noWrap w:val="0"/>
                  <w:vAlign w:val="center"/>
                </w:tcPr>
                <w:p w14:paraId="50E17937">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亲水性矿物</w:t>
                  </w:r>
                </w:p>
              </w:tc>
              <w:tc>
                <w:tcPr>
                  <w:tcW w:w="506" w:type="pct"/>
                  <w:tcBorders>
                    <w:tl2br w:val="nil"/>
                    <w:tr2bl w:val="nil"/>
                  </w:tcBorders>
                  <w:noWrap w:val="0"/>
                  <w:vAlign w:val="center"/>
                </w:tcPr>
                <w:p w14:paraId="2EAA8F8B">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506" w:type="pct"/>
                  <w:tcBorders>
                    <w:tl2br w:val="nil"/>
                    <w:tr2bl w:val="nil"/>
                  </w:tcBorders>
                  <w:noWrap w:val="0"/>
                  <w:vAlign w:val="center"/>
                </w:tcPr>
                <w:p w14:paraId="066DDF4A">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06" w:type="pct"/>
                  <w:tcBorders>
                    <w:tl2br w:val="nil"/>
                    <w:tr2bl w:val="nil"/>
                  </w:tcBorders>
                  <w:noWrap w:val="0"/>
                  <w:vAlign w:val="center"/>
                </w:tcPr>
                <w:p w14:paraId="2B2C23B1">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932" w:type="pct"/>
                  <w:tcBorders>
                    <w:tl2br w:val="nil"/>
                    <w:tr2bl w:val="nil"/>
                  </w:tcBorders>
                  <w:noWrap w:val="0"/>
                  <w:vAlign w:val="center"/>
                </w:tcPr>
                <w:p w14:paraId="09400CD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基础配浆材料</w:t>
                  </w:r>
                </w:p>
              </w:tc>
              <w:tc>
                <w:tcPr>
                  <w:tcW w:w="457" w:type="pct"/>
                  <w:vMerge w:val="restart"/>
                  <w:tcBorders>
                    <w:tl2br w:val="nil"/>
                    <w:tr2bl w:val="nil"/>
                  </w:tcBorders>
                  <w:noWrap w:val="0"/>
                  <w:vAlign w:val="center"/>
                </w:tcPr>
                <w:p w14:paraId="6ECCCF74">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val="en-US" w:eastAsia="zh-CN" w:bidi="ar"/>
                    </w:rPr>
                    <w:t>钻井液材料房</w:t>
                  </w:r>
                  <w:r>
                    <w:rPr>
                      <w:rFonts w:hint="default" w:ascii="Times New Roman" w:hAnsi="Times New Roman" w:cs="Times New Roman"/>
                      <w:color w:val="auto"/>
                      <w:kern w:val="0"/>
                      <w:sz w:val="21"/>
                      <w:szCs w:val="21"/>
                      <w:highlight w:val="none"/>
                      <w:lang w:val="en-US" w:eastAsia="zh-CN" w:bidi="ar"/>
                    </w:rPr>
                    <w:br w:type="textWrapping"/>
                  </w:r>
                  <w:r>
                    <w:rPr>
                      <w:rFonts w:hint="default" w:ascii="Times New Roman" w:hAnsi="Times New Roman" w:cs="Times New Roman"/>
                      <w:color w:val="auto"/>
                      <w:kern w:val="0"/>
                      <w:sz w:val="21"/>
                      <w:szCs w:val="21"/>
                      <w:highlight w:val="none"/>
                      <w:lang w:val="en-US" w:eastAsia="zh-CN" w:bidi="ar"/>
                    </w:rPr>
                    <w:t>（分区存放）</w:t>
                  </w:r>
                </w:p>
              </w:tc>
            </w:tr>
            <w:tr w14:paraId="22F0D0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6E1C04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纯碱</w:t>
                  </w:r>
                </w:p>
              </w:tc>
              <w:tc>
                <w:tcPr>
                  <w:tcW w:w="1359" w:type="pct"/>
                  <w:tcBorders>
                    <w:tl2br w:val="nil"/>
                    <w:tr2bl w:val="nil"/>
                  </w:tcBorders>
                  <w:noWrap w:val="0"/>
                  <w:vAlign w:val="center"/>
                </w:tcPr>
                <w:p w14:paraId="6535BB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p>
              </w:tc>
              <w:tc>
                <w:tcPr>
                  <w:tcW w:w="506" w:type="pct"/>
                  <w:tcBorders>
                    <w:tl2br w:val="nil"/>
                    <w:tr2bl w:val="nil"/>
                  </w:tcBorders>
                  <w:noWrap w:val="0"/>
                  <w:vAlign w:val="center"/>
                </w:tcPr>
                <w:p w14:paraId="1D4118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06" w:type="pct"/>
                  <w:tcBorders>
                    <w:tl2br w:val="nil"/>
                    <w:tr2bl w:val="nil"/>
                  </w:tcBorders>
                  <w:noWrap w:val="0"/>
                  <w:vAlign w:val="center"/>
                </w:tcPr>
                <w:p w14:paraId="2DFC67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06" w:type="pct"/>
                  <w:tcBorders>
                    <w:tl2br w:val="nil"/>
                    <w:tr2bl w:val="nil"/>
                  </w:tcBorders>
                  <w:noWrap w:val="0"/>
                  <w:vAlign w:val="center"/>
                </w:tcPr>
                <w:p w14:paraId="22D3EB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.5</w:t>
                  </w:r>
                </w:p>
              </w:tc>
              <w:tc>
                <w:tcPr>
                  <w:tcW w:w="932" w:type="pct"/>
                  <w:tcBorders>
                    <w:tl2br w:val="nil"/>
                    <w:tr2bl w:val="nil"/>
                  </w:tcBorders>
                  <w:noWrap w:val="0"/>
                  <w:vAlign w:val="center"/>
                </w:tcPr>
                <w:p w14:paraId="57BBDD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与膨润土发生水化作业，增加粘性，降滤失</w:t>
                  </w:r>
                </w:p>
              </w:tc>
              <w:tc>
                <w:tcPr>
                  <w:tcW w:w="457" w:type="pct"/>
                  <w:vMerge w:val="continue"/>
                  <w:tcBorders>
                    <w:tl2br w:val="nil"/>
                    <w:tr2bl w:val="nil"/>
                  </w:tcBorders>
                  <w:noWrap w:val="0"/>
                  <w:vAlign w:val="center"/>
                </w:tcPr>
                <w:p w14:paraId="0DC186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bidi="ar"/>
                    </w:rPr>
                  </w:pPr>
                </w:p>
              </w:tc>
            </w:tr>
            <w:tr w14:paraId="0BCDB3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3DCDF1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烧碱（固态）</w:t>
                  </w:r>
                </w:p>
              </w:tc>
              <w:tc>
                <w:tcPr>
                  <w:tcW w:w="1359" w:type="pct"/>
                  <w:tcBorders>
                    <w:tl2br w:val="nil"/>
                    <w:tr2bl w:val="nil"/>
                  </w:tcBorders>
                  <w:noWrap w:val="0"/>
                  <w:vAlign w:val="center"/>
                </w:tcPr>
                <w:p w14:paraId="72C5DB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NaOH</w:t>
                  </w:r>
                </w:p>
              </w:tc>
              <w:tc>
                <w:tcPr>
                  <w:tcW w:w="506" w:type="pct"/>
                  <w:tcBorders>
                    <w:tl2br w:val="nil"/>
                    <w:tr2bl w:val="nil"/>
                  </w:tcBorders>
                  <w:noWrap w:val="0"/>
                  <w:vAlign w:val="center"/>
                </w:tcPr>
                <w:p w14:paraId="367B56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7491E6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48C9AA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932" w:type="pct"/>
                  <w:tcBorders>
                    <w:tl2br w:val="nil"/>
                    <w:tr2bl w:val="nil"/>
                  </w:tcBorders>
                  <w:noWrap w:val="0"/>
                  <w:vAlign w:val="center"/>
                </w:tcPr>
                <w:p w14:paraId="26C455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调节pH，与酸性处理剂配合使用</w:t>
                  </w:r>
                </w:p>
              </w:tc>
              <w:tc>
                <w:tcPr>
                  <w:tcW w:w="457" w:type="pct"/>
                  <w:vMerge w:val="continue"/>
                  <w:tcBorders>
                    <w:tl2br w:val="nil"/>
                    <w:tr2bl w:val="nil"/>
                  </w:tcBorders>
                  <w:noWrap w:val="0"/>
                  <w:vAlign w:val="center"/>
                </w:tcPr>
                <w:p w14:paraId="20D642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4B63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21A2D5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K-PAM</w:t>
                  </w:r>
                  <w:r>
                    <w:rPr>
                      <w:rFonts w:hint="default" w:ascii="Times New Roman" w:hAnsi="Times New Roman" w:eastAsia="宋体" w:cs="Times New Roman"/>
                      <w:color w:val="auto"/>
                      <w:sz w:val="21"/>
                      <w:szCs w:val="21"/>
                    </w:rPr>
                    <w:t>（聚丙烯酸钾）</w:t>
                  </w:r>
                </w:p>
              </w:tc>
              <w:tc>
                <w:tcPr>
                  <w:tcW w:w="1359" w:type="pct"/>
                  <w:tcBorders>
                    <w:tl2br w:val="nil"/>
                    <w:tr2bl w:val="nil"/>
                  </w:tcBorders>
                  <w:noWrap w:val="0"/>
                  <w:vAlign w:val="center"/>
                </w:tcPr>
                <w:p w14:paraId="6722FE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KO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)M</w:t>
                  </w:r>
                </w:p>
              </w:tc>
              <w:tc>
                <w:tcPr>
                  <w:tcW w:w="506" w:type="pct"/>
                  <w:tcBorders>
                    <w:tl2br w:val="nil"/>
                    <w:tr2bl w:val="nil"/>
                  </w:tcBorders>
                  <w:noWrap w:val="0"/>
                  <w:vAlign w:val="center"/>
                </w:tcPr>
                <w:p w14:paraId="61ACD1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506" w:type="pct"/>
                  <w:tcBorders>
                    <w:tl2br w:val="nil"/>
                    <w:tr2bl w:val="nil"/>
                  </w:tcBorders>
                  <w:noWrap w:val="0"/>
                  <w:vAlign w:val="center"/>
                </w:tcPr>
                <w:p w14:paraId="337603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06" w:type="pct"/>
                  <w:tcBorders>
                    <w:tl2br w:val="nil"/>
                    <w:tr2bl w:val="nil"/>
                  </w:tcBorders>
                  <w:noWrap w:val="0"/>
                  <w:vAlign w:val="center"/>
                </w:tcPr>
                <w:p w14:paraId="0166B4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r>
                    <w:rPr>
                      <w:rFonts w:hint="default" w:ascii="Times New Roman" w:hAnsi="Times New Roman" w:eastAsia="宋体" w:cs="Times New Roman"/>
                      <w:color w:val="auto"/>
                      <w:sz w:val="21"/>
                      <w:szCs w:val="21"/>
                      <w:lang w:val="en-US" w:eastAsia="zh-CN"/>
                    </w:rPr>
                    <w:t>.5</w:t>
                  </w:r>
                </w:p>
              </w:tc>
              <w:tc>
                <w:tcPr>
                  <w:tcW w:w="932" w:type="pct"/>
                  <w:tcBorders>
                    <w:tl2br w:val="nil"/>
                    <w:tr2bl w:val="nil"/>
                  </w:tcBorders>
                  <w:noWrap w:val="0"/>
                  <w:vAlign w:val="center"/>
                </w:tcPr>
                <w:p w14:paraId="3A7C08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能有效包被钻屑、抑制地层造浆，起稳定井壁、防塌、降滤失的</w:t>
                  </w:r>
                  <w:r>
                    <w:rPr>
                      <w:rFonts w:hint="default" w:ascii="Times New Roman" w:hAnsi="Times New Roman" w:eastAsia="宋体" w:cs="Times New Roman"/>
                      <w:color w:val="auto"/>
                      <w:sz w:val="21"/>
                      <w:szCs w:val="21"/>
                      <w:lang w:val="en-US" w:eastAsia="zh-CN"/>
                    </w:rPr>
                    <w:t>作用</w:t>
                  </w:r>
                </w:p>
              </w:tc>
              <w:tc>
                <w:tcPr>
                  <w:tcW w:w="457" w:type="pct"/>
                  <w:vMerge w:val="continue"/>
                  <w:tcBorders>
                    <w:tl2br w:val="nil"/>
                    <w:tr2bl w:val="nil"/>
                  </w:tcBorders>
                  <w:noWrap w:val="0"/>
                  <w:vAlign w:val="center"/>
                </w:tcPr>
                <w:p w14:paraId="6109E7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CC0B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23F9E9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K-HPAN</w:t>
                  </w:r>
                </w:p>
              </w:tc>
              <w:tc>
                <w:tcPr>
                  <w:tcW w:w="1359" w:type="pct"/>
                  <w:tcBorders>
                    <w:tl2br w:val="nil"/>
                    <w:tr2bl w:val="nil"/>
                  </w:tcBorders>
                  <w:noWrap w:val="0"/>
                  <w:vAlign w:val="center"/>
                </w:tcPr>
                <w:p w14:paraId="325D51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含有酰胺基、腈基和羧基钾离子含量高</w:t>
                  </w:r>
                </w:p>
              </w:tc>
              <w:tc>
                <w:tcPr>
                  <w:tcW w:w="506" w:type="pct"/>
                  <w:tcBorders>
                    <w:tl2br w:val="nil"/>
                    <w:tr2bl w:val="nil"/>
                  </w:tcBorders>
                  <w:noWrap w:val="0"/>
                  <w:vAlign w:val="center"/>
                </w:tcPr>
                <w:p w14:paraId="02818A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1132C5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06" w:type="pct"/>
                  <w:tcBorders>
                    <w:tl2br w:val="nil"/>
                    <w:tr2bl w:val="nil"/>
                  </w:tcBorders>
                  <w:noWrap w:val="0"/>
                  <w:vAlign w:val="center"/>
                </w:tcPr>
                <w:p w14:paraId="0A0B51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2" w:type="pct"/>
                  <w:tcBorders>
                    <w:tl2br w:val="nil"/>
                    <w:tr2bl w:val="nil"/>
                  </w:tcBorders>
                  <w:noWrap w:val="0"/>
                  <w:vAlign w:val="center"/>
                </w:tcPr>
                <w:p w14:paraId="4599A7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降滤失，调整泥浆流态</w:t>
                  </w:r>
                </w:p>
              </w:tc>
              <w:tc>
                <w:tcPr>
                  <w:tcW w:w="457" w:type="pct"/>
                  <w:vMerge w:val="continue"/>
                  <w:tcBorders>
                    <w:tl2br w:val="nil"/>
                    <w:tr2bl w:val="nil"/>
                  </w:tcBorders>
                  <w:noWrap w:val="0"/>
                  <w:vAlign w:val="center"/>
                </w:tcPr>
                <w:p w14:paraId="68386E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A86B4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3DEC1A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-HPAN</w:t>
                  </w:r>
                  <w:r>
                    <w:rPr>
                      <w:rFonts w:hint="default" w:ascii="Times New Roman" w:hAnsi="Times New Roman" w:eastAsia="宋体" w:cs="Times New Roman"/>
                      <w:color w:val="auto"/>
                      <w:kern w:val="0"/>
                      <w:sz w:val="21"/>
                      <w:szCs w:val="21"/>
                      <w:lang w:bidi="ar"/>
                    </w:rPr>
                    <w:t>（水解聚丙烯腈铵盐）</w:t>
                  </w:r>
                </w:p>
              </w:tc>
              <w:tc>
                <w:tcPr>
                  <w:tcW w:w="1359" w:type="pct"/>
                  <w:tcBorders>
                    <w:tl2br w:val="nil"/>
                    <w:tr2bl w:val="nil"/>
                  </w:tcBorders>
                  <w:noWrap w:val="0"/>
                  <w:vAlign w:val="center"/>
                </w:tcPr>
                <w:p w14:paraId="14AE55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含有COOH、COONH</w:t>
                  </w:r>
                  <w:r>
                    <w:rPr>
                      <w:rFonts w:hint="default" w:ascii="Times New Roman" w:hAnsi="Times New Roman" w:cs="Times New Roman"/>
                      <w:color w:val="auto"/>
                      <w:sz w:val="21"/>
                      <w:szCs w:val="21"/>
                      <w:vertAlign w:val="subscript"/>
                    </w:rPr>
                    <w:t>4</w:t>
                  </w:r>
                  <w:r>
                    <w:rPr>
                      <w:rFonts w:hint="default" w:ascii="Times New Roman" w:hAnsi="Times New Roman" w:eastAsia="宋体" w:cs="Times New Roman"/>
                      <w:color w:val="auto"/>
                      <w:sz w:val="21"/>
                      <w:szCs w:val="21"/>
                    </w:rPr>
                    <w:t>、CONH</w:t>
                  </w:r>
                  <w:r>
                    <w:rPr>
                      <w:rFonts w:hint="default" w:ascii="Times New Roman" w:hAnsi="Times New Roman" w:cs="Times New Roman"/>
                      <w:color w:val="auto"/>
                      <w:sz w:val="21"/>
                      <w:szCs w:val="21"/>
                      <w:vertAlign w:val="subscript"/>
                    </w:rPr>
                    <w:t>2</w:t>
                  </w:r>
                  <w:r>
                    <w:rPr>
                      <w:rFonts w:hint="default" w:ascii="Times New Roman" w:hAnsi="Times New Roman" w:eastAsia="宋体" w:cs="Times New Roman"/>
                      <w:color w:val="auto"/>
                      <w:sz w:val="21"/>
                      <w:szCs w:val="21"/>
                    </w:rPr>
                    <w:t>、CN等基团构成</w:t>
                  </w:r>
                </w:p>
              </w:tc>
              <w:tc>
                <w:tcPr>
                  <w:tcW w:w="506" w:type="pct"/>
                  <w:tcBorders>
                    <w:tl2br w:val="nil"/>
                    <w:tr2bl w:val="nil"/>
                  </w:tcBorders>
                  <w:noWrap w:val="0"/>
                  <w:vAlign w:val="center"/>
                </w:tcPr>
                <w:p w14:paraId="6C15DE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6DBD36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06" w:type="pct"/>
                  <w:tcBorders>
                    <w:tl2br w:val="nil"/>
                    <w:tr2bl w:val="nil"/>
                  </w:tcBorders>
                  <w:noWrap w:val="0"/>
                  <w:vAlign w:val="center"/>
                </w:tcPr>
                <w:p w14:paraId="2792C6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32" w:type="pct"/>
                  <w:tcBorders>
                    <w:tl2br w:val="nil"/>
                    <w:tr2bl w:val="nil"/>
                  </w:tcBorders>
                  <w:noWrap w:val="0"/>
                  <w:vAlign w:val="center"/>
                </w:tcPr>
                <w:p w14:paraId="250682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抑制粘土水化分散，是一种良好的页岩抑制，同时兼有降低钻井液</w:t>
                  </w:r>
                </w:p>
                <w:p w14:paraId="4EB4FE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度和降滤失作用</w:t>
                  </w:r>
                </w:p>
              </w:tc>
              <w:tc>
                <w:tcPr>
                  <w:tcW w:w="457" w:type="pct"/>
                  <w:vMerge w:val="continue"/>
                  <w:tcBorders>
                    <w:tl2br w:val="nil"/>
                    <w:tr2bl w:val="nil"/>
                  </w:tcBorders>
                  <w:noWrap w:val="0"/>
                  <w:vAlign w:val="center"/>
                </w:tcPr>
                <w:p w14:paraId="7AAE8F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463F6F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5F9C0B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LV-CMC</w:t>
                  </w:r>
                  <w:r>
                    <w:rPr>
                      <w:rFonts w:hint="default" w:ascii="Times New Roman" w:hAnsi="Times New Roman" w:eastAsia="宋体" w:cs="Times New Roman"/>
                      <w:color w:val="auto"/>
                      <w:sz w:val="21"/>
                      <w:szCs w:val="21"/>
                    </w:rPr>
                    <w:t>（羧甲基纤维素钠）</w:t>
                  </w:r>
                </w:p>
              </w:tc>
              <w:tc>
                <w:tcPr>
                  <w:tcW w:w="1359" w:type="pct"/>
                  <w:tcBorders>
                    <w:tl2br w:val="nil"/>
                    <w:tr2bl w:val="nil"/>
                  </w:tcBorders>
                  <w:noWrap w:val="0"/>
                  <w:vAlign w:val="center"/>
                </w:tcPr>
                <w:p w14:paraId="12AD7D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C</w:t>
                  </w:r>
                  <w:r>
                    <w:rPr>
                      <w:rFonts w:hint="default" w:ascii="Times New Roman" w:hAnsi="Times New Roman" w:cs="Times New Roman"/>
                      <w:color w:val="auto"/>
                      <w:kern w:val="0"/>
                      <w:sz w:val="21"/>
                      <w:szCs w:val="21"/>
                      <w:vertAlign w:val="subscript"/>
                      <w:lang w:bidi="ar"/>
                    </w:rPr>
                    <w:t>8</w:t>
                  </w:r>
                  <w:r>
                    <w:rPr>
                      <w:rFonts w:hint="default" w:ascii="Times New Roman" w:hAnsi="Times New Roman" w:cs="Times New Roman"/>
                      <w:color w:val="auto"/>
                      <w:kern w:val="0"/>
                      <w:sz w:val="21"/>
                      <w:szCs w:val="21"/>
                      <w:lang w:bidi="ar"/>
                    </w:rPr>
                    <w:t>H</w:t>
                  </w:r>
                  <w:r>
                    <w:rPr>
                      <w:rFonts w:hint="default" w:ascii="Times New Roman" w:hAnsi="Times New Roman" w:cs="Times New Roman"/>
                      <w:color w:val="auto"/>
                      <w:kern w:val="0"/>
                      <w:sz w:val="21"/>
                      <w:szCs w:val="21"/>
                      <w:vertAlign w:val="subscript"/>
                      <w:lang w:bidi="ar"/>
                    </w:rPr>
                    <w:t>16</w:t>
                  </w:r>
                  <w:r>
                    <w:rPr>
                      <w:rFonts w:hint="default" w:ascii="Times New Roman" w:hAnsi="Times New Roman" w:cs="Times New Roman"/>
                      <w:color w:val="auto"/>
                      <w:kern w:val="0"/>
                      <w:sz w:val="21"/>
                      <w:szCs w:val="21"/>
                      <w:lang w:bidi="ar"/>
                    </w:rPr>
                    <w:t>NaO</w:t>
                  </w:r>
                  <w:r>
                    <w:rPr>
                      <w:rFonts w:hint="default" w:ascii="Times New Roman" w:hAnsi="Times New Roman" w:cs="Times New Roman"/>
                      <w:color w:val="auto"/>
                      <w:kern w:val="0"/>
                      <w:sz w:val="21"/>
                      <w:szCs w:val="21"/>
                      <w:vertAlign w:val="subscript"/>
                      <w:lang w:bidi="ar"/>
                    </w:rPr>
                    <w:t>8</w:t>
                  </w:r>
                </w:p>
              </w:tc>
              <w:tc>
                <w:tcPr>
                  <w:tcW w:w="506" w:type="pct"/>
                  <w:tcBorders>
                    <w:tl2br w:val="nil"/>
                    <w:tr2bl w:val="nil"/>
                  </w:tcBorders>
                  <w:noWrap w:val="0"/>
                  <w:vAlign w:val="center"/>
                </w:tcPr>
                <w:p w14:paraId="6EBF3C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74FC7B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6" w:type="pct"/>
                  <w:tcBorders>
                    <w:tl2br w:val="nil"/>
                    <w:tr2bl w:val="nil"/>
                  </w:tcBorders>
                  <w:noWrap w:val="0"/>
                  <w:vAlign w:val="center"/>
                </w:tcPr>
                <w:p w14:paraId="59B480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32" w:type="pct"/>
                  <w:tcBorders>
                    <w:tl2br w:val="nil"/>
                    <w:tr2bl w:val="nil"/>
                  </w:tcBorders>
                  <w:noWrap w:val="0"/>
                  <w:vAlign w:val="center"/>
                </w:tcPr>
                <w:p w14:paraId="176605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主要用作降滤失剂</w:t>
                  </w:r>
                </w:p>
              </w:tc>
              <w:tc>
                <w:tcPr>
                  <w:tcW w:w="457" w:type="pct"/>
                  <w:vMerge w:val="continue"/>
                  <w:tcBorders>
                    <w:tl2br w:val="nil"/>
                    <w:tr2bl w:val="nil"/>
                  </w:tcBorders>
                  <w:noWrap w:val="0"/>
                  <w:vAlign w:val="center"/>
                </w:tcPr>
                <w:p w14:paraId="24A2DF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B50A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209BE5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沥青类防塌剂</w:t>
                  </w:r>
                </w:p>
              </w:tc>
              <w:tc>
                <w:tcPr>
                  <w:tcW w:w="1359" w:type="pct"/>
                  <w:tcBorders>
                    <w:tl2br w:val="nil"/>
                    <w:tr2bl w:val="nil"/>
                  </w:tcBorders>
                  <w:noWrap w:val="0"/>
                  <w:vAlign w:val="center"/>
                </w:tcPr>
                <w:p w14:paraId="24DCE4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高级脂肪醇树脂</w:t>
                  </w:r>
                </w:p>
              </w:tc>
              <w:tc>
                <w:tcPr>
                  <w:tcW w:w="506" w:type="pct"/>
                  <w:tcBorders>
                    <w:tl2br w:val="nil"/>
                    <w:tr2bl w:val="nil"/>
                  </w:tcBorders>
                  <w:noWrap w:val="0"/>
                  <w:vAlign w:val="center"/>
                </w:tcPr>
                <w:p w14:paraId="0C7FBF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18A057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6" w:type="pct"/>
                  <w:tcBorders>
                    <w:tl2br w:val="nil"/>
                    <w:tr2bl w:val="nil"/>
                  </w:tcBorders>
                  <w:noWrap w:val="0"/>
                  <w:vAlign w:val="center"/>
                </w:tcPr>
                <w:p w14:paraId="75987A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32" w:type="pct"/>
                  <w:tcBorders>
                    <w:tl2br w:val="nil"/>
                    <w:tr2bl w:val="nil"/>
                  </w:tcBorders>
                  <w:noWrap w:val="0"/>
                  <w:vAlign w:val="center"/>
                </w:tcPr>
                <w:p w14:paraId="7BD8BD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稳定井壁，防止井壁垮塌</w:t>
                  </w:r>
                </w:p>
              </w:tc>
              <w:tc>
                <w:tcPr>
                  <w:tcW w:w="457" w:type="pct"/>
                  <w:vMerge w:val="continue"/>
                  <w:tcBorders>
                    <w:tl2br w:val="nil"/>
                    <w:tr2bl w:val="nil"/>
                  </w:tcBorders>
                  <w:noWrap w:val="0"/>
                  <w:vAlign w:val="center"/>
                </w:tcPr>
                <w:p w14:paraId="4D3D57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4F5B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022B30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常规液体润滑剂</w:t>
                  </w:r>
                </w:p>
              </w:tc>
              <w:tc>
                <w:tcPr>
                  <w:tcW w:w="1359" w:type="pct"/>
                  <w:tcBorders>
                    <w:tl2br w:val="nil"/>
                    <w:tr2bl w:val="nil"/>
                  </w:tcBorders>
                  <w:noWrap w:val="0"/>
                  <w:vAlign w:val="center"/>
                </w:tcPr>
                <w:p w14:paraId="58E674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聚合醇</w:t>
                  </w:r>
                </w:p>
              </w:tc>
              <w:tc>
                <w:tcPr>
                  <w:tcW w:w="506" w:type="pct"/>
                  <w:tcBorders>
                    <w:tl2br w:val="nil"/>
                    <w:tr2bl w:val="nil"/>
                  </w:tcBorders>
                  <w:noWrap w:val="0"/>
                  <w:vAlign w:val="center"/>
                </w:tcPr>
                <w:p w14:paraId="006A95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271F53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6" w:type="pct"/>
                  <w:tcBorders>
                    <w:tl2br w:val="nil"/>
                    <w:tr2bl w:val="nil"/>
                  </w:tcBorders>
                  <w:noWrap w:val="0"/>
                  <w:vAlign w:val="center"/>
                </w:tcPr>
                <w:p w14:paraId="72CF88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32" w:type="pct"/>
                  <w:tcBorders>
                    <w:tl2br w:val="nil"/>
                    <w:tr2bl w:val="nil"/>
                  </w:tcBorders>
                  <w:noWrap w:val="0"/>
                  <w:vAlign w:val="center"/>
                </w:tcPr>
                <w:p w14:paraId="62C712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减少钻具的扭矩、磨损和疲劳，延长钻具及钻头的使用寿命</w:t>
                  </w:r>
                </w:p>
              </w:tc>
              <w:tc>
                <w:tcPr>
                  <w:tcW w:w="457" w:type="pct"/>
                  <w:vMerge w:val="continue"/>
                  <w:tcBorders>
                    <w:tl2br w:val="nil"/>
                    <w:tr2bl w:val="nil"/>
                  </w:tcBorders>
                  <w:noWrap w:val="0"/>
                  <w:vAlign w:val="center"/>
                </w:tcPr>
                <w:p w14:paraId="7BBB8C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0686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771E4B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复合堵漏剂(备用)</w:t>
                  </w:r>
                </w:p>
              </w:tc>
              <w:tc>
                <w:tcPr>
                  <w:tcW w:w="1359" w:type="pct"/>
                  <w:tcBorders>
                    <w:tl2br w:val="nil"/>
                    <w:tr2bl w:val="nil"/>
                  </w:tcBorders>
                  <w:noWrap w:val="0"/>
                  <w:vAlign w:val="center"/>
                </w:tcPr>
                <w:p w14:paraId="1D35FA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锯末、云母、棉籽、核桃壳等</w:t>
                  </w:r>
                </w:p>
              </w:tc>
              <w:tc>
                <w:tcPr>
                  <w:tcW w:w="506" w:type="pct"/>
                  <w:tcBorders>
                    <w:tl2br w:val="nil"/>
                    <w:tr2bl w:val="nil"/>
                  </w:tcBorders>
                  <w:noWrap w:val="0"/>
                  <w:vAlign w:val="center"/>
                </w:tcPr>
                <w:p w14:paraId="082276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4ACD27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694D3A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2" w:type="pct"/>
                  <w:tcBorders>
                    <w:tl2br w:val="nil"/>
                    <w:tr2bl w:val="nil"/>
                  </w:tcBorders>
                  <w:noWrap w:val="0"/>
                  <w:vAlign w:val="center"/>
                </w:tcPr>
                <w:p w14:paraId="39E86D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起堵漏作用</w:t>
                  </w:r>
                </w:p>
              </w:tc>
              <w:tc>
                <w:tcPr>
                  <w:tcW w:w="457" w:type="pct"/>
                  <w:vMerge w:val="continue"/>
                  <w:tcBorders>
                    <w:tl2br w:val="nil"/>
                    <w:tr2bl w:val="nil"/>
                  </w:tcBorders>
                  <w:noWrap w:val="0"/>
                  <w:vAlign w:val="center"/>
                </w:tcPr>
                <w:p w14:paraId="5203B6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5CFAB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732" w:type="pct"/>
                  <w:tcBorders>
                    <w:tl2br w:val="nil"/>
                    <w:tr2bl w:val="nil"/>
                  </w:tcBorders>
                  <w:noWrap w:val="0"/>
                  <w:vAlign w:val="center"/>
                </w:tcPr>
                <w:p w14:paraId="0080BE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加重材料</w:t>
                  </w:r>
                </w:p>
              </w:tc>
              <w:tc>
                <w:tcPr>
                  <w:tcW w:w="1359" w:type="pct"/>
                  <w:tcBorders>
                    <w:tl2br w:val="nil"/>
                    <w:tr2bl w:val="nil"/>
                  </w:tcBorders>
                  <w:noWrap w:val="0"/>
                  <w:vAlign w:val="center"/>
                </w:tcPr>
                <w:p w14:paraId="50F41E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CaCO</w:t>
                  </w:r>
                  <w:r>
                    <w:rPr>
                      <w:rFonts w:hint="default" w:ascii="Times New Roman" w:hAnsi="Times New Roman" w:cs="Times New Roman"/>
                      <w:color w:val="auto"/>
                      <w:sz w:val="21"/>
                      <w:szCs w:val="21"/>
                      <w:vertAlign w:val="subscript"/>
                    </w:rPr>
                    <w:t>3</w:t>
                  </w:r>
                </w:p>
              </w:tc>
              <w:tc>
                <w:tcPr>
                  <w:tcW w:w="506" w:type="pct"/>
                  <w:tcBorders>
                    <w:tl2br w:val="nil"/>
                    <w:tr2bl w:val="nil"/>
                  </w:tcBorders>
                  <w:noWrap w:val="0"/>
                  <w:vAlign w:val="center"/>
                </w:tcPr>
                <w:p w14:paraId="5BE692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2621F3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6" w:type="pct"/>
                  <w:tcBorders>
                    <w:tl2br w:val="nil"/>
                    <w:tr2bl w:val="nil"/>
                  </w:tcBorders>
                  <w:noWrap w:val="0"/>
                  <w:vAlign w:val="center"/>
                </w:tcPr>
                <w:p w14:paraId="771D25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32" w:type="pct"/>
                  <w:tcBorders>
                    <w:tl2br w:val="nil"/>
                    <w:tr2bl w:val="nil"/>
                  </w:tcBorders>
                  <w:noWrap w:val="0"/>
                  <w:vAlign w:val="center"/>
                </w:tcPr>
                <w:p w14:paraId="5CA8C0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提高钻井液密度，稳定井壁</w:t>
                  </w:r>
                </w:p>
              </w:tc>
              <w:tc>
                <w:tcPr>
                  <w:tcW w:w="457" w:type="pct"/>
                  <w:vMerge w:val="continue"/>
                  <w:tcBorders>
                    <w:tl2br w:val="nil"/>
                    <w:tr2bl w:val="nil"/>
                  </w:tcBorders>
                  <w:noWrap w:val="0"/>
                  <w:vAlign w:val="center"/>
                </w:tcPr>
                <w:p w14:paraId="09C524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C1B6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32" w:type="pct"/>
                  <w:tcBorders>
                    <w:tl2br w:val="nil"/>
                    <w:tr2bl w:val="nil"/>
                  </w:tcBorders>
                  <w:noWrap w:val="0"/>
                  <w:vAlign w:val="center"/>
                </w:tcPr>
                <w:p w14:paraId="7AD34B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合计</w:t>
                  </w:r>
                </w:p>
              </w:tc>
              <w:tc>
                <w:tcPr>
                  <w:tcW w:w="1359" w:type="pct"/>
                  <w:tcBorders>
                    <w:tl2br w:val="nil"/>
                    <w:tr2bl w:val="nil"/>
                  </w:tcBorders>
                  <w:noWrap w:val="0"/>
                  <w:vAlign w:val="center"/>
                </w:tcPr>
                <w:p w14:paraId="197AB1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635AA0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sum(C2:C12)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fldChar w:fldCharType="end"/>
                  </w:r>
                </w:p>
              </w:tc>
              <w:tc>
                <w:tcPr>
                  <w:tcW w:w="506" w:type="pct"/>
                  <w:tcBorders>
                    <w:tl2br w:val="nil"/>
                    <w:tr2bl w:val="nil"/>
                  </w:tcBorders>
                  <w:noWrap w:val="0"/>
                  <w:vAlign w:val="center"/>
                </w:tcPr>
                <w:p w14:paraId="09267D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sum(D2:D12)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49.5</w:t>
                  </w:r>
                  <w:r>
                    <w:rPr>
                      <w:rFonts w:hint="default" w:ascii="Times New Roman" w:hAnsi="Times New Roman" w:cs="Times New Roman"/>
                      <w:color w:val="auto"/>
                      <w:sz w:val="21"/>
                      <w:szCs w:val="21"/>
                    </w:rPr>
                    <w:fldChar w:fldCharType="end"/>
                  </w:r>
                </w:p>
              </w:tc>
              <w:tc>
                <w:tcPr>
                  <w:tcW w:w="506" w:type="pct"/>
                  <w:tcBorders>
                    <w:tl2br w:val="nil"/>
                    <w:tr2bl w:val="nil"/>
                  </w:tcBorders>
                  <w:noWrap w:val="0"/>
                  <w:vAlign w:val="center"/>
                </w:tcPr>
                <w:p w14:paraId="7484CA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sum(E2:E12)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61</w:t>
                  </w:r>
                  <w:r>
                    <w:rPr>
                      <w:rFonts w:hint="default" w:ascii="Times New Roman" w:hAnsi="Times New Roman" w:cs="Times New Roman"/>
                      <w:color w:val="auto"/>
                      <w:sz w:val="21"/>
                      <w:szCs w:val="21"/>
                      <w:lang w:val="en-US" w:eastAsia="zh-CN"/>
                    </w:rPr>
                    <w:fldChar w:fldCharType="end"/>
                  </w:r>
                </w:p>
              </w:tc>
              <w:tc>
                <w:tcPr>
                  <w:tcW w:w="932" w:type="pct"/>
                  <w:tcBorders>
                    <w:tl2br w:val="nil"/>
                    <w:tr2bl w:val="nil"/>
                  </w:tcBorders>
                  <w:noWrap w:val="0"/>
                  <w:vAlign w:val="center"/>
                </w:tcPr>
                <w:p w14:paraId="14731F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57" w:type="pct"/>
                  <w:vMerge w:val="continue"/>
                  <w:tcBorders>
                    <w:tl2br w:val="nil"/>
                    <w:tr2bl w:val="nil"/>
                  </w:tcBorders>
                  <w:noWrap w:val="0"/>
                  <w:vAlign w:val="center"/>
                </w:tcPr>
                <w:p w14:paraId="379DB9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r>
          </w:tbl>
          <w:p w14:paraId="6658BC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聚丙烯酸钾</w:t>
            </w:r>
            <w:r>
              <w:rPr>
                <w:rFonts w:hint="default" w:ascii="Times New Roman" w:hAnsi="Times New Roman" w:eastAsia="宋体" w:cs="Times New Roman"/>
                <w:b w:val="0"/>
                <w:bCs w:val="0"/>
                <w:color w:val="auto"/>
                <w:sz w:val="24"/>
                <w:szCs w:val="24"/>
                <w:vertAlign w:val="baseline"/>
                <w:lang w:val="en-US" w:eastAsia="zh-CN"/>
              </w:rPr>
              <w:t>：聚丙烯酸钾(K－PAM)，是一种含羧钾聚丙烯酰胺衍生物，具有高吸水性、生产成本低、加工工艺简单、产品质量稳定、长时间储存不变质，最终分解物对生态环境无害等特点，同时还是很强的抑制页岩分散剂，具有控制地层造浆的作用并兼有降失水、改善流型及增加润滑性等功能；因此可以用于井下不分散低固性泥浆、聚合物体系的剪切稀释、防塌絮凝。</w:t>
            </w:r>
          </w:p>
          <w:p w14:paraId="793AFF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K-HPAN</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水解聚丙烯睛铵盐</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以腈纶废丝为主要原料，分子中有腈基，酰胺基及羧基。为棕红色或淡黄色粉末，易溶于水，水溶液呈碱性。本品为一种聚丙烯酸类岩抑制剂，对粘土有抑制水化膨胀的作用，并可降低钻井液的滤失量。</w:t>
            </w:r>
          </w:p>
          <w:p w14:paraId="139EB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LV-CMC</w:t>
            </w:r>
            <w:r>
              <w:rPr>
                <w:rFonts w:hint="default" w:ascii="Times New Roman" w:hAnsi="Times New Roman" w:eastAsia="宋体" w:cs="Times New Roman"/>
                <w:b/>
                <w:bCs/>
                <w:color w:val="auto"/>
                <w:sz w:val="24"/>
                <w:szCs w:val="24"/>
              </w:rPr>
              <w:t>（羧甲基纤维素钠）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是纤维素的羧甲基化衍生物，又名纤维素胶，属阴离子型纤维素醚，是最主要离子型纤维素胶。通常是由天然纤维素与苛性碱及一氯醋酸反应后制得的一种阴离子型高分子化合物，化合物分子量从几千到百万不等。CMC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pH值为2-3时会出现沉淀，遇多价金属盐也会反应出现沉淀。</w:t>
            </w:r>
            <w:r>
              <w:rPr>
                <w:rFonts w:hint="default" w:ascii="Times New Roman" w:hAnsi="Times New Roman" w:eastAsia="宋体" w:cs="Times New Roman"/>
                <w:b w:val="0"/>
                <w:bCs w:val="0"/>
                <w:color w:val="auto"/>
                <w:sz w:val="24"/>
                <w:szCs w:val="24"/>
                <w:highlight w:val="none"/>
                <w:vertAlign w:val="baseline"/>
                <w:lang w:val="en-US" w:eastAsia="zh-CN"/>
              </w:rPr>
              <w:t>固体CMC对光及室温较稳定</w:t>
            </w:r>
            <w:r>
              <w:rPr>
                <w:rFonts w:hint="default" w:ascii="Times New Roman" w:hAnsi="Times New Roman" w:eastAsia="宋体" w:cs="Times New Roman"/>
                <w:b w:val="0"/>
                <w:bCs w:val="0"/>
                <w:color w:val="auto"/>
                <w:sz w:val="24"/>
                <w:szCs w:val="24"/>
                <w:vertAlign w:val="baseline"/>
                <w:lang w:val="en-US" w:eastAsia="zh-CN"/>
              </w:rPr>
              <w:t>，在干燥的环境中，可以长期保存。羧甲基纤维素钠可用作增稠剂，稳定剂，乳化剂。</w:t>
            </w:r>
          </w:p>
          <w:p w14:paraId="34DED8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复合堵漏剂</w:t>
            </w:r>
            <w:r>
              <w:rPr>
                <w:rFonts w:hint="default" w:ascii="Times New Roman" w:hAnsi="Times New Roman" w:eastAsia="宋体" w:cs="Times New Roman"/>
                <w:b w:val="0"/>
                <w:bCs w:val="0"/>
                <w:color w:val="auto"/>
                <w:sz w:val="24"/>
                <w:szCs w:val="24"/>
                <w:vertAlign w:val="baseline"/>
                <w:lang w:val="en-US" w:eastAsia="zh-CN"/>
              </w:rPr>
              <w:t>：堵漏剂是一种凝结硬化快，小时强度高，具有膨胀的水硬性材料，此原料无毒无味，经严格筛选，性能卓越，操作简便，用水调和即可使用，可在潮湿面上施工，亦可带水堵漏，效果奇特。</w:t>
            </w:r>
          </w:p>
          <w:p w14:paraId="4DE669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压裂液各成分理化性质一览表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6945"/>
            </w:tblGrid>
            <w:tr w14:paraId="2C64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426" w:type="dxa"/>
                  <w:vAlign w:val="center"/>
                </w:tcPr>
                <w:p w14:paraId="32FC52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原料名称</w:t>
                  </w:r>
                </w:p>
              </w:tc>
              <w:tc>
                <w:tcPr>
                  <w:tcW w:w="6945" w:type="dxa"/>
                  <w:vAlign w:val="center"/>
                </w:tcPr>
                <w:p w14:paraId="0A4EC1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理化性质</w:t>
                  </w:r>
                </w:p>
              </w:tc>
            </w:tr>
            <w:tr w14:paraId="4328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3893D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改性胍胶</w:t>
                  </w:r>
                </w:p>
              </w:tc>
              <w:tc>
                <w:tcPr>
                  <w:tcW w:w="6945" w:type="dxa"/>
                  <w:vAlign w:val="center"/>
                </w:tcPr>
                <w:p w14:paraId="397510FC">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采用昆山羟丙基胍胶，羟丙基胍胶具有增稠能力强，热稳定性好的特点，对水有很强的亲和力。当胍胶粉末加入水中，胍胶的微粒便</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溶胀、水合</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，也就是聚合物分子与许多水分子形成缔合体，然后在溶液中展开、伸长。在水基体系中，聚合物线团的相互作用，产生了粘稠溶液。适合储层温度</w:t>
                  </w:r>
                  <w:r>
                    <w:rPr>
                      <w:rFonts w:hint="default" w:ascii="Times New Roman" w:hAnsi="Times New Roman" w:eastAsia="TimesNewRomanPSMT" w:cs="Times New Roman"/>
                      <w:color w:val="auto"/>
                      <w:sz w:val="21"/>
                      <w:szCs w:val="24"/>
                    </w:rPr>
                    <w:t>80℃-200℃</w:t>
                  </w:r>
                  <w:r>
                    <w:rPr>
                      <w:rFonts w:hint="default" w:ascii="Times New Roman" w:hAnsi="Times New Roman" w:eastAsia="宋体" w:cs="Times New Roman"/>
                      <w:color w:val="auto"/>
                      <w:sz w:val="21"/>
                      <w:szCs w:val="24"/>
                    </w:rPr>
                    <w:t>，降低了压裂液的残渣与施工摩阻，能满足高温、低渗储层压裂改造的需要。</w:t>
                  </w:r>
                </w:p>
              </w:tc>
            </w:tr>
            <w:tr w14:paraId="4520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770D93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润湿改进剂</w:t>
                  </w:r>
                </w:p>
              </w:tc>
              <w:tc>
                <w:tcPr>
                  <w:tcW w:w="6945" w:type="dxa"/>
                  <w:vAlign w:val="center"/>
                </w:tcPr>
                <w:p w14:paraId="74B90C37">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常用的润湿剂主要是非离子型表面活性剂，如</w:t>
                  </w:r>
                  <w:r>
                    <w:rPr>
                      <w:rFonts w:hint="default" w:ascii="Times New Roman" w:hAnsi="Times New Roman" w:eastAsia="TimesNewRomanPSMT" w:cs="Times New Roman"/>
                      <w:color w:val="auto"/>
                      <w:sz w:val="21"/>
                      <w:szCs w:val="24"/>
                    </w:rPr>
                    <w:t>AE1910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OP-10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SP169</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796A</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TA-1031</w:t>
                  </w:r>
                  <w:r>
                    <w:rPr>
                      <w:rFonts w:hint="default" w:ascii="Times New Roman" w:hAnsi="Times New Roman" w:eastAsia="宋体" w:cs="Times New Roman"/>
                      <w:color w:val="auto"/>
                      <w:sz w:val="21"/>
                      <w:szCs w:val="24"/>
                    </w:rPr>
                    <w:t>等，能将亲油砂岩润湿为亲水砂岩，有利于提高相对渗透率。</w:t>
                  </w:r>
                </w:p>
              </w:tc>
            </w:tr>
            <w:tr w14:paraId="553B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3CDAC7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高温交联剂</w:t>
                  </w:r>
                </w:p>
              </w:tc>
              <w:tc>
                <w:tcPr>
                  <w:tcW w:w="6945" w:type="dxa"/>
                  <w:vAlign w:val="center"/>
                </w:tcPr>
                <w:p w14:paraId="62C09653">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通过化学键或配位键与稠化剂发生交联反应的试剂称为交联剂。交联剂将聚合物的各种分子联结成一种机构，使原来的聚合物分子量明显地增加，调整压裂液的粘度。</w:t>
                  </w:r>
                </w:p>
              </w:tc>
            </w:tr>
            <w:tr w14:paraId="028D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C905D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有机硼</w:t>
                  </w:r>
                </w:p>
              </w:tc>
              <w:tc>
                <w:tcPr>
                  <w:tcW w:w="6945" w:type="dxa"/>
                  <w:vAlign w:val="center"/>
                </w:tcPr>
                <w:p w14:paraId="7F2857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含有硼原子的有机化合物，作为交联剂辅助用剂。</w:t>
                  </w:r>
                </w:p>
              </w:tc>
            </w:tr>
            <w:tr w14:paraId="57E8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4F30E7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高温破胶剂</w:t>
                  </w:r>
                </w:p>
              </w:tc>
              <w:tc>
                <w:tcPr>
                  <w:tcW w:w="6945" w:type="dxa"/>
                  <w:vAlign w:val="center"/>
                </w:tcPr>
                <w:p w14:paraId="418E44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目前适用于水基交联冻胶体系的破胶剂，或以硫酸钾作为主要助剂。</w:t>
                  </w:r>
                </w:p>
              </w:tc>
            </w:tr>
            <w:tr w14:paraId="7386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2E55B9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碳酸钠</w:t>
                  </w:r>
                </w:p>
              </w:tc>
              <w:tc>
                <w:tcPr>
                  <w:tcW w:w="6945" w:type="dxa"/>
                  <w:vAlign w:val="center"/>
                </w:tcPr>
                <w:p w14:paraId="0B4352F1">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无水碳酸钠为白色粉末，易溶于水，水溶液呈碱性，</w:t>
                  </w:r>
                  <w:r>
                    <w:rPr>
                      <w:rFonts w:hint="default" w:ascii="Times New Roman" w:hAnsi="Times New Roman" w:eastAsia="宋体" w:cs="Times New Roman"/>
                      <w:color w:val="auto"/>
                      <w:sz w:val="21"/>
                      <w:szCs w:val="24"/>
                      <w:lang w:val="en-US" w:eastAsia="zh-CN"/>
                    </w:rPr>
                    <w:t>p</w:t>
                  </w:r>
                  <w:r>
                    <w:rPr>
                      <w:rFonts w:hint="default" w:ascii="Times New Roman" w:hAnsi="Times New Roman" w:eastAsia="TimesNewRomanPSMT" w:cs="Times New Roman"/>
                      <w:color w:val="auto"/>
                      <w:sz w:val="21"/>
                      <w:szCs w:val="24"/>
                    </w:rPr>
                    <w:t>H</w:t>
                  </w:r>
                  <w:r>
                    <w:rPr>
                      <w:rFonts w:hint="default" w:ascii="Times New Roman" w:hAnsi="Times New Roman" w:eastAsia="宋体" w:cs="Times New Roman"/>
                      <w:color w:val="auto"/>
                      <w:sz w:val="21"/>
                      <w:szCs w:val="24"/>
                    </w:rPr>
                    <w:t>值为</w:t>
                  </w:r>
                  <w:r>
                    <w:rPr>
                      <w:rFonts w:hint="default" w:ascii="Times New Roman" w:hAnsi="Times New Roman" w:eastAsia="TimesNewRomanPSMT" w:cs="Times New Roman"/>
                      <w:color w:val="auto"/>
                      <w:sz w:val="21"/>
                      <w:szCs w:val="24"/>
                    </w:rPr>
                    <w:t>11.5</w:t>
                  </w:r>
                  <w:r>
                    <w:rPr>
                      <w:rFonts w:hint="default" w:ascii="Times New Roman" w:hAnsi="Times New Roman" w:eastAsia="宋体" w:cs="Times New Roman"/>
                      <w:color w:val="auto"/>
                      <w:sz w:val="21"/>
                      <w:szCs w:val="24"/>
                    </w:rPr>
                    <w:t>。在泥浆中发生电离和水解，提供</w:t>
                  </w:r>
                  <w:r>
                    <w:rPr>
                      <w:rFonts w:hint="default" w:ascii="Times New Roman" w:hAnsi="Times New Roman" w:eastAsia="TimesNewRomanPSMT" w:cs="Times New Roman"/>
                      <w:color w:val="auto"/>
                      <w:sz w:val="21"/>
                      <w:szCs w:val="24"/>
                    </w:rPr>
                    <w:t>Na</w:t>
                  </w:r>
                  <w:r>
                    <w:rPr>
                      <w:rFonts w:hint="default" w:ascii="Times New Roman" w:hAnsi="Times New Roman" w:eastAsia="宋体" w:cs="Times New Roman"/>
                      <w:color w:val="auto"/>
                      <w:sz w:val="21"/>
                      <w:szCs w:val="24"/>
                      <w:vertAlign w:val="superscript"/>
                      <w:lang w:val="en-US" w:eastAsia="zh-CN"/>
                    </w:rPr>
                    <w:t>+</w:t>
                  </w:r>
                  <w:r>
                    <w:rPr>
                      <w:rFonts w:hint="default" w:ascii="Times New Roman" w:hAnsi="Times New Roman" w:eastAsia="宋体" w:cs="Times New Roman"/>
                      <w:color w:val="auto"/>
                      <w:sz w:val="21"/>
                      <w:szCs w:val="24"/>
                    </w:rPr>
                    <w:t>和</w:t>
                  </w:r>
                  <w:r>
                    <w:rPr>
                      <w:rFonts w:hint="default" w:ascii="Times New Roman" w:hAnsi="Times New Roman" w:eastAsia="TimesNewRomanPSMT" w:cs="Times New Roman"/>
                      <w:color w:val="auto"/>
                      <w:sz w:val="21"/>
                      <w:szCs w:val="24"/>
                    </w:rPr>
                    <w:t>CO</w:t>
                  </w:r>
                  <w:r>
                    <w:rPr>
                      <w:rFonts w:hint="default" w:ascii="Times New Roman" w:hAnsi="Times New Roman" w:eastAsia="宋体" w:cs="Times New Roman"/>
                      <w:color w:val="auto"/>
                      <w:sz w:val="21"/>
                      <w:szCs w:val="24"/>
                      <w:vertAlign w:val="subscript"/>
                      <w:lang w:val="en-US" w:eastAsia="zh-CN"/>
                    </w:rPr>
                    <w:t>3</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在泥浆中通过离子交换和沉淀作业，使钙质粘土变为钠质粘土。另外可除掉石膏或水泥浸入泥浆中的</w:t>
                  </w:r>
                  <w:r>
                    <w:rPr>
                      <w:rFonts w:hint="default" w:ascii="Times New Roman" w:hAnsi="Times New Roman" w:eastAsia="TimesNewRomanPSMT" w:cs="Times New Roman"/>
                      <w:color w:val="auto"/>
                      <w:sz w:val="21"/>
                      <w:szCs w:val="24"/>
                    </w:rPr>
                    <w:t>Ca</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离子，使泥浆性能变好。</w:t>
                  </w:r>
                </w:p>
              </w:tc>
            </w:tr>
            <w:tr w14:paraId="01AB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243473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碳酸氢钠</w:t>
                  </w:r>
                </w:p>
              </w:tc>
              <w:tc>
                <w:tcPr>
                  <w:tcW w:w="6945" w:type="dxa"/>
                  <w:vAlign w:val="center"/>
                </w:tcPr>
                <w:p w14:paraId="7359639D">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白色细小晶体，溶于水时呈现弱碱性，固体</w:t>
                  </w:r>
                  <w:r>
                    <w:rPr>
                      <w:rFonts w:hint="default" w:ascii="Times New Roman" w:hAnsi="Times New Roman" w:eastAsia="TimesNewRomanPSMT" w:cs="Times New Roman"/>
                      <w:color w:val="auto"/>
                      <w:sz w:val="21"/>
                      <w:szCs w:val="24"/>
                    </w:rPr>
                    <w:t>50℃</w:t>
                  </w:r>
                  <w:r>
                    <w:rPr>
                      <w:rFonts w:hint="default" w:ascii="Times New Roman" w:hAnsi="Times New Roman" w:eastAsia="宋体" w:cs="Times New Roman"/>
                      <w:color w:val="auto"/>
                      <w:sz w:val="21"/>
                      <w:szCs w:val="24"/>
                    </w:rPr>
                    <w:t>以上开始逐渐分解生成碳酸钠、二氧化碳和水，</w:t>
                  </w:r>
                  <w:r>
                    <w:rPr>
                      <w:rFonts w:hint="default" w:ascii="Times New Roman" w:hAnsi="Times New Roman" w:eastAsia="TimesNewRomanPSMT" w:cs="Times New Roman"/>
                      <w:color w:val="auto"/>
                      <w:sz w:val="21"/>
                      <w:szCs w:val="24"/>
                    </w:rPr>
                    <w:t>270℃</w:t>
                  </w:r>
                  <w:r>
                    <w:rPr>
                      <w:rFonts w:hint="default" w:ascii="Times New Roman" w:hAnsi="Times New Roman" w:eastAsia="宋体" w:cs="Times New Roman"/>
                      <w:color w:val="auto"/>
                      <w:sz w:val="21"/>
                      <w:szCs w:val="24"/>
                    </w:rPr>
                    <w:t>时完全分解。</w:t>
                  </w:r>
                </w:p>
              </w:tc>
            </w:tr>
          </w:tbl>
          <w:p w14:paraId="758504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w:t>
            </w:r>
            <w:r>
              <w:rPr>
                <w:rFonts w:hint="eastAsia" w:ascii="Times New Roman" w:hAnsi="Times New Roman" w:eastAsia="宋体" w:cs="Times New Roman"/>
                <w:b/>
                <w:bCs/>
                <w:color w:val="auto"/>
                <w:sz w:val="21"/>
                <w:szCs w:val="21"/>
                <w:vertAlign w:val="baseline"/>
                <w:lang w:val="en-US" w:eastAsia="zh-CN"/>
              </w:rPr>
              <w:t>1</w:t>
            </w:r>
            <w:r>
              <w:rPr>
                <w:rFonts w:hint="default" w:ascii="Times New Roman" w:hAnsi="Times New Roman" w:eastAsia="宋体" w:cs="Times New Roman"/>
                <w:b/>
                <w:bCs/>
                <w:color w:val="auto"/>
                <w:sz w:val="21"/>
                <w:szCs w:val="21"/>
                <w:vertAlign w:val="baseline"/>
                <w:lang w:val="en-US" w:eastAsia="zh-CN"/>
              </w:rPr>
              <w:t xml:space="preserve">  原辅材料成分、性质一览表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877"/>
              <w:gridCol w:w="3322"/>
            </w:tblGrid>
            <w:tr w14:paraId="73CC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30D026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311" w:type="pct"/>
                  <w:vAlign w:val="center"/>
                </w:tcPr>
                <w:p w14:paraId="23E181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钻井液</w:t>
                  </w:r>
                </w:p>
              </w:tc>
              <w:tc>
                <w:tcPr>
                  <w:tcW w:w="1980" w:type="pct"/>
                  <w:vAlign w:val="center"/>
                </w:tcPr>
                <w:p w14:paraId="0CD7A0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压裂液</w:t>
                  </w:r>
                </w:p>
              </w:tc>
            </w:tr>
            <w:tr w14:paraId="381A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0DFB2E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成分配方比</w:t>
                  </w:r>
                </w:p>
              </w:tc>
              <w:tc>
                <w:tcPr>
                  <w:tcW w:w="2311" w:type="pct"/>
                  <w:vAlign w:val="center"/>
                </w:tcPr>
                <w:p w14:paraId="664CAA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膨润土：6~8%</w:t>
                  </w:r>
                </w:p>
                <w:p w14:paraId="73CBF0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纯碱：0.3~0.5%</w:t>
                  </w:r>
                </w:p>
                <w:p w14:paraId="7775F6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CMC：0.05~0.1%</w:t>
                  </w:r>
                </w:p>
                <w:p w14:paraId="1B9824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聚丙烯酰胺：0~0.5%</w:t>
                  </w:r>
                </w:p>
                <w:p w14:paraId="015679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水：90.9~93.65%</w:t>
                  </w:r>
                </w:p>
              </w:tc>
              <w:tc>
                <w:tcPr>
                  <w:tcW w:w="1980" w:type="pct"/>
                  <w:vAlign w:val="center"/>
                </w:tcPr>
                <w:p w14:paraId="55B0F54A">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压裂液主要成分为水、添加剂、稠化剂等，水作为溶剂或分散介质，占比通常在90%以上，稠化剂（如改性胍胶等），占比约0.5-5%，添加剂包括稳定剂、破乳剂等，占比通常在1%~5%。</w:t>
                  </w:r>
                </w:p>
              </w:tc>
            </w:tr>
            <w:tr w14:paraId="36AD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07D990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性质作用</w:t>
                  </w:r>
                </w:p>
              </w:tc>
              <w:tc>
                <w:tcPr>
                  <w:tcW w:w="2311" w:type="pct"/>
                  <w:vAlign w:val="center"/>
                </w:tcPr>
                <w:p w14:paraId="32288552">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膨润土是一种以蒙脱石矿物为主要成分的粘性土，水化能力强，膨胀性大，分散性高。泥浆中注入4-8％的膨润土钻井液，具有良好的流变性能固定颗粒含量少，称为低固相优质固壁泥浆，其特点有：1、泥浆比重小，可泵及净化性能好，适用于反循环钻进工艺。2、失水量小，形成的泥皮薄而有韧，固壁效果好。3、具有良好的流变性能，悬浮携带钻碴能力强，利于提高钻进效率。4、省电、省工和省时，机械磨损小，可降低工程成本。</w:t>
                  </w:r>
                </w:p>
              </w:tc>
              <w:tc>
                <w:tcPr>
                  <w:tcW w:w="1980" w:type="pct"/>
                  <w:vAlign w:val="center"/>
                </w:tcPr>
                <w:p w14:paraId="3669EC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液是在钻井中将地面所形成的高压传递到下层中去，使得地层造成新的裂缝，撑开或扩大地层原有裂缝，同时把支撑剂带到裂缝中去。压裂液选用的性能要求：黏度高，润滑性好，滤失量小，低摩阻，对被压裂的流体层无堵塞及损害，对流体矿无污染，热稳定性及剪切稳定性能好、低残渣、配伍性好、破胶迅速、货源广，便于配置，经济合理。</w:t>
                  </w:r>
                </w:p>
              </w:tc>
            </w:tr>
            <w:tr w14:paraId="0244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3BF84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临时储存环保要求</w:t>
                  </w:r>
                </w:p>
              </w:tc>
              <w:tc>
                <w:tcPr>
                  <w:tcW w:w="2311" w:type="pct"/>
                  <w:vAlign w:val="center"/>
                </w:tcPr>
                <w:p w14:paraId="61BD59AD">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钻井液原料和处理剂的存放，应采取“防雨、防潮、防晒、防冻”等措施；钻井液材料应有详细记录，存放位置有明显标志。钻井液材料堆放台或架应高于地面100mm以上，并加设顶篷，防治雨水淋沥、浸泡造成污染。</w:t>
                  </w:r>
                </w:p>
              </w:tc>
              <w:tc>
                <w:tcPr>
                  <w:tcW w:w="1980" w:type="pct"/>
                  <w:vAlign w:val="center"/>
                </w:tcPr>
                <w:p w14:paraId="66E5FE0E">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储存于压裂液储罐内，储区应做好防渗措施。</w:t>
                  </w:r>
                </w:p>
              </w:tc>
            </w:tr>
          </w:tbl>
          <w:p w14:paraId="247EF7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在钻井一开、二开过程中需要注入钻井液（俗称泥浆），钻井液是钻探过程中，孔内使用的循环冲洗介质，主要功用是：①冷却钻头、清净孔底、带出岩屑；②润滑钻具；③停钻时悬浮岩屑，保护孔壁防止坍塌，平衡地层压力、压住高压油气水层；④输送岩心，为孔底动力机传递破碎孔底岩石需要的动力等。</w:t>
            </w:r>
          </w:p>
          <w:p w14:paraId="52DDC8A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液配置过程为：确定钻井液配比→加入按比例称取的水和膨润土→加入其他成分→利用烧碱调pH→倒入高速搅拌机搅拌→钻井液陈化→使用。钻井液配置过程中，为防止泄露对地下水及土壤影响，采取相应的环保措施，</w:t>
            </w:r>
            <w:r>
              <w:rPr>
                <w:rFonts w:hint="default" w:ascii="Times New Roman" w:hAnsi="Times New Roman" w:cs="Times New Roman"/>
                <w:color w:val="auto"/>
                <w:sz w:val="24"/>
                <w:szCs w:val="24"/>
                <w:highlight w:val="none"/>
                <w:lang w:val="en-US" w:eastAsia="zh-CN" w:bidi="ar"/>
              </w:rPr>
              <w:t>钻井液</w:t>
            </w:r>
            <w:r>
              <w:rPr>
                <w:rFonts w:hint="default" w:ascii="Times New Roman" w:hAnsi="Times New Roman" w:eastAsia="宋体" w:cs="Times New Roman"/>
                <w:color w:val="auto"/>
                <w:sz w:val="24"/>
                <w:szCs w:val="24"/>
                <w:highlight w:val="none"/>
                <w:lang w:val="en-US" w:eastAsia="zh-CN" w:bidi="ar"/>
              </w:rPr>
              <w:t>配置</w:t>
            </w:r>
            <w:r>
              <w:rPr>
                <w:rFonts w:hint="default" w:ascii="Times New Roman" w:hAnsi="Times New Roman" w:cs="Times New Roman"/>
                <w:color w:val="auto"/>
                <w:sz w:val="24"/>
                <w:szCs w:val="24"/>
                <w:highlight w:val="none"/>
                <w:lang w:val="en-US" w:eastAsia="zh-CN" w:bidi="ar"/>
              </w:rPr>
              <w:t>在钻井液材料库内进行，其余药品存放在材料库。钻井液材料库内</w:t>
            </w:r>
            <w:r>
              <w:rPr>
                <w:rFonts w:hint="default" w:ascii="Times New Roman" w:hAnsi="Times New Roman" w:eastAsia="宋体" w:cs="Times New Roman"/>
                <w:color w:val="auto"/>
                <w:sz w:val="24"/>
                <w:szCs w:val="24"/>
                <w:highlight w:val="none"/>
                <w:lang w:val="en-US" w:eastAsia="zh-CN" w:bidi="ar"/>
              </w:rPr>
              <w:t>采取重点防渗，防渗层的防渗性能不应低于6.0m厚渗透系数为1.0</w:t>
            </w:r>
            <w:r>
              <w:rPr>
                <w:rFonts w:hint="eastAsia"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10</w:t>
            </w:r>
            <w:r>
              <w:rPr>
                <w:rFonts w:hint="default" w:ascii="Times New Roman" w:hAnsi="Times New Roman" w:eastAsia="宋体" w:cs="Times New Roman"/>
                <w:color w:val="auto"/>
                <w:sz w:val="24"/>
                <w:szCs w:val="24"/>
                <w:highlight w:val="none"/>
                <w:vertAlign w:val="superscript"/>
                <w:lang w:val="en-US" w:eastAsia="zh-CN" w:bidi="ar"/>
              </w:rPr>
              <w:t>-</w:t>
            </w:r>
            <w:r>
              <w:rPr>
                <w:rFonts w:hint="eastAsia" w:ascii="Times New Roman" w:hAnsi="Times New Roman" w:eastAsia="宋体" w:cs="Times New Roman"/>
                <w:color w:val="auto"/>
                <w:sz w:val="24"/>
                <w:szCs w:val="24"/>
                <w:highlight w:val="none"/>
                <w:vertAlign w:val="superscript"/>
                <w:lang w:val="en-US" w:eastAsia="zh-CN" w:bidi="ar"/>
              </w:rPr>
              <w:t>7</w:t>
            </w:r>
            <w:r>
              <w:rPr>
                <w:rFonts w:hint="default" w:ascii="Times New Roman" w:hAnsi="Times New Roman" w:eastAsia="宋体" w:cs="Times New Roman"/>
                <w:color w:val="auto"/>
                <w:sz w:val="24"/>
                <w:szCs w:val="24"/>
                <w:highlight w:val="none"/>
                <w:lang w:val="en-US" w:eastAsia="zh-CN" w:bidi="ar"/>
              </w:rPr>
              <w:t>c</w:t>
            </w:r>
            <w:r>
              <w:rPr>
                <w:rFonts w:hint="eastAsia" w:ascii="Times New Roman" w:hAnsi="Times New Roman" w:eastAsia="宋体" w:cs="Times New Roman"/>
                <w:color w:val="auto"/>
                <w:sz w:val="24"/>
                <w:szCs w:val="24"/>
                <w:highlight w:val="none"/>
                <w:lang w:val="en-US" w:eastAsia="zh-CN" w:bidi="ar"/>
              </w:rPr>
              <w:t>m</w:t>
            </w:r>
            <w:r>
              <w:rPr>
                <w:rFonts w:hint="default" w:ascii="Times New Roman" w:hAnsi="Times New Roman" w:eastAsia="宋体" w:cs="Times New Roman"/>
                <w:color w:val="auto"/>
                <w:sz w:val="24"/>
                <w:szCs w:val="24"/>
                <w:highlight w:val="none"/>
                <w:lang w:val="en-US" w:eastAsia="zh-CN" w:bidi="ar"/>
              </w:rPr>
              <w:t>/s的黏土层的防渗性能</w:t>
            </w:r>
            <w:r>
              <w:rPr>
                <w:rFonts w:hint="default" w:ascii="Times New Roman" w:hAnsi="Times New Roman" w:cs="Times New Roman"/>
                <w:color w:val="auto"/>
                <w:sz w:val="24"/>
                <w:szCs w:val="24"/>
                <w:highlight w:val="none"/>
                <w:lang w:val="en-US" w:eastAsia="zh-CN" w:bidi="ar"/>
              </w:rPr>
              <w:t>，材料库采取一般防渗</w:t>
            </w:r>
            <w:r>
              <w:rPr>
                <w:rFonts w:hint="default" w:ascii="Times New Roman" w:hAnsi="Times New Roman" w:eastAsia="宋体" w:cs="Times New Roman"/>
                <w:color w:val="auto"/>
                <w:sz w:val="24"/>
                <w:szCs w:val="24"/>
                <w:highlight w:val="none"/>
                <w:lang w:val="en-US" w:eastAsia="zh-CN" w:bidi="ar"/>
              </w:rPr>
              <w:t>。</w:t>
            </w:r>
          </w:p>
          <w:p w14:paraId="395E7A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七、公用工程</w:t>
            </w:r>
          </w:p>
          <w:p w14:paraId="290CA8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1、给水</w:t>
            </w:r>
          </w:p>
          <w:p w14:paraId="35F56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项目用水包括生活用水和生产用水两部分，由罐车拉运至井场。</w:t>
            </w:r>
          </w:p>
          <w:p w14:paraId="7D3D94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（1）生活用水</w:t>
            </w:r>
          </w:p>
          <w:p w14:paraId="2F73C7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本项目劳动定员35人，根据《陕西省行业用水定额》（DB61/T943-2020）中相关要求，生活用水量按65L/人·天考虑，勘探期预计50天，则项目施工期用水总量为113.75m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63FDD7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（2）钻井用水</w:t>
            </w:r>
          </w:p>
          <w:p w14:paraId="413035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根据《陕西省行业用水定额》（DB61/T943-2020），常规钻井阶段平均每米进尺用水量约0.25m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，项目米107-2M钻井深度为2750m，米107-2M单井钻井所需水为</w:t>
            </w:r>
            <w:r>
              <w:rPr>
                <w:rFonts w:hint="default" w:ascii="Times New Roman" w:hAnsi="Times New Roman" w:eastAsia="宋体" w:cs="Times New Roman"/>
                <w:b w:val="0"/>
                <w:bCs w:val="0"/>
                <w:color w:val="auto"/>
                <w:sz w:val="24"/>
                <w:szCs w:val="24"/>
                <w:highlight w:val="none"/>
                <w:vertAlign w:val="baseline"/>
                <w:lang w:val="en-US" w:eastAsia="zh-CN"/>
              </w:rPr>
              <w:t>687.5m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p>
          <w:p w14:paraId="310F27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（3）洗井用水</w:t>
            </w:r>
          </w:p>
          <w:p w14:paraId="6AA718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根据建设单位实际建设经验和统计数据，单井洗井用水量为50m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p>
          <w:p w14:paraId="264833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（4）压裂用水</w:t>
            </w:r>
          </w:p>
          <w:p w14:paraId="71D5A1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单井压裂用水量约为300m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（压裂液为现场自行配置），项目压裂总用水量为300m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48B288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2、排水</w:t>
            </w:r>
          </w:p>
          <w:p w14:paraId="5460BE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（1）生活污水</w:t>
            </w:r>
          </w:p>
          <w:p w14:paraId="6F53CB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生活污水产生量按照用量的80%计，项目生活污水产生量为91m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，项目井场内设置旱厕，部分生活污水排至旱厕，用于周围植被施肥；部分盥洗废水经沉淀罐沉淀后用于井场洒水抑尘。</w:t>
            </w:r>
          </w:p>
          <w:p w14:paraId="4A8EE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（2）生产废水</w:t>
            </w:r>
          </w:p>
          <w:p w14:paraId="4128A5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钻井废水</w:t>
            </w:r>
          </w:p>
          <w:p w14:paraId="740C65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作业的泥浆配浆过程中会根据泥浆的不同要求加入不等量的水，这些水随钻井泥浆进入井底协助钻井作业。在钻井泥浆返回地面后，进入地面的泥浆不落地系统，经系统内的振动筛筛分后，岩屑收集于岩屑收集罐内；钻井泥浆暂存于泥浆罐，经静置沉淀后，析出的上清液作为钻井泥浆配液回用，泥浆</w:t>
            </w:r>
            <w:r>
              <w:rPr>
                <w:rFonts w:hint="eastAsia" w:ascii="Times New Roman" w:hAnsi="Times New Roman" w:eastAsia="宋体" w:cs="Times New Roman"/>
                <w:b w:val="0"/>
                <w:bCs w:val="0"/>
                <w:color w:val="auto"/>
                <w:sz w:val="24"/>
                <w:szCs w:val="24"/>
                <w:vertAlign w:val="baseline"/>
                <w:lang w:val="en-US" w:eastAsia="zh-CN"/>
              </w:rPr>
              <w:t>经压滤后交陕西榆佳环保科技有限公司</w:t>
            </w:r>
            <w:r>
              <w:rPr>
                <w:rFonts w:hint="default" w:ascii="Times New Roman" w:hAnsi="Times New Roman" w:eastAsia="宋体" w:cs="Times New Roman"/>
                <w:b w:val="0"/>
                <w:bCs w:val="0"/>
                <w:color w:val="auto"/>
                <w:sz w:val="24"/>
                <w:szCs w:val="24"/>
                <w:vertAlign w:val="baseline"/>
                <w:lang w:val="en-US" w:eastAsia="zh-CN"/>
              </w:rPr>
              <w:t>集中处置。</w:t>
            </w:r>
          </w:p>
          <w:p w14:paraId="2B70B0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根据最新钻井工艺要求，泥浆返排率</w:t>
            </w:r>
            <w:r>
              <w:rPr>
                <w:rFonts w:hint="eastAsia" w:ascii="Times New Roman" w:hAnsi="Times New Roman" w:eastAsia="宋体" w:cs="Times New Roman"/>
                <w:b w:val="0"/>
                <w:bCs w:val="0"/>
                <w:color w:val="auto"/>
                <w:sz w:val="24"/>
                <w:szCs w:val="24"/>
                <w:vertAlign w:val="baseline"/>
                <w:lang w:val="en-US" w:eastAsia="zh-CN"/>
              </w:rPr>
              <w:t>为100</w:t>
            </w:r>
            <w:r>
              <w:rPr>
                <w:rFonts w:hint="default" w:ascii="Times New Roman" w:hAnsi="Times New Roman" w:eastAsia="宋体" w:cs="Times New Roman"/>
                <w:b w:val="0"/>
                <w:bCs w:val="0"/>
                <w:color w:val="auto"/>
                <w:sz w:val="24"/>
                <w:szCs w:val="24"/>
                <w:vertAlign w:val="baseline"/>
                <w:lang w:val="en-US" w:eastAsia="zh-CN"/>
              </w:rPr>
              <w:t>%，项目泥浆上清液排入井场设置的泥浆罐内，用于配制泥浆，循环使用</w:t>
            </w:r>
            <w:r>
              <w:rPr>
                <w:rFonts w:hint="eastAsia" w:ascii="Times New Roman" w:hAnsi="Times New Roman" w:eastAsia="宋体" w:cs="Times New Roman"/>
                <w:b w:val="0"/>
                <w:bCs w:val="0"/>
                <w:color w:val="auto"/>
                <w:sz w:val="24"/>
                <w:szCs w:val="24"/>
                <w:vertAlign w:val="baseline"/>
                <w:lang w:val="en-US" w:eastAsia="zh-CN"/>
              </w:rPr>
              <w:t>，泥浆循环系统损耗量约为用水量的5%</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剩余</w:t>
            </w:r>
            <w:r>
              <w:rPr>
                <w:rFonts w:hint="default" w:ascii="Times New Roman" w:hAnsi="Times New Roman" w:eastAsia="宋体" w:cs="Times New Roman"/>
                <w:b w:val="0"/>
                <w:bCs w:val="0"/>
                <w:color w:val="auto"/>
                <w:sz w:val="24"/>
                <w:szCs w:val="24"/>
                <w:vertAlign w:val="baseline"/>
                <w:lang w:val="en-US" w:eastAsia="zh-CN"/>
              </w:rPr>
              <w:t>不能再利用的泥浆</w:t>
            </w:r>
            <w:r>
              <w:rPr>
                <w:rFonts w:hint="eastAsia" w:ascii="Times New Roman" w:hAnsi="Times New Roman" w:eastAsia="宋体" w:cs="Times New Roman"/>
                <w:b w:val="0"/>
                <w:bCs w:val="0"/>
                <w:color w:val="auto"/>
                <w:sz w:val="24"/>
                <w:szCs w:val="24"/>
                <w:vertAlign w:val="baseline"/>
                <w:lang w:val="en-US" w:eastAsia="zh-CN"/>
              </w:rPr>
              <w:t>压滤后交陕西榆佳环保科技有限公司</w:t>
            </w:r>
            <w:r>
              <w:rPr>
                <w:rFonts w:hint="default" w:ascii="Times New Roman" w:hAnsi="Times New Roman" w:eastAsia="宋体" w:cs="Times New Roman"/>
                <w:b w:val="0"/>
                <w:bCs w:val="0"/>
                <w:color w:val="auto"/>
                <w:sz w:val="24"/>
                <w:szCs w:val="24"/>
                <w:vertAlign w:val="baseline"/>
                <w:lang w:val="en-US" w:eastAsia="zh-CN"/>
              </w:rPr>
              <w:t>集中处置。</w:t>
            </w:r>
          </w:p>
          <w:p w14:paraId="0273BCB9">
            <w:pPr>
              <w:pStyle w:val="26"/>
              <w:bidi w:val="0"/>
              <w:rPr>
                <w:rFonts w:hint="default"/>
                <w:color w:val="auto"/>
                <w:lang w:val="en-US" w:eastAsia="zh-CN"/>
              </w:rPr>
            </w:pPr>
            <w:r>
              <w:rPr>
                <w:rFonts w:hint="eastAsia" w:ascii="宋体" w:hAnsi="宋体" w:eastAsia="宋体" w:cs="宋体"/>
                <w:color w:val="auto"/>
                <w:lang w:val="en-US" w:eastAsia="zh-CN"/>
              </w:rPr>
              <w:t>②</w:t>
            </w:r>
            <w:r>
              <w:rPr>
                <w:rFonts w:hint="eastAsia"/>
                <w:color w:val="auto"/>
                <w:lang w:val="en-US" w:eastAsia="zh-CN"/>
              </w:rPr>
              <w:t>洗井废水</w:t>
            </w:r>
          </w:p>
          <w:p w14:paraId="60498A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根据建设单位建设经验和统计数据，项目洗井废水约为用水量的90%，则</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洗井废水产生量为45m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1D41B7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③</w:t>
            </w:r>
            <w:r>
              <w:rPr>
                <w:rFonts w:hint="eastAsia" w:ascii="Times New Roman" w:hAnsi="Times New Roman" w:eastAsia="宋体" w:cs="Times New Roman"/>
                <w:b w:val="0"/>
                <w:bCs w:val="0"/>
                <w:color w:val="auto"/>
                <w:sz w:val="24"/>
                <w:szCs w:val="24"/>
                <w:vertAlign w:val="baseline"/>
                <w:lang w:val="en-US" w:eastAsia="zh-CN"/>
              </w:rPr>
              <w:t>压裂返排液</w:t>
            </w:r>
          </w:p>
          <w:p w14:paraId="052947ED">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rPr>
              <w:t>根据最新钻井工艺要求，压裂液返排率约80%，故正常情况下单井压裂返排液量约</w:t>
            </w:r>
            <w:r>
              <w:rPr>
                <w:rFonts w:hint="default" w:ascii="Times New Roman" w:hAnsi="Times New Roman" w:eastAsia="宋体" w:cs="Times New Roman"/>
                <w:color w:val="auto"/>
                <w:lang w:val="en-US" w:eastAsia="zh-CN"/>
              </w:rPr>
              <w:t>240</w:t>
            </w:r>
            <w:r>
              <w:rPr>
                <w:rFonts w:hint="default" w:ascii="Times New Roman" w:hAnsi="Times New Roman" w:cs="Times New Roman"/>
                <w:color w:val="auto"/>
              </w:rPr>
              <w:t>m³</w:t>
            </w:r>
            <w:r>
              <w:rPr>
                <w:rFonts w:hint="default" w:ascii="Times New Roman" w:hAnsi="Times New Roman" w:eastAsia="宋体" w:cs="Times New Roman"/>
                <w:color w:val="auto"/>
                <w:lang w:eastAsia="zh-CN"/>
              </w:rPr>
              <w:t>，</w:t>
            </w:r>
            <w:r>
              <w:rPr>
                <w:rFonts w:hint="default" w:ascii="Times New Roman" w:hAnsi="Times New Roman" w:cs="Times New Roman"/>
                <w:color w:val="auto"/>
                <w:lang w:val="en-US" w:eastAsia="zh-CN"/>
              </w:rPr>
              <w:t>压裂返排液临时收集贮存于压裂返排液储罐，委托</w:t>
            </w:r>
            <w:r>
              <w:rPr>
                <w:rFonts w:hint="eastAsia" w:ascii="Times New Roman" w:hAnsi="Times New Roman" w:eastAsia="宋体" w:cs="Times New Roman"/>
                <w:b w:val="0"/>
                <w:bCs w:val="0"/>
                <w:color w:val="auto"/>
                <w:sz w:val="24"/>
                <w:szCs w:val="24"/>
                <w:vertAlign w:val="baseline"/>
                <w:lang w:val="en-US" w:eastAsia="zh-CN"/>
              </w:rPr>
              <w:t>陕西榆佳环保科技有限公司</w:t>
            </w:r>
            <w:r>
              <w:rPr>
                <w:rFonts w:hint="default" w:ascii="Times New Roman" w:hAnsi="Times New Roman" w:cs="Times New Roman"/>
                <w:color w:val="auto"/>
                <w:lang w:val="en-US" w:eastAsia="zh-CN"/>
              </w:rPr>
              <w:t>外运处理。</w:t>
            </w:r>
          </w:p>
          <w:p w14:paraId="118405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val="en-US" w:eastAsia="zh-CN"/>
              </w:rPr>
              <w:t xml:space="preserve">  本项目用水、排水量一览表（单位：m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/井）</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666"/>
              <w:gridCol w:w="1134"/>
              <w:gridCol w:w="1295"/>
              <w:gridCol w:w="1189"/>
              <w:gridCol w:w="1248"/>
              <w:gridCol w:w="1190"/>
            </w:tblGrid>
            <w:tr w14:paraId="6AFA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2BE904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993" w:type="pct"/>
                  <w:vAlign w:val="center"/>
                </w:tcPr>
                <w:p w14:paraId="1774E2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676" w:type="pct"/>
                  <w:vAlign w:val="center"/>
                </w:tcPr>
                <w:p w14:paraId="0325CE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规模</w:t>
                  </w:r>
                </w:p>
              </w:tc>
              <w:tc>
                <w:tcPr>
                  <w:tcW w:w="772" w:type="pct"/>
                  <w:vAlign w:val="center"/>
                </w:tcPr>
                <w:p w14:paraId="5C6EA0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新鲜用水量（m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709" w:type="pct"/>
                  <w:vAlign w:val="center"/>
                </w:tcPr>
                <w:p w14:paraId="1F6DB9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回用量</w:t>
                  </w:r>
                  <w:r>
                    <w:rPr>
                      <w:rFonts w:hint="default"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744" w:type="pct"/>
                  <w:shd w:val="clear" w:color="auto" w:fill="auto"/>
                  <w:vAlign w:val="center"/>
                </w:tcPr>
                <w:p w14:paraId="57A717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损耗量（m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709" w:type="pct"/>
                  <w:shd w:val="clear" w:color="auto" w:fill="auto"/>
                  <w:vAlign w:val="center"/>
                </w:tcPr>
                <w:p w14:paraId="610A3B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废水产生量（m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1675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153911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993" w:type="pct"/>
                  <w:vAlign w:val="center"/>
                </w:tcPr>
                <w:p w14:paraId="2E7FE8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米107-2M钻井</w:t>
                  </w:r>
                </w:p>
              </w:tc>
              <w:tc>
                <w:tcPr>
                  <w:tcW w:w="676" w:type="pct"/>
                  <w:vAlign w:val="center"/>
                </w:tcPr>
                <w:p w14:paraId="06C13A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2750m</w:t>
                  </w:r>
                </w:p>
              </w:tc>
              <w:tc>
                <w:tcPr>
                  <w:tcW w:w="772" w:type="pct"/>
                  <w:vAlign w:val="center"/>
                </w:tcPr>
                <w:p w14:paraId="724D32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412.5</w:t>
                  </w:r>
                </w:p>
              </w:tc>
              <w:tc>
                <w:tcPr>
                  <w:tcW w:w="709" w:type="pct"/>
                  <w:vAlign w:val="center"/>
                </w:tcPr>
                <w:p w14:paraId="59A9AF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w:t>
                  </w:r>
                </w:p>
              </w:tc>
              <w:tc>
                <w:tcPr>
                  <w:tcW w:w="744" w:type="pct"/>
                  <w:shd w:val="clear" w:color="auto" w:fill="auto"/>
                  <w:vAlign w:val="center"/>
                </w:tcPr>
                <w:p w14:paraId="269053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137.5</w:t>
                  </w:r>
                </w:p>
              </w:tc>
              <w:tc>
                <w:tcPr>
                  <w:tcW w:w="709" w:type="pct"/>
                  <w:shd w:val="clear" w:color="auto" w:fill="auto"/>
                  <w:vAlign w:val="center"/>
                </w:tcPr>
                <w:p w14:paraId="546969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378.125</w:t>
                  </w:r>
                </w:p>
              </w:tc>
            </w:tr>
            <w:tr w14:paraId="255B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01AA02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993" w:type="pct"/>
                  <w:vAlign w:val="center"/>
                </w:tcPr>
                <w:p w14:paraId="7DAD9E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米107-2M洗井</w:t>
                  </w:r>
                </w:p>
              </w:tc>
              <w:tc>
                <w:tcPr>
                  <w:tcW w:w="676" w:type="pct"/>
                  <w:vAlign w:val="center"/>
                </w:tcPr>
                <w:p w14:paraId="318655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2750m</w:t>
                  </w:r>
                </w:p>
              </w:tc>
              <w:tc>
                <w:tcPr>
                  <w:tcW w:w="772" w:type="pct"/>
                  <w:vAlign w:val="center"/>
                </w:tcPr>
                <w:p w14:paraId="3FA742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w:t>
                  </w:r>
                </w:p>
              </w:tc>
              <w:tc>
                <w:tcPr>
                  <w:tcW w:w="709" w:type="pct"/>
                  <w:vAlign w:val="center"/>
                </w:tcPr>
                <w:p w14:paraId="342C50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44" w:type="pct"/>
                  <w:shd w:val="clear" w:color="auto" w:fill="auto"/>
                  <w:vAlign w:val="center"/>
                </w:tcPr>
                <w:p w14:paraId="61962C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w:t>
                  </w:r>
                </w:p>
              </w:tc>
              <w:tc>
                <w:tcPr>
                  <w:tcW w:w="709" w:type="pct"/>
                  <w:shd w:val="clear" w:color="auto" w:fill="auto"/>
                  <w:vAlign w:val="center"/>
                </w:tcPr>
                <w:p w14:paraId="640165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p>
              </w:tc>
            </w:tr>
            <w:tr w14:paraId="53C0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47B004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993" w:type="pct"/>
                  <w:vAlign w:val="center"/>
                </w:tcPr>
                <w:p w14:paraId="090F1C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米107-2M压裂</w:t>
                  </w:r>
                </w:p>
              </w:tc>
              <w:tc>
                <w:tcPr>
                  <w:tcW w:w="676" w:type="pct"/>
                  <w:vAlign w:val="center"/>
                </w:tcPr>
                <w:p w14:paraId="436DBB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2750m</w:t>
                  </w:r>
                </w:p>
              </w:tc>
              <w:tc>
                <w:tcPr>
                  <w:tcW w:w="772" w:type="pct"/>
                  <w:vAlign w:val="center"/>
                </w:tcPr>
                <w:p w14:paraId="1FF8B4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w:t>
                  </w:r>
                </w:p>
              </w:tc>
              <w:tc>
                <w:tcPr>
                  <w:tcW w:w="709" w:type="pct"/>
                  <w:vAlign w:val="center"/>
                </w:tcPr>
                <w:p w14:paraId="6B70BA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44" w:type="pct"/>
                  <w:shd w:val="clear" w:color="auto" w:fill="auto"/>
                  <w:vAlign w:val="center"/>
                </w:tcPr>
                <w:p w14:paraId="2F6585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60</w:t>
                  </w:r>
                </w:p>
              </w:tc>
              <w:tc>
                <w:tcPr>
                  <w:tcW w:w="709" w:type="pct"/>
                  <w:shd w:val="clear" w:color="auto" w:fill="auto"/>
                  <w:vAlign w:val="center"/>
                </w:tcPr>
                <w:p w14:paraId="3C7303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240</w:t>
                  </w:r>
                </w:p>
              </w:tc>
            </w:tr>
            <w:tr w14:paraId="3B08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1D84E1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993" w:type="pct"/>
                  <w:vAlign w:val="center"/>
                </w:tcPr>
                <w:p w14:paraId="441203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生活用水</w:t>
                  </w:r>
                </w:p>
              </w:tc>
              <w:tc>
                <w:tcPr>
                  <w:tcW w:w="676" w:type="pct"/>
                  <w:vAlign w:val="center"/>
                </w:tcPr>
                <w:p w14:paraId="0E8911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35人</w:t>
                  </w:r>
                </w:p>
              </w:tc>
              <w:tc>
                <w:tcPr>
                  <w:tcW w:w="772" w:type="pct"/>
                  <w:vAlign w:val="center"/>
                </w:tcPr>
                <w:p w14:paraId="737A52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113.75</w:t>
                  </w:r>
                </w:p>
              </w:tc>
              <w:tc>
                <w:tcPr>
                  <w:tcW w:w="709" w:type="pct"/>
                  <w:vAlign w:val="center"/>
                </w:tcPr>
                <w:p w14:paraId="000056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44" w:type="pct"/>
                  <w:shd w:val="clear" w:color="auto" w:fill="auto"/>
                  <w:vAlign w:val="center"/>
                </w:tcPr>
                <w:p w14:paraId="27046E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22.75</w:t>
                  </w:r>
                </w:p>
              </w:tc>
              <w:tc>
                <w:tcPr>
                  <w:tcW w:w="709" w:type="pct"/>
                  <w:shd w:val="clear" w:color="auto" w:fill="auto"/>
                  <w:vAlign w:val="center"/>
                </w:tcPr>
                <w:p w14:paraId="6F2215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91</w:t>
                  </w:r>
                </w:p>
              </w:tc>
            </w:tr>
            <w:tr w14:paraId="1F9E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0C42C8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993" w:type="pct"/>
                  <w:vAlign w:val="center"/>
                </w:tcPr>
                <w:p w14:paraId="7C650F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合计</w:t>
                  </w:r>
                </w:p>
              </w:tc>
              <w:tc>
                <w:tcPr>
                  <w:tcW w:w="676" w:type="pct"/>
                  <w:vAlign w:val="center"/>
                </w:tcPr>
                <w:p w14:paraId="660471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772" w:type="pct"/>
                  <w:vAlign w:val="center"/>
                </w:tcPr>
                <w:p w14:paraId="413438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876.25</w:t>
                  </w:r>
                </w:p>
              </w:tc>
              <w:tc>
                <w:tcPr>
                  <w:tcW w:w="709" w:type="pct"/>
                  <w:vAlign w:val="center"/>
                </w:tcPr>
                <w:p w14:paraId="416080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w:t>
                  </w:r>
                </w:p>
              </w:tc>
              <w:tc>
                <w:tcPr>
                  <w:tcW w:w="744" w:type="pct"/>
                  <w:shd w:val="clear" w:color="auto" w:fill="auto"/>
                  <w:vAlign w:val="center"/>
                </w:tcPr>
                <w:p w14:paraId="03A07B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225.25</w:t>
                  </w:r>
                </w:p>
              </w:tc>
              <w:tc>
                <w:tcPr>
                  <w:tcW w:w="709" w:type="pct"/>
                  <w:shd w:val="clear" w:color="auto" w:fill="auto"/>
                  <w:vAlign w:val="center"/>
                </w:tcPr>
                <w:p w14:paraId="1FF3C1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754.125</w:t>
                  </w:r>
                </w:p>
              </w:tc>
            </w:tr>
          </w:tbl>
          <w:p w14:paraId="2CCA5FE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object>
                <v:shape id="_x0000_i1025" o:spt="75" type="#_x0000_t75" style="height:231.6pt;width:376.9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296A01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图2-2  项目水平衡图（单位：m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p w14:paraId="2E1F9F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3、供电</w:t>
            </w:r>
          </w:p>
          <w:p w14:paraId="5A46CB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项目供电来源为市政供电。</w:t>
            </w:r>
          </w:p>
          <w:p w14:paraId="53E151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4、供暖</w:t>
            </w:r>
          </w:p>
          <w:p w14:paraId="7E676E9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项目冬季不施工，不涉及供暖。</w:t>
            </w:r>
          </w:p>
          <w:p w14:paraId="7549FC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5、天然气组分</w:t>
            </w:r>
          </w:p>
          <w:p w14:paraId="50F206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由于本项目勘探层位为新层位</w:t>
            </w:r>
            <w:r>
              <w:rPr>
                <w:rFonts w:hint="default" w:ascii="Times New Roman" w:hAnsi="Times New Roman" w:eastAsia="宋体" w:cs="Times New Roman"/>
                <w:b w:val="0"/>
                <w:bCs w:val="0"/>
                <w:color w:val="auto"/>
                <w:sz w:val="24"/>
                <w:szCs w:val="24"/>
                <w:vertAlign w:val="baseline"/>
                <w:lang w:val="en-US" w:eastAsia="zh-CN"/>
              </w:rPr>
              <w:t>（石炭系上统本溪组）</w:t>
            </w:r>
            <w:r>
              <w:rPr>
                <w:rFonts w:hint="default" w:ascii="Times New Roman" w:hAnsi="Times New Roman" w:eastAsia="宋体" w:cs="Times New Roman"/>
                <w:b w:val="0"/>
                <w:bCs w:val="0"/>
                <w:color w:val="auto"/>
                <w:sz w:val="24"/>
                <w:szCs w:val="24"/>
                <w:vertAlign w:val="baseline"/>
                <w:lang w:val="en-US" w:eastAsia="zh-CN"/>
              </w:rPr>
              <w:t>加密勘探，与原有层位不同，新层位还未进行天然气组成分析检测，待本项目</w:t>
            </w:r>
            <w:r>
              <w:rPr>
                <w:rFonts w:hint="default" w:ascii="Times New Roman" w:hAnsi="Times New Roman" w:eastAsia="Calibri" w:cs="Times New Roman"/>
                <w:color w:val="auto"/>
                <w:kern w:val="0"/>
                <w:sz w:val="24"/>
                <w:szCs w:val="21"/>
                <w:lang w:val="en-US" w:eastAsia="zh-CN" w:bidi="ar"/>
              </w:rPr>
              <w:t>钻探期间发现天然气后</w:t>
            </w:r>
            <w:r>
              <w:rPr>
                <w:rFonts w:hint="default" w:ascii="Times New Roman" w:hAnsi="Times New Roman" w:eastAsia="宋体" w:cs="Times New Roman"/>
                <w:b w:val="0"/>
                <w:bCs w:val="0"/>
                <w:color w:val="auto"/>
                <w:sz w:val="24"/>
                <w:szCs w:val="24"/>
                <w:vertAlign w:val="baseline"/>
                <w:lang w:val="en-US" w:eastAsia="zh-CN"/>
              </w:rPr>
              <w:t>，后期建设单位应对本次新开采层位进行天然气组成分析检测。</w:t>
            </w:r>
          </w:p>
          <w:p w14:paraId="36AF0F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八、劳动定员及工作制度</w:t>
            </w:r>
          </w:p>
          <w:p w14:paraId="296A4E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钻井期间施工人数35人，每天连续工作24小时，三班两倒，工期为50天。</w:t>
            </w:r>
          </w:p>
        </w:tc>
      </w:tr>
      <w:tr w14:paraId="1DB7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5FE0ADA2">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总平面及现场布置</w:t>
            </w:r>
          </w:p>
        </w:tc>
        <w:tc>
          <w:tcPr>
            <w:tcW w:w="8597" w:type="dxa"/>
            <w:vAlign w:val="center"/>
          </w:tcPr>
          <w:p w14:paraId="7CBD31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1、工程布局</w:t>
            </w:r>
          </w:p>
          <w:p w14:paraId="7FAD0CC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工程主要由钻前工程和钻井工程两大部分组成。井场主要设备设施包括井口、钻井工作区、储罐区、材料区等。整个厂区以钻井工作区和井口为中心，</w:t>
            </w:r>
            <w:r>
              <w:rPr>
                <w:rFonts w:hint="default" w:ascii="Times New Roman" w:hAnsi="Times New Roman" w:cs="Times New Roman"/>
                <w:color w:val="auto"/>
                <w:sz w:val="24"/>
                <w:szCs w:val="24"/>
                <w:highlight w:val="none"/>
                <w:lang w:val="en-US" w:eastAsia="zh-CN"/>
              </w:rPr>
              <w:t>钻井工作区的北侧为临时停车场和临时旱厕，东侧为钻井液值班房和钻井液材料房，南侧为储罐区，主要为泥饼和岩屑储罐、洗井废水储罐和压裂返排液储罐；西侧为修理房、材料房、综合房和井控房。</w:t>
            </w:r>
            <w:r>
              <w:rPr>
                <w:rFonts w:hint="default" w:ascii="Times New Roman" w:hAnsi="Times New Roman" w:cs="Times New Roman"/>
                <w:color w:val="auto"/>
                <w:sz w:val="24"/>
                <w:szCs w:val="24"/>
                <w:lang w:val="en-US" w:eastAsia="zh-CN"/>
              </w:rPr>
              <w:t>整体布置符合《钻前工程及井场布置技术要求》（SY/T5466-2013）。井场平面布置见附图。</w:t>
            </w:r>
          </w:p>
          <w:p w14:paraId="26ED44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2、施工布置</w:t>
            </w:r>
          </w:p>
          <w:p w14:paraId="09E09C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（1）项目占地</w:t>
            </w:r>
          </w:p>
          <w:p w14:paraId="1BF600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探井项目现阶段为临时占地。若探井有开采价值应办理临时借地转征手续；若无开采价值，应及时办理土地复垦手续。项目占地类型主要为耕地、种植园用地、林地、草地；米107-2M井场新建进场道路218m，道路宽度为4m。</w:t>
            </w:r>
          </w:p>
          <w:p w14:paraId="6528A8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（2）项目土石方平衡</w:t>
            </w:r>
          </w:p>
          <w:p w14:paraId="780749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本项目涉及的土方项目主要为井场施工、井场平整、施工生活区及进场道路。平整后场地标高米107-2M</w:t>
            </w:r>
            <w:r>
              <w:rPr>
                <w:rFonts w:hint="default" w:ascii="Times New Roman" w:hAnsi="Times New Roman" w:eastAsia="宋体" w:cs="Times New Roman"/>
                <w:b w:val="0"/>
                <w:bCs w:val="0"/>
                <w:color w:val="auto"/>
                <w:sz w:val="24"/>
                <w:szCs w:val="24"/>
                <w:highlight w:val="none"/>
                <w:vertAlign w:val="baseline"/>
                <w:lang w:val="en-US" w:eastAsia="zh-CN"/>
              </w:rPr>
              <w:t>井约为1070.33m，</w:t>
            </w:r>
            <w:r>
              <w:rPr>
                <w:rFonts w:hint="default" w:ascii="Times New Roman" w:hAnsi="Times New Roman" w:eastAsia="宋体" w:cs="Times New Roman"/>
                <w:b w:val="0"/>
                <w:bCs w:val="0"/>
                <w:color w:val="auto"/>
                <w:sz w:val="24"/>
                <w:szCs w:val="24"/>
                <w:vertAlign w:val="baseline"/>
                <w:lang w:val="en-US" w:eastAsia="zh-CN"/>
              </w:rPr>
              <w:t>项目土石方量见下表：</w:t>
            </w:r>
          </w:p>
          <w:p w14:paraId="46FAE4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项目土石方平衡（不含表土）</w:t>
            </w:r>
            <w:r>
              <w:rPr>
                <w:rFonts w:hint="eastAsia"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单位：m</w:t>
            </w:r>
            <w:r>
              <w:rPr>
                <w:rFonts w:hint="eastAsia" w:ascii="Times New Roman" w:hAnsi="Times New Roman" w:eastAsia="宋体" w:cs="Times New Roman"/>
                <w:b/>
                <w:bCs/>
                <w:color w:val="auto"/>
                <w:sz w:val="21"/>
                <w:szCs w:val="21"/>
                <w:vertAlign w:val="superscript"/>
                <w:lang w:val="en-US" w:eastAsia="zh-CN"/>
              </w:rPr>
              <w:t>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93"/>
              <w:gridCol w:w="875"/>
              <w:gridCol w:w="1004"/>
              <w:gridCol w:w="1004"/>
              <w:gridCol w:w="1004"/>
              <w:gridCol w:w="559"/>
              <w:gridCol w:w="610"/>
              <w:gridCol w:w="1004"/>
              <w:gridCol w:w="1007"/>
            </w:tblGrid>
            <w:tr w14:paraId="20C6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restart"/>
                  <w:vAlign w:val="center"/>
                </w:tcPr>
                <w:p w14:paraId="7B24E9F9">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532" w:type="pct"/>
                  <w:vMerge w:val="restart"/>
                  <w:vAlign w:val="center"/>
                </w:tcPr>
                <w:p w14:paraId="71B7C9A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井场名称</w:t>
                  </w:r>
                </w:p>
              </w:tc>
              <w:tc>
                <w:tcPr>
                  <w:tcW w:w="521" w:type="pct"/>
                  <w:vMerge w:val="restart"/>
                  <w:vAlign w:val="center"/>
                </w:tcPr>
                <w:p w14:paraId="45ABF5A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598" w:type="pct"/>
                  <w:vMerge w:val="restart"/>
                  <w:vAlign w:val="center"/>
                </w:tcPr>
                <w:p w14:paraId="0B23A0DF">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表土</w:t>
                  </w:r>
                </w:p>
              </w:tc>
              <w:tc>
                <w:tcPr>
                  <w:tcW w:w="1894" w:type="pct"/>
                  <w:gridSpan w:val="4"/>
                  <w:shd w:val="clear" w:color="auto" w:fill="auto"/>
                  <w:vAlign w:val="center"/>
                </w:tcPr>
                <w:p w14:paraId="17A5B9E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eastAsia" w:ascii="Times New Roman" w:hAnsi="Times New Roman" w:eastAsia="宋体" w:cs="Times New Roman"/>
                      <w:b/>
                      <w:bCs/>
                      <w:i w:val="0"/>
                      <w:iCs w:val="0"/>
                      <w:color w:val="auto"/>
                      <w:sz w:val="21"/>
                      <w:szCs w:val="21"/>
                      <w:u w:val="none"/>
                      <w:lang w:val="en-US" w:eastAsia="zh-CN" w:bidi="ar-SA"/>
                    </w:rPr>
                    <w:t>一般土石方</w:t>
                  </w:r>
                </w:p>
              </w:tc>
              <w:tc>
                <w:tcPr>
                  <w:tcW w:w="1198" w:type="pct"/>
                  <w:gridSpan w:val="2"/>
                  <w:shd w:val="clear" w:color="auto" w:fill="auto"/>
                  <w:vAlign w:val="center"/>
                </w:tcPr>
                <w:p w14:paraId="199763E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eastAsia" w:ascii="Times New Roman" w:hAnsi="Times New Roman" w:eastAsia="宋体" w:cs="Times New Roman"/>
                      <w:b/>
                      <w:bCs/>
                      <w:i w:val="0"/>
                      <w:iCs w:val="0"/>
                      <w:color w:val="auto"/>
                      <w:sz w:val="21"/>
                      <w:szCs w:val="21"/>
                      <w:u w:val="none"/>
                      <w:lang w:val="en-US" w:eastAsia="zh-CN" w:bidi="ar-SA"/>
                    </w:rPr>
                    <w:t>表土</w:t>
                  </w:r>
                </w:p>
              </w:tc>
            </w:tr>
            <w:tr w14:paraId="7677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6778D5BF">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532" w:type="pct"/>
                  <w:vMerge w:val="continue"/>
                  <w:vAlign w:val="center"/>
                </w:tcPr>
                <w:p w14:paraId="23B5C75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521" w:type="pct"/>
                  <w:vMerge w:val="continue"/>
                  <w:vAlign w:val="center"/>
                </w:tcPr>
                <w:p w14:paraId="1C32AE9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598" w:type="pct"/>
                  <w:vMerge w:val="continue"/>
                  <w:vAlign w:val="center"/>
                </w:tcPr>
                <w:p w14:paraId="70613F5A">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598" w:type="pct"/>
                  <w:shd w:val="clear" w:color="auto" w:fill="auto"/>
                  <w:vAlign w:val="center"/>
                </w:tcPr>
                <w:p w14:paraId="39E9602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挖方</w:t>
                  </w:r>
                </w:p>
              </w:tc>
              <w:tc>
                <w:tcPr>
                  <w:tcW w:w="598" w:type="pct"/>
                  <w:shd w:val="clear" w:color="auto" w:fill="auto"/>
                  <w:vAlign w:val="center"/>
                </w:tcPr>
                <w:p w14:paraId="0AA82FB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填方</w:t>
                  </w:r>
                </w:p>
              </w:tc>
              <w:tc>
                <w:tcPr>
                  <w:tcW w:w="334" w:type="pct"/>
                  <w:shd w:val="clear" w:color="auto" w:fill="auto"/>
                  <w:vAlign w:val="center"/>
                </w:tcPr>
                <w:p w14:paraId="28D51D3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借方</w:t>
                  </w:r>
                </w:p>
              </w:tc>
              <w:tc>
                <w:tcPr>
                  <w:tcW w:w="363" w:type="pct"/>
                  <w:shd w:val="clear" w:color="auto" w:fill="auto"/>
                  <w:vAlign w:val="center"/>
                </w:tcPr>
                <w:p w14:paraId="5226A42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弃方</w:t>
                  </w:r>
                </w:p>
              </w:tc>
              <w:tc>
                <w:tcPr>
                  <w:tcW w:w="598" w:type="pct"/>
                  <w:shd w:val="clear" w:color="auto" w:fill="auto"/>
                  <w:vAlign w:val="center"/>
                </w:tcPr>
                <w:p w14:paraId="0598666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挖方</w:t>
                  </w:r>
                </w:p>
              </w:tc>
              <w:tc>
                <w:tcPr>
                  <w:tcW w:w="599" w:type="pct"/>
                  <w:shd w:val="clear" w:color="auto" w:fill="auto"/>
                  <w:vAlign w:val="center"/>
                </w:tcPr>
                <w:p w14:paraId="4D3C86E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填方</w:t>
                  </w:r>
                </w:p>
              </w:tc>
            </w:tr>
            <w:tr w14:paraId="7B07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restart"/>
                  <w:vAlign w:val="center"/>
                </w:tcPr>
                <w:p w14:paraId="1FB8F163">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532" w:type="pct"/>
                  <w:vMerge w:val="restart"/>
                  <w:shd w:val="clear" w:color="auto" w:fill="auto"/>
                  <w:vAlign w:val="center"/>
                </w:tcPr>
                <w:p w14:paraId="58AA6484">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cs="Times New Roman"/>
                      <w:color w:val="auto"/>
                      <w:sz w:val="21"/>
                      <w:szCs w:val="21"/>
                      <w:lang w:val="en-US" w:eastAsia="zh-CN" w:bidi="ar-SA"/>
                    </w:rPr>
                    <w:t>米107-2M</w:t>
                  </w:r>
                </w:p>
              </w:tc>
              <w:tc>
                <w:tcPr>
                  <w:tcW w:w="521" w:type="pct"/>
                  <w:shd w:val="clear" w:color="auto" w:fill="auto"/>
                  <w:vAlign w:val="center"/>
                </w:tcPr>
                <w:p w14:paraId="0215477D">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井场</w:t>
                  </w:r>
                </w:p>
              </w:tc>
              <w:tc>
                <w:tcPr>
                  <w:tcW w:w="598" w:type="pct"/>
                  <w:shd w:val="clear" w:color="auto" w:fill="auto"/>
                  <w:vAlign w:val="center"/>
                </w:tcPr>
                <w:p w14:paraId="3EB3B8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3779.628</w:t>
                  </w:r>
                </w:p>
              </w:tc>
              <w:tc>
                <w:tcPr>
                  <w:tcW w:w="598" w:type="pct"/>
                  <w:shd w:val="clear" w:color="auto" w:fill="auto"/>
                  <w:vAlign w:val="center"/>
                </w:tcPr>
                <w:p w14:paraId="478E17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18898.14</w:t>
                  </w:r>
                </w:p>
              </w:tc>
              <w:tc>
                <w:tcPr>
                  <w:tcW w:w="598" w:type="pct"/>
                  <w:shd w:val="clear" w:color="auto" w:fill="auto"/>
                  <w:vAlign w:val="center"/>
                </w:tcPr>
                <w:p w14:paraId="471FAD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18898.14</w:t>
                  </w:r>
                </w:p>
              </w:tc>
              <w:tc>
                <w:tcPr>
                  <w:tcW w:w="334" w:type="pct"/>
                  <w:shd w:val="clear" w:color="auto" w:fill="auto"/>
                  <w:vAlign w:val="center"/>
                </w:tcPr>
                <w:p w14:paraId="7DB49D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363" w:type="pct"/>
                  <w:shd w:val="clear" w:color="auto" w:fill="auto"/>
                  <w:vAlign w:val="center"/>
                </w:tcPr>
                <w:p w14:paraId="335EA4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8" w:type="pct"/>
                  <w:shd w:val="clear" w:color="auto" w:fill="auto"/>
                  <w:vAlign w:val="center"/>
                </w:tcPr>
                <w:p w14:paraId="548A96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3779.628</w:t>
                  </w:r>
                </w:p>
              </w:tc>
              <w:tc>
                <w:tcPr>
                  <w:tcW w:w="599" w:type="pct"/>
                  <w:shd w:val="clear" w:color="auto" w:fill="auto"/>
                  <w:vAlign w:val="center"/>
                </w:tcPr>
                <w:p w14:paraId="686D58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3779.628</w:t>
                  </w:r>
                </w:p>
              </w:tc>
            </w:tr>
            <w:tr w14:paraId="5F94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5E9027F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532" w:type="pct"/>
                  <w:vMerge w:val="continue"/>
                  <w:shd w:val="clear" w:color="auto" w:fill="auto"/>
                  <w:vAlign w:val="center"/>
                </w:tcPr>
                <w:p w14:paraId="7BD4F107">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521" w:type="pct"/>
                  <w:shd w:val="clear" w:color="auto" w:fill="auto"/>
                  <w:vAlign w:val="center"/>
                </w:tcPr>
                <w:p w14:paraId="4F77724B">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生活区</w:t>
                  </w:r>
                </w:p>
              </w:tc>
              <w:tc>
                <w:tcPr>
                  <w:tcW w:w="598" w:type="pct"/>
                  <w:shd w:val="clear" w:color="auto" w:fill="auto"/>
                  <w:vAlign w:val="center"/>
                </w:tcPr>
                <w:p w14:paraId="719C14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262.47</w:t>
                  </w:r>
                </w:p>
              </w:tc>
              <w:tc>
                <w:tcPr>
                  <w:tcW w:w="598" w:type="pct"/>
                  <w:shd w:val="clear" w:color="auto" w:fill="auto"/>
                  <w:vAlign w:val="center"/>
                </w:tcPr>
                <w:p w14:paraId="057A25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699.92</w:t>
                  </w:r>
                </w:p>
              </w:tc>
              <w:tc>
                <w:tcPr>
                  <w:tcW w:w="598" w:type="pct"/>
                  <w:shd w:val="clear" w:color="auto" w:fill="auto"/>
                  <w:vAlign w:val="center"/>
                </w:tcPr>
                <w:p w14:paraId="6D1359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699.92</w:t>
                  </w:r>
                </w:p>
              </w:tc>
              <w:tc>
                <w:tcPr>
                  <w:tcW w:w="334" w:type="pct"/>
                  <w:shd w:val="clear" w:color="auto" w:fill="auto"/>
                  <w:vAlign w:val="center"/>
                </w:tcPr>
                <w:p w14:paraId="28D464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363" w:type="pct"/>
                  <w:shd w:val="clear" w:color="auto" w:fill="auto"/>
                  <w:vAlign w:val="center"/>
                </w:tcPr>
                <w:p w14:paraId="732A41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8" w:type="pct"/>
                  <w:shd w:val="clear" w:color="auto" w:fill="auto"/>
                  <w:vAlign w:val="center"/>
                </w:tcPr>
                <w:p w14:paraId="000969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262.47</w:t>
                  </w:r>
                </w:p>
              </w:tc>
              <w:tc>
                <w:tcPr>
                  <w:tcW w:w="599" w:type="pct"/>
                  <w:shd w:val="clear" w:color="auto" w:fill="auto"/>
                  <w:vAlign w:val="center"/>
                </w:tcPr>
                <w:p w14:paraId="0A6AAE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262.47</w:t>
                  </w:r>
                </w:p>
              </w:tc>
            </w:tr>
            <w:tr w14:paraId="03D4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5264CD57">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532" w:type="pct"/>
                  <w:vMerge w:val="continue"/>
                  <w:shd w:val="clear" w:color="auto" w:fill="auto"/>
                  <w:vAlign w:val="center"/>
                </w:tcPr>
                <w:p w14:paraId="79C617CA">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521" w:type="pct"/>
                  <w:shd w:val="clear" w:color="auto" w:fill="auto"/>
                  <w:vAlign w:val="center"/>
                </w:tcPr>
                <w:p w14:paraId="11E339A2">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进场道路</w:t>
                  </w:r>
                </w:p>
              </w:tc>
              <w:tc>
                <w:tcPr>
                  <w:tcW w:w="598" w:type="pct"/>
                  <w:shd w:val="clear" w:color="auto" w:fill="auto"/>
                  <w:vAlign w:val="center"/>
                </w:tcPr>
                <w:p w14:paraId="5A0F20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261.996</w:t>
                  </w:r>
                </w:p>
              </w:tc>
              <w:tc>
                <w:tcPr>
                  <w:tcW w:w="598" w:type="pct"/>
                  <w:shd w:val="clear" w:color="auto" w:fill="auto"/>
                  <w:vAlign w:val="center"/>
                </w:tcPr>
                <w:p w14:paraId="692C4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4366.6</w:t>
                  </w:r>
                </w:p>
              </w:tc>
              <w:tc>
                <w:tcPr>
                  <w:tcW w:w="598" w:type="pct"/>
                  <w:shd w:val="clear" w:color="auto" w:fill="auto"/>
                  <w:vAlign w:val="center"/>
                </w:tcPr>
                <w:p w14:paraId="19FFA4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4366.6</w:t>
                  </w:r>
                </w:p>
              </w:tc>
              <w:tc>
                <w:tcPr>
                  <w:tcW w:w="334" w:type="pct"/>
                  <w:shd w:val="clear" w:color="auto" w:fill="auto"/>
                  <w:vAlign w:val="center"/>
                </w:tcPr>
                <w:p w14:paraId="7E97763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363" w:type="pct"/>
                  <w:shd w:val="clear" w:color="auto" w:fill="auto"/>
                  <w:vAlign w:val="center"/>
                </w:tcPr>
                <w:p w14:paraId="62A9DE6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8" w:type="pct"/>
                  <w:shd w:val="clear" w:color="auto" w:fill="auto"/>
                  <w:vAlign w:val="center"/>
                </w:tcPr>
                <w:p w14:paraId="66A61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261.996</w:t>
                  </w:r>
                </w:p>
              </w:tc>
              <w:tc>
                <w:tcPr>
                  <w:tcW w:w="599" w:type="pct"/>
                  <w:shd w:val="clear" w:color="auto" w:fill="auto"/>
                  <w:vAlign w:val="center"/>
                </w:tcPr>
                <w:p w14:paraId="778D09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261.996</w:t>
                  </w:r>
                </w:p>
              </w:tc>
            </w:tr>
            <w:tr w14:paraId="7311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5F8D95B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054" w:type="pct"/>
                  <w:gridSpan w:val="2"/>
                  <w:shd w:val="clear" w:color="auto" w:fill="auto"/>
                  <w:vAlign w:val="center"/>
                </w:tcPr>
                <w:p w14:paraId="0F4155BD">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598" w:type="pct"/>
                  <w:shd w:val="clear" w:color="auto" w:fill="auto"/>
                  <w:vAlign w:val="center"/>
                </w:tcPr>
                <w:p w14:paraId="0E41B4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4304.094</w:t>
                  </w:r>
                </w:p>
              </w:tc>
              <w:tc>
                <w:tcPr>
                  <w:tcW w:w="598" w:type="pct"/>
                  <w:shd w:val="clear" w:color="auto" w:fill="auto"/>
                  <w:vAlign w:val="center"/>
                </w:tcPr>
                <w:p w14:paraId="340075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23964.66</w:t>
                  </w:r>
                </w:p>
              </w:tc>
              <w:tc>
                <w:tcPr>
                  <w:tcW w:w="598" w:type="pct"/>
                  <w:shd w:val="clear" w:color="auto" w:fill="auto"/>
                  <w:vAlign w:val="center"/>
                </w:tcPr>
                <w:p w14:paraId="60EB3B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23964.66</w:t>
                  </w:r>
                </w:p>
              </w:tc>
              <w:tc>
                <w:tcPr>
                  <w:tcW w:w="334" w:type="pct"/>
                  <w:shd w:val="clear" w:color="auto" w:fill="auto"/>
                  <w:vAlign w:val="center"/>
                </w:tcPr>
                <w:p w14:paraId="44B06EF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363" w:type="pct"/>
                  <w:shd w:val="clear" w:color="auto" w:fill="auto"/>
                  <w:vAlign w:val="center"/>
                </w:tcPr>
                <w:p w14:paraId="1092DE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8" w:type="pct"/>
                  <w:shd w:val="clear" w:color="auto" w:fill="auto"/>
                  <w:vAlign w:val="center"/>
                </w:tcPr>
                <w:p w14:paraId="321477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4304.094</w:t>
                  </w:r>
                </w:p>
              </w:tc>
              <w:tc>
                <w:tcPr>
                  <w:tcW w:w="599" w:type="pct"/>
                  <w:shd w:val="clear" w:color="auto" w:fill="auto"/>
                  <w:vAlign w:val="center"/>
                </w:tcPr>
                <w:p w14:paraId="1A5DF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4304.094</w:t>
                  </w:r>
                </w:p>
              </w:tc>
            </w:tr>
          </w:tbl>
          <w:p w14:paraId="0F6C12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在开挖地表、平整土地时，在施工场地的征地范围内设置表土堆场，表土厚度为0.3m，对表土进行单独堆放并苫盖并采用密目网苫盖，一般土石方随挖随填，不在井场内长期堆放；施工完毕，应尽快整理施工现场，将表土覆盖在原地表，对临时占地进行植被恢复，恢复原有用地性质。</w:t>
            </w:r>
          </w:p>
          <w:p w14:paraId="615AAB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本项目各井场表土堆场及一般土石方堆场设置情况见下表：</w:t>
            </w:r>
          </w:p>
          <w:p w14:paraId="20446A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表2-14   各井场表土及一般土石方堆场设置情况一览表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975"/>
              <w:gridCol w:w="1961"/>
              <w:gridCol w:w="1720"/>
              <w:gridCol w:w="1350"/>
            </w:tblGrid>
            <w:tr w14:paraId="522F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14:paraId="6160B4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井场名称</w:t>
                  </w:r>
                </w:p>
              </w:tc>
              <w:tc>
                <w:tcPr>
                  <w:tcW w:w="1177" w:type="pct"/>
                  <w:vAlign w:val="center"/>
                </w:tcPr>
                <w:p w14:paraId="2886EE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土石方量（m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169" w:type="pct"/>
                  <w:vAlign w:val="center"/>
                </w:tcPr>
                <w:p w14:paraId="66C2B2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堆场类型</w:t>
                  </w:r>
                </w:p>
              </w:tc>
              <w:tc>
                <w:tcPr>
                  <w:tcW w:w="1025" w:type="pct"/>
                  <w:vAlign w:val="center"/>
                </w:tcPr>
                <w:p w14:paraId="69206F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堆场面积（m</w:t>
                  </w:r>
                  <w:r>
                    <w:rPr>
                      <w:rFonts w:hint="eastAsia" w:ascii="Times New Roman" w:hAnsi="Times New Roman" w:eastAsia="宋体" w:cs="Times New Roman"/>
                      <w:b/>
                      <w:bCs/>
                      <w:color w:val="auto"/>
                      <w:sz w:val="21"/>
                      <w:szCs w:val="21"/>
                      <w:vertAlign w:val="superscript"/>
                      <w:lang w:val="en-US" w:eastAsia="zh-CN"/>
                    </w:rPr>
                    <w:t>2</w:t>
                  </w:r>
                  <w:r>
                    <w:rPr>
                      <w:rFonts w:hint="eastAsia" w:ascii="Times New Roman" w:hAnsi="Times New Roman" w:eastAsia="宋体" w:cs="Times New Roman"/>
                      <w:b/>
                      <w:bCs/>
                      <w:color w:val="auto"/>
                      <w:sz w:val="21"/>
                      <w:szCs w:val="21"/>
                      <w:vertAlign w:val="baseline"/>
                      <w:lang w:val="en-US" w:eastAsia="zh-CN"/>
                    </w:rPr>
                    <w:t>）</w:t>
                  </w:r>
                </w:p>
              </w:tc>
              <w:tc>
                <w:tcPr>
                  <w:tcW w:w="805" w:type="pct"/>
                  <w:vAlign w:val="center"/>
                </w:tcPr>
                <w:p w14:paraId="38DEE7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堆高（m）</w:t>
                  </w:r>
                </w:p>
              </w:tc>
            </w:tr>
            <w:tr w14:paraId="3336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4DDF60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米107-2M</w:t>
                  </w:r>
                </w:p>
              </w:tc>
              <w:tc>
                <w:tcPr>
                  <w:tcW w:w="1177" w:type="pct"/>
                  <w:vAlign w:val="center"/>
                </w:tcPr>
                <w:p w14:paraId="1FF924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表土：4304.094</w:t>
                  </w:r>
                </w:p>
              </w:tc>
              <w:tc>
                <w:tcPr>
                  <w:tcW w:w="1169" w:type="pct"/>
                  <w:vAlign w:val="center"/>
                </w:tcPr>
                <w:p w14:paraId="514CAA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17FE9F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1400</w:t>
                  </w:r>
                </w:p>
              </w:tc>
              <w:tc>
                <w:tcPr>
                  <w:tcW w:w="805" w:type="pct"/>
                  <w:vAlign w:val="center"/>
                </w:tcPr>
                <w:p w14:paraId="294D99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250E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5B4BDD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vAlign w:val="center"/>
                </w:tcPr>
                <w:p w14:paraId="4437F7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一般：23964.66</w:t>
                  </w:r>
                </w:p>
              </w:tc>
              <w:tc>
                <w:tcPr>
                  <w:tcW w:w="1169" w:type="pct"/>
                  <w:vAlign w:val="center"/>
                </w:tcPr>
                <w:p w14:paraId="585711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6B1ADF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2000</w:t>
                  </w:r>
                </w:p>
              </w:tc>
              <w:tc>
                <w:tcPr>
                  <w:tcW w:w="805" w:type="pct"/>
                  <w:vAlign w:val="center"/>
                </w:tcPr>
                <w:p w14:paraId="72006C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bl>
          <w:p w14:paraId="4986E9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备注：本项目一般土石方随挖随填，一般土石方堆场能够满足开挖土石方堆存要求。</w:t>
            </w:r>
          </w:p>
          <w:p w14:paraId="476701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内按照《钻前工程及井场布置技术要求》（SY/T5466-2013）进行设施设备布局，钻井平台、泥浆不落地系统区、泥浆储罐区、污水罐区、储液罐等均为地面设施或设备。井场内其他构筑物采用活动板房结构，设置均为撬装，生活区设置移动式卫生旱厕和垃圾收集桶。</w:t>
            </w:r>
          </w:p>
        </w:tc>
      </w:tr>
      <w:tr w14:paraId="4D5F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70ABAF2B">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施工方案</w:t>
            </w:r>
          </w:p>
        </w:tc>
        <w:tc>
          <w:tcPr>
            <w:tcW w:w="8597" w:type="dxa"/>
            <w:vAlign w:val="center"/>
          </w:tcPr>
          <w:p w14:paraId="551BE7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本次评价仅涉及天然气井的勘探过程，不涉及天然气的开采和集输。</w:t>
            </w:r>
          </w:p>
          <w:p w14:paraId="078BF5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1、钻井工程及产污特点</w:t>
            </w:r>
          </w:p>
          <w:p w14:paraId="18133DEA">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项目建设内容包括钻前工程、钻井、试井、完井封井。</w:t>
            </w:r>
          </w:p>
          <w:p w14:paraId="7CA8FB9F">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包括井场平整、设备基础、活动房搭建等；钻井工程包括设备安装、钻井、完井三部分；试井包括试井设备安装及试井两部分；完井测试结果若表明勘探井有工业开采的价值，拆除与采气无关的设备，剩余临时占地恢复为原有地貌、进行完井搬迁。若完井测试后勘探井不产天然气或所产天然气不具有工业开采价值，则用水泥封井后搬迁，将放弃的井场临时占地恢复为原有地貌。</w:t>
            </w:r>
          </w:p>
          <w:p w14:paraId="497834A2">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项目主要流程及产污环节见图2-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14:paraId="183AC386">
            <w:pPr>
              <w:spacing w:line="360" w:lineRule="auto"/>
              <w:ind w:firstLine="42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4506595" cy="5082540"/>
                  <wp:effectExtent l="0" t="0" r="8255" b="3810"/>
                  <wp:docPr id="14" name="图片 14" descr="17470333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033310194"/>
                          <pic:cNvPicPr>
                            <a:picLocks noChangeAspect="1"/>
                          </pic:cNvPicPr>
                        </pic:nvPicPr>
                        <pic:blipFill>
                          <a:blip r:embed="rId11"/>
                          <a:stretch>
                            <a:fillRect/>
                          </a:stretch>
                        </pic:blipFill>
                        <pic:spPr>
                          <a:xfrm>
                            <a:off x="0" y="0"/>
                            <a:ext cx="4506595" cy="5082540"/>
                          </a:xfrm>
                          <a:prstGeom prst="rect">
                            <a:avLst/>
                          </a:prstGeom>
                        </pic:spPr>
                      </pic:pic>
                    </a:graphicData>
                  </a:graphic>
                </wp:inline>
              </w:drawing>
            </w:r>
          </w:p>
          <w:p w14:paraId="2127E8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图2-3  项目主要工艺流程及产污环节图</w:t>
            </w:r>
          </w:p>
          <w:p w14:paraId="7B321C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2、施工工艺过程</w:t>
            </w:r>
          </w:p>
          <w:p w14:paraId="42871DAE">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（1）钻前工程</w:t>
            </w:r>
          </w:p>
          <w:p w14:paraId="694E3BFA">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钻前工程满足钻井作业要求时，各类作业车辆将各类设备逐步运至井场进行安装，通过检查满足钻井要求时开始进行钻井作业。</w:t>
            </w:r>
          </w:p>
          <w:p w14:paraId="0F37DC34">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钻井作业</w:t>
            </w:r>
          </w:p>
          <w:p w14:paraId="63DEE3D9">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钻井作业均包括钻进、钻进辅助作业、固井、完井测试等过程。钻井过程中均使用水基泥浆体系。钻进由起下钻、接单根、钻进等作业组成；钻进辅助作业由电测井、取</w:t>
            </w:r>
            <w:r>
              <w:rPr>
                <w:rFonts w:hint="default" w:ascii="Times New Roman" w:hAnsi="Times New Roman" w:eastAsia="宋体" w:cs="Times New Roman"/>
                <w:color w:val="auto"/>
                <w:sz w:val="24"/>
                <w:szCs w:val="24"/>
                <w:lang w:val="en-US" w:eastAsia="zh-CN"/>
              </w:rPr>
              <w:t>芯</w:t>
            </w:r>
            <w:r>
              <w:rPr>
                <w:rFonts w:hint="default" w:ascii="Times New Roman" w:hAnsi="Times New Roman" w:eastAsia="宋体" w:cs="Times New Roman"/>
                <w:color w:val="auto"/>
                <w:sz w:val="24"/>
                <w:szCs w:val="24"/>
                <w:lang w:eastAsia="zh-CN"/>
              </w:rPr>
              <w:t>钻进、综合录井、中途测试等作业组成；固井由下套管和水泥固井两个过程组成。</w:t>
            </w:r>
          </w:p>
          <w:p w14:paraId="2AB694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①钻井</w:t>
            </w:r>
          </w:p>
          <w:p w14:paraId="7EF840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钻前工程完成后，进入钻井工程。项目钻井采用直井钻探，预计勘探深度米107-2M井身为2750m。钻井工程分为一开和二开钻井工程。一开包括下标称套管600m，固表层套管，套管口径273.1mm，</w:t>
            </w:r>
            <w:r>
              <w:rPr>
                <w:rFonts w:hint="default" w:ascii="Times New Roman" w:hAnsi="Times New Roman" w:eastAsia="宋体" w:cs="Times New Roman"/>
                <w:b w:val="0"/>
                <w:bCs w:val="0"/>
                <w:color w:val="auto"/>
                <w:sz w:val="24"/>
                <w:szCs w:val="24"/>
                <w:highlight w:val="none"/>
                <w:vertAlign w:val="baseline"/>
                <w:lang w:val="en-US" w:eastAsia="zh-CN"/>
              </w:rPr>
              <w:t>此阶段采用</w:t>
            </w:r>
            <w:r>
              <w:rPr>
                <w:rFonts w:hint="eastAsia" w:ascii="Times New Roman" w:hAnsi="Times New Roman" w:eastAsia="宋体" w:cs="Times New Roman"/>
                <w:b w:val="0"/>
                <w:bCs w:val="0"/>
                <w:color w:val="auto"/>
                <w:sz w:val="24"/>
                <w:szCs w:val="24"/>
                <w:highlight w:val="none"/>
                <w:vertAlign w:val="baseline"/>
                <w:lang w:val="en-US" w:eastAsia="zh-CN"/>
              </w:rPr>
              <w:t>膨润土水基</w:t>
            </w:r>
            <w:r>
              <w:rPr>
                <w:rFonts w:hint="default" w:ascii="Times New Roman" w:hAnsi="Times New Roman" w:eastAsia="宋体" w:cs="Times New Roman"/>
                <w:b w:val="0"/>
                <w:bCs w:val="0"/>
                <w:color w:val="auto"/>
                <w:sz w:val="24"/>
                <w:szCs w:val="24"/>
                <w:highlight w:val="none"/>
                <w:vertAlign w:val="baseline"/>
                <w:lang w:val="en-US" w:eastAsia="zh-CN"/>
              </w:rPr>
              <w:t>泥浆（泥浆配方：清水+0.2-0.3%Na</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+6-7%</w:t>
            </w:r>
            <w:r>
              <w:rPr>
                <w:rFonts w:hint="eastAsia" w:ascii="Times New Roman" w:hAnsi="Times New Roman" w:eastAsia="宋体" w:cs="Times New Roman"/>
                <w:b w:val="0"/>
                <w:bCs w:val="0"/>
                <w:color w:val="auto"/>
                <w:sz w:val="24"/>
                <w:szCs w:val="24"/>
                <w:highlight w:val="none"/>
                <w:vertAlign w:val="baseline"/>
                <w:lang w:val="en-US" w:eastAsia="zh-CN"/>
              </w:rPr>
              <w:t>膨润土</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迅速钻井，</w:t>
            </w:r>
            <w:r>
              <w:rPr>
                <w:rFonts w:hint="default" w:ascii="Times New Roman" w:hAnsi="Times New Roman" w:eastAsia="宋体" w:cs="Times New Roman"/>
                <w:b w:val="0"/>
                <w:bCs w:val="0"/>
                <w:color w:val="auto"/>
                <w:sz w:val="24"/>
                <w:szCs w:val="24"/>
                <w:highlight w:val="none"/>
                <w:vertAlign w:val="baseline"/>
                <w:lang w:val="en-US" w:eastAsia="zh-CN"/>
              </w:rPr>
              <w:t>在套管的保护下能有效的保护浅层地下水；二开包括下气层套管、固气层套管，为生产、后期改造做好准备。二开米107-2M井至2750m处，</w:t>
            </w:r>
            <w:r>
              <w:rPr>
                <w:rFonts w:hint="default" w:ascii="Times New Roman" w:hAnsi="Times New Roman" w:eastAsia="宋体" w:cs="Times New Roman"/>
                <w:b w:val="0"/>
                <w:bCs w:val="0"/>
                <w:color w:val="auto"/>
                <w:sz w:val="24"/>
                <w:szCs w:val="24"/>
                <w:vertAlign w:val="baseline"/>
                <w:lang w:val="en-US" w:eastAsia="zh-CN"/>
              </w:rPr>
              <w:t>套管口径219.1mm。主要的工序简述如下：</w:t>
            </w:r>
          </w:p>
          <w:p w14:paraId="6E25CC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即钻头破碎岩石并通过钻井液带出岩屑并形成井筒的过程。钻井作业时，依靠钻机动力带动钻杆和钻头旋转，钻头逐次向下破碎岩层，同时通过空心钻杆向地下注入钻井液，将破碎岩屑通过循环钻井液带到地面形成返排液。地面设置泥浆循环系统将返排液中的岩屑清除后，将钻井液再次打入井内循环使用。</w:t>
            </w:r>
          </w:p>
          <w:p w14:paraId="0623C9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循环系统是钻井工程的核心部分，主要包括钻井液振动筛、真空除气器、除砂器、除泥器、搅拌器、泵及泥浆罐等设备。将返排液通过泥浆管输入振动筛进行固液分离，将泥浆中粒径大于0.1mm的固相物质留于筛上，振动筛筛下的液相进入循环罐暂存，再依次通过除砂器、除泥器分离出粒径大于0.01mm的固相物质后，用于钻井作业和后续的配浆作业。</w:t>
            </w:r>
          </w:p>
          <w:p w14:paraId="508181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施工结束后无法回用的废弃泥浆通过压滤机处理后，上清液暂存于钻井废水储存罐，完井后由罐车</w:t>
            </w:r>
            <w:r>
              <w:rPr>
                <w:rFonts w:hint="default" w:ascii="Times New Roman" w:hAnsi="Times New Roman" w:eastAsia="宋体" w:cs="Times New Roman"/>
                <w:b w:val="0"/>
                <w:bCs w:val="0"/>
                <w:color w:val="auto"/>
                <w:sz w:val="24"/>
                <w:szCs w:val="24"/>
                <w:highlight w:val="none"/>
                <w:vertAlign w:val="baseline"/>
                <w:lang w:val="en-US" w:eastAsia="zh-CN"/>
              </w:rPr>
              <w:t>送有能力单位处置</w:t>
            </w:r>
            <w:r>
              <w:rPr>
                <w:rFonts w:hint="default" w:ascii="Times New Roman" w:hAnsi="Times New Roman" w:eastAsia="宋体" w:cs="Times New Roman"/>
                <w:b w:val="0"/>
                <w:bCs w:val="0"/>
                <w:color w:val="auto"/>
                <w:sz w:val="24"/>
                <w:szCs w:val="24"/>
                <w:vertAlign w:val="baseline"/>
                <w:lang w:val="en-US" w:eastAsia="zh-CN"/>
              </w:rPr>
              <w:t>；压滤后的泥饼暂存于固渣储存罐中；振动筛、除砂器、除泥器、离心机分离出的固相物质即岩屑，暂存于固渣储存罐中，施工结束后委托</w:t>
            </w:r>
            <w:r>
              <w:rPr>
                <w:rFonts w:hint="default" w:ascii="Times New Roman" w:hAnsi="Times New Roman" w:eastAsia="宋体" w:cs="Times New Roman"/>
                <w:b w:val="0"/>
                <w:bCs w:val="0"/>
                <w:color w:val="auto"/>
                <w:sz w:val="24"/>
                <w:szCs w:val="24"/>
                <w:highlight w:val="none"/>
                <w:vertAlign w:val="baseline"/>
                <w:lang w:val="en-US" w:eastAsia="zh-CN"/>
              </w:rPr>
              <w:t>陕西德禾鑫盛环保科技有限公司处置。</w:t>
            </w:r>
          </w:p>
          <w:p w14:paraId="7792D4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②录井、测井</w:t>
            </w:r>
          </w:p>
          <w:p w14:paraId="2CC8B9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录井：按设计要求进行地质录井、钻时录井、岩屑录井、岩心录井、钻井液录井等。</w:t>
            </w:r>
          </w:p>
          <w:p w14:paraId="4A930E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井：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60310B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③固井</w:t>
            </w:r>
          </w:p>
          <w:p w14:paraId="6FC732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固井是钻井达到预定深度后，下入套管并注入水泥浆，封固套管和井壁之间环形空间的作业。固井的主要目的是封隔疏松的易塌易漏地层，封隔油、气、水层，防止互相串漏，以保证安全继续钻进下一段井眼的工艺过程。固井水泥的返高也是封隔井筒与地下水的主要措施，本项目导管和一开固井水泥均返高至地面，可以多层防护与隔绝井内流体与含水层之间的联系。</w:t>
            </w:r>
          </w:p>
          <w:p w14:paraId="14D37F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④取芯工艺</w:t>
            </w:r>
          </w:p>
          <w:p w14:paraId="352F91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天然气埋藏在地下有孔隙裂缝的岩石中。为了了解地层中油气的真实面貌本项目采取常规钻并进行钻井取芯。</w:t>
            </w:r>
          </w:p>
          <w:p w14:paraId="681CF3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取芯时，要在下入井内钻柱的最下端，接上一套特制的取工具，取态钻头在垂直载荷和扭矩的联合作用下，对并底的岩石进行环形破碎，中间保留圆柱状岩芯进入岩芯筒。当钻进取芯到一定长度后，采用与工具相匹配的方法和措施，将钻头端部的岩芯割断后起钻，取工具与钻具一起提出地面，即可取出岩芯筒内的岩芯。钻并取芯可以充分满足地质家对岩芯进行多种项目的化验和测试，是对获取地下储层岩性、物性和储层评价有重要意义的手段。根据建设单位提供资料，岩芯用于产气量气密性研究，研究完后的废弃岩芯作为固废委托陕西德禾鑫盛环保科技有限公司处理。</w:t>
            </w:r>
          </w:p>
          <w:p w14:paraId="37904B7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5321300" cy="2965450"/>
                  <wp:effectExtent l="0" t="0" r="12700" b="6350"/>
                  <wp:docPr id="3" name="图片 3" descr="17193911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391105229"/>
                          <pic:cNvPicPr>
                            <a:picLocks noChangeAspect="1"/>
                          </pic:cNvPicPr>
                        </pic:nvPicPr>
                        <pic:blipFill>
                          <a:blip r:embed="rId12"/>
                          <a:stretch>
                            <a:fillRect/>
                          </a:stretch>
                        </pic:blipFill>
                        <pic:spPr>
                          <a:xfrm>
                            <a:off x="0" y="0"/>
                            <a:ext cx="5321300" cy="2965450"/>
                          </a:xfrm>
                          <a:prstGeom prst="rect">
                            <a:avLst/>
                          </a:prstGeom>
                        </pic:spPr>
                      </pic:pic>
                    </a:graphicData>
                  </a:graphic>
                </wp:inline>
              </w:drawing>
            </w:r>
          </w:p>
          <w:p w14:paraId="34FDD0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图2-4  一开、二开井口示意图</w:t>
            </w:r>
          </w:p>
          <w:p w14:paraId="5EED31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（3）压裂工程</w:t>
            </w:r>
          </w:p>
          <w:p w14:paraId="2370BC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后，为了消除井筒附近地层渗透率低的不良影响，以达到增产的目的，需进行压裂作业，主要是通过向井下注入压裂液进行压裂。压裂改造过程中，大量压裂液将进入地层进行储层改造，压裂结束后，需要快速的排液。</w:t>
            </w:r>
          </w:p>
          <w:p w14:paraId="378530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压裂后需要关井一段时间，使压裂裂缝闭合，施工造成的压力波在地层中有逐步扩散，液体逐渐水化。压裂放喷一般分为两个阶段。第一阶段：压裂后，由于地层弹性能量较足，井筒可实现自喷；第二阶段：关放排液，压裂后第一次放喷连续2～3小时不出液后，即可以关井，等压力恢复起来后再放喷，往复关放直至彻底不出液后关井。</w:t>
            </w:r>
          </w:p>
          <w:p w14:paraId="3A3FF6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（4）完井测试</w:t>
            </w:r>
          </w:p>
          <w:p w14:paraId="0359BD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5C6B5E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①洗井</w:t>
            </w:r>
          </w:p>
          <w:p w14:paraId="217843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项目完钻后开展洗井作业，采用清水清洗套管。洗井废水从井口返排进入专用收集罐中，洗井废水循环使用，剩余未利用部分委托陕西榆佳环保科技有限公司外运处理。</w:t>
            </w:r>
          </w:p>
          <w:p w14:paraId="4B92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②射孔</w:t>
            </w:r>
          </w:p>
          <w:p w14:paraId="0CCA89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用射孔完井方式。射孔完井是指下入气层套管封固产层后再用电缆射孔将套管、水泥环、部分产层射穿，形成气流通道。射穿产层后气井的生产能力受产层压力、产层性质、射孔参数及质量影响。根据建设单位以往经验，项目单井射孔一般需要射孔液36m³。射孔液主要成分为无机盐类（KCl、NaCl）水溶液加适量粘土稳定剂。</w:t>
            </w:r>
          </w:p>
          <w:p w14:paraId="277274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（5）试气</w:t>
            </w:r>
          </w:p>
          <w:p w14:paraId="1BFC9B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测试放喷是在固井、压裂作业后，利用测试放喷专用管线将井内天然气引至放喷池内点火燃烧对天然气产量进行测试的过程，放喷前需接一条可测试流量的专用管线。依据测试气量，采用间歇性放喷，每次放喷时间约4～6h，废气排放属不连续排放。</w:t>
            </w:r>
          </w:p>
          <w:p w14:paraId="43F78F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（6）完井搬迁</w:t>
            </w:r>
          </w:p>
          <w:p w14:paraId="0817D9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主要进行预探井的勘探开发，通过完井后试气测试评价情况，若完井或良好产量则临时封井后期转为生产井（另行办理相应的环评手续，完善永久征地手续），若未获得可利用的资源则永久封井处理（无永久占地，临时占地恢复原貌）。</w:t>
            </w:r>
          </w:p>
          <w:p w14:paraId="58A47B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①临时封井：</w:t>
            </w:r>
            <w:r>
              <w:rPr>
                <w:rFonts w:hint="default" w:ascii="Times New Roman" w:hAnsi="Times New Roman" w:eastAsia="宋体" w:cs="Times New Roman"/>
                <w:b w:val="0"/>
                <w:bCs w:val="0"/>
                <w:color w:val="auto"/>
                <w:sz w:val="24"/>
                <w:szCs w:val="24"/>
                <w:vertAlign w:val="baseline"/>
                <w:lang w:val="en-US" w:eastAsia="zh-CN"/>
              </w:rPr>
              <w:t>若后续利用该勘探井从事生产活动，则采取临时封井，保留采气树，相关法兰管口全部密封，井口区域下挖约长1m×宽1m×高1.2m的采气树池，四壁及底部进行砖混加固，树池四周地表建设围挡并张贴相关标识，具体生产相关事宜需另行履行环保手续。封井后移交公司统一管理，公司安排专职人员对勘探井定期巡视。</w:t>
            </w:r>
          </w:p>
          <w:p w14:paraId="5554D4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永久封井：首先，利用钻井过程中套管及套管壁用水泥固封防止天然气窜入地层，同时在射孔段的上部往水泥形成水泥塞面封隔气层；其次，回填并做碉堡(边2m、高2.2m的三角形)和标识，设置醒目的警示标志。永久封井后应保证该井眼无遗留风险。</w:t>
            </w:r>
          </w:p>
          <w:p w14:paraId="5C7E1E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position w:val="-73"/>
              </w:rPr>
              <w:drawing>
                <wp:inline distT="0" distB="0" distL="0" distR="0">
                  <wp:extent cx="3193415" cy="2224405"/>
                  <wp:effectExtent l="0" t="0" r="6985" b="44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
                          <a:stretch>
                            <a:fillRect/>
                          </a:stretch>
                        </pic:blipFill>
                        <pic:spPr>
                          <a:xfrm>
                            <a:off x="0" y="0"/>
                            <a:ext cx="3193415" cy="2224405"/>
                          </a:xfrm>
                          <a:prstGeom prst="rect">
                            <a:avLst/>
                          </a:prstGeom>
                        </pic:spPr>
                      </pic:pic>
                    </a:graphicData>
                  </a:graphic>
                </wp:inline>
              </w:drawing>
            </w:r>
          </w:p>
          <w:p w14:paraId="4D669491">
            <w:pPr>
              <w:spacing w:line="360" w:lineRule="auto"/>
              <w:ind w:firstLine="44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图2-5  临时封井示意图</w:t>
            </w:r>
          </w:p>
          <w:p w14:paraId="1B2BFADB">
            <w:pPr>
              <w:spacing w:line="360" w:lineRule="auto"/>
              <w:ind w:firstLine="440" w:firstLineChars="20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rPr>
              <w:drawing>
                <wp:inline distT="0" distB="0" distL="114300" distR="114300">
                  <wp:extent cx="2781300" cy="2374265"/>
                  <wp:effectExtent l="0" t="0" r="0"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2781300" cy="2374265"/>
                          </a:xfrm>
                          <a:prstGeom prst="rect">
                            <a:avLst/>
                          </a:prstGeom>
                          <a:noFill/>
                          <a:ln>
                            <a:noFill/>
                          </a:ln>
                        </pic:spPr>
                      </pic:pic>
                    </a:graphicData>
                  </a:graphic>
                </wp:inline>
              </w:drawing>
            </w:r>
          </w:p>
          <w:p w14:paraId="45BB8A00">
            <w:pPr>
              <w:spacing w:line="360" w:lineRule="auto"/>
              <w:ind w:firstLine="442" w:firstLineChars="20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lang w:val="en-US" w:eastAsia="zh-CN"/>
              </w:rPr>
              <w:t>图2-6</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永久</w:t>
            </w:r>
            <w:r>
              <w:rPr>
                <w:rFonts w:hint="default" w:ascii="Times New Roman" w:hAnsi="Times New Roman" w:eastAsia="宋体" w:cs="Times New Roman"/>
                <w:b/>
                <w:bCs/>
                <w:color w:val="auto"/>
                <w:lang w:val="en-US" w:eastAsia="zh-CN"/>
              </w:rPr>
              <w:t>封井示意图</w:t>
            </w:r>
          </w:p>
          <w:p w14:paraId="08E921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完井搬迁主要包括设备和设施的拆除和搬迁，钻井机、泥浆循环系统等设备和生活设施拆除后搬迁至周边其他井场继续使用。搬迁完成后即对场内基础设施进行拆除，如清除场地碎石、拆除硬化地面等。根据钻井作业规范和钻井环保管理规定，钻井液全部回收，不得遗弃在井场，废水和固体废物须交有</w:t>
            </w:r>
            <w:r>
              <w:rPr>
                <w:rFonts w:hint="default" w:ascii="Times New Roman" w:hAnsi="Times New Roman" w:eastAsia="宋体" w:cs="Times New Roman"/>
                <w:color w:val="auto"/>
                <w:sz w:val="24"/>
                <w:szCs w:val="24"/>
                <w:lang w:val="en-US" w:eastAsia="zh-CN"/>
              </w:rPr>
              <w:t>能力</w:t>
            </w:r>
            <w:r>
              <w:rPr>
                <w:rFonts w:hint="default" w:ascii="Times New Roman" w:hAnsi="Times New Roman" w:eastAsia="宋体" w:cs="Times New Roman"/>
                <w:color w:val="auto"/>
                <w:sz w:val="24"/>
                <w:szCs w:val="24"/>
                <w:lang w:eastAsia="zh-CN"/>
              </w:rPr>
              <w:t>单位处置，做到“工完、料尽、场地清”，并办理竣工环保验收合格后方可交井。</w:t>
            </w:r>
          </w:p>
          <w:p w14:paraId="7A99C7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3、泥浆不落地措施</w:t>
            </w:r>
          </w:p>
          <w:p w14:paraId="2579ACC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泥浆处理过程中严格执行“泥浆不落地”措施，采用振动筛、除泥除沙器离心机、螺旋输送机、缓冲罐、泥浆循环罐等设备。钻井泥浆经岩屑收集罐装置，固液混合收集入罐，在罐内进行破胶脱稳后实现固液分类，分离后的固相经板框压滤机进一步脱水，上清液同洗井废水、压裂</w:t>
            </w:r>
            <w:r>
              <w:rPr>
                <w:rFonts w:hint="default" w:ascii="Times New Roman" w:hAnsi="Times New Roman" w:eastAsia="宋体" w:cs="Times New Roman"/>
                <w:b w:val="0"/>
                <w:bCs w:val="0"/>
                <w:color w:val="auto"/>
                <w:sz w:val="24"/>
                <w:szCs w:val="24"/>
                <w:highlight w:val="none"/>
                <w:vertAlign w:val="baseline"/>
                <w:lang w:val="en-US" w:eastAsia="zh-CN"/>
              </w:rPr>
              <w:t>反排液委托陕西榆佳环保科技有限公司外单位处置。</w:t>
            </w:r>
            <w:r>
              <w:rPr>
                <w:rFonts w:hint="default" w:ascii="Times New Roman" w:hAnsi="Times New Roman" w:eastAsia="宋体" w:cs="Times New Roman"/>
                <w:b w:val="0"/>
                <w:bCs w:val="0"/>
                <w:color w:val="auto"/>
                <w:sz w:val="24"/>
                <w:szCs w:val="24"/>
                <w:vertAlign w:val="baseline"/>
                <w:lang w:val="en-US" w:eastAsia="zh-CN"/>
              </w:rPr>
              <w:t>处理后的固相在施工结束后交有能力单位处置</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对于临时存放的固相，暂存时间不得超过1个月，应在施工结束后及时拉运；堆放点要采取“三防”措施，采用四周围堰和“下铺上盖”的防渗防尘技术要求。防渗满足一般防渗区要求。</w:t>
            </w:r>
          </w:p>
          <w:p w14:paraId="1405B684">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rPr>
            </w:pPr>
            <w:r>
              <w:rPr>
                <w:rFonts w:hint="eastAsia" w:ascii="Times New Roman" w:hAnsi="Times New Roman" w:eastAsia="宋体" w:cs="Times New Roman"/>
                <w:b/>
                <w:bCs/>
                <w:color w:val="auto"/>
                <w:highlight w:val="none"/>
                <w:lang w:val="en-US" w:eastAsia="zh-CN"/>
              </w:rPr>
              <w:t>4</w:t>
            </w:r>
            <w:r>
              <w:rPr>
                <w:rFonts w:hint="default" w:ascii="Times New Roman" w:hAnsi="Times New Roman" w:cs="Times New Roman"/>
                <w:b/>
                <w:bCs/>
                <w:color w:val="auto"/>
                <w:highlight w:val="none"/>
              </w:rPr>
              <w:t>、施工时序</w:t>
            </w:r>
          </w:p>
          <w:p w14:paraId="6EF652A9">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施工时尽可能保证施工连续、均衡和经济，对工程具有控制作用的项目节点作为重点，予以优先安排。施工时首先进行地面平整、井场设施安装，接着完成钻井和固井，钻井分为一开、二开，在每个工段先钻井再下管套然后固井，最后洗井，再根据勘探情况考虑封井或者弃井。</w:t>
            </w:r>
            <w:r>
              <w:rPr>
                <w:rFonts w:hint="default" w:ascii="Times New Roman" w:hAnsi="Times New Roman" w:cs="Times New Roman"/>
                <w:color w:val="auto"/>
                <w:highlight w:val="none"/>
              </w:rPr>
              <w:t>本项目施工时间为50d。</w:t>
            </w:r>
            <w:r>
              <w:rPr>
                <w:rFonts w:hint="default" w:ascii="Times New Roman" w:hAnsi="Times New Roman" w:cs="Times New Roman"/>
                <w:color w:val="auto"/>
              </w:rPr>
              <w:t>具体施工方式由建设单位统筹安排。</w:t>
            </w:r>
          </w:p>
          <w:p w14:paraId="6D4CC120">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highlight w:val="none"/>
              </w:rPr>
            </w:pPr>
            <w:r>
              <w:rPr>
                <w:rFonts w:hint="eastAsia"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rPr>
              <w:t>建设周期</w:t>
            </w:r>
          </w:p>
          <w:p w14:paraId="331963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eastAsiaTheme="minorHAnsi"/>
                <w:color w:val="auto"/>
                <w:kern w:val="0"/>
                <w:sz w:val="24"/>
                <w:szCs w:val="21"/>
                <w:lang w:val="en-US" w:eastAsia="en-US" w:bidi="ar-SA"/>
              </w:rPr>
              <w:t>本项目计划开工时间为202</w:t>
            </w:r>
            <w:r>
              <w:rPr>
                <w:rFonts w:hint="default" w:ascii="Times New Roman" w:hAnsi="Times New Roman" w:cs="Times New Roman" w:eastAsiaTheme="minorHAnsi"/>
                <w:color w:val="auto"/>
                <w:kern w:val="0"/>
                <w:sz w:val="24"/>
                <w:szCs w:val="21"/>
                <w:lang w:val="en-US" w:eastAsia="zh-CN" w:bidi="ar-SA"/>
              </w:rPr>
              <w:t>5</w:t>
            </w:r>
            <w:r>
              <w:rPr>
                <w:rFonts w:hint="default" w:ascii="Times New Roman" w:hAnsi="Times New Roman" w:cs="Times New Roman" w:eastAsiaTheme="minorHAnsi"/>
                <w:color w:val="auto"/>
                <w:kern w:val="0"/>
                <w:sz w:val="24"/>
                <w:szCs w:val="21"/>
                <w:lang w:val="en-US" w:eastAsia="en-US" w:bidi="ar-SA"/>
              </w:rPr>
              <w:t>年</w:t>
            </w:r>
            <w:r>
              <w:rPr>
                <w:rFonts w:hint="default" w:ascii="Times New Roman" w:hAnsi="Times New Roman" w:cs="Times New Roman"/>
                <w:color w:val="auto"/>
                <w:kern w:val="0"/>
                <w:sz w:val="24"/>
                <w:szCs w:val="21"/>
                <w:lang w:val="en-US" w:eastAsia="zh-CN" w:bidi="ar-SA"/>
              </w:rPr>
              <w:t>7</w:t>
            </w:r>
            <w:r>
              <w:rPr>
                <w:rFonts w:hint="default" w:ascii="Times New Roman" w:hAnsi="Times New Roman" w:cs="Times New Roman" w:eastAsiaTheme="minorHAnsi"/>
                <w:color w:val="auto"/>
                <w:kern w:val="0"/>
                <w:sz w:val="24"/>
                <w:szCs w:val="21"/>
                <w:lang w:val="en-US" w:eastAsia="en-US" w:bidi="ar-SA"/>
              </w:rPr>
              <w:t>月，施工期约</w:t>
            </w:r>
            <w:r>
              <w:rPr>
                <w:rFonts w:hint="default" w:ascii="Times New Roman" w:hAnsi="Times New Roman" w:eastAsia="宋体" w:cs="Times New Roman"/>
                <w:color w:val="auto"/>
                <w:kern w:val="0"/>
                <w:sz w:val="24"/>
                <w:szCs w:val="21"/>
                <w:lang w:val="en-US" w:eastAsia="zh-CN" w:bidi="ar-SA"/>
              </w:rPr>
              <w:t>为</w:t>
            </w:r>
            <w:r>
              <w:rPr>
                <w:rFonts w:hint="default" w:ascii="Times New Roman" w:hAnsi="Times New Roman" w:cs="Times New Roman"/>
                <w:color w:val="auto"/>
                <w:kern w:val="0"/>
                <w:sz w:val="24"/>
                <w:szCs w:val="21"/>
                <w:lang w:val="en-US" w:eastAsia="zh-CN" w:bidi="ar-SA"/>
              </w:rPr>
              <w:t>50</w:t>
            </w:r>
            <w:r>
              <w:rPr>
                <w:rFonts w:hint="default" w:ascii="Times New Roman" w:hAnsi="Times New Roman" w:cs="Times New Roman" w:eastAsiaTheme="minorHAnsi"/>
                <w:color w:val="auto"/>
                <w:kern w:val="0"/>
                <w:sz w:val="24"/>
                <w:szCs w:val="21"/>
                <w:lang w:val="en-US" w:eastAsia="en-US" w:bidi="ar-SA"/>
              </w:rPr>
              <w:t>d。</w:t>
            </w:r>
          </w:p>
        </w:tc>
      </w:tr>
      <w:tr w14:paraId="7FCC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6E96B3DA">
            <w:pPr>
              <w:numPr>
                <w:ilvl w:val="0"/>
                <w:numId w:val="0"/>
              </w:numPr>
              <w:jc w:val="center"/>
              <w:rPr>
                <w:rFonts w:hint="default" w:ascii="Times New Roman" w:hAnsi="Times New Roman" w:cs="Times New Roman" w:eastAsiaTheme="minorHAnsi"/>
                <w:color w:val="auto"/>
                <w:kern w:val="0"/>
                <w:sz w:val="24"/>
                <w:szCs w:val="21"/>
                <w:lang w:val="en-US" w:eastAsia="zh-CN" w:bidi="ar-SA"/>
              </w:rPr>
            </w:pPr>
            <w:r>
              <w:rPr>
                <w:rFonts w:hint="default" w:ascii="Times New Roman" w:hAnsi="Times New Roman" w:cs="Times New Roman" w:eastAsiaTheme="minorHAnsi"/>
                <w:color w:val="auto"/>
                <w:kern w:val="0"/>
                <w:sz w:val="24"/>
                <w:szCs w:val="21"/>
                <w:lang w:val="en-US" w:eastAsia="zh-CN" w:bidi="ar-SA"/>
              </w:rPr>
              <w:t>其他</w:t>
            </w:r>
          </w:p>
        </w:tc>
        <w:tc>
          <w:tcPr>
            <w:tcW w:w="8597" w:type="dxa"/>
            <w:vAlign w:val="center"/>
          </w:tcPr>
          <w:p w14:paraId="6B4F0C56">
            <w:pPr>
              <w:numPr>
                <w:ilvl w:val="0"/>
                <w:numId w:val="0"/>
              </w:numPr>
              <w:jc w:val="both"/>
              <w:rPr>
                <w:rFonts w:hint="default" w:ascii="Times New Roman" w:hAnsi="Times New Roman" w:cs="Times New Roman" w:eastAsiaTheme="minorHAnsi"/>
                <w:color w:val="auto"/>
                <w:kern w:val="0"/>
                <w:sz w:val="24"/>
                <w:szCs w:val="21"/>
                <w:lang w:val="en-US" w:eastAsia="zh-CN" w:bidi="ar-SA"/>
              </w:rPr>
            </w:pPr>
          </w:p>
          <w:p w14:paraId="53F838B5">
            <w:pPr>
              <w:numPr>
                <w:ilvl w:val="0"/>
                <w:numId w:val="0"/>
              </w:numPr>
              <w:jc w:val="both"/>
              <w:rPr>
                <w:rFonts w:hint="default" w:ascii="Times New Roman" w:hAnsi="Times New Roman" w:cs="Times New Roman" w:eastAsiaTheme="minorHAnsi"/>
                <w:color w:val="auto"/>
                <w:kern w:val="0"/>
                <w:sz w:val="24"/>
                <w:szCs w:val="21"/>
                <w:lang w:val="en-US" w:eastAsia="zh-CN" w:bidi="ar-SA"/>
              </w:rPr>
            </w:pPr>
          </w:p>
          <w:p w14:paraId="13ACF233">
            <w:pPr>
              <w:numPr>
                <w:ilvl w:val="0"/>
                <w:numId w:val="0"/>
              </w:numPr>
              <w:jc w:val="both"/>
              <w:rPr>
                <w:rFonts w:hint="default" w:ascii="Times New Roman" w:hAnsi="Times New Roman" w:cs="Times New Roman" w:eastAsiaTheme="minorHAnsi"/>
                <w:color w:val="auto"/>
                <w:kern w:val="0"/>
                <w:sz w:val="24"/>
                <w:szCs w:val="21"/>
                <w:lang w:val="en-US" w:eastAsia="zh-CN" w:bidi="ar-SA"/>
              </w:rPr>
            </w:pPr>
          </w:p>
          <w:p w14:paraId="06DE8965">
            <w:pPr>
              <w:numPr>
                <w:ilvl w:val="0"/>
                <w:numId w:val="0"/>
              </w:numPr>
              <w:ind w:firstLine="480" w:firstLineChars="200"/>
              <w:jc w:val="center"/>
              <w:rPr>
                <w:rFonts w:hint="default" w:ascii="Times New Roman" w:hAnsi="Times New Roman" w:cs="Times New Roman" w:eastAsiaTheme="minorHAnsi"/>
                <w:color w:val="auto"/>
                <w:kern w:val="0"/>
                <w:sz w:val="24"/>
                <w:szCs w:val="21"/>
                <w:lang w:val="en-US" w:eastAsia="zh-CN" w:bidi="ar-SA"/>
              </w:rPr>
            </w:pPr>
            <w:r>
              <w:rPr>
                <w:rFonts w:hint="default" w:ascii="Times New Roman" w:hAnsi="Times New Roman" w:cs="Times New Roman" w:eastAsiaTheme="minorHAnsi"/>
                <w:color w:val="auto"/>
                <w:kern w:val="0"/>
                <w:sz w:val="24"/>
                <w:szCs w:val="21"/>
                <w:lang w:val="en-US" w:eastAsia="zh-CN" w:bidi="ar-SA"/>
              </w:rPr>
              <w:t>本项目无其他比选方案。</w:t>
            </w:r>
          </w:p>
          <w:p w14:paraId="06528473">
            <w:pPr>
              <w:pStyle w:val="7"/>
              <w:ind w:left="0" w:leftChars="0" w:firstLine="0" w:firstLineChars="0"/>
              <w:jc w:val="both"/>
              <w:rPr>
                <w:rFonts w:hint="default" w:ascii="Times New Roman" w:hAnsi="Times New Roman" w:cs="Times New Roman" w:eastAsiaTheme="minorHAnsi"/>
                <w:color w:val="auto"/>
                <w:kern w:val="0"/>
                <w:sz w:val="24"/>
                <w:szCs w:val="21"/>
                <w:lang w:val="en-US" w:eastAsia="zh-CN" w:bidi="ar-SA"/>
              </w:rPr>
            </w:pPr>
          </w:p>
          <w:p w14:paraId="25FBBF77">
            <w:pPr>
              <w:pStyle w:val="9"/>
              <w:jc w:val="both"/>
              <w:rPr>
                <w:rFonts w:hint="default" w:ascii="Times New Roman" w:hAnsi="Times New Roman" w:cs="Times New Roman"/>
                <w:color w:val="auto"/>
                <w:lang w:val="en-US" w:eastAsia="zh-CN"/>
              </w:rPr>
            </w:pPr>
          </w:p>
          <w:p w14:paraId="7ECBB656">
            <w:pPr>
              <w:numPr>
                <w:ilvl w:val="0"/>
                <w:numId w:val="0"/>
              </w:numPr>
              <w:jc w:val="both"/>
              <w:rPr>
                <w:rFonts w:hint="default" w:ascii="Times New Roman" w:hAnsi="Times New Roman" w:cs="Times New Roman" w:eastAsiaTheme="minorHAnsi"/>
                <w:color w:val="auto"/>
                <w:kern w:val="0"/>
                <w:sz w:val="24"/>
                <w:szCs w:val="21"/>
                <w:lang w:val="en-US" w:eastAsia="zh-CN" w:bidi="ar-SA"/>
              </w:rPr>
            </w:pPr>
          </w:p>
        </w:tc>
      </w:tr>
    </w:tbl>
    <w:p w14:paraId="1E386D0F">
      <w:pPr>
        <w:numPr>
          <w:ilvl w:val="0"/>
          <w:numId w:val="0"/>
        </w:numPr>
        <w:jc w:val="both"/>
        <w:rPr>
          <w:rFonts w:hint="default" w:ascii="Times New Roman" w:hAnsi="Times New Roman" w:eastAsia="黑体" w:cs="Times New Roman"/>
          <w:b w:val="0"/>
          <w:bCs w:val="0"/>
          <w:color w:val="auto"/>
          <w:sz w:val="28"/>
          <w:szCs w:val="28"/>
          <w:lang w:val="en-US" w:eastAsia="zh-CN"/>
        </w:rPr>
        <w:sectPr>
          <w:footerReference r:id="rId5" w:type="default"/>
          <w:pgSz w:w="11906" w:h="16838"/>
          <w:pgMar w:top="1417" w:right="1417" w:bottom="1417" w:left="1417" w:header="992" w:footer="896"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14:paraId="34D5B5EA">
      <w:pPr>
        <w:numPr>
          <w:ilvl w:val="0"/>
          <w:numId w:val="5"/>
        </w:numPr>
        <w:ind w:left="0" w:leftChars="0" w:firstLine="0" w:firstLineChars="0"/>
        <w:jc w:val="center"/>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生态环境现状、保护目标及评价标准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8706"/>
      </w:tblGrid>
      <w:tr w14:paraId="198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6D01383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生态环境现状</w:t>
            </w:r>
          </w:p>
        </w:tc>
        <w:tc>
          <w:tcPr>
            <w:tcW w:w="8521" w:type="dxa"/>
            <w:vAlign w:val="center"/>
          </w:tcPr>
          <w:p w14:paraId="5EA676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一、生态环境现状</w:t>
            </w:r>
          </w:p>
          <w:p w14:paraId="48F729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1、主体功能区划和生态功能区划</w:t>
            </w:r>
          </w:p>
          <w:p w14:paraId="407A2F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根据《陕西省主体功能区划》中陕西省重点开发区域分布图，项目位于国家层面限制开发区域（重点生态功能区）。具体见图3-1。</w:t>
            </w:r>
          </w:p>
          <w:p w14:paraId="4D8614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生态功能区划》，本项目位于陕西省生态功能区中黄土高原农牧生态区（一级区）、黄土丘陵沟壑水土流失控制生态功能区（二级区）、黄土峁状丘陵沟壑水土流失控制区（三级区）。该区生态敏感性特征为：沟壑纵横，土壤侵蚀极敏感-高度敏感，土壤保持功能极重要。建立基本农田，坡地退耕还林还草，开展流域综合治理，控制水土流失。本项目为陆地矿产资源地质勘察类项目，运行期产生的主要污染物为员工生活污水及生活垃圾，均不外排，不会对当地土壤造成影响，且项目会采取设置排水沟、集水池、临时占用的草地会在施工结束后及时恢复等水土保持措施，因此对当地的水土流失影响较小，因此与《陕西省生态功能区划》相符。</w:t>
            </w:r>
          </w:p>
          <w:p w14:paraId="6BAD90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21285E2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color w:val="auto"/>
                <w:sz w:val="22"/>
              </w:rPr>
              <mc:AlternateContent>
                <mc:Choice Requires="wps">
                  <w:drawing>
                    <wp:anchor distT="0" distB="0" distL="114300" distR="114300" simplePos="0" relativeHeight="251663360" behindDoc="0" locked="0" layoutInCell="1" allowOverlap="1">
                      <wp:simplePos x="0" y="0"/>
                      <wp:positionH relativeFrom="column">
                        <wp:posOffset>3834130</wp:posOffset>
                      </wp:positionH>
                      <wp:positionV relativeFrom="paragraph">
                        <wp:posOffset>1440815</wp:posOffset>
                      </wp:positionV>
                      <wp:extent cx="234315" cy="205105"/>
                      <wp:effectExtent l="20955" t="19050" r="30480" b="23495"/>
                      <wp:wrapNone/>
                      <wp:docPr id="9" name="五角星 9"/>
                      <wp:cNvGraphicFramePr/>
                      <a:graphic xmlns:a="http://schemas.openxmlformats.org/drawingml/2006/main">
                        <a:graphicData uri="http://schemas.microsoft.com/office/word/2010/wordprocessingShape">
                          <wps:wsp>
                            <wps:cNvSpPr/>
                            <wps:spPr>
                              <a:xfrm>
                                <a:off x="3212465" y="3749675"/>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1.9pt;margin-top:113.45pt;height:16.15pt;width:18.45pt;z-index:251663360;v-text-anchor:middle;mso-width-relative:page;mso-height-relative:page;" fillcolor="#FF0000" filled="t" stroked="t" coordsize="234315,205105" o:gfxdata="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Btnm3ZAAAACwEAAA8AAAAAAAAAAQAgAAAAIgAAAGRycy9kb3ducmV2LnhtbFBL&#10;AQIUABQAAAAIAIdO4kAJZ1YIoAIAADsFAAAOAAAAAAAAAAEAIAAAACgBAABkcnMvZTJvRG9jLnht&#10;bFBLBQYAAAAABgAGAFkBAAA6BgAAAAA=&#10;" path="m0,78342l89500,78343,117157,0,144814,78343,234314,78342,161906,126761,189564,205104,117157,156685,44750,205104,72408,126761xe">
                      <v:path o:connectlocs="117157,0;0,78342;44750,205104;189564,205104;234314,78342" o:connectangles="247,164,82,82,0"/>
                      <v:fill on="t" focussize="0,0"/>
                      <v:stroke weight="1pt" color="#0D0D0D [3069]" miterlimit="8" joinstyle="miter"/>
                      <v:imagedata o:title=""/>
                      <o:lock v:ext="edit" aspectratio="f"/>
                    </v:shape>
                  </w:pict>
                </mc:Fallback>
              </mc:AlternateContent>
            </w:r>
            <w:r>
              <w:rPr>
                <w:color w:val="auto"/>
                <w:sz w:val="22"/>
              </w:rPr>
              <mc:AlternateContent>
                <mc:Choice Requires="wps">
                  <w:drawing>
                    <wp:anchor distT="0" distB="0" distL="114300" distR="114300" simplePos="0" relativeHeight="251664384" behindDoc="0" locked="0" layoutInCell="1" allowOverlap="1">
                      <wp:simplePos x="0" y="0"/>
                      <wp:positionH relativeFrom="column">
                        <wp:posOffset>2942590</wp:posOffset>
                      </wp:positionH>
                      <wp:positionV relativeFrom="paragraph">
                        <wp:posOffset>526415</wp:posOffset>
                      </wp:positionV>
                      <wp:extent cx="930910" cy="358140"/>
                      <wp:effectExtent l="6350" t="6350" r="53340" b="683260"/>
                      <wp:wrapNone/>
                      <wp:docPr id="21" name="圆角矩形标注 21"/>
                      <wp:cNvGraphicFramePr/>
                      <a:graphic xmlns:a="http://schemas.openxmlformats.org/drawingml/2006/main">
                        <a:graphicData uri="http://schemas.microsoft.com/office/word/2010/wordprocessingShape">
                          <wps:wsp>
                            <wps:cNvSpPr/>
                            <wps:spPr>
                              <a:xfrm>
                                <a:off x="2633345" y="338582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711612">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1.7pt;margin-top:41.45pt;height:28.2pt;width:73.3pt;z-index:251664384;v-text-anchor:middle;mso-width-relative:page;mso-height-relative:page;" filled="f" stroked="t" coordsize="21600,21600" o:gfxdata="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82z&#10;4NgAAAAKAQAADwAAAAAAAAABACAAAAAiAAAAZHJzL2Rvd25yZXYueG1sUEsBAhQAFAAAAAgAh07i&#10;QIgSXsnNAgAAdgUAAA4AAAAAAAAAAQAgAAAAJwEAAGRycy9lMm9Eb2MueG1sUEsFBgAAAAAGAAYA&#10;WQEAAGYGAAAAAA==&#10;" adj="22164,59896,14400">
                      <v:fill on="f" focussize="0,0"/>
                      <v:stroke weight="1pt" color="#FF0000 [2404]" miterlimit="8" joinstyle="miter"/>
                      <v:imagedata o:title=""/>
                      <o:lock v:ext="edit" aspectratio="f"/>
                      <v:textbox>
                        <w:txbxContent>
                          <w:p w14:paraId="29711612">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rFonts w:hint="default" w:ascii="Times New Roman" w:hAnsi="Times New Roman" w:cs="Times New Roman"/>
                <w:color w:val="auto"/>
              </w:rPr>
              <w:drawing>
                <wp:inline distT="0" distB="0" distL="114300" distR="114300">
                  <wp:extent cx="4754880" cy="6735445"/>
                  <wp:effectExtent l="9525" t="9525" r="17145" b="1778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15"/>
                          <a:srcRect b="-408"/>
                          <a:stretch>
                            <a:fillRect/>
                          </a:stretch>
                        </pic:blipFill>
                        <pic:spPr>
                          <a:xfrm>
                            <a:off x="0" y="0"/>
                            <a:ext cx="4754880" cy="6735445"/>
                          </a:xfrm>
                          <a:prstGeom prst="rect">
                            <a:avLst/>
                          </a:prstGeom>
                          <a:noFill/>
                          <a:ln>
                            <a:solidFill>
                              <a:schemeClr val="tx1"/>
                            </a:solidFill>
                          </a:ln>
                        </pic:spPr>
                      </pic:pic>
                    </a:graphicData>
                  </a:graphic>
                </wp:inline>
              </w:drawing>
            </w:r>
          </w:p>
          <w:p w14:paraId="44E7F94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图3-1 </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陕西省主体功能区划图</w:t>
            </w:r>
          </w:p>
          <w:p w14:paraId="7EDAFB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陕西省</w:t>
            </w: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49D90D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797560</wp:posOffset>
                      </wp:positionV>
                      <wp:extent cx="948690" cy="403860"/>
                      <wp:effectExtent l="6350" t="6350" r="16510" b="5994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8F0E0A">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6.5pt;margin-top:62.8pt;height:31.8pt;width:74.7pt;z-index:251662336;v-text-anchor:middle;mso-width-relative:page;mso-height-relative:page;" filled="f" stroked="t" coordsize="21600,21600" o:gfxdata="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7LY+3aAAAACwEAAA8A&#10;AAAAAAAAAQAgAAAAIgAAAGRycy9kb3ducmV2LnhtbFBLAQIUABQAAAAIAIdO4kAGOdGJwAIAAGoF&#10;AAAOAAAAAAAAAAEAIAAAACkBAABkcnMvZTJvRG9jLnhtbFBLBQYAAAAABgAGAFkBAABbBgAAAAA=&#10;" adj="18535,51181,14400">
                      <v:fill on="f" focussize="0,0"/>
                      <v:stroke weight="1pt" color="#FF0000 [2404]" miterlimit="8" joinstyle="miter"/>
                      <v:imagedata o:title=""/>
                      <o:lock v:ext="edit" aspectratio="f"/>
                      <v:textbox>
                        <w:txbxContent>
                          <w:p w14:paraId="2B8F0E0A">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v:textbox>
                    </v:shape>
                  </w:pict>
                </mc:Fallback>
              </mc:AlternateContent>
            </w:r>
            <w:r>
              <w:rPr>
                <w:rFonts w:hint="default" w:ascii="Times New Roman" w:hAnsi="Times New Roman" w:cs="Times New Roman"/>
                <w:color w:val="auto"/>
                <w:sz w:val="22"/>
              </w:rPr>
              <mc:AlternateContent>
                <mc:Choice Requires="wps">
                  <w:drawing>
                    <wp:anchor distT="0" distB="0" distL="114300" distR="114300" simplePos="0" relativeHeight="251661312" behindDoc="0" locked="0" layoutInCell="1" allowOverlap="1">
                      <wp:simplePos x="0" y="0"/>
                      <wp:positionH relativeFrom="column">
                        <wp:posOffset>4382770</wp:posOffset>
                      </wp:positionH>
                      <wp:positionV relativeFrom="paragraph">
                        <wp:posOffset>1670050</wp:posOffset>
                      </wp:positionV>
                      <wp:extent cx="263525" cy="248920"/>
                      <wp:effectExtent l="19685" t="20320" r="21590" b="16510"/>
                      <wp:wrapNone/>
                      <wp:docPr id="19" name="五角星 19"/>
                      <wp:cNvGraphicFramePr/>
                      <a:graphic xmlns:a="http://schemas.openxmlformats.org/drawingml/2006/main">
                        <a:graphicData uri="http://schemas.microsoft.com/office/word/2010/wordprocessingShape">
                          <wps:wsp>
                            <wps:cNvSpPr/>
                            <wps:spPr>
                              <a:xfrm>
                                <a:off x="5631180" y="274320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1pt;margin-top:131.5pt;height:19.6pt;width:20.75pt;z-index:251661312;v-text-anchor:middle;mso-width-relative:page;mso-height-relative:page;" fillcolor="#FF0000" filled="t" stroked="t" coordsize="263525,248920" o:gfxdata="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i0eC2AAAAAsBAAAPAAAAAAAA&#10;AAEAIAAAACIAAABkcnMvZG93bnJldi54bWxQSwECFAAUAAAACACHTuJA6bA4VIQCAAAFBQAADgAA&#10;AAAAAAABACAAAAAnAQAAZHJzL2Uyb0RvYy54bWxQSwUGAAAAAAYABgBZAQAAHQYAAAAA&#10;" path="m0,95078l100658,95079,131762,0,162866,95079,263524,95078,182090,153840,213196,248919,131762,190156,50328,248919,81434,153840xe">
                      <v:path o:connectlocs="131762,0;0,95078;50328,248919;213196,248919;263524,95078" o:connectangles="247,164,82,82,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5372100" cy="6767830"/>
                  <wp:effectExtent l="9525" t="9525" r="9525" b="23495"/>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16"/>
                          <a:stretch>
                            <a:fillRect/>
                          </a:stretch>
                        </pic:blipFill>
                        <pic:spPr>
                          <a:xfrm>
                            <a:off x="0" y="0"/>
                            <a:ext cx="5372100" cy="6767830"/>
                          </a:xfrm>
                          <a:prstGeom prst="rect">
                            <a:avLst/>
                          </a:prstGeom>
                          <a:noFill/>
                          <a:ln>
                            <a:solidFill>
                              <a:schemeClr val="tx1"/>
                            </a:solidFill>
                          </a:ln>
                        </pic:spPr>
                      </pic:pic>
                    </a:graphicData>
                  </a:graphic>
                </wp:inline>
              </w:drawing>
            </w:r>
          </w:p>
          <w:p w14:paraId="0425E87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图3-2</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 xml:space="preserve"> 陕西省生态功能区划图</w:t>
            </w:r>
          </w:p>
          <w:p w14:paraId="10CDDF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2、土地利用现状</w:t>
            </w:r>
          </w:p>
          <w:p w14:paraId="2416AD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根据《榆林市投资项目选址“一张图”控制线检测报告》202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2297</w:t>
            </w:r>
            <w:r>
              <w:rPr>
                <w:rFonts w:hint="default" w:ascii="Times New Roman" w:hAnsi="Times New Roman" w:eastAsia="宋体" w:cs="Times New Roman"/>
                <w:b w:val="0"/>
                <w:bCs w:val="0"/>
                <w:color w:val="auto"/>
                <w:sz w:val="24"/>
                <w:szCs w:val="24"/>
                <w:vertAlign w:val="baseline"/>
                <w:lang w:val="en-US" w:eastAsia="zh-CN"/>
              </w:rPr>
              <w:t>）号，本项目土地利用类型为耕地、种植园用地、林地、草地。</w:t>
            </w:r>
          </w:p>
          <w:p w14:paraId="1EADC3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项目土地利用现状图如下：</w:t>
            </w:r>
          </w:p>
          <w:p w14:paraId="755C01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color w:val="auto"/>
              </w:rPr>
              <w:drawing>
                <wp:inline distT="0" distB="0" distL="114300" distR="114300">
                  <wp:extent cx="5267325" cy="6504940"/>
                  <wp:effectExtent l="0" t="0" r="9525" b="10160"/>
                  <wp:docPr id="13" name="图片 7"/>
                  <wp:cNvGraphicFramePr/>
                  <a:graphic xmlns:a="http://schemas.openxmlformats.org/drawingml/2006/main">
                    <a:graphicData uri="http://schemas.openxmlformats.org/drawingml/2006/picture">
                      <pic:pic xmlns:pic="http://schemas.openxmlformats.org/drawingml/2006/picture">
                        <pic:nvPicPr>
                          <pic:cNvPr id="13" name="图片 7"/>
                          <pic:cNvPicPr/>
                        </pic:nvPicPr>
                        <pic:blipFill>
                          <a:blip r:embed="rId17"/>
                          <a:stretch>
                            <a:fillRect/>
                          </a:stretch>
                        </pic:blipFill>
                        <pic:spPr>
                          <a:xfrm>
                            <a:off x="0" y="0"/>
                            <a:ext cx="5267325" cy="6504940"/>
                          </a:xfrm>
                          <a:prstGeom prst="rect">
                            <a:avLst/>
                          </a:prstGeom>
                          <a:noFill/>
                          <a:ln>
                            <a:noFill/>
                          </a:ln>
                        </pic:spPr>
                      </pic:pic>
                    </a:graphicData>
                  </a:graphic>
                </wp:inline>
              </w:drawing>
            </w:r>
          </w:p>
          <w:p w14:paraId="7AFA1CE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图3-3  </w:t>
            </w:r>
            <w:r>
              <w:rPr>
                <w:rFonts w:hint="eastAsia" w:ascii="Times New Roman" w:hAnsi="Times New Roman" w:eastAsia="宋体" w:cs="Times New Roman"/>
                <w:b/>
                <w:bCs/>
                <w:color w:val="auto"/>
                <w:sz w:val="21"/>
                <w:szCs w:val="21"/>
                <w:vertAlign w:val="baseline"/>
                <w:lang w:val="en-US" w:eastAsia="zh-CN"/>
              </w:rPr>
              <w:t>米107-2M</w:t>
            </w:r>
            <w:r>
              <w:rPr>
                <w:rFonts w:hint="default" w:ascii="Times New Roman" w:hAnsi="Times New Roman" w:eastAsia="宋体" w:cs="Times New Roman"/>
                <w:b/>
                <w:bCs/>
                <w:color w:val="auto"/>
                <w:sz w:val="21"/>
                <w:szCs w:val="21"/>
                <w:vertAlign w:val="baseline"/>
                <w:lang w:val="en-US" w:eastAsia="zh-CN"/>
              </w:rPr>
              <w:t>井场土地利用现状图</w:t>
            </w:r>
          </w:p>
          <w:p w14:paraId="35D98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3、植被环境现状</w:t>
            </w:r>
          </w:p>
          <w:p w14:paraId="215A76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植被类型及地理分布特征，佳县植被可分为三个区，即北部防风固沙林带区，西南丘陵沟壑农作物种植区，东南黄河沿岸土石天然草地和枣林区。项目所在地属北部防风固沙林带区，主要由乔木林地、灌木林地组成。</w:t>
            </w:r>
          </w:p>
          <w:p w14:paraId="58E15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4、动物资源现状</w:t>
            </w:r>
          </w:p>
          <w:p w14:paraId="709C3B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根据野外调查资料及现场调查，调查评价区未见珍稀、濒危野生动物和保护物种，小型野生动物较多，主要是松鼠、田鼠、草兔、蛇等。</w:t>
            </w:r>
          </w:p>
          <w:p w14:paraId="4764FE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二、环境空气现状</w:t>
            </w:r>
          </w:p>
          <w:p w14:paraId="6B849F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1、大气环境</w:t>
            </w:r>
          </w:p>
          <w:p w14:paraId="6773A0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（1）区域现状评价</w:t>
            </w:r>
          </w:p>
          <w:p w14:paraId="3387F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本项目位于榆林市佳县，本次优先采用国家或地方生态环境主管部门公开发布的评价基准年环境质量公告或环境质量报告中的数据或结论。本次评价环境空气质量现状数据陕西省生态环境厅办公室202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年1月</w:t>
            </w:r>
            <w:r>
              <w:rPr>
                <w:rFonts w:hint="eastAsia" w:ascii="Times New Roman" w:hAnsi="Times New Roman" w:eastAsia="宋体" w:cs="Times New Roman"/>
                <w:b w:val="0"/>
                <w:bCs w:val="0"/>
                <w:color w:val="auto"/>
                <w:sz w:val="24"/>
                <w:szCs w:val="24"/>
                <w:vertAlign w:val="baseline"/>
                <w:lang w:val="en-US" w:eastAsia="zh-CN"/>
              </w:rPr>
              <w:t>21</w:t>
            </w:r>
            <w:r>
              <w:rPr>
                <w:rFonts w:hint="default" w:ascii="Times New Roman" w:hAnsi="Times New Roman" w:eastAsia="宋体" w:cs="Times New Roman"/>
                <w:b w:val="0"/>
                <w:bCs w:val="0"/>
                <w:color w:val="auto"/>
                <w:sz w:val="24"/>
                <w:szCs w:val="24"/>
                <w:vertAlign w:val="baseline"/>
                <w:lang w:val="en-US" w:eastAsia="zh-CN"/>
              </w:rPr>
              <w:t>日发布的环保快报《202</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年1～12月全省环境空气质量状况》中佳县环境空气质量监测数据对该项目空气质量进行评价，具体统计数据见表3-1。</w:t>
            </w:r>
          </w:p>
          <w:p w14:paraId="411243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表3-1  202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年佳县环境空气质量状况统计表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070"/>
              <w:gridCol w:w="1530"/>
              <w:gridCol w:w="1130"/>
              <w:gridCol w:w="1500"/>
              <w:gridCol w:w="1165"/>
            </w:tblGrid>
            <w:tr w14:paraId="0232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84336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2070" w:type="dxa"/>
                  <w:vAlign w:val="center"/>
                </w:tcPr>
                <w:p w14:paraId="74E22A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年评价指标</w:t>
                  </w:r>
                </w:p>
              </w:tc>
              <w:tc>
                <w:tcPr>
                  <w:tcW w:w="1530" w:type="dxa"/>
                  <w:vAlign w:val="center"/>
                </w:tcPr>
                <w:p w14:paraId="677145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现状浓度</w:t>
                  </w:r>
                </w:p>
              </w:tc>
              <w:tc>
                <w:tcPr>
                  <w:tcW w:w="1130" w:type="dxa"/>
                  <w:vAlign w:val="center"/>
                </w:tcPr>
                <w:p w14:paraId="5AD772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标准值</w:t>
                  </w:r>
                </w:p>
              </w:tc>
              <w:tc>
                <w:tcPr>
                  <w:tcW w:w="1500" w:type="dxa"/>
                  <w:vAlign w:val="center"/>
                </w:tcPr>
                <w:p w14:paraId="257201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占标率</w:t>
                  </w:r>
                </w:p>
              </w:tc>
              <w:tc>
                <w:tcPr>
                  <w:tcW w:w="1165" w:type="dxa"/>
                  <w:vAlign w:val="center"/>
                </w:tcPr>
                <w:p w14:paraId="147D15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14:paraId="102D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54547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1B2743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13FE06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7A2FBD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303D69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13.33%</w:t>
                  </w:r>
                </w:p>
              </w:tc>
              <w:tc>
                <w:tcPr>
                  <w:tcW w:w="1165" w:type="dxa"/>
                  <w:vAlign w:val="center"/>
                </w:tcPr>
                <w:p w14:paraId="21155F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0759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E8C4D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7C8957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4CD84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0</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31DA9F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6EFC87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38C510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7B3D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41BF94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10</w:t>
                  </w:r>
                </w:p>
              </w:tc>
              <w:tc>
                <w:tcPr>
                  <w:tcW w:w="2070" w:type="dxa"/>
                  <w:vAlign w:val="center"/>
                </w:tcPr>
                <w:p w14:paraId="1D4D00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55E76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2FD205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581222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57.14</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7BDF65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1F55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31D9F7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2.5</w:t>
                  </w:r>
                </w:p>
              </w:tc>
              <w:tc>
                <w:tcPr>
                  <w:tcW w:w="2070" w:type="dxa"/>
                  <w:vAlign w:val="center"/>
                </w:tcPr>
                <w:p w14:paraId="5A3988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754000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6D0409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45AA5B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71.43</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1081A8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443D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1F020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w:t>
                  </w:r>
                </w:p>
              </w:tc>
              <w:tc>
                <w:tcPr>
                  <w:tcW w:w="2070" w:type="dxa"/>
                  <w:vAlign w:val="center"/>
                </w:tcPr>
                <w:p w14:paraId="4573B9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第95百分位日平均质量浓度</w:t>
                  </w:r>
                </w:p>
              </w:tc>
              <w:tc>
                <w:tcPr>
                  <w:tcW w:w="1530" w:type="dxa"/>
                  <w:vAlign w:val="center"/>
                </w:tcPr>
                <w:p w14:paraId="4423E4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56A063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4mg/m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716A63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4AB8C8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26B0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72680D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O</w:t>
                  </w:r>
                  <w:r>
                    <w:rPr>
                      <w:rFonts w:hint="default" w:ascii="Times New Roman" w:hAnsi="Times New Roman" w:eastAsia="宋体" w:cs="Times New Roman"/>
                      <w:b w:val="0"/>
                      <w:bCs w:val="0"/>
                      <w:color w:val="auto"/>
                      <w:sz w:val="21"/>
                      <w:szCs w:val="21"/>
                      <w:vertAlign w:val="subscript"/>
                      <w:lang w:val="en-US" w:eastAsia="zh-CN"/>
                    </w:rPr>
                    <w:t>3</w:t>
                  </w:r>
                </w:p>
              </w:tc>
              <w:tc>
                <w:tcPr>
                  <w:tcW w:w="2070" w:type="dxa"/>
                  <w:vAlign w:val="center"/>
                </w:tcPr>
                <w:p w14:paraId="1A7E8E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第90百分位8h平均质量浓度</w:t>
                  </w:r>
                </w:p>
              </w:tc>
              <w:tc>
                <w:tcPr>
                  <w:tcW w:w="1530" w:type="dxa"/>
                  <w:vAlign w:val="center"/>
                </w:tcPr>
                <w:p w14:paraId="62EC42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64</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3B95BF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23595E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102.5</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298E72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w:t>
                  </w:r>
                  <w:r>
                    <w:rPr>
                      <w:rFonts w:hint="default" w:ascii="Times New Roman" w:hAnsi="Times New Roman" w:eastAsia="宋体" w:cs="Times New Roman"/>
                      <w:b w:val="0"/>
                      <w:bCs w:val="0"/>
                      <w:color w:val="auto"/>
                      <w:sz w:val="21"/>
                      <w:szCs w:val="21"/>
                      <w:vertAlign w:val="baseline"/>
                      <w:lang w:val="en-US" w:eastAsia="zh-CN"/>
                    </w:rPr>
                    <w:t>达标</w:t>
                  </w:r>
                </w:p>
              </w:tc>
            </w:tr>
          </w:tbl>
          <w:p w14:paraId="33421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由表3-1可知，项目所在区域PM</w:t>
            </w:r>
            <w:r>
              <w:rPr>
                <w:rFonts w:hint="default" w:ascii="Times New Roman" w:hAnsi="Times New Roman" w:eastAsia="宋体" w:cs="Times New Roman"/>
                <w:b w:val="0"/>
                <w:bCs w:val="0"/>
                <w:color w:val="auto"/>
                <w:sz w:val="24"/>
                <w:szCs w:val="24"/>
                <w:vertAlign w:val="subscript"/>
                <w:lang w:val="en-US" w:eastAsia="zh-CN"/>
              </w:rPr>
              <w:t>10</w:t>
            </w:r>
            <w:r>
              <w:rPr>
                <w:rFonts w:hint="default" w:ascii="Times New Roman" w:hAnsi="Times New Roman" w:eastAsia="宋体" w:cs="Times New Roman"/>
                <w:b w:val="0"/>
                <w:bCs w:val="0"/>
                <w:color w:val="auto"/>
                <w:sz w:val="24"/>
                <w:szCs w:val="24"/>
                <w:vertAlign w:val="baseline"/>
                <w:lang w:val="en-US" w:eastAsia="zh-CN"/>
              </w:rPr>
              <w:t>年平均质量浓度、SO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的年平均质量浓度、NO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的年平均质量浓度、CO第95百分位浓度、PM</w:t>
            </w:r>
            <w:r>
              <w:rPr>
                <w:rFonts w:hint="default" w:ascii="Times New Roman" w:hAnsi="Times New Roman" w:eastAsia="宋体" w:cs="Times New Roman"/>
                <w:b w:val="0"/>
                <w:bCs w:val="0"/>
                <w:color w:val="auto"/>
                <w:sz w:val="24"/>
                <w:szCs w:val="24"/>
                <w:vertAlign w:val="subscript"/>
                <w:lang w:val="en-US" w:eastAsia="zh-CN"/>
              </w:rPr>
              <w:t>2.5</w:t>
            </w:r>
            <w:r>
              <w:rPr>
                <w:rFonts w:hint="default" w:ascii="Times New Roman" w:hAnsi="Times New Roman" w:eastAsia="宋体" w:cs="Times New Roman"/>
                <w:b w:val="0"/>
                <w:bCs w:val="0"/>
                <w:color w:val="auto"/>
                <w:sz w:val="24"/>
                <w:szCs w:val="24"/>
                <w:vertAlign w:val="baseline"/>
                <w:lang w:val="en-US" w:eastAsia="zh-CN"/>
              </w:rPr>
              <w:t>的年平均质量浓度符合《环境空气质量标准》（GB3095-2012）二级标准要求，O</w:t>
            </w:r>
            <w:r>
              <w:rPr>
                <w:rFonts w:hint="default" w:ascii="Times New Roman" w:hAnsi="Times New Roman" w:eastAsia="宋体" w:cs="Times New Roman"/>
                <w:b w:val="0"/>
                <w:bCs w:val="0"/>
                <w:color w:val="auto"/>
                <w:sz w:val="24"/>
                <w:szCs w:val="24"/>
                <w:vertAlign w:val="subscript"/>
                <w:lang w:val="en-US" w:eastAsia="zh-CN"/>
              </w:rPr>
              <w:t xml:space="preserve">3 </w:t>
            </w:r>
            <w:r>
              <w:rPr>
                <w:rFonts w:hint="default" w:ascii="Times New Roman" w:hAnsi="Times New Roman" w:eastAsia="宋体" w:cs="Times New Roman"/>
                <w:b w:val="0"/>
                <w:bCs w:val="0"/>
                <w:color w:val="auto"/>
                <w:sz w:val="24"/>
                <w:szCs w:val="24"/>
                <w:vertAlign w:val="baseline"/>
                <w:lang w:val="en-US" w:eastAsia="zh-CN"/>
              </w:rPr>
              <w:t>第90百分位浓度不符合《环境空气质量标准》（GB3095-2012）二级标准要求。</w:t>
            </w:r>
          </w:p>
          <w:p w14:paraId="55958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综上所述，项目所在区域为环境空气质量为不达标区。</w:t>
            </w:r>
          </w:p>
          <w:p w14:paraId="20FB87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2、声环境</w:t>
            </w:r>
          </w:p>
          <w:p w14:paraId="19CB23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项目场地外周边50m范围内不存在声环境保护目标，不需要开展声环境现状监测。</w:t>
            </w:r>
          </w:p>
          <w:p w14:paraId="7CB8C7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w:t>
            </w:r>
          </w:p>
          <w:p w14:paraId="5C8A03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依据建设项目环境影响报告表编制技术指南</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生态影响类</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试行</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中“水、生态、土壤等其他环境要素参照环境影响评价相关技术导则开展补充监测和调查”。对照《环境影响评价技术导则地下水环境》</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HJ610-2016</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项目行业类别为</w:t>
            </w:r>
            <w:r>
              <w:rPr>
                <w:rFonts w:hint="eastAsia" w:ascii="Times New Roman" w:hAnsi="Times New Roman" w:eastAsia="宋体" w:cs="Times New Roman"/>
                <w:b w:val="0"/>
                <w:bCs w:val="0"/>
                <w:color w:val="auto"/>
                <w:sz w:val="24"/>
                <w:szCs w:val="24"/>
                <w:vertAlign w:val="baseline"/>
                <w:lang w:val="en-US" w:eastAsia="zh-CN"/>
              </w:rPr>
              <w:t>“C</w:t>
            </w:r>
            <w:r>
              <w:rPr>
                <w:rFonts w:hint="default" w:ascii="Times New Roman" w:hAnsi="Times New Roman" w:eastAsia="宋体" w:cs="Times New Roman"/>
                <w:b w:val="0"/>
                <w:bCs w:val="0"/>
                <w:color w:val="auto"/>
                <w:sz w:val="24"/>
                <w:szCs w:val="24"/>
                <w:vertAlign w:val="baseline"/>
                <w:lang w:val="en-US" w:eastAsia="zh-CN"/>
              </w:rPr>
              <w:t>地质勘査 24 矿产资源地质勘查</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包括勘探活动</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，属于地下水Ⅳ类建设项目，</w:t>
            </w:r>
            <w:r>
              <w:rPr>
                <w:rFonts w:hint="eastAsia" w:ascii="Times New Roman" w:hAnsi="Times New Roman" w:eastAsia="宋体" w:cs="Times New Roman"/>
                <w:b w:val="0"/>
                <w:bCs w:val="0"/>
                <w:color w:val="auto"/>
                <w:sz w:val="24"/>
                <w:szCs w:val="24"/>
                <w:vertAlign w:val="baseline"/>
                <w:lang w:val="en-US" w:eastAsia="zh-CN"/>
              </w:rPr>
              <w:t>且</w:t>
            </w:r>
            <w:r>
              <w:rPr>
                <w:rFonts w:hint="default" w:ascii="Times New Roman" w:hAnsi="Times New Roman" w:eastAsia="宋体" w:cs="Times New Roman"/>
                <w:b w:val="0"/>
                <w:bCs w:val="0"/>
                <w:color w:val="auto"/>
                <w:sz w:val="24"/>
                <w:szCs w:val="24"/>
                <w:vertAlign w:val="baseline"/>
                <w:lang w:val="en-US" w:eastAsia="zh-CN"/>
              </w:rPr>
              <w:t>本项目地下水污染防治措施按照“源头控制、分区防治、污染监控、应急响应”相结合的原则，从污染物的产生、入渗、扩散、应急响应进行控制，项目占地区域采用分区防渗，可以避免发生地下水污染，因此不开展地下水环境质量现状调查。</w:t>
            </w:r>
          </w:p>
          <w:p w14:paraId="064BB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4、土壤</w:t>
            </w:r>
          </w:p>
          <w:p w14:paraId="43CA4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建设项目环境影响报告表编制技术指南（生态影响类）（试行）中“水、生态、土壤等其他环境要素参照环境影响评价相关技术导则开展补充监测和调查”，根据《环境影响评价技术导则土壤环境（试行）》(HJ964-2018）附录A土壤环境影响评价行业分类表，本项目为天然气探井工程，属于“其他行业”，为土壤Ⅳ类建设项目，无需开展土壤环境质量现状调查。</w:t>
            </w:r>
          </w:p>
          <w:p w14:paraId="1C47DF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本项目通过采取土壤环境污染防治措施后，不存在土壤污染途径，因此不开展土壤环境质量现状调查。</w:t>
            </w:r>
          </w:p>
        </w:tc>
      </w:tr>
      <w:tr w14:paraId="436E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7118933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与项目有关的原有环境污染和生态破坏问题</w:t>
            </w:r>
          </w:p>
        </w:tc>
        <w:tc>
          <w:tcPr>
            <w:tcW w:w="8521" w:type="dxa"/>
            <w:vAlign w:val="center"/>
          </w:tcPr>
          <w:p w14:paraId="758BC62E">
            <w:pPr>
              <w:numPr>
                <w:ilvl w:val="0"/>
                <w:numId w:val="0"/>
              </w:numPr>
              <w:ind w:firstLine="48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本项目为新建项目，不存在原有环境污染和生态破坏问题。</w:t>
            </w:r>
          </w:p>
        </w:tc>
      </w:tr>
      <w:tr w14:paraId="1750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16A35BF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生态环境保护目标</w:t>
            </w:r>
          </w:p>
        </w:tc>
        <w:tc>
          <w:tcPr>
            <w:tcW w:w="8521" w:type="dxa"/>
            <w:vAlign w:val="center"/>
          </w:tcPr>
          <w:p w14:paraId="7DE7998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1.生态环境</w:t>
            </w:r>
          </w:p>
          <w:p w14:paraId="2573B87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参考《</w:t>
            </w:r>
            <w:r>
              <w:rPr>
                <w:rFonts w:hint="default" w:ascii="Times New Roman" w:hAnsi="Times New Roman" w:cs="Times New Roman"/>
                <w:bCs/>
                <w:color w:val="auto"/>
                <w:sz w:val="24"/>
                <w:highlight w:val="none"/>
              </w:rPr>
              <w:t>环境影响评价技术导则</w:t>
            </w:r>
            <w:r>
              <w:rPr>
                <w:rFonts w:hint="eastAsia" w:ascii="Times New Roman" w:hAnsi="Times New Roman" w:cs="Times New Roman"/>
                <w:bCs/>
                <w:color w:val="auto"/>
                <w:sz w:val="24"/>
                <w:highlight w:val="none"/>
                <w:lang w:val="en-US" w:eastAsia="zh-CN"/>
              </w:rPr>
              <w:t xml:space="preserve"> </w:t>
            </w:r>
            <w:r>
              <w:rPr>
                <w:rFonts w:hint="default" w:ascii="Times New Roman" w:hAnsi="Times New Roman" w:cs="Times New Roman"/>
                <w:bCs/>
                <w:color w:val="auto"/>
                <w:sz w:val="24"/>
                <w:highlight w:val="none"/>
              </w:rPr>
              <w:t>陆地石油天然气开发建设项目</w:t>
            </w:r>
            <w:r>
              <w:rPr>
                <w:rFonts w:hint="eastAsia" w:ascii="Times New Roman" w:hAnsi="Times New Roman" w:cs="Times New Roman"/>
                <w:bCs/>
                <w:color w:val="auto"/>
                <w:sz w:val="24"/>
                <w:highlight w:val="none"/>
                <w:lang w:val="en-US" w:eastAsia="zh-CN"/>
              </w:rPr>
              <w:t>》（HJ 349—2023），井场工程以场界周围50m范围为评价范围。</w:t>
            </w:r>
          </w:p>
          <w:p w14:paraId="5135CEF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根据调查，</w:t>
            </w:r>
            <w:r>
              <w:rPr>
                <w:rFonts w:hint="default" w:ascii="Times New Roman" w:hAnsi="Times New Roman" w:eastAsia="宋体" w:cs="Times New Roman"/>
                <w:color w:val="auto"/>
                <w:kern w:val="2"/>
                <w:sz w:val="24"/>
                <w:szCs w:val="24"/>
                <w:lang w:val="en-US" w:eastAsia="zh-CN" w:bidi="ar-SA"/>
              </w:rPr>
              <w:t>本项目井场</w:t>
            </w:r>
            <w:r>
              <w:rPr>
                <w:rFonts w:hint="eastAsia" w:ascii="Times New Roman" w:hAnsi="Times New Roman" w:eastAsia="宋体" w:cs="Times New Roman"/>
                <w:color w:val="auto"/>
                <w:kern w:val="2"/>
                <w:sz w:val="24"/>
                <w:szCs w:val="24"/>
                <w:lang w:val="en-US" w:eastAsia="zh-CN" w:bidi="ar-SA"/>
              </w:rPr>
              <w:t>评价范围内</w:t>
            </w:r>
            <w:r>
              <w:rPr>
                <w:rFonts w:hint="default" w:ascii="Times New Roman" w:hAnsi="Times New Roman" w:eastAsia="宋体" w:cs="Times New Roman"/>
                <w:color w:val="auto"/>
                <w:kern w:val="2"/>
                <w:sz w:val="24"/>
                <w:szCs w:val="24"/>
                <w:lang w:val="en-US" w:eastAsia="zh-CN" w:bidi="ar-SA"/>
              </w:rPr>
              <w:t>不涉及森林公园、自然保护区、风景名胜区、世界文化和自然遗产地、文物古迹、饮用水源保护区等环境敏感区，不涉及生态红线保护区。</w:t>
            </w:r>
            <w:r>
              <w:rPr>
                <w:rFonts w:hint="eastAsia"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占地范围内的用地类型主要为</w:t>
            </w:r>
            <w:r>
              <w:rPr>
                <w:rFonts w:hint="eastAsia" w:ascii="Times New Roman" w:hAnsi="Times New Roman" w:eastAsia="宋体" w:cs="Times New Roman"/>
                <w:bCs/>
                <w:color w:val="auto"/>
                <w:sz w:val="24"/>
                <w:highlight w:val="none"/>
                <w:lang w:val="en-US" w:eastAsia="zh-CN"/>
              </w:rPr>
              <w:t>耕地、种植园用地、林地、草地</w:t>
            </w:r>
            <w:r>
              <w:rPr>
                <w:rFonts w:hint="default"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不涉及基本农田，</w:t>
            </w:r>
            <w:r>
              <w:rPr>
                <w:rFonts w:hint="default" w:ascii="Times New Roman" w:hAnsi="Times New Roman" w:eastAsia="宋体" w:cs="Times New Roman"/>
                <w:bCs/>
                <w:color w:val="auto"/>
                <w:sz w:val="24"/>
                <w:highlight w:val="none"/>
              </w:rPr>
              <w:t>无珍稀野生动植物分布。</w:t>
            </w:r>
            <w:r>
              <w:rPr>
                <w:rFonts w:hint="eastAsia" w:ascii="Times New Roman" w:hAnsi="Times New Roman" w:eastAsia="宋体" w:cs="Times New Roman"/>
                <w:bCs/>
                <w:color w:val="auto"/>
                <w:sz w:val="24"/>
                <w:highlight w:val="none"/>
                <w:lang w:val="en-US" w:eastAsia="zh-CN"/>
              </w:rPr>
              <w:t>故</w:t>
            </w:r>
            <w:r>
              <w:rPr>
                <w:rFonts w:hint="default" w:ascii="Times New Roman" w:hAnsi="Times New Roman" w:eastAsia="宋体" w:cs="Times New Roman"/>
                <w:bCs/>
                <w:color w:val="auto"/>
                <w:sz w:val="24"/>
                <w:highlight w:val="none"/>
              </w:rPr>
              <w:t>本项目生态保护目标为</w:t>
            </w:r>
            <w:r>
              <w:rPr>
                <w:rFonts w:hint="eastAsia" w:ascii="Times New Roman" w:hAnsi="Times New Roman" w:eastAsia="宋体" w:cs="Times New Roman"/>
                <w:bCs/>
                <w:color w:val="auto"/>
                <w:sz w:val="24"/>
                <w:highlight w:val="none"/>
                <w:lang w:val="en-US" w:eastAsia="zh-CN"/>
              </w:rPr>
              <w:t>临时占地及影响范围内的</w:t>
            </w:r>
            <w:r>
              <w:rPr>
                <w:rFonts w:hint="default" w:ascii="Times New Roman" w:hAnsi="Times New Roman" w:eastAsia="宋体" w:cs="Times New Roman"/>
                <w:bCs/>
                <w:color w:val="auto"/>
                <w:sz w:val="24"/>
                <w:highlight w:val="none"/>
              </w:rPr>
              <w:t>土壤、植被、景观、水土流失、生态系统等</w:t>
            </w:r>
            <w:r>
              <w:rPr>
                <w:rFonts w:hint="default" w:ascii="Times New Roman" w:hAnsi="Times New Roman" w:eastAsia="宋体" w:cs="Times New Roman"/>
                <w:bCs/>
                <w:color w:val="auto"/>
                <w:sz w:val="24"/>
                <w:highlight w:val="none"/>
                <w:lang w:val="en-US" w:eastAsia="zh-CN"/>
              </w:rPr>
              <w:t>。</w:t>
            </w:r>
          </w:p>
          <w:p w14:paraId="724DB5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2</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大气环境</w:t>
            </w:r>
          </w:p>
          <w:p w14:paraId="00C6C38B">
            <w:pPr>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bCs/>
                <w:color w:val="auto"/>
                <w:sz w:val="24"/>
              </w:rPr>
              <w:t>本项目周边500m范围内无自然保护区、风景名胜区</w:t>
            </w:r>
            <w:r>
              <w:rPr>
                <w:rFonts w:hint="eastAsia" w:ascii="Times New Roman" w:hAnsi="Times New Roman" w:cs="Times New Roman"/>
                <w:bCs/>
                <w:color w:val="auto"/>
                <w:sz w:val="24"/>
                <w:lang w:val="en-US" w:eastAsia="zh-CN"/>
              </w:rPr>
              <w:t>等，井场周边敏感目标主要为王家砭镇张家沟村居民</w:t>
            </w:r>
            <w:r>
              <w:rPr>
                <w:rFonts w:hint="default" w:ascii="Times New Roman" w:hAnsi="Times New Roman" w:cs="Times New Roman"/>
                <w:bCs/>
                <w:color w:val="auto"/>
                <w:sz w:val="24"/>
              </w:rPr>
              <w:t>。</w:t>
            </w:r>
          </w:p>
          <w:p w14:paraId="200379F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3</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声环境</w:t>
            </w:r>
          </w:p>
          <w:p w14:paraId="2539571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井场</w:t>
            </w:r>
            <w:r>
              <w:rPr>
                <w:rFonts w:hint="default" w:ascii="Times New Roman" w:hAnsi="Times New Roman" w:cs="Times New Roman"/>
                <w:color w:val="auto"/>
                <w:sz w:val="24"/>
                <w:highlight w:val="none"/>
              </w:rPr>
              <w:t>外50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范围内无声环境保护目标。</w:t>
            </w:r>
          </w:p>
          <w:p w14:paraId="4FA81C5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4</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地表水环境</w:t>
            </w:r>
          </w:p>
          <w:p w14:paraId="1BE07EC9">
            <w:pPr>
              <w:pStyle w:val="3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据现场调查，</w:t>
            </w:r>
            <w:r>
              <w:rPr>
                <w:rFonts w:hint="eastAsia" w:ascii="Times New Roman" w:hAnsi="Times New Roman" w:eastAsia="宋体" w:cs="Times New Roman"/>
                <w:color w:val="auto"/>
                <w:kern w:val="0"/>
                <w:sz w:val="24"/>
                <w:szCs w:val="24"/>
                <w:lang w:val="en-US" w:eastAsia="zh-CN" w:bidi="ar"/>
              </w:rPr>
              <w:t>本项目评价区域内无常年地表径流。</w:t>
            </w:r>
          </w:p>
          <w:p w14:paraId="27508CA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5</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地下水环境</w:t>
            </w:r>
          </w:p>
          <w:p w14:paraId="48E41D98">
            <w:pPr>
              <w:pStyle w:val="3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项目井场界外500m范围内无地下水集中式</w:t>
            </w:r>
            <w:r>
              <w:rPr>
                <w:rFonts w:hint="eastAsia" w:ascii="Times New Roman" w:hAnsi="Times New Roman" w:eastAsia="宋体" w:cs="Times New Roman"/>
                <w:color w:val="auto"/>
                <w:kern w:val="0"/>
                <w:sz w:val="24"/>
                <w:szCs w:val="24"/>
                <w:lang w:val="en-US" w:eastAsia="zh-CN" w:bidi="ar"/>
              </w:rPr>
              <w:t>和分散式</w:t>
            </w:r>
            <w:r>
              <w:rPr>
                <w:rFonts w:hint="default" w:ascii="Times New Roman" w:hAnsi="Times New Roman" w:eastAsia="宋体" w:cs="Times New Roman"/>
                <w:color w:val="auto"/>
                <w:kern w:val="0"/>
                <w:sz w:val="24"/>
                <w:szCs w:val="24"/>
                <w:lang w:val="en-US" w:eastAsia="zh-CN" w:bidi="ar"/>
              </w:rPr>
              <w:t>饮用水水源和热水、矿泉水、温泉等特殊地下水资源。</w:t>
            </w:r>
          </w:p>
          <w:p w14:paraId="00F295FA">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val="en-US" w:eastAsia="zh-CN"/>
              </w:rPr>
              <w:t xml:space="preserve">  主要环境保护目标</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453"/>
              <w:gridCol w:w="1333"/>
              <w:gridCol w:w="1084"/>
              <w:gridCol w:w="1189"/>
              <w:gridCol w:w="894"/>
              <w:gridCol w:w="853"/>
              <w:gridCol w:w="1012"/>
            </w:tblGrid>
            <w:tr w14:paraId="45A7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vMerge w:val="restart"/>
                  <w:tcBorders>
                    <w:top w:val="single" w:color="auto" w:sz="4" w:space="0"/>
                    <w:left w:val="single" w:color="auto" w:sz="4" w:space="0"/>
                    <w:right w:val="single" w:color="auto" w:sz="4" w:space="0"/>
                  </w:tcBorders>
                  <w:noWrap w:val="0"/>
                  <w:vAlign w:val="center"/>
                </w:tcPr>
                <w:p w14:paraId="4CBFFF4B">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要素</w:t>
                  </w:r>
                </w:p>
              </w:tc>
              <w:tc>
                <w:tcPr>
                  <w:tcW w:w="1643" w:type="pct"/>
                  <w:gridSpan w:val="2"/>
                  <w:tcBorders>
                    <w:top w:val="single" w:color="auto" w:sz="4" w:space="0"/>
                    <w:left w:val="single" w:color="auto" w:sz="4" w:space="0"/>
                    <w:bottom w:val="single" w:color="auto" w:sz="4" w:space="0"/>
                    <w:right w:val="single" w:color="auto" w:sz="4" w:space="0"/>
                  </w:tcBorders>
                  <w:noWrap w:val="0"/>
                  <w:vAlign w:val="center"/>
                </w:tcPr>
                <w:p w14:paraId="72706B9C">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坐标/</w:t>
                  </w:r>
                  <w:r>
                    <w:rPr>
                      <w:rFonts w:hint="eastAsia" w:ascii="Times New Roman" w:hAnsi="Times New Roman" w:eastAsia="宋体" w:cs="Times New Roman"/>
                      <w:b/>
                      <w:bCs w:val="0"/>
                      <w:color w:val="auto"/>
                      <w:sz w:val="21"/>
                      <w:szCs w:val="21"/>
                      <w:lang w:val="en-US" w:eastAsia="zh-CN"/>
                    </w:rPr>
                    <w:t>°</w:t>
                  </w:r>
                </w:p>
              </w:tc>
              <w:tc>
                <w:tcPr>
                  <w:tcW w:w="639" w:type="pct"/>
                  <w:vMerge w:val="restart"/>
                  <w:tcBorders>
                    <w:top w:val="single" w:color="auto" w:sz="4" w:space="0"/>
                    <w:left w:val="single" w:color="auto" w:sz="4" w:space="0"/>
                    <w:bottom w:val="single" w:color="auto" w:sz="4" w:space="0"/>
                    <w:right w:val="single" w:color="auto" w:sz="4" w:space="0"/>
                  </w:tcBorders>
                  <w:noWrap w:val="0"/>
                  <w:vAlign w:val="center"/>
                </w:tcPr>
                <w:p w14:paraId="14F4F94C">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保护对象</w:t>
                  </w:r>
                </w:p>
              </w:tc>
              <w:tc>
                <w:tcPr>
                  <w:tcW w:w="701" w:type="pct"/>
                  <w:vMerge w:val="restart"/>
                  <w:tcBorders>
                    <w:top w:val="single" w:color="auto" w:sz="4" w:space="0"/>
                    <w:left w:val="single" w:color="auto" w:sz="4" w:space="0"/>
                    <w:bottom w:val="single" w:color="auto" w:sz="4" w:space="0"/>
                    <w:right w:val="single" w:color="auto" w:sz="4" w:space="0"/>
                  </w:tcBorders>
                  <w:noWrap w:val="0"/>
                  <w:vAlign w:val="center"/>
                </w:tcPr>
                <w:p w14:paraId="3B625D47">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保护内容</w:t>
                  </w:r>
                </w:p>
              </w:tc>
              <w:tc>
                <w:tcPr>
                  <w:tcW w:w="527" w:type="pct"/>
                  <w:vMerge w:val="restart"/>
                  <w:tcBorders>
                    <w:top w:val="single" w:color="auto" w:sz="4" w:space="0"/>
                    <w:left w:val="single" w:color="auto" w:sz="4" w:space="0"/>
                    <w:bottom w:val="single" w:color="auto" w:sz="4" w:space="0"/>
                    <w:right w:val="single" w:color="auto" w:sz="4" w:space="0"/>
                  </w:tcBorders>
                  <w:noWrap w:val="0"/>
                  <w:vAlign w:val="center"/>
                </w:tcPr>
                <w:p w14:paraId="621EA8D5">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环境功能区</w:t>
                  </w:r>
                </w:p>
              </w:tc>
              <w:tc>
                <w:tcPr>
                  <w:tcW w:w="503" w:type="pct"/>
                  <w:vMerge w:val="restart"/>
                  <w:tcBorders>
                    <w:top w:val="single" w:color="auto" w:sz="4" w:space="0"/>
                    <w:left w:val="single" w:color="auto" w:sz="4" w:space="0"/>
                    <w:bottom w:val="single" w:color="auto" w:sz="4" w:space="0"/>
                    <w:right w:val="single" w:color="auto" w:sz="4" w:space="0"/>
                  </w:tcBorders>
                  <w:noWrap w:val="0"/>
                  <w:vAlign w:val="center"/>
                </w:tcPr>
                <w:p w14:paraId="5CCB1ED1">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相对厂址方位</w:t>
                  </w:r>
                </w:p>
              </w:tc>
              <w:tc>
                <w:tcPr>
                  <w:tcW w:w="596" w:type="pct"/>
                  <w:vMerge w:val="restart"/>
                  <w:tcBorders>
                    <w:top w:val="single" w:color="auto" w:sz="4" w:space="0"/>
                    <w:left w:val="single" w:color="auto" w:sz="4" w:space="0"/>
                    <w:bottom w:val="single" w:color="auto" w:sz="4" w:space="0"/>
                    <w:right w:val="single" w:color="auto" w:sz="4" w:space="0"/>
                  </w:tcBorders>
                  <w:noWrap w:val="0"/>
                  <w:vAlign w:val="center"/>
                </w:tcPr>
                <w:p w14:paraId="39F424D4">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相对厂界距离/m</w:t>
                  </w:r>
                </w:p>
              </w:tc>
            </w:tr>
            <w:tr w14:paraId="7E03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vMerge w:val="continue"/>
                  <w:tcBorders>
                    <w:left w:val="single" w:color="auto" w:sz="4" w:space="0"/>
                    <w:bottom w:val="single" w:color="auto" w:sz="4" w:space="0"/>
                    <w:right w:val="single" w:color="auto" w:sz="4" w:space="0"/>
                  </w:tcBorders>
                  <w:noWrap w:val="0"/>
                  <w:vAlign w:val="center"/>
                </w:tcPr>
                <w:p w14:paraId="6EAE24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857" w:type="pct"/>
                  <w:tcBorders>
                    <w:top w:val="single" w:color="auto" w:sz="4" w:space="0"/>
                    <w:left w:val="single" w:color="auto" w:sz="4" w:space="0"/>
                    <w:bottom w:val="single" w:color="auto" w:sz="4" w:space="0"/>
                    <w:right w:val="single" w:color="auto" w:sz="4" w:space="0"/>
                  </w:tcBorders>
                  <w:noWrap w:val="0"/>
                  <w:vAlign w:val="center"/>
                </w:tcPr>
                <w:p w14:paraId="2FB740A2">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经度</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3B7B52C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纬度</w:t>
                  </w:r>
                </w:p>
              </w:tc>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14:paraId="1FEFC0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701" w:type="pct"/>
                  <w:vMerge w:val="continue"/>
                  <w:tcBorders>
                    <w:top w:val="single" w:color="auto" w:sz="4" w:space="0"/>
                    <w:left w:val="single" w:color="auto" w:sz="4" w:space="0"/>
                    <w:bottom w:val="single" w:color="auto" w:sz="4" w:space="0"/>
                    <w:right w:val="single" w:color="auto" w:sz="4" w:space="0"/>
                  </w:tcBorders>
                  <w:noWrap w:val="0"/>
                  <w:vAlign w:val="center"/>
                </w:tcPr>
                <w:p w14:paraId="568345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5B08D4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503" w:type="pct"/>
                  <w:vMerge w:val="continue"/>
                  <w:tcBorders>
                    <w:top w:val="single" w:color="auto" w:sz="4" w:space="0"/>
                    <w:left w:val="single" w:color="auto" w:sz="4" w:space="0"/>
                    <w:bottom w:val="single" w:color="auto" w:sz="4" w:space="0"/>
                    <w:right w:val="single" w:color="auto" w:sz="4" w:space="0"/>
                  </w:tcBorders>
                  <w:noWrap w:val="0"/>
                  <w:vAlign w:val="center"/>
                </w:tcPr>
                <w:p w14:paraId="043D6B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596" w:type="pct"/>
                  <w:vMerge w:val="continue"/>
                  <w:tcBorders>
                    <w:top w:val="single" w:color="auto" w:sz="4" w:space="0"/>
                    <w:left w:val="single" w:color="auto" w:sz="4" w:space="0"/>
                    <w:bottom w:val="single" w:color="auto" w:sz="4" w:space="0"/>
                    <w:right w:val="single" w:color="auto" w:sz="4" w:space="0"/>
                  </w:tcBorders>
                  <w:noWrap w:val="0"/>
                  <w:vAlign w:val="center"/>
                </w:tcPr>
                <w:p w14:paraId="4024D3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r>
            <w:tr w14:paraId="6091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top w:val="single" w:color="auto" w:sz="4" w:space="0"/>
                    <w:left w:val="single" w:color="auto" w:sz="4" w:space="0"/>
                    <w:right w:val="single" w:color="auto" w:sz="4" w:space="0"/>
                  </w:tcBorders>
                  <w:noWrap w:val="0"/>
                  <w:vAlign w:val="center"/>
                </w:tcPr>
                <w:p w14:paraId="427EDBCA">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大气环境</w:t>
                  </w:r>
                </w:p>
              </w:tc>
              <w:tc>
                <w:tcPr>
                  <w:tcW w:w="857" w:type="pct"/>
                  <w:tcBorders>
                    <w:top w:val="single" w:color="auto" w:sz="4" w:space="0"/>
                    <w:left w:val="single" w:color="auto" w:sz="4" w:space="0"/>
                    <w:bottom w:val="single" w:color="auto" w:sz="4" w:space="0"/>
                    <w:right w:val="single" w:color="auto" w:sz="4" w:space="0"/>
                  </w:tcBorders>
                  <w:noWrap w:val="0"/>
                  <w:vAlign w:val="center"/>
                </w:tcPr>
                <w:p w14:paraId="6A500E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110.270845</w:t>
                  </w:r>
                </w:p>
              </w:tc>
              <w:tc>
                <w:tcPr>
                  <w:tcW w:w="786" w:type="pct"/>
                  <w:tcBorders>
                    <w:top w:val="single" w:color="auto" w:sz="4" w:space="0"/>
                    <w:left w:val="single" w:color="auto" w:sz="4" w:space="0"/>
                    <w:bottom w:val="single" w:color="auto" w:sz="4" w:space="0"/>
                    <w:right w:val="single" w:color="auto" w:sz="4" w:space="0"/>
                  </w:tcBorders>
                  <w:noWrap w:val="0"/>
                  <w:vAlign w:val="center"/>
                </w:tcPr>
                <w:p w14:paraId="5E29AB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38.185482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3A8142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张家沟村</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57174CB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15户60人</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38E41FC3">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二类区</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5AA52D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228D28A5">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140</w:t>
                  </w:r>
                </w:p>
              </w:tc>
            </w:tr>
            <w:tr w14:paraId="59CD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single" w:color="auto" w:sz="4" w:space="0"/>
                    <w:right w:val="single" w:color="auto" w:sz="4" w:space="0"/>
                  </w:tcBorders>
                  <w:noWrap w:val="0"/>
                  <w:vAlign w:val="center"/>
                </w:tcPr>
                <w:p w14:paraId="10AACF8A">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声环境</w:t>
                  </w:r>
                </w:p>
              </w:tc>
              <w:tc>
                <w:tcPr>
                  <w:tcW w:w="4610" w:type="pct"/>
                  <w:gridSpan w:val="7"/>
                  <w:tcBorders>
                    <w:left w:val="single" w:color="auto" w:sz="4" w:space="0"/>
                    <w:right w:val="single" w:color="auto" w:sz="4" w:space="0"/>
                  </w:tcBorders>
                  <w:noWrap w:val="0"/>
                  <w:vAlign w:val="center"/>
                </w:tcPr>
                <w:p w14:paraId="2E6F265A">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周边50m范围内无声环境保护目标</w:t>
                  </w:r>
                </w:p>
              </w:tc>
            </w:tr>
            <w:tr w14:paraId="4843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single" w:color="auto" w:sz="4" w:space="0"/>
                    <w:right w:val="single" w:color="auto" w:sz="4" w:space="0"/>
                  </w:tcBorders>
                  <w:noWrap w:val="0"/>
                  <w:vAlign w:val="center"/>
                </w:tcPr>
                <w:p w14:paraId="5F77D799">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地表水</w:t>
                  </w:r>
                </w:p>
              </w:tc>
              <w:tc>
                <w:tcPr>
                  <w:tcW w:w="4610" w:type="pct"/>
                  <w:gridSpan w:val="7"/>
                  <w:tcBorders>
                    <w:left w:val="single" w:color="auto" w:sz="4" w:space="0"/>
                    <w:right w:val="single" w:color="auto" w:sz="4" w:space="0"/>
                  </w:tcBorders>
                  <w:noWrap w:val="0"/>
                  <w:vAlign w:val="center"/>
                </w:tcPr>
                <w:p w14:paraId="3058AF23">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评价区无常年地表径流</w:t>
                  </w:r>
                </w:p>
              </w:tc>
            </w:tr>
            <w:tr w14:paraId="0A49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single" w:color="auto" w:sz="4" w:space="0"/>
                    <w:right w:val="single" w:color="auto" w:sz="4" w:space="0"/>
                  </w:tcBorders>
                  <w:noWrap w:val="0"/>
                  <w:vAlign w:val="center"/>
                </w:tcPr>
                <w:p w14:paraId="10812FD7">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地下水</w:t>
                  </w:r>
                </w:p>
              </w:tc>
              <w:tc>
                <w:tcPr>
                  <w:tcW w:w="4610" w:type="pct"/>
                  <w:gridSpan w:val="7"/>
                  <w:tcBorders>
                    <w:left w:val="single" w:color="auto" w:sz="4" w:space="0"/>
                    <w:right w:val="single" w:color="auto" w:sz="4" w:space="0"/>
                  </w:tcBorders>
                  <w:noWrap w:val="0"/>
                  <w:vAlign w:val="center"/>
                </w:tcPr>
                <w:p w14:paraId="36CE9C64">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500m范围内无地下水集中式</w:t>
                  </w:r>
                  <w:r>
                    <w:rPr>
                      <w:rFonts w:hint="eastAsia" w:ascii="Times New Roman" w:hAnsi="Times New Roman" w:eastAsia="宋体" w:cs="Times New Roman"/>
                      <w:bCs/>
                      <w:color w:val="auto"/>
                      <w:sz w:val="21"/>
                      <w:szCs w:val="21"/>
                      <w:lang w:val="en-US" w:eastAsia="zh-CN"/>
                    </w:rPr>
                    <w:t>和分散式</w:t>
                  </w:r>
                  <w:r>
                    <w:rPr>
                      <w:rFonts w:hint="default" w:ascii="Times New Roman" w:hAnsi="Times New Roman" w:eastAsia="宋体" w:cs="Times New Roman"/>
                      <w:bCs/>
                      <w:color w:val="auto"/>
                      <w:sz w:val="21"/>
                      <w:szCs w:val="21"/>
                      <w:lang w:val="en-US" w:eastAsia="zh-CN"/>
                    </w:rPr>
                    <w:t>饮用水水源和热水、矿泉水、温泉等特殊地下水资源</w:t>
                  </w:r>
                </w:p>
              </w:tc>
            </w:tr>
            <w:tr w14:paraId="373A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single" w:color="auto" w:sz="4" w:space="0"/>
                    <w:right w:val="single" w:color="auto" w:sz="4" w:space="0"/>
                  </w:tcBorders>
                  <w:shd w:val="clear" w:color="auto" w:fill="auto"/>
                  <w:noWrap w:val="0"/>
                  <w:vAlign w:val="center"/>
                </w:tcPr>
                <w:p w14:paraId="7FDE66BB">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生态环境</w:t>
                  </w:r>
                </w:p>
              </w:tc>
              <w:tc>
                <w:tcPr>
                  <w:tcW w:w="4610" w:type="pct"/>
                  <w:gridSpan w:val="7"/>
                  <w:tcBorders>
                    <w:left w:val="single" w:color="auto" w:sz="4" w:space="0"/>
                    <w:bottom w:val="single" w:color="auto" w:sz="4" w:space="0"/>
                    <w:right w:val="single" w:color="auto" w:sz="4" w:space="0"/>
                  </w:tcBorders>
                  <w:shd w:val="clear" w:color="auto" w:fill="auto"/>
                  <w:noWrap w:val="0"/>
                  <w:vAlign w:val="center"/>
                </w:tcPr>
                <w:p w14:paraId="4CE9B491">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项目区范围及周边植被、水土流失</w:t>
                  </w:r>
                </w:p>
              </w:tc>
            </w:tr>
          </w:tbl>
          <w:p w14:paraId="4CAB6FD7">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r w14:paraId="58D5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6203387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评价标准</w:t>
            </w:r>
          </w:p>
        </w:tc>
        <w:tc>
          <w:tcPr>
            <w:tcW w:w="8521" w:type="dxa"/>
            <w:vAlign w:val="center"/>
          </w:tcPr>
          <w:p w14:paraId="293911DE">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1、环境质量标准</w:t>
            </w:r>
          </w:p>
          <w:p w14:paraId="367AB55E">
            <w:pPr>
              <w:adjustRightInd w:val="0"/>
              <w:snapToGrid w:val="0"/>
              <w:spacing w:line="360" w:lineRule="auto"/>
              <w:ind w:firstLine="480" w:firstLineChars="200"/>
              <w:jc w:val="both"/>
              <w:rPr>
                <w:rFonts w:hint="default" w:ascii="Times New Roman" w:hAnsi="Times New Roman" w:cs="Times New Roman"/>
                <w:color w:val="auto"/>
                <w:sz w:val="24"/>
                <w:highlight w:val="yellow"/>
              </w:rPr>
            </w:pPr>
            <w:r>
              <w:rPr>
                <w:rFonts w:hint="default" w:ascii="Times New Roman" w:hAnsi="Times New Roman" w:cs="Times New Roman"/>
                <w:color w:val="auto"/>
                <w:sz w:val="24"/>
              </w:rPr>
              <w:t>（1）环境空气质量：基本因子执行《环境空气质量标准》（GB3095-2012）中二级标准。</w:t>
            </w:r>
          </w:p>
          <w:p w14:paraId="44A274FE">
            <w:pPr>
              <w:pStyle w:val="25"/>
              <w:ind w:right="91" w:firstLine="482"/>
              <w:jc w:val="center"/>
              <w:rPr>
                <w:rFonts w:hint="default" w:ascii="Times New Roman" w:hAnsi="Times New Roman" w:cs="Times New Roman"/>
                <w:b/>
                <w:bCs/>
                <w:color w:val="auto"/>
                <w:sz w:val="21"/>
                <w:szCs w:val="21"/>
                <w:lang w:val="en-US" w:bidi="ar-SA"/>
              </w:rPr>
            </w:pPr>
            <w:r>
              <w:rPr>
                <w:rFonts w:hint="default" w:ascii="Times New Roman" w:hAnsi="Times New Roman" w:cs="Times New Roman"/>
                <w:b/>
                <w:bCs/>
                <w:color w:val="auto"/>
                <w:sz w:val="21"/>
                <w:szCs w:val="21"/>
                <w:lang w:val="en-US" w:bidi="ar-SA"/>
              </w:rPr>
              <w:t>表3-</w:t>
            </w:r>
            <w:r>
              <w:rPr>
                <w:rFonts w:hint="eastAsia" w:ascii="Times New Roman" w:hAnsi="Times New Roman" w:cs="Times New Roman"/>
                <w:b/>
                <w:bCs/>
                <w:color w:val="auto"/>
                <w:sz w:val="21"/>
                <w:szCs w:val="21"/>
                <w:lang w:val="en-US" w:eastAsia="zh-CN" w:bidi="ar-SA"/>
              </w:rPr>
              <w:t>3</w:t>
            </w:r>
            <w:r>
              <w:rPr>
                <w:rFonts w:hint="default" w:ascii="Times New Roman" w:hAnsi="Times New Roman" w:cs="Times New Roman"/>
                <w:b/>
                <w:bCs/>
                <w:color w:val="auto"/>
                <w:sz w:val="21"/>
                <w:szCs w:val="21"/>
                <w:lang w:val="en-US" w:bidi="ar-SA"/>
              </w:rPr>
              <w:t xml:space="preserve">  环境空气质量标准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3048"/>
              <w:gridCol w:w="1508"/>
              <w:gridCol w:w="1507"/>
            </w:tblGrid>
            <w:tr w14:paraId="59F6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29F0099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686" w:type="pct"/>
                  <w:gridSpan w:val="2"/>
                  <w:noWrap w:val="0"/>
                  <w:vAlign w:val="center"/>
                </w:tcPr>
                <w:p w14:paraId="3B145B1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888" w:type="pct"/>
                  <w:vMerge w:val="restart"/>
                  <w:noWrap w:val="0"/>
                  <w:vAlign w:val="center"/>
                </w:tcPr>
                <w:p w14:paraId="2BE1FE13">
                  <w:pPr>
                    <w:pStyle w:val="22"/>
                    <w:spacing w:beforeLines="0" w:afterLines="0" w:line="240" w:lineRule="auto"/>
                    <w:ind w:left="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单位</w:t>
                  </w:r>
                </w:p>
              </w:tc>
            </w:tr>
            <w:tr w14:paraId="1009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654A3FE2">
                  <w:pPr>
                    <w:jc w:val="center"/>
                    <w:rPr>
                      <w:rFonts w:hint="default" w:ascii="Times New Roman" w:hAnsi="Times New Roman" w:cs="Times New Roman"/>
                      <w:b/>
                      <w:bCs/>
                      <w:color w:val="auto"/>
                      <w:sz w:val="21"/>
                      <w:szCs w:val="21"/>
                    </w:rPr>
                  </w:pPr>
                </w:p>
              </w:tc>
              <w:tc>
                <w:tcPr>
                  <w:tcW w:w="1797" w:type="pct"/>
                  <w:noWrap w:val="0"/>
                  <w:vAlign w:val="center"/>
                </w:tcPr>
                <w:p w14:paraId="19E08E5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取值时间</w:t>
                  </w:r>
                </w:p>
              </w:tc>
              <w:tc>
                <w:tcPr>
                  <w:tcW w:w="889" w:type="pct"/>
                  <w:noWrap w:val="0"/>
                  <w:vAlign w:val="center"/>
                </w:tcPr>
                <w:p w14:paraId="47FBE97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二级标准</w:t>
                  </w:r>
                </w:p>
              </w:tc>
              <w:tc>
                <w:tcPr>
                  <w:tcW w:w="888" w:type="pct"/>
                  <w:vMerge w:val="continue"/>
                  <w:noWrap w:val="0"/>
                  <w:vAlign w:val="center"/>
                </w:tcPr>
                <w:p w14:paraId="2F019EDD">
                  <w:pPr>
                    <w:pStyle w:val="22"/>
                    <w:spacing w:beforeLines="0" w:afterLines="0" w:line="240" w:lineRule="auto"/>
                    <w:ind w:left="0" w:firstLine="0"/>
                    <w:rPr>
                      <w:rFonts w:hint="default" w:ascii="Times New Roman" w:hAnsi="Times New Roman" w:cs="Times New Roman"/>
                      <w:color w:val="auto"/>
                      <w:sz w:val="21"/>
                      <w:szCs w:val="21"/>
                    </w:rPr>
                  </w:pPr>
                </w:p>
              </w:tc>
            </w:tr>
            <w:tr w14:paraId="7A9F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2EC78DBD">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469E8C31">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02E95D4F">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60</w:t>
                  </w:r>
                </w:p>
              </w:tc>
              <w:tc>
                <w:tcPr>
                  <w:tcW w:w="888" w:type="pct"/>
                  <w:vMerge w:val="restart"/>
                  <w:noWrap w:val="0"/>
                  <w:vAlign w:val="center"/>
                </w:tcPr>
                <w:p w14:paraId="1EB6B423">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4679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4244A61A">
                  <w:pPr>
                    <w:widowControl/>
                    <w:jc w:val="center"/>
                    <w:rPr>
                      <w:rFonts w:hint="default" w:ascii="Times New Roman" w:hAnsi="Times New Roman" w:cs="Times New Roman"/>
                      <w:color w:val="auto"/>
                      <w:sz w:val="21"/>
                      <w:szCs w:val="21"/>
                    </w:rPr>
                  </w:pPr>
                </w:p>
              </w:tc>
              <w:tc>
                <w:tcPr>
                  <w:tcW w:w="1797" w:type="pct"/>
                  <w:noWrap w:val="0"/>
                  <w:vAlign w:val="center"/>
                </w:tcPr>
                <w:p w14:paraId="78FD9952">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046BDC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269EE2BF">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7D13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9F765D3">
                  <w:pPr>
                    <w:widowControl/>
                    <w:jc w:val="center"/>
                    <w:rPr>
                      <w:rFonts w:hint="default" w:ascii="Times New Roman" w:hAnsi="Times New Roman" w:cs="Times New Roman"/>
                      <w:color w:val="auto"/>
                      <w:sz w:val="21"/>
                      <w:szCs w:val="21"/>
                    </w:rPr>
                  </w:pPr>
                </w:p>
              </w:tc>
              <w:tc>
                <w:tcPr>
                  <w:tcW w:w="1797" w:type="pct"/>
                  <w:noWrap w:val="0"/>
                  <w:vAlign w:val="center"/>
                </w:tcPr>
                <w:p w14:paraId="7F2D6AC7">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760D70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500</w:t>
                  </w:r>
                </w:p>
              </w:tc>
              <w:tc>
                <w:tcPr>
                  <w:tcW w:w="888" w:type="pct"/>
                  <w:vMerge w:val="continue"/>
                  <w:noWrap w:val="0"/>
                  <w:vAlign w:val="center"/>
                </w:tcPr>
                <w:p w14:paraId="2806F4D2">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3937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7BBB3C25">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7D15A30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0189EA4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888" w:type="pct"/>
                  <w:vMerge w:val="continue"/>
                  <w:noWrap w:val="0"/>
                  <w:vAlign w:val="center"/>
                </w:tcPr>
                <w:p w14:paraId="0D16DA69">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6344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659A1BAB">
                  <w:pPr>
                    <w:widowControl/>
                    <w:jc w:val="center"/>
                    <w:rPr>
                      <w:rFonts w:hint="default" w:ascii="Times New Roman" w:hAnsi="Times New Roman" w:cs="Times New Roman"/>
                      <w:color w:val="auto"/>
                      <w:sz w:val="21"/>
                      <w:szCs w:val="21"/>
                    </w:rPr>
                  </w:pPr>
                </w:p>
              </w:tc>
              <w:tc>
                <w:tcPr>
                  <w:tcW w:w="1797" w:type="pct"/>
                  <w:noWrap w:val="0"/>
                  <w:vAlign w:val="center"/>
                </w:tcPr>
                <w:p w14:paraId="501DE95A">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6F34210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80</w:t>
                  </w:r>
                </w:p>
              </w:tc>
              <w:tc>
                <w:tcPr>
                  <w:tcW w:w="888" w:type="pct"/>
                  <w:vMerge w:val="continue"/>
                  <w:noWrap w:val="0"/>
                  <w:vAlign w:val="center"/>
                </w:tcPr>
                <w:p w14:paraId="6C9A8E1D">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34DC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6F36DC84">
                  <w:pPr>
                    <w:widowControl/>
                    <w:jc w:val="center"/>
                    <w:rPr>
                      <w:rFonts w:hint="default" w:ascii="Times New Roman" w:hAnsi="Times New Roman" w:cs="Times New Roman"/>
                      <w:color w:val="auto"/>
                      <w:sz w:val="21"/>
                      <w:szCs w:val="21"/>
                    </w:rPr>
                  </w:pPr>
                </w:p>
              </w:tc>
              <w:tc>
                <w:tcPr>
                  <w:tcW w:w="1797" w:type="pct"/>
                  <w:noWrap w:val="0"/>
                  <w:vAlign w:val="center"/>
                </w:tcPr>
                <w:p w14:paraId="77A16472">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E1108C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0316DB1A">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219C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2A781FA7">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w:t>
                  </w:r>
                </w:p>
              </w:tc>
              <w:tc>
                <w:tcPr>
                  <w:tcW w:w="1797" w:type="pct"/>
                  <w:noWrap w:val="0"/>
                  <w:vAlign w:val="center"/>
                </w:tcPr>
                <w:p w14:paraId="22863B5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5B781F4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70</w:t>
                  </w:r>
                </w:p>
              </w:tc>
              <w:tc>
                <w:tcPr>
                  <w:tcW w:w="888" w:type="pct"/>
                  <w:vMerge w:val="continue"/>
                  <w:noWrap w:val="0"/>
                  <w:vAlign w:val="center"/>
                </w:tcPr>
                <w:p w14:paraId="1FF1664C">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6958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57E57140">
                  <w:pPr>
                    <w:widowControl/>
                    <w:jc w:val="center"/>
                    <w:rPr>
                      <w:rFonts w:hint="default" w:ascii="Times New Roman" w:hAnsi="Times New Roman" w:cs="Times New Roman"/>
                      <w:color w:val="auto"/>
                      <w:sz w:val="21"/>
                      <w:szCs w:val="21"/>
                    </w:rPr>
                  </w:pPr>
                </w:p>
              </w:tc>
              <w:tc>
                <w:tcPr>
                  <w:tcW w:w="1797" w:type="pct"/>
                  <w:noWrap w:val="0"/>
                  <w:vAlign w:val="center"/>
                </w:tcPr>
                <w:p w14:paraId="6C082650">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3D128967">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58E9B300">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4D52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6B8F47B4">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w:t>
                  </w:r>
                </w:p>
              </w:tc>
              <w:tc>
                <w:tcPr>
                  <w:tcW w:w="1797" w:type="pct"/>
                  <w:noWrap w:val="0"/>
                  <w:vAlign w:val="center"/>
                </w:tcPr>
                <w:p w14:paraId="2C8D091F">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388D9830">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w:t>
                  </w:r>
                </w:p>
              </w:tc>
              <w:tc>
                <w:tcPr>
                  <w:tcW w:w="888" w:type="pct"/>
                  <w:vMerge w:val="continue"/>
                  <w:noWrap w:val="0"/>
                  <w:vAlign w:val="center"/>
                </w:tcPr>
                <w:p w14:paraId="7B223EF8">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5132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590AC799">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44E42085">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2AF359A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75</w:t>
                  </w:r>
                </w:p>
              </w:tc>
              <w:tc>
                <w:tcPr>
                  <w:tcW w:w="888" w:type="pct"/>
                  <w:vMerge w:val="continue"/>
                  <w:noWrap w:val="0"/>
                  <w:vAlign w:val="center"/>
                </w:tcPr>
                <w:p w14:paraId="71E38F7F">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08BD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730C74A5">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1797" w:type="pct"/>
                  <w:noWrap w:val="0"/>
                  <w:vAlign w:val="center"/>
                </w:tcPr>
                <w:p w14:paraId="2800D393">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4DF386B1">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w:t>
                  </w:r>
                </w:p>
              </w:tc>
              <w:tc>
                <w:tcPr>
                  <w:tcW w:w="888" w:type="pct"/>
                  <w:vMerge w:val="restart"/>
                  <w:noWrap w:val="0"/>
                  <w:vAlign w:val="center"/>
                </w:tcPr>
                <w:p w14:paraId="4C1E42DD">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r>
            <w:tr w14:paraId="2DD0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DCAE160">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4E57652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7B7B87C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w:t>
                  </w:r>
                </w:p>
              </w:tc>
              <w:tc>
                <w:tcPr>
                  <w:tcW w:w="888" w:type="pct"/>
                  <w:vMerge w:val="continue"/>
                  <w:noWrap w:val="0"/>
                  <w:vAlign w:val="center"/>
                </w:tcPr>
                <w:p w14:paraId="257916B8">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0F90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62FCEDE">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1797" w:type="pct"/>
                  <w:noWrap w:val="0"/>
                  <w:vAlign w:val="center"/>
                </w:tcPr>
                <w:p w14:paraId="532D94C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日最大8h平均</w:t>
                  </w:r>
                </w:p>
              </w:tc>
              <w:tc>
                <w:tcPr>
                  <w:tcW w:w="889" w:type="pct"/>
                  <w:noWrap w:val="0"/>
                  <w:vAlign w:val="center"/>
                </w:tcPr>
                <w:p w14:paraId="163D10F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160</w:t>
                  </w:r>
                </w:p>
              </w:tc>
              <w:tc>
                <w:tcPr>
                  <w:tcW w:w="888" w:type="pct"/>
                  <w:vMerge w:val="restart"/>
                  <w:noWrap w:val="0"/>
                  <w:vAlign w:val="center"/>
                </w:tcPr>
                <w:p w14:paraId="49DB3C71">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3069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703A394F">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494FB162">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3E924BEA">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43AAF024">
                  <w:pPr>
                    <w:pStyle w:val="22"/>
                    <w:spacing w:beforeLines="0" w:afterLines="0" w:line="240" w:lineRule="auto"/>
                    <w:ind w:left="0" w:firstLine="0"/>
                    <w:rPr>
                      <w:rFonts w:hint="default" w:ascii="Times New Roman" w:hAnsi="Times New Roman" w:cs="Times New Roman"/>
                      <w:b w:val="0"/>
                      <w:bCs/>
                      <w:color w:val="auto"/>
                      <w:sz w:val="21"/>
                      <w:szCs w:val="21"/>
                    </w:rPr>
                  </w:pPr>
                </w:p>
              </w:tc>
            </w:tr>
          </w:tbl>
          <w:p w14:paraId="552E1F8F">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（2）声环境质量标准：本项目所在区域属</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类声环境功能区，声环境质量执行《声环境质量标准》（GB3096-2008）</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类标准。</w:t>
            </w:r>
          </w:p>
          <w:p w14:paraId="7F7EE3DF">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ascii="Times New Roman" w:hAnsi="Times New Roman" w:eastAsia="宋体" w:cs="Times New Roman"/>
                <w:b/>
                <w:bCs/>
                <w:color w:val="auto"/>
                <w:lang w:val="en-US" w:eastAsia="zh-CN"/>
              </w:rPr>
              <w:t>4</w:t>
            </w:r>
            <w:r>
              <w:rPr>
                <w:rFonts w:hint="default" w:ascii="Times New Roman" w:hAnsi="Times New Roman" w:cs="Times New Roman"/>
                <w:b/>
                <w:bCs/>
                <w:color w:val="auto"/>
              </w:rPr>
              <w:t xml:space="preserve">  环境噪声评价标准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934"/>
              <w:gridCol w:w="1305"/>
              <w:gridCol w:w="981"/>
              <w:gridCol w:w="979"/>
              <w:gridCol w:w="928"/>
            </w:tblGrid>
            <w:tr w14:paraId="0CF1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8" w:type="pct"/>
                  <w:vMerge w:val="restart"/>
                  <w:noWrap w:val="0"/>
                  <w:vAlign w:val="center"/>
                </w:tcPr>
                <w:p w14:paraId="298BDD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环境类别</w:t>
                  </w:r>
                </w:p>
              </w:tc>
              <w:tc>
                <w:tcPr>
                  <w:tcW w:w="1730" w:type="pct"/>
                  <w:vMerge w:val="restart"/>
                  <w:noWrap w:val="0"/>
                  <w:vAlign w:val="center"/>
                </w:tcPr>
                <w:p w14:paraId="5359F3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标准名称及级（类）别</w:t>
                  </w:r>
                </w:p>
              </w:tc>
              <w:tc>
                <w:tcPr>
                  <w:tcW w:w="769" w:type="pct"/>
                  <w:vMerge w:val="restart"/>
                  <w:noWrap w:val="0"/>
                  <w:vAlign w:val="center"/>
                </w:tcPr>
                <w:p w14:paraId="6869A6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702" w:type="pct"/>
                  <w:gridSpan w:val="3"/>
                  <w:noWrap w:val="0"/>
                  <w:vAlign w:val="center"/>
                </w:tcPr>
                <w:p w14:paraId="5C7AA6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1367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continue"/>
                  <w:noWrap w:val="0"/>
                  <w:vAlign w:val="center"/>
                </w:tcPr>
                <w:p w14:paraId="052683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p>
              </w:tc>
              <w:tc>
                <w:tcPr>
                  <w:tcW w:w="1730" w:type="pct"/>
                  <w:vMerge w:val="continue"/>
                  <w:noWrap w:val="0"/>
                  <w:vAlign w:val="center"/>
                </w:tcPr>
                <w:p w14:paraId="365B69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p>
              </w:tc>
              <w:tc>
                <w:tcPr>
                  <w:tcW w:w="769" w:type="pct"/>
                  <w:vMerge w:val="continue"/>
                  <w:noWrap w:val="0"/>
                  <w:vAlign w:val="center"/>
                </w:tcPr>
                <w:p w14:paraId="75EEAF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p>
              </w:tc>
              <w:tc>
                <w:tcPr>
                  <w:tcW w:w="578" w:type="pct"/>
                  <w:noWrap w:val="0"/>
                  <w:vAlign w:val="center"/>
                </w:tcPr>
                <w:p w14:paraId="3EFEAA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124" w:type="pct"/>
                  <w:gridSpan w:val="2"/>
                  <w:noWrap w:val="0"/>
                  <w:vAlign w:val="center"/>
                </w:tcPr>
                <w:p w14:paraId="705133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数值</w:t>
                  </w:r>
                </w:p>
              </w:tc>
            </w:tr>
            <w:tr w14:paraId="2719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restart"/>
                  <w:noWrap w:val="0"/>
                  <w:vAlign w:val="center"/>
                </w:tcPr>
                <w:p w14:paraId="246D5A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730" w:type="pct"/>
                  <w:vMerge w:val="restart"/>
                  <w:noWrap w:val="0"/>
                  <w:vAlign w:val="center"/>
                </w:tcPr>
                <w:p w14:paraId="01BD10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w:t>
                  </w:r>
                  <w:r>
                    <w:rPr>
                      <w:rFonts w:hint="eastAsia"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类标准</w:t>
                  </w:r>
                </w:p>
              </w:tc>
              <w:tc>
                <w:tcPr>
                  <w:tcW w:w="769" w:type="pct"/>
                  <w:vMerge w:val="restart"/>
                  <w:noWrap w:val="0"/>
                  <w:vAlign w:val="center"/>
                </w:tcPr>
                <w:p w14:paraId="1D7733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w:t>
                  </w:r>
                  <w:r>
                    <w:rPr>
                      <w:rFonts w:hint="eastAsia" w:ascii="Times New Roman" w:hAnsi="Times New Roman" w:eastAsia="宋体" w:cs="Times New Roman"/>
                      <w:color w:val="auto"/>
                      <w:sz w:val="21"/>
                      <w:szCs w:val="21"/>
                      <w:lang w:val="en-US" w:eastAsia="zh-CN"/>
                    </w:rPr>
                    <w:t>连续A</w:t>
                  </w:r>
                  <w:r>
                    <w:rPr>
                      <w:rFonts w:hint="default" w:ascii="Times New Roman" w:hAnsi="Times New Roman" w:cs="Times New Roman"/>
                      <w:color w:val="auto"/>
                      <w:sz w:val="21"/>
                      <w:szCs w:val="21"/>
                    </w:rPr>
                    <w:t>声级</w:t>
                  </w:r>
                </w:p>
              </w:tc>
              <w:tc>
                <w:tcPr>
                  <w:tcW w:w="578" w:type="pct"/>
                  <w:vMerge w:val="restart"/>
                  <w:noWrap w:val="0"/>
                  <w:vAlign w:val="center"/>
                </w:tcPr>
                <w:p w14:paraId="6E1CFA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577" w:type="pct"/>
                  <w:noWrap w:val="0"/>
                  <w:vAlign w:val="center"/>
                </w:tcPr>
                <w:p w14:paraId="048130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547" w:type="pct"/>
                  <w:noWrap w:val="0"/>
                  <w:vAlign w:val="center"/>
                </w:tcPr>
                <w:p w14:paraId="11F9CA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6E91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8" w:type="pct"/>
                  <w:vMerge w:val="continue"/>
                  <w:noWrap w:val="0"/>
                  <w:vAlign w:val="center"/>
                </w:tcPr>
                <w:p w14:paraId="29C1FE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1730" w:type="pct"/>
                  <w:vMerge w:val="continue"/>
                  <w:noWrap w:val="0"/>
                  <w:vAlign w:val="center"/>
                </w:tcPr>
                <w:p w14:paraId="40B134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769" w:type="pct"/>
                  <w:vMerge w:val="continue"/>
                  <w:noWrap w:val="0"/>
                  <w:vAlign w:val="center"/>
                </w:tcPr>
                <w:p w14:paraId="098950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578" w:type="pct"/>
                  <w:vMerge w:val="continue"/>
                  <w:noWrap w:val="0"/>
                  <w:vAlign w:val="center"/>
                </w:tcPr>
                <w:p w14:paraId="61A8DA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577" w:type="pct"/>
                  <w:noWrap w:val="0"/>
                  <w:vAlign w:val="center"/>
                </w:tcPr>
                <w:p w14:paraId="06AEC8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547" w:type="pct"/>
                  <w:noWrap w:val="0"/>
                  <w:vAlign w:val="center"/>
                </w:tcPr>
                <w:p w14:paraId="2BB138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bl>
          <w:p w14:paraId="478EC705">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2、污染物排放标准</w:t>
            </w:r>
          </w:p>
          <w:p w14:paraId="4CEC82B5">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244CF18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①施工扬尘执行《施工场界扬尘排放限值》（DB61/1078-2017）标准，具体工场界扬尘（总悬浮颗粒物）浓度标准限值</w:t>
            </w:r>
            <w:r>
              <w:rPr>
                <w:rFonts w:hint="default" w:ascii="Times New Roman" w:hAnsi="Times New Roman" w:cs="Times New Roman"/>
                <w:color w:val="auto"/>
                <w:kern w:val="0"/>
                <w:sz w:val="24"/>
              </w:rPr>
              <w:t>见表</w:t>
            </w:r>
            <w:r>
              <w:rPr>
                <w:rFonts w:hint="default" w:ascii="Times New Roman" w:hAnsi="Times New Roman" w:eastAsia="TimesNewRomanPSMT" w:cs="Times New Roman"/>
                <w:color w:val="auto"/>
                <w:kern w:val="0"/>
                <w:sz w:val="24"/>
              </w:rPr>
              <w:t>3-</w:t>
            </w:r>
            <w:r>
              <w:rPr>
                <w:rFonts w:hint="eastAsia" w:ascii="Times New Roman" w:hAnsi="Times New Roman" w:eastAsia="宋体" w:cs="Times New Roman"/>
                <w:color w:val="auto"/>
                <w:kern w:val="0"/>
                <w:sz w:val="24"/>
                <w:lang w:val="en-US" w:eastAsia="zh-CN"/>
              </w:rPr>
              <w:t>5</w:t>
            </w:r>
            <w:r>
              <w:rPr>
                <w:rFonts w:hint="default" w:ascii="Times New Roman" w:hAnsi="Times New Roman" w:cs="Times New Roman"/>
                <w:color w:val="auto"/>
                <w:sz w:val="24"/>
              </w:rPr>
              <w:t>。</w:t>
            </w:r>
          </w:p>
          <w:p w14:paraId="7E080CC6">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cs="Times New Roman"/>
                <w:b/>
                <w:bCs/>
                <w:color w:val="auto"/>
                <w:sz w:val="21"/>
                <w:szCs w:val="21"/>
              </w:rPr>
              <w:t xml:space="preserve">  施工场界扬尘（总悬浮颗粒物）浓度限值</w:t>
            </w:r>
          </w:p>
          <w:tbl>
            <w:tblPr>
              <w:tblStyle w:val="1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2486"/>
              <w:gridCol w:w="3676"/>
            </w:tblGrid>
            <w:tr w14:paraId="29E5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0CC1BE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468" w:type="pct"/>
                  <w:noWrap w:val="0"/>
                  <w:vAlign w:val="center"/>
                </w:tcPr>
                <w:p w14:paraId="36B32F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169" w:type="pct"/>
                  <w:noWrap w:val="0"/>
                  <w:vAlign w:val="center"/>
                </w:tcPr>
                <w:p w14:paraId="08AAE3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小时平均浓度限值（mg/m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14:paraId="10E3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53E534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施工扬尘（即总悬浮颗粒物TSP）</w:t>
                  </w:r>
                </w:p>
              </w:tc>
              <w:tc>
                <w:tcPr>
                  <w:tcW w:w="1468" w:type="pct"/>
                  <w:noWrap w:val="0"/>
                  <w:vAlign w:val="center"/>
                </w:tcPr>
                <w:p w14:paraId="7B7C0C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169" w:type="pct"/>
                  <w:noWrap w:val="0"/>
                  <w:vAlign w:val="center"/>
                </w:tcPr>
                <w:p w14:paraId="7B55D3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r>
            <w:tr w14:paraId="44CA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3F75836A">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说明：周界外浓度最高点一般应设置于无组织排放源下风向的单位周界外10m范围内，若预计无组织排放的最大落地浓度点超出10m范围，可将监控点移至该预计浓度最高点附近。</w:t>
                  </w:r>
                </w:p>
              </w:tc>
            </w:tr>
          </w:tbl>
          <w:p w14:paraId="3BB2D365">
            <w:pPr>
              <w:spacing w:line="360" w:lineRule="auto"/>
              <w:ind w:firstLine="480" w:firstLineChars="20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rPr>
              <w:t>②</w:t>
            </w:r>
            <w:r>
              <w:rPr>
                <w:rFonts w:hint="default" w:ascii="Times New Roman" w:hAnsi="Times New Roman" w:cs="Times New Roman"/>
                <w:color w:val="auto"/>
                <w:sz w:val="24"/>
                <w:szCs w:val="24"/>
                <w:lang w:val="en-US" w:eastAsia="zh-CN"/>
              </w:rPr>
              <w:t>试气阶段无组织逸散的非甲烷总烃执行《陆上石油天然气开采工业大气污染物排放标准》（GB 39728-2020）中无组织排放监控浓度限值标准，具体限值见表3-</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w:t>
            </w:r>
          </w:p>
          <w:p w14:paraId="1F280AB8">
            <w:pPr>
              <w:pStyle w:val="10"/>
              <w:keepNext w:val="0"/>
              <w:keepLines w:val="0"/>
              <w:pageBreakBefore w:val="0"/>
              <w:widowControl w:val="0"/>
              <w:kinsoku/>
              <w:wordWrap/>
              <w:overflowPunct/>
              <w:topLinePunct w:val="0"/>
              <w:autoSpaceDE/>
              <w:autoSpaceDN/>
              <w:bidi w:val="0"/>
              <w:adjustRightInd/>
              <w:snapToGrid/>
              <w:spacing w:before="79" w:beforeLines="25"/>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《陆上石油天然气开采工业大气污染物排放标准》（GB 39728-2020）中无组织非甲烷总烃浓度限值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40"/>
              <w:gridCol w:w="4240"/>
            </w:tblGrid>
            <w:tr w14:paraId="7C93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59376740">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500" w:type="pct"/>
                  <w:vAlign w:val="center"/>
                </w:tcPr>
                <w:p w14:paraId="24E6D013">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无组织排放监控浓度限值</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4523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0BA4B3B7">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2500" w:type="pct"/>
                  <w:vAlign w:val="center"/>
                </w:tcPr>
                <w:p w14:paraId="626578B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bl>
          <w:p w14:paraId="02575BE0">
            <w:pPr>
              <w:pStyle w:val="26"/>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eastAsia"/>
                <w:color w:val="auto"/>
              </w:rPr>
              <w:t>本项目为天然气</w:t>
            </w:r>
            <w:r>
              <w:rPr>
                <w:rFonts w:hint="eastAsia" w:eastAsia="宋体"/>
                <w:color w:val="auto"/>
                <w:lang w:val="en-US" w:eastAsia="zh-CN"/>
              </w:rPr>
              <w:t>评价</w:t>
            </w:r>
            <w:r>
              <w:rPr>
                <w:rFonts w:hint="eastAsia"/>
                <w:color w:val="auto"/>
              </w:rPr>
              <w:t>井项目，仅涉及施工期，施工期废水均不外排</w:t>
            </w:r>
            <w:r>
              <w:rPr>
                <w:rFonts w:hint="default" w:ascii="Times New Roman" w:hAnsi="Times New Roman" w:cs="Times New Roman"/>
                <w:color w:val="auto"/>
                <w:sz w:val="24"/>
              </w:rPr>
              <w:t>。</w:t>
            </w:r>
          </w:p>
          <w:p w14:paraId="117F5F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（3）施工噪声执行《建筑施工场界环境噪声排放标准》（GB12523-2011）标准，具体施工期噪声执行标准见表3-</w:t>
            </w:r>
            <w:r>
              <w:rPr>
                <w:rFonts w:hint="eastAsia" w:ascii="Times New Roman" w:hAnsi="Times New Roman" w:eastAsia="宋体" w:cs="Times New Roman"/>
                <w:color w:val="auto"/>
                <w:sz w:val="24"/>
                <w:lang w:val="en-US" w:eastAsia="zh-CN"/>
              </w:rPr>
              <w:t>7</w:t>
            </w:r>
            <w:r>
              <w:rPr>
                <w:rFonts w:hint="default" w:ascii="Times New Roman" w:hAnsi="Times New Roman" w:cs="Times New Roman"/>
                <w:color w:val="auto"/>
                <w:sz w:val="24"/>
              </w:rPr>
              <w:t>。</w:t>
            </w:r>
          </w:p>
          <w:p w14:paraId="4EBC57CD">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《建筑施工场界环境噪声排放标准》  （GB12523-2011）</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9"/>
              <w:gridCol w:w="4421"/>
            </w:tblGrid>
            <w:tr w14:paraId="0474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5A8232C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607" w:type="pct"/>
                  <w:noWrap w:val="0"/>
                  <w:vAlign w:val="center"/>
                </w:tcPr>
                <w:p w14:paraId="07128C3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1385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16E2E85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70dB（A）</w:t>
                  </w:r>
                </w:p>
              </w:tc>
              <w:tc>
                <w:tcPr>
                  <w:tcW w:w="2607" w:type="pct"/>
                  <w:noWrap w:val="0"/>
                  <w:vAlign w:val="center"/>
                </w:tcPr>
                <w:p w14:paraId="153F025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55dB（A）</w:t>
                  </w:r>
                </w:p>
              </w:tc>
            </w:tr>
          </w:tbl>
          <w:p w14:paraId="4B2124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rPr>
              <w:t>（4）固体废物执行《一般工业固体废物贮存和填埋污染控制标准》（GB18599-2020）有关要求；生活垃圾执行《生活垃圾填埋场污染控制标准》（GB16889-2008）中的相关规定；《危险废物贮存污染控制标准》（GB18597-2023）标准要求和《危险废物识别标志设置技术规范》（HJ1276—2022）。</w:t>
            </w:r>
          </w:p>
        </w:tc>
      </w:tr>
      <w:tr w14:paraId="6F4C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7221D34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521" w:type="dxa"/>
            <w:vAlign w:val="center"/>
          </w:tcPr>
          <w:p w14:paraId="3B6CE979">
            <w:pPr>
              <w:pStyle w:val="7"/>
              <w:spacing w:line="360" w:lineRule="auto"/>
              <w:jc w:val="both"/>
              <w:rPr>
                <w:rFonts w:hint="default"/>
                <w:color w:val="auto"/>
                <w:lang w:val="en-US" w:eastAsia="zh-CN"/>
              </w:rPr>
            </w:pPr>
            <w:r>
              <w:rPr>
                <w:rFonts w:hint="default" w:ascii="Times New Roman" w:hAnsi="Times New Roman" w:eastAsia="宋体" w:cs="Times New Roman"/>
                <w:b w:val="0"/>
                <w:bCs w:val="0"/>
                <w:color w:val="auto"/>
                <w:sz w:val="24"/>
                <w:szCs w:val="24"/>
                <w:vertAlign w:val="baseline"/>
                <w:lang w:val="en-US" w:eastAsia="zh-CN"/>
              </w:rPr>
              <w:t>本项目钻井属于油气田开发的施工期，时间较短，项目不涉及运营期，污染物的排放随着施工期的结束而结束，在满足达标排放和环境功能区划达标的前提下，建议不核定总量指标，可以将钻井期间产生的污染物排放总量作为施工期环境管理的依据。</w:t>
            </w:r>
          </w:p>
        </w:tc>
      </w:tr>
    </w:tbl>
    <w:p w14:paraId="66C2CBC2">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2ADC213C">
      <w:pPr>
        <w:numPr>
          <w:ilvl w:val="0"/>
          <w:numId w:val="5"/>
        </w:numPr>
        <w:ind w:left="0" w:leftChars="0" w:firstLine="0" w:firstLineChars="0"/>
        <w:jc w:val="center"/>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生态环境影响分析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
        <w:gridCol w:w="8920"/>
      </w:tblGrid>
      <w:tr w14:paraId="67E8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1" w:hRule="atLeast"/>
        </w:trPr>
        <w:tc>
          <w:tcPr>
            <w:tcW w:w="659" w:type="dxa"/>
            <w:vAlign w:val="center"/>
          </w:tcPr>
          <w:p w14:paraId="30EC143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施工期生态环境影响分析</w:t>
            </w:r>
          </w:p>
        </w:tc>
        <w:tc>
          <w:tcPr>
            <w:tcW w:w="8629" w:type="dxa"/>
            <w:vAlign w:val="top"/>
          </w:tcPr>
          <w:p w14:paraId="39C2C7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一、施工期生态影响</w:t>
            </w:r>
          </w:p>
          <w:p w14:paraId="103A29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本项目钻前工程施工时对</w:t>
            </w:r>
            <w:r>
              <w:rPr>
                <w:rFonts w:hint="eastAsia" w:ascii="Times New Roman" w:hAnsi="Times New Roman" w:eastAsia="宋体" w:cs="Times New Roman"/>
                <w:b w:val="0"/>
                <w:bCs w:val="0"/>
                <w:color w:val="auto"/>
                <w:sz w:val="24"/>
                <w:szCs w:val="24"/>
                <w:vertAlign w:val="baseline"/>
                <w:lang w:val="en-US" w:eastAsia="zh-CN"/>
              </w:rPr>
              <w:t>井场、生活区</w:t>
            </w:r>
            <w:r>
              <w:rPr>
                <w:rFonts w:hint="default" w:ascii="Times New Roman" w:hAnsi="Times New Roman" w:eastAsia="宋体" w:cs="Times New Roman"/>
                <w:b w:val="0"/>
                <w:bCs w:val="0"/>
                <w:color w:val="auto"/>
                <w:sz w:val="24"/>
                <w:szCs w:val="24"/>
                <w:vertAlign w:val="baseline"/>
                <w:lang w:val="en-US" w:eastAsia="zh-CN"/>
              </w:rPr>
              <w:t>场地进行平整、开挖、施工车辆碾压等活动会对活动范围内的土壤质地和性质以及地表植被造成影响，从而造成一定量的水土流失，随着施工的结束，影响也随之消失。</w:t>
            </w:r>
          </w:p>
          <w:p w14:paraId="6D3D8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附近以耕地、种植园用地、草地为主，本项目工程占地改变了原有土地利用现状，土地利用功能也随之改变。项目临时占地结束后可对土地利用进行恢复，因此对周边生态环境影响不明显。项目施工期对生态环境的影响主要表现在以下几个方面：</w:t>
            </w:r>
          </w:p>
          <w:p w14:paraId="3EECE7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1、土地利用现状的改变</w:t>
            </w:r>
          </w:p>
          <w:p w14:paraId="7A6935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本项目井场占</w:t>
            </w:r>
            <w:r>
              <w:rPr>
                <w:rFonts w:hint="default" w:ascii="Times New Roman" w:hAnsi="Times New Roman" w:eastAsia="宋体" w:cs="Times New Roman"/>
                <w:b w:val="0"/>
                <w:bCs w:val="0"/>
                <w:color w:val="auto"/>
                <w:sz w:val="24"/>
                <w:szCs w:val="24"/>
                <w:highlight w:val="none"/>
                <w:vertAlign w:val="baseline"/>
                <w:lang w:val="en-US" w:eastAsia="zh-CN"/>
              </w:rPr>
              <w:t>地面积</w:t>
            </w:r>
            <w:r>
              <w:rPr>
                <w:rFonts w:hint="eastAsia" w:ascii="Times New Roman" w:hAnsi="Times New Roman" w:eastAsia="宋体" w:cs="Times New Roman"/>
                <w:b w:val="0"/>
                <w:bCs w:val="0"/>
                <w:color w:val="auto"/>
                <w:sz w:val="24"/>
                <w:szCs w:val="24"/>
                <w:highlight w:val="none"/>
                <w:vertAlign w:val="baseline"/>
                <w:lang w:val="en-US" w:eastAsia="zh-CN"/>
              </w:rPr>
              <w:t>12598</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，生活区占地面积</w:t>
            </w:r>
            <w:r>
              <w:rPr>
                <w:rFonts w:hint="eastAsia" w:ascii="Times New Roman" w:hAnsi="Times New Roman" w:eastAsia="宋体" w:cs="Times New Roman"/>
                <w:b w:val="0"/>
                <w:bCs w:val="0"/>
                <w:color w:val="auto"/>
                <w:sz w:val="24"/>
                <w:szCs w:val="24"/>
                <w:highlight w:val="none"/>
                <w:vertAlign w:val="baseline"/>
                <w:lang w:val="en-US" w:eastAsia="zh-CN"/>
              </w:rPr>
              <w:t>875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，进场道路占地面积873</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全部为临时用地，不涉及永久占地。项目建设对生态环境的影响主要表现为项目占地使土地功能发生改变；临时占地会在一定程度上改变土地利用方式，临时性的减小牧草地的面积。工程利用挖方回填，同时对土地按照相关要求进行堆放并采取覆盖等措施，尽可能的减小对当地土地资源的影响；临时占地只在短期内改变土地利用性质，钻井工程完成后，若本井不产气，则对本项目钻井期间施工区域进行植被恢复，若本井产气则进行集输工程，征地工作根据集输工程要求进行。</w:t>
            </w:r>
          </w:p>
          <w:p w14:paraId="6CA420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2、水土流失影响分析</w:t>
            </w:r>
          </w:p>
          <w:p w14:paraId="4428A3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施工期将损坏施工区域范围原地貌，破坏原有植被，改变其水土保持状况，如遇大风或降雨天气将加剧水土流失。</w:t>
            </w:r>
          </w:p>
          <w:p w14:paraId="781215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开发建设造成的水土流失主要在施工期，造成水土流失的主要因素有：新建井场、道路、生活区以及钻井及开挖、回填过程中，开挖作业造成土壤结构破坏、微地形改变和植被破坏，使土壤抗蚀性和抗冲性明显降低；工程施工将产生弃土弃渣，弃渣若分散堆置在坡面，极易被水流冲刷，引起水土流失；道路经过陡峻山坡，由于开挖，坡度变陡，失去稳定平衡，为崩塌、滑坡制造了条件，极易引起重力侵蚀。</w:t>
            </w:r>
          </w:p>
          <w:p w14:paraId="014143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严格控制占地范围和施工范围，减少扰动面积；严格控制施工人员、车辆在规定的施工临时占地内活动、行驶，以减少对沿线植被的破坏，凡受到施工人员、车辆破坏的地方，施工结束后立即采取人工措施播撒草种，尽快降低土壤侵蚀，对裸露地表进行植被恢复，增强地表稳定性。</w:t>
            </w:r>
          </w:p>
          <w:p w14:paraId="7EF2E0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3、动物及植被影响分析</w:t>
            </w:r>
          </w:p>
          <w:p w14:paraId="7CB239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工程施工期对植被的影响主要为建设过程中的植被剥离、清理和占压，临时占地土方回填后，可以恢复原植被类型。对动物的影响主要为栖息地破坏引起的动物逃离、施工噪声对动物的干扰。</w:t>
            </w:r>
          </w:p>
          <w:p w14:paraId="66374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（1）对植被的影响</w:t>
            </w:r>
          </w:p>
          <w:p w14:paraId="049991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对植被的影响主要有占地范围内原有植物的剥离、清理及占压。在施工过程中，土壤开挖区范围内植物的地上部分与根系均被清除，施工区的植被由于挖掘土石的堆放、人员的践踏、施工车辆和机具的碾压而受到不同程度的破坏，会造成植被破坏甚至死亡。</w:t>
            </w:r>
          </w:p>
          <w:p w14:paraId="451904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工程填挖方均占压和清除一定数量的地表植物，使填挖区被生土覆盖或出露生土，植物恢复须经过较长时间。项目工期较短，建设完毕后即进行植被恢复，长期来看对植被的影响较小。</w:t>
            </w:r>
          </w:p>
          <w:p w14:paraId="0D12FC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（2）对动物的影响</w:t>
            </w:r>
          </w:p>
          <w:p w14:paraId="47F2B1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建设期对动物的影响，主要是运输、施工噪声和人为活动，迫使动物离开场站区域，大规模的建设活动，将使建设期内难以见到野生动物。但项目周边无自然保护区，无珍稀濒危动物，野生动物稀少，主要为鼠类和草兔等常见种。工程施工对野生动物的影响较小，随着施工结束这种影响亦结束。</w:t>
            </w:r>
          </w:p>
          <w:p w14:paraId="7397B2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4、景观生态影响分析</w:t>
            </w:r>
          </w:p>
          <w:p w14:paraId="705F85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建设期主要是对原有景观的破坏，井场建设破坏其所在地及其附近的原有景观，形成片状人工景观。由于建设期工程占地均为临时占地，施工完采取生态恢复措施后，评价认为项目对评价区景观格局影响有限。</w:t>
            </w:r>
          </w:p>
          <w:p w14:paraId="751F8F26">
            <w:pPr>
              <w:pStyle w:val="5"/>
              <w:keepNext w:val="0"/>
              <w:keepLines w:val="0"/>
              <w:pageBreakBefore w:val="0"/>
              <w:kinsoku/>
              <w:wordWrap/>
              <w:overflowPunct/>
              <w:topLinePunct w:val="0"/>
              <w:autoSpaceDE/>
              <w:autoSpaceDN/>
              <w:bidi w:val="0"/>
              <w:adjustRightInd/>
              <w:snapToGrid/>
              <w:spacing w:before="0"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5、对土壤沙化影响分析</w:t>
            </w:r>
          </w:p>
          <w:p w14:paraId="1F2530F4">
            <w:pPr>
              <w:pStyle w:val="26"/>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防沙治沙规划（2021-2030年）》，佳县属于黄土（丘陵）覆沙治理区，不涉及沙化土地封禁保护区及沙地。由于施工中土体被剥离、扰动土壤以及破坏地表植物，可能会导致土地沙化。根据现场踏勘，本项目所处区域土地未完全沙化，生态功能较好，且通过采取分段施工、控制施工作业带、及时对植被进行恢复，并加强管理，避免施工乱砍滥发植物资源、避免机械随意行驶等措施，防止因本项目建设导致土地沙化。</w:t>
            </w:r>
          </w:p>
          <w:p w14:paraId="4672B4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二、大气环境影响</w:t>
            </w:r>
          </w:p>
          <w:p w14:paraId="75AB04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w:t>
            </w:r>
            <w:r>
              <w:rPr>
                <w:rFonts w:hint="eastAsia" w:ascii="Times New Roman" w:hAnsi="Times New Roman" w:eastAsia="宋体" w:cs="Times New Roman"/>
                <w:b w:val="0"/>
                <w:bCs w:val="0"/>
                <w:color w:val="auto"/>
                <w:sz w:val="24"/>
                <w:szCs w:val="24"/>
                <w:vertAlign w:val="baseline"/>
                <w:lang w:val="en-US" w:eastAsia="zh-CN"/>
              </w:rPr>
              <w:t>评价</w:t>
            </w:r>
            <w:r>
              <w:rPr>
                <w:rFonts w:hint="default" w:ascii="Times New Roman" w:hAnsi="Times New Roman" w:eastAsia="宋体" w:cs="Times New Roman"/>
                <w:b w:val="0"/>
                <w:bCs w:val="0"/>
                <w:color w:val="auto"/>
                <w:sz w:val="24"/>
                <w:szCs w:val="24"/>
                <w:vertAlign w:val="baseline"/>
                <w:lang w:val="en-US" w:eastAsia="zh-CN"/>
              </w:rPr>
              <w:t>工程，不涉及运营期，本次评价仅对勘探过程中对环境的影响进行分析，不包括天然气开采、外输管道建设的评价，如需进行天然气开采、外输管道建设，需另行开展环境影响评价。</w:t>
            </w:r>
          </w:p>
          <w:p w14:paraId="14F920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施工期废气主要为施工扬尘、施工车辆和机械尾气以及测试放喷和事故放喷天然气燃烧废气。项目施工期施工扬尘、施工车辆和机械尾气产生废物污染物较小，施工期较短，加之当地扩散条件良好，经自然扩散后能达标排放，对周围环境影响较小。</w:t>
            </w:r>
          </w:p>
          <w:p w14:paraId="48980F45">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施工扬尘</w:t>
            </w:r>
          </w:p>
          <w:p w14:paraId="4C9180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扬尘主要来自场地平整与土方开挖、物料堆放及运输车辆行驶道路扬尘。场地整平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w:t>
            </w:r>
          </w:p>
          <w:p w14:paraId="7E1AB3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阶段土地平整、开挖、回填土方会形成大面积裸露地面，使各种沉降在地表上的气溶胶粒子等成为扬尘的天然来源。在施工过程中，如果管理措施不够完善，粗放式施工，工地料堆遮挡不够完善、严密，不能及时清理，在不利气候如大风（风速≥5m/s）条件下，这些颗粒物就会从地表进入空气中。在不利天气条件下，施工扬尘可在150m范围内超过</w:t>
            </w:r>
            <w:r>
              <w:rPr>
                <w:rFonts w:hint="default" w:ascii="Times New Roman" w:hAnsi="Times New Roman" w:cs="Times New Roman"/>
                <w:color w:val="auto"/>
                <w:sz w:val="24"/>
              </w:rPr>
              <w:t>《施工场界扬尘排放限值》（DB61/1078-2017）标准</w:t>
            </w:r>
            <w:r>
              <w:rPr>
                <w:rFonts w:hint="default" w:ascii="Times New Roman" w:hAnsi="Times New Roman" w:eastAsia="宋体" w:cs="Times New Roman"/>
                <w:b w:val="0"/>
                <w:bCs w:val="0"/>
                <w:color w:val="auto"/>
                <w:sz w:val="24"/>
                <w:szCs w:val="24"/>
                <w:vertAlign w:val="baseline"/>
                <w:lang w:val="en-US" w:eastAsia="zh-CN"/>
              </w:rPr>
              <w:t>，对大气环境可造成不利影响。</w:t>
            </w:r>
            <w:r>
              <w:rPr>
                <w:rFonts w:hint="eastAsia" w:ascii="Times New Roman" w:hAnsi="Times New Roman" w:eastAsia="宋体" w:cs="Times New Roman"/>
                <w:b w:val="0"/>
                <w:bCs w:val="0"/>
                <w:color w:val="auto"/>
                <w:sz w:val="24"/>
                <w:szCs w:val="24"/>
                <w:vertAlign w:val="baseline"/>
                <w:lang w:val="en-US" w:eastAsia="zh-CN"/>
              </w:rPr>
              <w:t>本项目150m范围内，有1户张家沟村村民，井场钻井过程中需增加洒水频次，通过增加洒水频次，大风天气停止作业等措施能够有效降低项目对周边环境的影响。</w:t>
            </w:r>
          </w:p>
          <w:p w14:paraId="017E943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2、机械废气</w:t>
            </w:r>
          </w:p>
          <w:p w14:paraId="281A52F4">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机械废气包括施工机械废气和运输车辆废气，</w:t>
            </w:r>
            <w:r>
              <w:rPr>
                <w:rFonts w:hint="eastAsia" w:ascii="Times New Roman" w:hAnsi="Times New Roman" w:cs="Times New Roman"/>
                <w:color w:val="auto"/>
                <w:lang w:val="en-US" w:eastAsia="zh-CN"/>
              </w:rPr>
              <w:t>本项目各类施工机械均使用电驱动，不会产生废气。</w:t>
            </w:r>
          </w:p>
          <w:p w14:paraId="613AF5A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cs="Times New Roman"/>
                <w:color w:val="auto"/>
                <w:lang w:val="en-US" w:eastAsia="zh-CN"/>
              </w:rPr>
              <w:t>本项目运输车辆使用低硫燃料（含硫量低于10ppm），定期对车辆维修保养，减少废气的排放量。由于本项目施工期较短，运输车辆产生的废气量较少，项目周边扩散条件较好，对周边环境影响较小。</w:t>
            </w:r>
          </w:p>
          <w:p w14:paraId="4509E8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w:t>
            </w:r>
            <w:r>
              <w:rPr>
                <w:rFonts w:hint="default" w:ascii="Times New Roman" w:hAnsi="Times New Roman" w:eastAsia="宋体" w:cs="Times New Roman"/>
                <w:b/>
                <w:bCs/>
                <w:color w:val="auto"/>
                <w:sz w:val="24"/>
                <w:szCs w:val="24"/>
                <w:vertAlign w:val="baseline"/>
                <w:lang w:val="en-US" w:eastAsia="zh-CN"/>
              </w:rPr>
              <w:t>、测试放喷天然气燃烧废气</w:t>
            </w:r>
          </w:p>
          <w:p w14:paraId="5D36CC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为了准确了解和进一步核定气井的产气量，在完井后，通常需进行测试放喷，单井测试时间约1-2天，依据测试气量间歇放喷，每次持续时间约4～6h，属短时间歇排放，测试的天然气经专用管线引至</w:t>
            </w:r>
            <w:r>
              <w:rPr>
                <w:rFonts w:hint="eastAsia" w:ascii="Times New Roman" w:hAnsi="Times New Roman" w:cs="Times New Roman"/>
                <w:color w:val="auto"/>
                <w:lang w:val="en-US" w:eastAsia="zh-CN"/>
              </w:rPr>
              <w:t>放喷池内</w:t>
            </w:r>
            <w:r>
              <w:rPr>
                <w:rFonts w:hint="default" w:ascii="Times New Roman" w:hAnsi="Times New Roman" w:cs="Times New Roman"/>
                <w:color w:val="auto"/>
                <w:lang w:val="en-US" w:eastAsia="zh-CN"/>
              </w:rPr>
              <w:t>进行点火放喷，废气产生量较小。类比周围探井的天然气组分</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天然气中不含H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w:t>
            </w:r>
            <w:r>
              <w:rPr>
                <w:rFonts w:hint="eastAsia" w:ascii="Times New Roman" w:hAnsi="Times New Roman" w:cs="Times New Roman"/>
                <w:color w:val="auto"/>
                <w:lang w:val="en-US" w:eastAsia="zh-CN"/>
              </w:rPr>
              <w:t>、SO</w:t>
            </w:r>
            <w:r>
              <w:rPr>
                <w:rFonts w:hint="eastAsia"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，故排放的气体主要含颗粒物、H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O、CO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、NOx以及未完全燃烧的少量非甲烷总烃。</w:t>
            </w:r>
          </w:p>
          <w:p w14:paraId="136CBA1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根据相关设计资料，钻井试压作业中约有1×10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的天然气通过井场</w:t>
            </w:r>
            <w:r>
              <w:rPr>
                <w:rFonts w:hint="eastAsia" w:ascii="Times New Roman" w:hAnsi="Times New Roman" w:cs="Times New Roman"/>
                <w:color w:val="auto"/>
                <w:lang w:val="en-US" w:eastAsia="zh-CN"/>
              </w:rPr>
              <w:t>放喷池内</w:t>
            </w:r>
            <w:r>
              <w:rPr>
                <w:rFonts w:hint="default" w:ascii="Times New Roman" w:hAnsi="Times New Roman" w:cs="Times New Roman"/>
                <w:color w:val="auto"/>
                <w:lang w:val="en-US" w:eastAsia="zh-CN"/>
              </w:rPr>
              <w:t>燃烧排放，废气中的主要污染物为颗粒物和NOx，以及未完全燃烧的少量非甲烷总烃。参照《排放源统计调查产排污核算方法和系数手册》（生态环境部办公厅2021年6月11日印发）中“4430工业锅炉（热力生产和供应行业）产污系数表-燃气工业锅炉”的排放系数进行源强估算，颗粒物排放系数为1.039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天然气，NOx排放系数为18.71kg/万m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天然气，经计算，烟尘排放量为1.039kg，NOx排放量为18.71kg。排放废气中非甲烷总烃为不完全燃烧产生，其排放量非常少不再进行定量计算。</w:t>
            </w:r>
            <w:r>
              <w:rPr>
                <w:rFonts w:hint="eastAsia" w:ascii="Times New Roman" w:hAnsi="Times New Roman" w:cs="Times New Roman"/>
                <w:color w:val="auto"/>
                <w:lang w:val="en-US" w:eastAsia="zh-CN"/>
              </w:rPr>
              <w:t>由于本项目属于新层位勘探，因此暂无天然气成分表，无法确定天然气中硫含量，因此环评要求项目钻探期间发现天然气后立即进行成分分析并且对井场H</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S含量进行监测，避免对钻井人员身体健康造成危害。</w:t>
            </w:r>
          </w:p>
          <w:p w14:paraId="174BA763">
            <w:pPr>
              <w:pStyle w:val="2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选址位于距离井口100m外的厂地上，项目</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内壁由防火砖砌成，外侧设有钢筋水泥墙及钢板，周边50m范围植被以草地为主，无高大林木，地势空旷便于废气扩散，且</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位于当地</w:t>
            </w:r>
            <w:r>
              <w:rPr>
                <w:rFonts w:hint="eastAsia" w:ascii="Times New Roman" w:hAnsi="Times New Roman" w:cs="Times New Roman"/>
                <w:color w:val="auto"/>
                <w:lang w:val="en-US" w:eastAsia="zh-CN"/>
              </w:rPr>
              <w:t>井场</w:t>
            </w:r>
            <w:r>
              <w:rPr>
                <w:rFonts w:hint="default" w:ascii="Times New Roman" w:hAnsi="Times New Roman" w:cs="Times New Roman"/>
                <w:color w:val="auto"/>
                <w:lang w:val="en-US" w:eastAsia="zh-CN"/>
              </w:rPr>
              <w:t>常年风向的</w:t>
            </w:r>
            <w:r>
              <w:rPr>
                <w:rFonts w:hint="eastAsia" w:ascii="Times New Roman" w:hAnsi="Times New Roman" w:cs="Times New Roman"/>
                <w:color w:val="auto"/>
                <w:lang w:val="en-US" w:eastAsia="zh-CN"/>
              </w:rPr>
              <w:t>下</w:t>
            </w:r>
            <w:r>
              <w:rPr>
                <w:rFonts w:hint="default" w:ascii="Times New Roman" w:hAnsi="Times New Roman" w:cs="Times New Roman"/>
                <w:color w:val="auto"/>
                <w:lang w:val="en-US" w:eastAsia="zh-CN"/>
              </w:rPr>
              <w:t>风向处。</w:t>
            </w:r>
          </w:p>
          <w:p w14:paraId="61A41A0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虽然产生的废气对环境影响微小，但为了最大程度降低测试放喷废气对环境的影响，测试放喷时，要选择合适的时间，在天气晴朗，且风较大的天气进行，便于废气扩散；加之测试放喷时间短，对大气环境的影响较短，测试完毕，影响很快消除，因此对环境影响较小。</w:t>
            </w:r>
          </w:p>
          <w:p w14:paraId="4CED12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、事故放喷天然气燃烧废气</w:t>
            </w:r>
          </w:p>
          <w:p w14:paraId="2FD931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事故放喷是由于地层高压异常导致的，在石油天然气行业是低概率事件。事故放喷时间持续较短，且通过专用的放喷管线将天然气引至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0E8F26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5</w:t>
            </w:r>
            <w:r>
              <w:rPr>
                <w:rFonts w:hint="default" w:ascii="Times New Roman" w:hAnsi="Times New Roman" w:eastAsia="宋体" w:cs="Times New Roman"/>
                <w:b/>
                <w:bCs/>
                <w:color w:val="auto"/>
                <w:sz w:val="24"/>
                <w:szCs w:val="24"/>
                <w:vertAlign w:val="baseline"/>
                <w:lang w:val="en-US" w:eastAsia="zh-CN"/>
              </w:rPr>
              <w:t>、临时道路扬尘</w:t>
            </w:r>
          </w:p>
          <w:p w14:paraId="3235B4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项目组出入井场时，在临时道路行驶，应控制车速，以减少道路扬尘污染，临时道路两侧应根据情况设置排水渠，减少水土流失，施工结束后，根据需求，对临时道路进行生态恢复。</w:t>
            </w:r>
          </w:p>
          <w:p w14:paraId="0335E3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综上所述，工程废气对周边大气环境和环境保护目标的影响可接受。</w:t>
            </w:r>
          </w:p>
          <w:p w14:paraId="3C13A2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三、地表水环境影响</w:t>
            </w:r>
          </w:p>
          <w:p w14:paraId="7D2B8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项目用水主要为施工人员的生活用水和钻井生产用水，生产用水由水罐车运送，生活用水采用桶装水；废水主要为施工废水、钻井废水、洗井废水、</w:t>
            </w:r>
            <w:r>
              <w:rPr>
                <w:rFonts w:hint="eastAsia" w:ascii="Times New Roman" w:hAnsi="Times New Roman" w:eastAsia="宋体" w:cs="Times New Roman"/>
                <w:b w:val="0"/>
                <w:bCs w:val="0"/>
                <w:color w:val="auto"/>
                <w:sz w:val="24"/>
                <w:szCs w:val="24"/>
                <w:vertAlign w:val="baseline"/>
                <w:lang w:val="en-US" w:eastAsia="zh-CN"/>
              </w:rPr>
              <w:t>压裂</w:t>
            </w:r>
            <w:r>
              <w:rPr>
                <w:rFonts w:hint="default" w:ascii="Times New Roman" w:hAnsi="Times New Roman" w:eastAsia="宋体" w:cs="Times New Roman"/>
                <w:b w:val="0"/>
                <w:bCs w:val="0"/>
                <w:color w:val="auto"/>
                <w:sz w:val="24"/>
                <w:szCs w:val="24"/>
                <w:vertAlign w:val="baseline"/>
                <w:lang w:val="en-US" w:eastAsia="zh-CN"/>
              </w:rPr>
              <w:t>返排液</w:t>
            </w:r>
            <w:r>
              <w:rPr>
                <w:rFonts w:hint="eastAsia" w:ascii="Times New Roman" w:hAnsi="Times New Roman" w:eastAsia="宋体" w:cs="Times New Roman"/>
                <w:b w:val="0"/>
                <w:bCs w:val="0"/>
                <w:color w:val="auto"/>
                <w:sz w:val="24"/>
                <w:szCs w:val="24"/>
                <w:vertAlign w:val="baseline"/>
                <w:lang w:val="en-US" w:eastAsia="zh-CN"/>
              </w:rPr>
              <w:t>、放喷废水</w:t>
            </w:r>
            <w:r>
              <w:rPr>
                <w:rFonts w:hint="default" w:ascii="Times New Roman" w:hAnsi="Times New Roman" w:eastAsia="宋体" w:cs="Times New Roman"/>
                <w:b w:val="0"/>
                <w:bCs w:val="0"/>
                <w:color w:val="auto"/>
                <w:sz w:val="24"/>
                <w:szCs w:val="24"/>
                <w:vertAlign w:val="baseline"/>
                <w:lang w:val="en-US" w:eastAsia="zh-CN"/>
              </w:rPr>
              <w:t>以及生活污水。</w:t>
            </w:r>
          </w:p>
          <w:p w14:paraId="505041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（1）钻井废水</w:t>
            </w:r>
          </w:p>
          <w:p w14:paraId="48501D6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项目通过对中国石油天然气股份有限公司长庆油田分公司已勘探的天然气井资料调查，每钻进1m平均产生钻井废水0.2m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米107-2M单井</w:t>
            </w:r>
            <w:r>
              <w:rPr>
                <w:rFonts w:hint="default" w:ascii="Times New Roman" w:hAnsi="Times New Roman" w:cs="Times New Roman"/>
                <w:color w:val="auto"/>
                <w:lang w:val="en-US" w:eastAsia="zh-CN"/>
              </w:rPr>
              <w:t>进尺为</w:t>
            </w:r>
            <w:r>
              <w:rPr>
                <w:rFonts w:hint="eastAsia" w:ascii="Times New Roman" w:hAnsi="Times New Roman" w:cs="Times New Roman"/>
                <w:color w:val="auto"/>
                <w:lang w:val="en-US" w:eastAsia="zh-CN"/>
              </w:rPr>
              <w:t>2750</w:t>
            </w:r>
            <w:r>
              <w:rPr>
                <w:rFonts w:hint="default" w:ascii="Times New Roman" w:hAnsi="Times New Roman" w:cs="Times New Roman"/>
                <w:color w:val="auto"/>
                <w:lang w:val="en-US" w:eastAsia="zh-CN"/>
              </w:rPr>
              <w:t>m，则钻井废水产生量为</w:t>
            </w:r>
            <w:r>
              <w:rPr>
                <w:rFonts w:hint="eastAsia" w:ascii="Times New Roman" w:hAnsi="Times New Roman" w:cs="Times New Roman"/>
                <w:color w:val="auto"/>
                <w:lang w:val="en-US" w:eastAsia="zh-CN"/>
              </w:rPr>
              <w:t>550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项目钻井废水经泥浆水循环系统处理后优先作为钻井液配水回用，钻井结束后，不能回用的钻井废水委托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外运处置。</w:t>
            </w:r>
          </w:p>
          <w:p w14:paraId="5A788C2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正常状况下，应立即停止钻井减少钻井泥浆产生量，将钻井泥浆暂存至洗井废水罐，确保钻井废水在井场内不落地、不外排。因此，钻井废水不会对地表水体产生影响。根据建设单位提供的类似项目水质情况，本项目钻井废水主要水质指标见下表</w:t>
            </w:r>
            <w:r>
              <w:rPr>
                <w:rFonts w:hint="eastAsia" w:ascii="Times New Roman" w:hAnsi="Times New Roman" w:cs="Times New Roman"/>
                <w:color w:val="auto"/>
                <w:lang w:val="en-US" w:eastAsia="zh-CN"/>
              </w:rPr>
              <w:t>。</w:t>
            </w:r>
          </w:p>
          <w:p w14:paraId="4798D00D">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lang w:val="en-US" w:eastAsia="zh-CN"/>
              </w:rPr>
              <w:t>钻井废水水质指标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95"/>
              <w:gridCol w:w="1229"/>
              <w:gridCol w:w="1215"/>
              <w:gridCol w:w="1294"/>
              <w:gridCol w:w="1205"/>
              <w:gridCol w:w="1718"/>
            </w:tblGrid>
            <w:tr w14:paraId="2FE5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696413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457" w:type="pct"/>
                  <w:vAlign w:val="center"/>
                </w:tcPr>
                <w:p w14:paraId="296B94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707" w:type="pct"/>
                  <w:vAlign w:val="center"/>
                </w:tcPr>
                <w:p w14:paraId="179D67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07DF38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699" w:type="pct"/>
                  <w:vAlign w:val="center"/>
                </w:tcPr>
                <w:p w14:paraId="5CF295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石油类</w:t>
                  </w:r>
                </w:p>
                <w:p w14:paraId="238FE6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744" w:type="pct"/>
                  <w:vAlign w:val="center"/>
                </w:tcPr>
                <w:p w14:paraId="733E78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74921B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693" w:type="pct"/>
                  <w:vAlign w:val="center"/>
                </w:tcPr>
                <w:p w14:paraId="799E02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氯化物</w:t>
                  </w:r>
                </w:p>
                <w:p w14:paraId="646141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988" w:type="pct"/>
                  <w:vAlign w:val="center"/>
                </w:tcPr>
                <w:p w14:paraId="10DFC4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溶解性总固</w:t>
                  </w:r>
                </w:p>
                <w:p w14:paraId="67F686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体（mg/L）</w:t>
                  </w:r>
                </w:p>
              </w:tc>
            </w:tr>
            <w:tr w14:paraId="153E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3EE537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钻井废水</w:t>
                  </w:r>
                </w:p>
              </w:tc>
              <w:tc>
                <w:tcPr>
                  <w:tcW w:w="457" w:type="pct"/>
                  <w:vAlign w:val="center"/>
                </w:tcPr>
                <w:p w14:paraId="7C5C03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w:t>
                  </w:r>
                </w:p>
              </w:tc>
              <w:tc>
                <w:tcPr>
                  <w:tcW w:w="707" w:type="pct"/>
                  <w:vAlign w:val="center"/>
                </w:tcPr>
                <w:p w14:paraId="227E70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≤500</w:t>
                  </w:r>
                </w:p>
              </w:tc>
              <w:tc>
                <w:tcPr>
                  <w:tcW w:w="699" w:type="pct"/>
                  <w:vAlign w:val="center"/>
                </w:tcPr>
                <w:p w14:paraId="693C7F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744" w:type="pct"/>
                  <w:vAlign w:val="center"/>
                </w:tcPr>
                <w:p w14:paraId="5582AC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≤3000</w:t>
                  </w:r>
                </w:p>
              </w:tc>
              <w:tc>
                <w:tcPr>
                  <w:tcW w:w="693" w:type="pct"/>
                  <w:vAlign w:val="center"/>
                </w:tcPr>
                <w:p w14:paraId="39CD1E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988" w:type="pct"/>
                  <w:vAlign w:val="center"/>
                </w:tcPr>
                <w:p w14:paraId="3E6EF4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≤4000</w:t>
                  </w:r>
                </w:p>
              </w:tc>
            </w:tr>
          </w:tbl>
          <w:p w14:paraId="2C91E3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钻井废水除含有以上污染物外，另含有挥发酚等，矿化度较高。</w:t>
            </w:r>
          </w:p>
          <w:p w14:paraId="7B61A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非正常状况下，应立即停止钻井减少钻井泥浆产生量，将钻井泥浆暂存至洗井废水罐，确保钻井废水在井场内不落地、不外排。因此，钻井废水不会对地表水体产生影响。</w:t>
            </w:r>
          </w:p>
          <w:p w14:paraId="441C4D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（2）洗井废水</w:t>
            </w:r>
          </w:p>
          <w:p w14:paraId="4708C920">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本项目施工期较短，洗井废水属于水基矿物质悬浊液，主要由清水、氯化钾、重晶石、碳酸钠、膨润土、盐、石灰、石膏、腐殖酸等多种物质组成，回返地面时携带大量来自地下的泥土、矿物等</w:t>
            </w:r>
            <w:r>
              <w:rPr>
                <w:rFonts w:hint="eastAsia" w:ascii="Times New Roman" w:hAnsi="Times New Roman" w:cs="Times New Roman"/>
                <w:color w:val="auto"/>
                <w:lang w:val="en-US" w:eastAsia="zh-CN"/>
              </w:rPr>
              <w:t>。</w:t>
            </w:r>
          </w:p>
          <w:p w14:paraId="649D13D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前文水平衡分析</w:t>
            </w: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洗井废水产生量</w:t>
            </w:r>
            <w:r>
              <w:rPr>
                <w:rFonts w:hint="eastAsia" w:ascii="Times New Roman" w:hAnsi="Times New Roman" w:cs="Times New Roman"/>
                <w:color w:val="auto"/>
                <w:lang w:val="en-US" w:eastAsia="zh-CN"/>
              </w:rPr>
              <w:t>约</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45</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井场设置专用收集罐</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个（单个容积为75m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）。由专用收集罐临时收集贮存后委托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外运处理。洗井废水在井场内不落地、不外排</w:t>
            </w:r>
            <w:r>
              <w:rPr>
                <w:rFonts w:hint="eastAsia" w:ascii="Times New Roman" w:hAnsi="Times New Roman" w:cs="Times New Roman"/>
                <w:color w:val="auto"/>
                <w:lang w:val="en-US" w:eastAsia="zh-CN"/>
              </w:rPr>
              <w:t>。洗井废水主要污染物及浓度见下表。</w:t>
            </w:r>
          </w:p>
          <w:p w14:paraId="56688D2E">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 xml:space="preserve"> 洗井</w:t>
            </w:r>
            <w:r>
              <w:rPr>
                <w:rFonts w:hint="default" w:ascii="Times New Roman" w:hAnsi="Times New Roman" w:cs="Times New Roman"/>
                <w:b/>
                <w:bCs/>
                <w:color w:val="auto"/>
                <w:lang w:val="en-US" w:eastAsia="zh-CN"/>
              </w:rPr>
              <w:t>废水水质指标</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196"/>
              <w:gridCol w:w="1854"/>
              <w:gridCol w:w="1833"/>
              <w:gridCol w:w="1949"/>
            </w:tblGrid>
            <w:tr w14:paraId="7780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vAlign w:val="center"/>
                </w:tcPr>
                <w:p w14:paraId="48FB76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688" w:type="pct"/>
                  <w:vAlign w:val="center"/>
                </w:tcPr>
                <w:p w14:paraId="1583FA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1066" w:type="pct"/>
                  <w:vAlign w:val="center"/>
                </w:tcPr>
                <w:p w14:paraId="5A3CFD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3CD36B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1054" w:type="pct"/>
                  <w:vAlign w:val="center"/>
                </w:tcPr>
                <w:p w14:paraId="372DE9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石油类</w:t>
                  </w:r>
                </w:p>
                <w:p w14:paraId="36FFCF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1121" w:type="pct"/>
                  <w:vAlign w:val="center"/>
                </w:tcPr>
                <w:p w14:paraId="60F565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1EE2E7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r>
            <w:tr w14:paraId="4C3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vAlign w:val="center"/>
                </w:tcPr>
                <w:p w14:paraId="74B21D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洗井废水</w:t>
                  </w:r>
                </w:p>
              </w:tc>
              <w:tc>
                <w:tcPr>
                  <w:tcW w:w="688" w:type="pct"/>
                  <w:vAlign w:val="center"/>
                </w:tcPr>
                <w:p w14:paraId="70F993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w:t>
                  </w:r>
                </w:p>
              </w:tc>
              <w:tc>
                <w:tcPr>
                  <w:tcW w:w="1066" w:type="pct"/>
                  <w:vAlign w:val="center"/>
                </w:tcPr>
                <w:p w14:paraId="3EBFB5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500</w:t>
                  </w:r>
                </w:p>
              </w:tc>
              <w:tc>
                <w:tcPr>
                  <w:tcW w:w="1054" w:type="pct"/>
                  <w:vAlign w:val="center"/>
                </w:tcPr>
                <w:p w14:paraId="084520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lang w:val="en-US" w:eastAsia="zh-CN"/>
                    </w:rPr>
                    <w:t>0</w:t>
                  </w:r>
                </w:p>
              </w:tc>
              <w:tc>
                <w:tcPr>
                  <w:tcW w:w="1121" w:type="pct"/>
                  <w:vAlign w:val="center"/>
                </w:tcPr>
                <w:p w14:paraId="232BD9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45</w:t>
                  </w:r>
                  <w:r>
                    <w:rPr>
                      <w:rFonts w:hint="default" w:ascii="Times New Roman" w:hAnsi="Times New Roman" w:eastAsia="宋体" w:cs="Times New Roman"/>
                      <w:b w:val="0"/>
                      <w:bCs w:val="0"/>
                      <w:color w:val="auto"/>
                      <w:sz w:val="21"/>
                      <w:szCs w:val="21"/>
                      <w:vertAlign w:val="baseline"/>
                      <w:lang w:val="en-US" w:eastAsia="zh-CN"/>
                    </w:rPr>
                    <w:t>00</w:t>
                  </w:r>
                </w:p>
              </w:tc>
            </w:tr>
          </w:tbl>
          <w:p w14:paraId="16BDA8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（3）压裂返排液</w:t>
            </w:r>
          </w:p>
          <w:p w14:paraId="0CA9EE9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根据勘探项目组多年勘探经验，每次注入压裂液量约</w:t>
            </w:r>
            <w:r>
              <w:rPr>
                <w:rFonts w:hint="eastAsia" w:ascii="Times New Roman" w:hAnsi="Times New Roman" w:cs="Times New Roman"/>
                <w:color w:val="auto"/>
                <w:lang w:val="en-US" w:eastAsia="zh-CN"/>
              </w:rPr>
              <w:t>150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（通过泵注入，每次注入时间约2-3h），共注入2次，</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注入压裂液总量约</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。受地层压力作用，压裂后会产生压裂返排液，返排时间约为6-10天，每天返排压裂废水量约15-25m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压裂废水产生量约为</w:t>
            </w:r>
            <w:r>
              <w:rPr>
                <w:rFonts w:hint="eastAsia" w:ascii="Times New Roman" w:hAnsi="Times New Roman" w:cs="Times New Roman"/>
                <w:color w:val="auto"/>
                <w:lang w:val="en-US" w:eastAsia="zh-CN"/>
              </w:rPr>
              <w:t>240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其余压裂液在压裂过程中进入</w:t>
            </w:r>
            <w:r>
              <w:rPr>
                <w:rFonts w:hint="eastAsia" w:ascii="Times New Roman" w:hAnsi="Times New Roman" w:cs="Times New Roman"/>
                <w:color w:val="auto"/>
                <w:lang w:val="en-US" w:eastAsia="zh-CN"/>
              </w:rPr>
              <w:t>压裂</w:t>
            </w:r>
            <w:r>
              <w:rPr>
                <w:rFonts w:hint="default" w:ascii="Times New Roman" w:hAnsi="Times New Roman" w:cs="Times New Roman"/>
                <w:color w:val="auto"/>
                <w:lang w:val="en-US" w:eastAsia="zh-CN"/>
              </w:rPr>
              <w:t>层。</w:t>
            </w:r>
          </w:p>
          <w:p w14:paraId="1FD15C8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根据榆林市生态环境局《关于印发榆林市油气开发压裂反排液处置管理规定的通知》（榆政环发</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2023</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71号）规定：油（气）井场要在压裂及其它井下作业前配备废水地上收集罐，对压裂返排液及其它废水进行统一收集；未配备废水收集罐的井场不得开展相关作业。本项目压裂返排液临时收集贮存于专用收集罐，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sz w:val="24"/>
                <w:lang w:val="en-US" w:eastAsia="zh-CN"/>
              </w:rPr>
              <w:t>外运</w:t>
            </w:r>
            <w:r>
              <w:rPr>
                <w:rFonts w:hint="default" w:ascii="Times New Roman" w:hAnsi="Times New Roman" w:cs="Times New Roman"/>
                <w:color w:val="auto"/>
                <w:lang w:val="en-US" w:eastAsia="zh-CN"/>
              </w:rPr>
              <w:t>处置。符合《榆林市油气开采废弃物不落地集中处置推广项目建设管理指南（试行）》的管理规定。</w:t>
            </w:r>
          </w:p>
          <w:p w14:paraId="5298519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据《长庆油田2019年措施返排液处理站实施方案（第一批）》（西安长庆科技工程有限责任公司）对各采气厂运行过程中产生的各类措施返排液成分进行了实测分析，以作为措施返排液处理站设计进水水质指标，根据该普测统计数据，水质指标见下表。</w:t>
            </w:r>
          </w:p>
          <w:p w14:paraId="6624C02E">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 xml:space="preserve"> 压裂返排液</w:t>
            </w:r>
            <w:r>
              <w:rPr>
                <w:rFonts w:hint="default" w:ascii="Times New Roman" w:hAnsi="Times New Roman" w:cs="Times New Roman"/>
                <w:b/>
                <w:bCs/>
                <w:color w:val="auto"/>
                <w:lang w:val="en-US" w:eastAsia="zh-CN"/>
              </w:rPr>
              <w:t>水质指标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541"/>
              <w:gridCol w:w="1116"/>
              <w:gridCol w:w="1301"/>
              <w:gridCol w:w="1126"/>
              <w:gridCol w:w="1287"/>
              <w:gridCol w:w="1289"/>
              <w:gridCol w:w="1120"/>
            </w:tblGrid>
            <w:tr w14:paraId="417D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2B67E3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313" w:type="pct"/>
                  <w:vAlign w:val="center"/>
                </w:tcPr>
                <w:p w14:paraId="67521F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642" w:type="pct"/>
                  <w:vAlign w:val="center"/>
                </w:tcPr>
                <w:p w14:paraId="1A8867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14A99C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750" w:type="pct"/>
                  <w:vAlign w:val="center"/>
                </w:tcPr>
                <w:p w14:paraId="76C2B2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含油量</w:t>
                  </w:r>
                  <w:r>
                    <w:rPr>
                      <w:rFonts w:hint="default" w:ascii="Times New Roman" w:hAnsi="Times New Roman" w:eastAsia="宋体" w:cs="Times New Roman"/>
                      <w:b/>
                      <w:bCs/>
                      <w:color w:val="auto"/>
                      <w:sz w:val="21"/>
                      <w:szCs w:val="21"/>
                      <w:vertAlign w:val="baseline"/>
                      <w:lang w:val="en-US" w:eastAsia="zh-CN"/>
                    </w:rPr>
                    <w:t>（mg/L）</w:t>
                  </w:r>
                </w:p>
              </w:tc>
              <w:tc>
                <w:tcPr>
                  <w:tcW w:w="638" w:type="pct"/>
                  <w:vAlign w:val="center"/>
                </w:tcPr>
                <w:p w14:paraId="57C530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0D5A1B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741" w:type="pct"/>
                  <w:vAlign w:val="center"/>
                </w:tcPr>
                <w:p w14:paraId="03B716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矿化度</w:t>
                  </w:r>
                  <w:r>
                    <w:rPr>
                      <w:rFonts w:hint="default" w:ascii="Times New Roman" w:hAnsi="Times New Roman" w:eastAsia="宋体" w:cs="Times New Roman"/>
                      <w:b/>
                      <w:bCs/>
                      <w:color w:val="auto"/>
                      <w:sz w:val="21"/>
                      <w:szCs w:val="21"/>
                      <w:vertAlign w:val="baseline"/>
                      <w:lang w:val="en-US" w:eastAsia="zh-CN"/>
                    </w:rPr>
                    <w:t>（mg/L）</w:t>
                  </w:r>
                </w:p>
              </w:tc>
              <w:tc>
                <w:tcPr>
                  <w:tcW w:w="742" w:type="pct"/>
                  <w:vAlign w:val="center"/>
                </w:tcPr>
                <w:p w14:paraId="0B8EC1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总硬度</w:t>
                  </w:r>
                  <w:r>
                    <w:rPr>
                      <w:rFonts w:hint="default" w:ascii="Times New Roman" w:hAnsi="Times New Roman" w:eastAsia="宋体" w:cs="Times New Roman"/>
                      <w:b/>
                      <w:bCs/>
                      <w:color w:val="auto"/>
                      <w:sz w:val="21"/>
                      <w:szCs w:val="21"/>
                      <w:vertAlign w:val="baseline"/>
                      <w:lang w:val="en-US" w:eastAsia="zh-CN"/>
                    </w:rPr>
                    <w:t>（mg/L）</w:t>
                  </w:r>
                </w:p>
              </w:tc>
              <w:tc>
                <w:tcPr>
                  <w:tcW w:w="645" w:type="pct"/>
                  <w:vAlign w:val="center"/>
                </w:tcPr>
                <w:p w14:paraId="24D051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w:t>
                  </w:r>
                  <w:r>
                    <w:rPr>
                      <w:rFonts w:hint="eastAsia" w:ascii="Times New Roman" w:hAnsi="Times New Roman" w:eastAsia="宋体" w:cs="Times New Roman"/>
                      <w:b/>
                      <w:bCs/>
                      <w:color w:val="auto"/>
                      <w:sz w:val="21"/>
                      <w:szCs w:val="21"/>
                      <w:vertAlign w:val="baseline"/>
                      <w:lang w:val="en-US" w:eastAsia="zh-CN"/>
                    </w:rPr>
                    <w:t>氧</w:t>
                  </w:r>
                  <w:r>
                    <w:rPr>
                      <w:rFonts w:hint="default" w:ascii="Times New Roman" w:hAnsi="Times New Roman" w:eastAsia="宋体" w:cs="Times New Roman"/>
                      <w:b/>
                      <w:bCs/>
                      <w:color w:val="auto"/>
                      <w:sz w:val="21"/>
                      <w:szCs w:val="21"/>
                      <w:vertAlign w:val="baseline"/>
                      <w:lang w:val="en-US" w:eastAsia="zh-CN"/>
                    </w:rPr>
                    <w:t>（mg/L）</w:t>
                  </w:r>
                </w:p>
              </w:tc>
            </w:tr>
            <w:tr w14:paraId="6FAA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5F7138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压裂返排液</w:t>
                  </w:r>
                </w:p>
              </w:tc>
              <w:tc>
                <w:tcPr>
                  <w:tcW w:w="313" w:type="pct"/>
                  <w:vAlign w:val="center"/>
                </w:tcPr>
                <w:p w14:paraId="162D08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6-9</w:t>
                  </w:r>
                </w:p>
              </w:tc>
              <w:tc>
                <w:tcPr>
                  <w:tcW w:w="642" w:type="pct"/>
                  <w:vAlign w:val="center"/>
                </w:tcPr>
                <w:p w14:paraId="2E609D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100-300</w:t>
                  </w:r>
                </w:p>
              </w:tc>
              <w:tc>
                <w:tcPr>
                  <w:tcW w:w="750" w:type="pct"/>
                  <w:vAlign w:val="center"/>
                </w:tcPr>
                <w:p w14:paraId="783690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20-50</w:t>
                  </w:r>
                </w:p>
              </w:tc>
              <w:tc>
                <w:tcPr>
                  <w:tcW w:w="638" w:type="pct"/>
                  <w:vAlign w:val="center"/>
                </w:tcPr>
                <w:p w14:paraId="58E4E5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3000</w:t>
                  </w:r>
                  <w:r>
                    <w:rPr>
                      <w:rFonts w:hint="eastAsia" w:ascii="Times New Roman" w:hAnsi="Times New Roman" w:eastAsia="宋体" w:cs="Times New Roman"/>
                      <w:b w:val="0"/>
                      <w:bCs w:val="0"/>
                      <w:color w:val="auto"/>
                      <w:sz w:val="21"/>
                      <w:szCs w:val="21"/>
                      <w:vertAlign w:val="baseline"/>
                      <w:lang w:val="en-US" w:eastAsia="zh-CN"/>
                    </w:rPr>
                    <w:t>-7000</w:t>
                  </w:r>
                </w:p>
              </w:tc>
              <w:tc>
                <w:tcPr>
                  <w:tcW w:w="741" w:type="pct"/>
                  <w:vAlign w:val="center"/>
                </w:tcPr>
                <w:p w14:paraId="47A616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5000-10000</w:t>
                  </w:r>
                </w:p>
              </w:tc>
              <w:tc>
                <w:tcPr>
                  <w:tcW w:w="742" w:type="pct"/>
                  <w:vAlign w:val="center"/>
                </w:tcPr>
                <w:p w14:paraId="652A4D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1000-2500</w:t>
                  </w:r>
                </w:p>
              </w:tc>
              <w:tc>
                <w:tcPr>
                  <w:tcW w:w="645" w:type="pct"/>
                  <w:vAlign w:val="center"/>
                </w:tcPr>
                <w:p w14:paraId="6ABFE2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w:t>
                  </w:r>
                </w:p>
              </w:tc>
            </w:tr>
          </w:tbl>
          <w:p w14:paraId="6873A0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）放喷</w:t>
            </w:r>
            <w:r>
              <w:rPr>
                <w:rFonts w:hint="eastAsia" w:ascii="Times New Roman" w:hAnsi="Times New Roman" w:eastAsia="宋体" w:cs="Times New Roman"/>
                <w:b/>
                <w:bCs/>
                <w:color w:val="auto"/>
                <w:sz w:val="24"/>
                <w:szCs w:val="24"/>
                <w:vertAlign w:val="baseline"/>
                <w:lang w:val="en-US" w:eastAsia="zh-CN"/>
              </w:rPr>
              <w:t>废水</w:t>
            </w:r>
          </w:p>
          <w:p w14:paraId="15474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试气过程中，天然气通过井场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燃烧排放，燃烧产生少量的冷凝水，收集至井场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内暂存，根据同类型项目资料显示，</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产生放喷废水的量约为2m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。待钻井结束后，委托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外运处理。放喷废水在井场内不落地、不外排。</w:t>
            </w:r>
          </w:p>
          <w:p w14:paraId="47AA52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5</w:t>
            </w:r>
            <w:r>
              <w:rPr>
                <w:rFonts w:hint="default" w:ascii="Times New Roman" w:hAnsi="Times New Roman" w:eastAsia="宋体" w:cs="Times New Roman"/>
                <w:b/>
                <w:bCs/>
                <w:color w:val="auto"/>
                <w:sz w:val="24"/>
                <w:szCs w:val="24"/>
                <w:vertAlign w:val="baseline"/>
                <w:lang w:val="en-US" w:eastAsia="zh-CN"/>
              </w:rPr>
              <w:t>）生活污水</w:t>
            </w:r>
          </w:p>
          <w:p w14:paraId="5E6BE0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本项目生活污水产生量为</w:t>
            </w:r>
            <w:r>
              <w:rPr>
                <w:rFonts w:hint="eastAsia" w:ascii="Times New Roman" w:hAnsi="Times New Roman" w:eastAsia="宋体" w:cs="Times New Roman"/>
                <w:b w:val="0"/>
                <w:bCs w:val="0"/>
                <w:color w:val="auto"/>
                <w:sz w:val="24"/>
                <w:szCs w:val="24"/>
                <w:vertAlign w:val="baseline"/>
                <w:lang w:val="en-US" w:eastAsia="zh-CN"/>
              </w:rPr>
              <w:t>91</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井场区设置</w:t>
            </w:r>
            <w:r>
              <w:rPr>
                <w:rFonts w:hint="eastAsia" w:ascii="Times New Roman" w:hAnsi="Times New Roman" w:eastAsia="宋体" w:cs="Times New Roman"/>
                <w:b w:val="0"/>
                <w:bCs w:val="0"/>
                <w:color w:val="auto"/>
                <w:sz w:val="24"/>
                <w:szCs w:val="24"/>
                <w:vertAlign w:val="baseline"/>
                <w:lang w:val="en-US" w:eastAsia="zh-CN"/>
              </w:rPr>
              <w:t>卫生</w:t>
            </w:r>
            <w:r>
              <w:rPr>
                <w:rFonts w:hint="default" w:ascii="Times New Roman" w:hAnsi="Times New Roman" w:eastAsia="宋体" w:cs="Times New Roman"/>
                <w:b w:val="0"/>
                <w:bCs w:val="0"/>
                <w:color w:val="auto"/>
                <w:sz w:val="24"/>
                <w:szCs w:val="24"/>
                <w:vertAlign w:val="baseline"/>
                <w:lang w:val="en-US" w:eastAsia="zh-CN"/>
              </w:rPr>
              <w:t>旱厕1座，旱厕定期清掏用于施肥。</w:t>
            </w:r>
            <w:r>
              <w:rPr>
                <w:rFonts w:hint="eastAsia" w:ascii="Times New Roman" w:hAnsi="Times New Roman" w:eastAsia="宋体" w:cs="Times New Roman"/>
                <w:b w:val="0"/>
                <w:bCs w:val="0"/>
                <w:color w:val="auto"/>
                <w:sz w:val="24"/>
                <w:szCs w:val="24"/>
                <w:vertAlign w:val="baseline"/>
                <w:lang w:val="en-US" w:eastAsia="zh-CN"/>
              </w:rPr>
              <w:t>盥洗废水设置15m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沉淀罐，沉淀后的废水全部用于井场洒水抑尘，不外排</w:t>
            </w:r>
            <w:r>
              <w:rPr>
                <w:rFonts w:hint="default" w:ascii="Times New Roman" w:hAnsi="Times New Roman" w:eastAsia="宋体" w:cs="Times New Roman"/>
                <w:b w:val="0"/>
                <w:bCs w:val="0"/>
                <w:color w:val="auto"/>
                <w:sz w:val="24"/>
                <w:szCs w:val="24"/>
                <w:vertAlign w:val="baseline"/>
                <w:lang w:val="en-US" w:eastAsia="zh-CN"/>
              </w:rPr>
              <w:t>。</w:t>
            </w:r>
          </w:p>
          <w:p w14:paraId="3D1875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此外，井场采用雨污分流制。在暴雨季节，加强对井场内废水储存设施巡查，防止场地内废水溢出井场污染环境。</w:t>
            </w:r>
          </w:p>
          <w:p w14:paraId="4FC0D9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综上所述，本项目钻井废水、洗井废水、压裂返排液及生活污水采取的水污染控制和水环境影响减缓措施有效，能够确保废水不外排，因此对地表水环境影响可以接受。</w:t>
            </w:r>
          </w:p>
          <w:p w14:paraId="05CFE1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四、地下水</w:t>
            </w:r>
          </w:p>
          <w:p w14:paraId="44BAF1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（1）钻井过程对地下水的影响</w:t>
            </w:r>
          </w:p>
          <w:p w14:paraId="68ABCD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0C103C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整个钻井作业按照规章操作，尽量避免因压力激增和开泵过猛使泥浆泵入地层污染地下水；钻井过程中采取泥浆监测，一旦发现漏失采取及时堵漏等措施，既能满足工程要求，又可减少对地下水的影响。项目钻井时采用膨润土浆钻井，固井技术完善，在套管的保护下能有效地保护浅层地下水，对地下水影响较小。</w:t>
            </w:r>
          </w:p>
          <w:p w14:paraId="34C3F6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（2）井场污染物入渗对地下水的影响</w:t>
            </w:r>
          </w:p>
          <w:p w14:paraId="67E886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污染物收集、存储措施不到位，容易造成地表污染物入渗，对浅层地下水造成一定的污染。造成地表污染物入渗的主要因素有：洗井废水罐和压裂返排液罐基础防渗措施不到位，运行中出现渗漏；井口作业区、泥浆循环系统区散落的泥浆、废水渗入地下。本项目对洗井废水罐、压裂返排液罐、泥浆循环罐区、岩屑收集箱等位置进行地面防渗和设置围堰，可有效阻断井场污染物入渗地下。</w:t>
            </w:r>
          </w:p>
          <w:p w14:paraId="389F0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（3）地下水串层影响</w:t>
            </w:r>
          </w:p>
          <w:p w14:paraId="282C0F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w:t>
            </w:r>
            <w:r>
              <w:rPr>
                <w:rFonts w:hint="default" w:ascii="Times New Roman" w:hAnsi="Times New Roman" w:eastAsia="宋体" w:cs="Times New Roman"/>
                <w:b w:val="0"/>
                <w:bCs w:val="0"/>
                <w:color w:val="auto"/>
                <w:sz w:val="24"/>
                <w:szCs w:val="24"/>
                <w:vertAlign w:val="baseline"/>
                <w:lang w:val="en-US" w:eastAsia="zh-CN"/>
              </w:rPr>
              <w:t>评价区地下水为石炭系—侏罗系碎屑岩裂隙与上覆松散层孔隙含水层系统</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在自然状态下，由于存在隔水层，浅层水与深层水很难相互沟通混合。如果隔水层被人为破坏形成孔洞，浅层污染水就会下渗污染深层水，造成地下水串层污染。因此工程施工时必须做好防治地下水串层的措施。</w:t>
            </w:r>
          </w:p>
          <w:p w14:paraId="007EDA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污染防治措施：在钻井过程中防止地下水污染的途径主要是封堵串层污染通道：</w:t>
            </w:r>
          </w:p>
          <w:p w14:paraId="1EF653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a.钻井中遇到浅水层，下套管时应注水泥封固，防止地下水层被地层其它流体或过，钻井泥浆污染；</w:t>
            </w:r>
          </w:p>
          <w:p w14:paraId="5082A1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b.工程导管段利用高坂含钻井液迅速钻井，在套管的保护下能有效保护浅层地下</w:t>
            </w:r>
            <w:r>
              <w:rPr>
                <w:rFonts w:hint="eastAsia" w:ascii="Times New Roman" w:hAnsi="Times New Roman" w:eastAsia="宋体" w:cs="Times New Roman"/>
                <w:b w:val="0"/>
                <w:bCs w:val="0"/>
                <w:color w:val="auto"/>
                <w:sz w:val="24"/>
                <w:szCs w:val="24"/>
                <w:vertAlign w:val="baseline"/>
                <w:lang w:val="en-US" w:eastAsia="zh-CN"/>
              </w:rPr>
              <w:t>；</w:t>
            </w:r>
          </w:p>
          <w:p w14:paraId="1A4D2E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c.每开钻井结束后的固井作业可有效封隔地层与套管之间的环空，防治污染地下；</w:t>
            </w:r>
          </w:p>
          <w:p w14:paraId="41DC03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d.表层钻进时，使用高坂含泥浆；尽可能采用低毒、低碱泥浆；</w:t>
            </w:r>
          </w:p>
          <w:p w14:paraId="0B570A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e.井场储备足够的封堵剂，钻井过程中应密切注意钻井液的漏失情况，一旦出现漏失，应立即采取堵漏措施，防止钻井液的漏失污染地下水，漏剂的选取应考虑清洁、无毒、对人体无害、环境污染轻的种类，建议使用水泥堵漏。通过采取以上措施，可有效预防地下水串层污染。</w:t>
            </w:r>
          </w:p>
          <w:p w14:paraId="48BA0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五、声环境影响</w:t>
            </w:r>
          </w:p>
          <w:p w14:paraId="78C21C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1、钻井噪声影响</w:t>
            </w:r>
          </w:p>
          <w:p w14:paraId="091D7E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由于本项目钻井过程为24小时连续运行，对声环境影响大的主要为钻井过程中钻机、泵类等设备运行产生的连续性噪声。拟建工程</w:t>
            </w:r>
            <w:r>
              <w:rPr>
                <w:rFonts w:hint="eastAsia" w:ascii="Times New Roman" w:hAnsi="Times New Roman" w:eastAsia="宋体" w:cs="Times New Roman"/>
                <w:b w:val="0"/>
                <w:bCs w:val="0"/>
                <w:color w:val="auto"/>
                <w:sz w:val="24"/>
                <w:szCs w:val="24"/>
                <w:vertAlign w:val="baseline"/>
                <w:lang w:val="en-US" w:eastAsia="zh-CN"/>
              </w:rPr>
              <w:t>钻井前设备主要包括推土机、装载机、翻斗车等，主要用于场地平整，施工时间在3-5天之间，施工噪声值较小，对周边环境影响较小。</w:t>
            </w:r>
            <w:r>
              <w:rPr>
                <w:rFonts w:hint="default" w:ascii="Times New Roman" w:hAnsi="Times New Roman" w:eastAsia="宋体" w:cs="Times New Roman"/>
                <w:b w:val="0"/>
                <w:bCs w:val="0"/>
                <w:color w:val="auto"/>
                <w:sz w:val="24"/>
                <w:szCs w:val="24"/>
                <w:vertAlign w:val="baseline"/>
                <w:lang w:val="en-US" w:eastAsia="zh-CN"/>
              </w:rPr>
              <w:t>拟建工程钻井工程主要噪声源及源强见表4-</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，主要施工机械噪声不同距离处的噪声级见表4-</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p>
          <w:p w14:paraId="66AEE0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拟建钻井工程主要噪声源统计表 </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单位：dB（A）</w:t>
            </w:r>
          </w:p>
          <w:tbl>
            <w:tblPr>
              <w:tblStyle w:val="19"/>
              <w:tblW w:w="499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3"/>
              <w:gridCol w:w="1416"/>
              <w:gridCol w:w="772"/>
              <w:gridCol w:w="1003"/>
              <w:gridCol w:w="930"/>
              <w:gridCol w:w="762"/>
              <w:gridCol w:w="1220"/>
              <w:gridCol w:w="1325"/>
              <w:gridCol w:w="798"/>
            </w:tblGrid>
            <w:tr w14:paraId="1F37C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261" w:type="pct"/>
                  <w:vMerge w:val="restart"/>
                  <w:noWrap w:val="0"/>
                  <w:vAlign w:val="center"/>
                </w:tcPr>
                <w:p w14:paraId="6AC9830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16" w:type="pct"/>
                  <w:vMerge w:val="restart"/>
                  <w:noWrap w:val="0"/>
                  <w:vAlign w:val="center"/>
                </w:tcPr>
                <w:p w14:paraId="1C0F3FB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声源名称</w:t>
                  </w:r>
                </w:p>
              </w:tc>
              <w:tc>
                <w:tcPr>
                  <w:tcW w:w="445" w:type="pct"/>
                  <w:vMerge w:val="restart"/>
                  <w:noWrap w:val="0"/>
                  <w:vAlign w:val="center"/>
                </w:tcPr>
                <w:p w14:paraId="798AD8E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型号</w:t>
                  </w:r>
                </w:p>
              </w:tc>
              <w:tc>
                <w:tcPr>
                  <w:tcW w:w="1553" w:type="pct"/>
                  <w:gridSpan w:val="3"/>
                  <w:noWrap w:val="0"/>
                  <w:vAlign w:val="center"/>
                </w:tcPr>
                <w:p w14:paraId="6CA61B9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空间相对位置/m</w:t>
                  </w:r>
                </w:p>
              </w:tc>
              <w:tc>
                <w:tcPr>
                  <w:tcW w:w="703" w:type="pct"/>
                  <w:noWrap w:val="0"/>
                  <w:vAlign w:val="center"/>
                </w:tcPr>
                <w:p w14:paraId="0FDFF97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声源源强</w:t>
                  </w:r>
                </w:p>
              </w:tc>
              <w:tc>
                <w:tcPr>
                  <w:tcW w:w="763" w:type="pct"/>
                  <w:vMerge w:val="restart"/>
                  <w:noWrap w:val="0"/>
                  <w:vAlign w:val="center"/>
                </w:tcPr>
                <w:p w14:paraId="34EB9A6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声源控制措施</w:t>
                  </w:r>
                </w:p>
              </w:tc>
              <w:tc>
                <w:tcPr>
                  <w:tcW w:w="456" w:type="pct"/>
                  <w:vMerge w:val="restart"/>
                  <w:noWrap w:val="0"/>
                  <w:vAlign w:val="center"/>
                </w:tcPr>
                <w:p w14:paraId="03B6488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运行时段</w:t>
                  </w:r>
                </w:p>
              </w:tc>
            </w:tr>
            <w:tr w14:paraId="64BA2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261" w:type="pct"/>
                  <w:vMerge w:val="continue"/>
                  <w:noWrap w:val="0"/>
                  <w:vAlign w:val="center"/>
                </w:tcPr>
                <w:p w14:paraId="71A847E9">
                  <w:pPr>
                    <w:jc w:val="center"/>
                    <w:rPr>
                      <w:rFonts w:hint="default" w:ascii="Times New Roman" w:hAnsi="Times New Roman" w:cs="Times New Roman"/>
                      <w:b/>
                      <w:bCs/>
                      <w:color w:val="auto"/>
                      <w:sz w:val="21"/>
                      <w:szCs w:val="21"/>
                    </w:rPr>
                  </w:pPr>
                </w:p>
              </w:tc>
              <w:tc>
                <w:tcPr>
                  <w:tcW w:w="816" w:type="pct"/>
                  <w:vMerge w:val="continue"/>
                  <w:noWrap w:val="0"/>
                  <w:vAlign w:val="center"/>
                </w:tcPr>
                <w:p w14:paraId="0B7E1190">
                  <w:pPr>
                    <w:jc w:val="center"/>
                    <w:rPr>
                      <w:rFonts w:hint="default" w:ascii="Times New Roman" w:hAnsi="Times New Roman" w:cs="Times New Roman"/>
                      <w:b/>
                      <w:bCs/>
                      <w:color w:val="auto"/>
                      <w:sz w:val="21"/>
                      <w:szCs w:val="21"/>
                    </w:rPr>
                  </w:pPr>
                </w:p>
              </w:tc>
              <w:tc>
                <w:tcPr>
                  <w:tcW w:w="445" w:type="pct"/>
                  <w:vMerge w:val="continue"/>
                  <w:noWrap w:val="0"/>
                  <w:vAlign w:val="center"/>
                </w:tcPr>
                <w:p w14:paraId="697C2285">
                  <w:pPr>
                    <w:jc w:val="center"/>
                    <w:rPr>
                      <w:rFonts w:hint="default" w:ascii="Times New Roman" w:hAnsi="Times New Roman" w:cs="Times New Roman"/>
                      <w:b/>
                      <w:bCs/>
                      <w:color w:val="auto"/>
                      <w:sz w:val="21"/>
                      <w:szCs w:val="21"/>
                    </w:rPr>
                  </w:pPr>
                </w:p>
              </w:tc>
              <w:tc>
                <w:tcPr>
                  <w:tcW w:w="578" w:type="pct"/>
                  <w:noWrap w:val="0"/>
                  <w:vAlign w:val="center"/>
                </w:tcPr>
                <w:p w14:paraId="495603D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536" w:type="pct"/>
                  <w:noWrap w:val="0"/>
                  <w:vAlign w:val="center"/>
                </w:tcPr>
                <w:p w14:paraId="20AC0C5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438" w:type="pct"/>
                  <w:noWrap w:val="0"/>
                  <w:vAlign w:val="center"/>
                </w:tcPr>
                <w:p w14:paraId="5056097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Z</w:t>
                  </w:r>
                </w:p>
              </w:tc>
              <w:tc>
                <w:tcPr>
                  <w:tcW w:w="703" w:type="pct"/>
                  <w:noWrap w:val="0"/>
                  <w:vAlign w:val="center"/>
                </w:tcPr>
                <w:p w14:paraId="6362E16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声功率级dB(A)</w:t>
                  </w:r>
                </w:p>
              </w:tc>
              <w:tc>
                <w:tcPr>
                  <w:tcW w:w="763" w:type="pct"/>
                  <w:vMerge w:val="continue"/>
                  <w:noWrap w:val="0"/>
                  <w:vAlign w:val="center"/>
                </w:tcPr>
                <w:p w14:paraId="030C51C4">
                  <w:pPr>
                    <w:jc w:val="center"/>
                    <w:rPr>
                      <w:rFonts w:hint="default" w:ascii="Times New Roman" w:hAnsi="Times New Roman" w:cs="Times New Roman"/>
                      <w:color w:val="auto"/>
                      <w:sz w:val="21"/>
                      <w:szCs w:val="21"/>
                    </w:rPr>
                  </w:pPr>
                </w:p>
              </w:tc>
              <w:tc>
                <w:tcPr>
                  <w:tcW w:w="456" w:type="pct"/>
                  <w:vMerge w:val="continue"/>
                  <w:noWrap w:val="0"/>
                  <w:vAlign w:val="center"/>
                </w:tcPr>
                <w:p w14:paraId="2530311D">
                  <w:pPr>
                    <w:jc w:val="center"/>
                    <w:rPr>
                      <w:rFonts w:hint="default" w:ascii="Times New Roman" w:hAnsi="Times New Roman" w:cs="Times New Roman"/>
                      <w:color w:val="auto"/>
                      <w:sz w:val="21"/>
                      <w:szCs w:val="21"/>
                    </w:rPr>
                  </w:pPr>
                </w:p>
              </w:tc>
            </w:tr>
            <w:tr w14:paraId="410D5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4FE161A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16" w:type="pct"/>
                  <w:noWrap w:val="0"/>
                  <w:vAlign w:val="center"/>
                </w:tcPr>
                <w:p w14:paraId="7ED6FD8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钻机</w:t>
                  </w:r>
                </w:p>
              </w:tc>
              <w:tc>
                <w:tcPr>
                  <w:tcW w:w="445" w:type="pct"/>
                  <w:noWrap w:val="0"/>
                  <w:vAlign w:val="center"/>
                </w:tcPr>
                <w:p w14:paraId="2FDC222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3E5C6DE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47.26</w:t>
                  </w:r>
                </w:p>
              </w:tc>
              <w:tc>
                <w:tcPr>
                  <w:tcW w:w="536" w:type="pct"/>
                  <w:noWrap w:val="0"/>
                  <w:vAlign w:val="center"/>
                </w:tcPr>
                <w:p w14:paraId="63315C4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101.15</w:t>
                  </w:r>
                </w:p>
              </w:tc>
              <w:tc>
                <w:tcPr>
                  <w:tcW w:w="438" w:type="pct"/>
                  <w:noWrap w:val="0"/>
                  <w:vAlign w:val="center"/>
                </w:tcPr>
                <w:p w14:paraId="739A1D1B">
                  <w:pPr>
                    <w:pStyle w:val="14"/>
                    <w:spacing w:after="0" w:line="240" w:lineRule="auto"/>
                    <w:ind w:left="0" w:lef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3" w:type="pct"/>
                  <w:noWrap w:val="0"/>
                  <w:vAlign w:val="center"/>
                </w:tcPr>
                <w:p w14:paraId="54615C7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763" w:type="pct"/>
                  <w:vMerge w:val="restart"/>
                  <w:noWrap w:val="0"/>
                  <w:vAlign w:val="center"/>
                </w:tcPr>
                <w:p w14:paraId="537AF3CF">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6" w:type="pct"/>
                  <w:vMerge w:val="restart"/>
                  <w:noWrap w:val="0"/>
                  <w:vAlign w:val="center"/>
                </w:tcPr>
                <w:p w14:paraId="05F0AC48">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1B71E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01C83C3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16" w:type="pct"/>
                  <w:noWrap w:val="0"/>
                  <w:vAlign w:val="center"/>
                </w:tcPr>
                <w:p w14:paraId="46A10D5C">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泥浆泵（2台）</w:t>
                  </w:r>
                </w:p>
              </w:tc>
              <w:tc>
                <w:tcPr>
                  <w:tcW w:w="445" w:type="pct"/>
                  <w:noWrap w:val="0"/>
                  <w:vAlign w:val="center"/>
                </w:tcPr>
                <w:p w14:paraId="1B16A64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59A7B96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52.31</w:t>
                  </w:r>
                </w:p>
              </w:tc>
              <w:tc>
                <w:tcPr>
                  <w:tcW w:w="536" w:type="pct"/>
                  <w:noWrap w:val="0"/>
                  <w:vAlign w:val="center"/>
                </w:tcPr>
                <w:p w14:paraId="3E2E64E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94.62</w:t>
                  </w:r>
                </w:p>
              </w:tc>
              <w:tc>
                <w:tcPr>
                  <w:tcW w:w="438" w:type="pct"/>
                  <w:noWrap w:val="0"/>
                  <w:vAlign w:val="center"/>
                </w:tcPr>
                <w:p w14:paraId="1E692AB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6C73D26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1AFC12CC">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0C380EA0">
                  <w:pPr>
                    <w:pStyle w:val="14"/>
                    <w:spacing w:after="0" w:line="240" w:lineRule="auto"/>
                    <w:ind w:left="0" w:leftChars="0"/>
                    <w:jc w:val="center"/>
                    <w:rPr>
                      <w:rFonts w:hint="default" w:ascii="Times New Roman" w:hAnsi="Times New Roman" w:cs="Times New Roman"/>
                      <w:color w:val="auto"/>
                      <w:szCs w:val="21"/>
                    </w:rPr>
                  </w:pPr>
                </w:p>
              </w:tc>
            </w:tr>
            <w:tr w14:paraId="52EA2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61" w:type="pct"/>
                  <w:noWrap w:val="0"/>
                  <w:vAlign w:val="center"/>
                </w:tcPr>
                <w:p w14:paraId="19148B5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16" w:type="pct"/>
                  <w:noWrap w:val="0"/>
                  <w:vAlign w:val="center"/>
                </w:tcPr>
                <w:p w14:paraId="49533B48">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除泥器</w:t>
                  </w:r>
                </w:p>
              </w:tc>
              <w:tc>
                <w:tcPr>
                  <w:tcW w:w="445" w:type="pct"/>
                  <w:noWrap w:val="0"/>
                  <w:vAlign w:val="center"/>
                </w:tcPr>
                <w:p w14:paraId="271AB54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365C9FF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63.16</w:t>
                  </w:r>
                </w:p>
              </w:tc>
              <w:tc>
                <w:tcPr>
                  <w:tcW w:w="536" w:type="pct"/>
                  <w:noWrap w:val="0"/>
                  <w:vAlign w:val="center"/>
                </w:tcPr>
                <w:p w14:paraId="0A3CA9C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98.72</w:t>
                  </w:r>
                </w:p>
              </w:tc>
              <w:tc>
                <w:tcPr>
                  <w:tcW w:w="438" w:type="pct"/>
                  <w:noWrap w:val="0"/>
                  <w:vAlign w:val="center"/>
                </w:tcPr>
                <w:p w14:paraId="0137841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039A4A0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3" w:type="pct"/>
                  <w:vMerge w:val="continue"/>
                  <w:noWrap w:val="0"/>
                  <w:vAlign w:val="center"/>
                </w:tcPr>
                <w:p w14:paraId="4A4F6DF2">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76039982">
                  <w:pPr>
                    <w:pStyle w:val="14"/>
                    <w:spacing w:after="0" w:line="240" w:lineRule="auto"/>
                    <w:ind w:left="0" w:leftChars="0"/>
                    <w:jc w:val="center"/>
                    <w:rPr>
                      <w:rFonts w:hint="default" w:ascii="Times New Roman" w:hAnsi="Times New Roman" w:cs="Times New Roman"/>
                      <w:color w:val="auto"/>
                      <w:szCs w:val="21"/>
                    </w:rPr>
                  </w:pPr>
                </w:p>
              </w:tc>
            </w:tr>
            <w:tr w14:paraId="2AAFE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48E748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16" w:type="pct"/>
                  <w:noWrap w:val="0"/>
                  <w:vAlign w:val="center"/>
                </w:tcPr>
                <w:p w14:paraId="6BBEBADE">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除砂器</w:t>
                  </w:r>
                </w:p>
              </w:tc>
              <w:tc>
                <w:tcPr>
                  <w:tcW w:w="445" w:type="pct"/>
                  <w:noWrap w:val="0"/>
                  <w:vAlign w:val="center"/>
                </w:tcPr>
                <w:p w14:paraId="6E917F7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515E980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58.25</w:t>
                  </w:r>
                </w:p>
              </w:tc>
              <w:tc>
                <w:tcPr>
                  <w:tcW w:w="536" w:type="pct"/>
                  <w:noWrap w:val="0"/>
                  <w:vAlign w:val="center"/>
                </w:tcPr>
                <w:p w14:paraId="0F10E62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105.19</w:t>
                  </w:r>
                </w:p>
              </w:tc>
              <w:tc>
                <w:tcPr>
                  <w:tcW w:w="438" w:type="pct"/>
                  <w:noWrap w:val="0"/>
                  <w:vAlign w:val="center"/>
                </w:tcPr>
                <w:p w14:paraId="150649A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0DCEBB9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3" w:type="pct"/>
                  <w:vMerge w:val="continue"/>
                  <w:noWrap w:val="0"/>
                  <w:vAlign w:val="center"/>
                </w:tcPr>
                <w:p w14:paraId="552D2DCC">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16C4054D">
                  <w:pPr>
                    <w:pStyle w:val="14"/>
                    <w:spacing w:after="0" w:line="240" w:lineRule="auto"/>
                    <w:ind w:left="0" w:leftChars="0"/>
                    <w:jc w:val="center"/>
                    <w:rPr>
                      <w:rFonts w:hint="default" w:ascii="Times New Roman" w:hAnsi="Times New Roman" w:cs="Times New Roman"/>
                      <w:color w:val="auto"/>
                      <w:szCs w:val="21"/>
                    </w:rPr>
                  </w:pPr>
                </w:p>
              </w:tc>
            </w:tr>
            <w:tr w14:paraId="6CE45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5E214D6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16" w:type="pct"/>
                  <w:noWrap w:val="0"/>
                  <w:vAlign w:val="center"/>
                </w:tcPr>
                <w:p w14:paraId="7CF0DB8C">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振动筛（3台）</w:t>
                  </w:r>
                </w:p>
              </w:tc>
              <w:tc>
                <w:tcPr>
                  <w:tcW w:w="445" w:type="pct"/>
                  <w:noWrap w:val="0"/>
                  <w:vAlign w:val="center"/>
                </w:tcPr>
                <w:p w14:paraId="190CE68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0BA515C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33.02</w:t>
                  </w:r>
                </w:p>
              </w:tc>
              <w:tc>
                <w:tcPr>
                  <w:tcW w:w="536" w:type="pct"/>
                  <w:noWrap w:val="0"/>
                  <w:vAlign w:val="center"/>
                </w:tcPr>
                <w:p w14:paraId="7BBF055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75.47</w:t>
                  </w:r>
                </w:p>
              </w:tc>
              <w:tc>
                <w:tcPr>
                  <w:tcW w:w="438" w:type="pct"/>
                  <w:noWrap w:val="0"/>
                  <w:vAlign w:val="center"/>
                </w:tcPr>
                <w:p w14:paraId="765E675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092E3FC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69.7</w:t>
                  </w:r>
                </w:p>
              </w:tc>
              <w:tc>
                <w:tcPr>
                  <w:tcW w:w="763" w:type="pct"/>
                  <w:vMerge w:val="continue"/>
                  <w:noWrap w:val="0"/>
                  <w:vAlign w:val="center"/>
                </w:tcPr>
                <w:p w14:paraId="29E612F2">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27CDA97A">
                  <w:pPr>
                    <w:pStyle w:val="14"/>
                    <w:spacing w:after="0" w:line="240" w:lineRule="auto"/>
                    <w:ind w:left="0" w:leftChars="0"/>
                    <w:jc w:val="center"/>
                    <w:rPr>
                      <w:rFonts w:hint="default" w:ascii="Times New Roman" w:hAnsi="Times New Roman" w:cs="Times New Roman"/>
                      <w:color w:val="auto"/>
                      <w:szCs w:val="21"/>
                    </w:rPr>
                  </w:pPr>
                </w:p>
              </w:tc>
            </w:tr>
            <w:tr w14:paraId="298FF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5F02AA9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16" w:type="pct"/>
                  <w:noWrap w:val="0"/>
                  <w:vAlign w:val="center"/>
                </w:tcPr>
                <w:p w14:paraId="057215DF">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离心机（2台）</w:t>
                  </w:r>
                </w:p>
              </w:tc>
              <w:tc>
                <w:tcPr>
                  <w:tcW w:w="445" w:type="pct"/>
                  <w:noWrap w:val="0"/>
                  <w:vAlign w:val="center"/>
                </w:tcPr>
                <w:p w14:paraId="0044861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7B732DF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-12.38</w:t>
                  </w:r>
                </w:p>
              </w:tc>
              <w:tc>
                <w:tcPr>
                  <w:tcW w:w="536" w:type="pct"/>
                  <w:noWrap w:val="0"/>
                  <w:vAlign w:val="center"/>
                </w:tcPr>
                <w:p w14:paraId="627CE40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61.76</w:t>
                  </w:r>
                </w:p>
              </w:tc>
              <w:tc>
                <w:tcPr>
                  <w:tcW w:w="438" w:type="pct"/>
                  <w:noWrap w:val="0"/>
                  <w:vAlign w:val="center"/>
                </w:tcPr>
                <w:p w14:paraId="60EECE4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6B24387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29B7F260">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226A638E">
                  <w:pPr>
                    <w:pStyle w:val="14"/>
                    <w:spacing w:after="0" w:line="240" w:lineRule="auto"/>
                    <w:ind w:left="0" w:leftChars="0"/>
                    <w:jc w:val="center"/>
                    <w:rPr>
                      <w:rFonts w:hint="default" w:ascii="Times New Roman" w:hAnsi="Times New Roman" w:cs="Times New Roman"/>
                      <w:color w:val="auto"/>
                      <w:szCs w:val="21"/>
                    </w:rPr>
                  </w:pPr>
                </w:p>
              </w:tc>
            </w:tr>
            <w:tr w14:paraId="59D2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3EB5B5D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16" w:type="pct"/>
                  <w:noWrap w:val="0"/>
                  <w:vAlign w:val="center"/>
                </w:tcPr>
                <w:p w14:paraId="3754800E">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自动压风机</w:t>
                  </w:r>
                </w:p>
              </w:tc>
              <w:tc>
                <w:tcPr>
                  <w:tcW w:w="445" w:type="pct"/>
                  <w:noWrap w:val="0"/>
                  <w:vAlign w:val="center"/>
                </w:tcPr>
                <w:p w14:paraId="20AF4B8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0C61F89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-27.94</w:t>
                  </w:r>
                </w:p>
              </w:tc>
              <w:tc>
                <w:tcPr>
                  <w:tcW w:w="536" w:type="pct"/>
                  <w:noWrap w:val="0"/>
                  <w:vAlign w:val="center"/>
                </w:tcPr>
                <w:p w14:paraId="0C57268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112.55</w:t>
                  </w:r>
                </w:p>
              </w:tc>
              <w:tc>
                <w:tcPr>
                  <w:tcW w:w="438" w:type="pct"/>
                  <w:noWrap w:val="0"/>
                  <w:vAlign w:val="center"/>
                </w:tcPr>
                <w:p w14:paraId="6EFC570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1FE8B13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w:t>
                  </w:r>
                </w:p>
              </w:tc>
              <w:tc>
                <w:tcPr>
                  <w:tcW w:w="763" w:type="pct"/>
                  <w:vMerge w:val="continue"/>
                  <w:noWrap w:val="0"/>
                  <w:vAlign w:val="center"/>
                </w:tcPr>
                <w:p w14:paraId="5EB935F7">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3E8EED5F">
                  <w:pPr>
                    <w:pStyle w:val="14"/>
                    <w:spacing w:after="0" w:line="240" w:lineRule="auto"/>
                    <w:ind w:left="0" w:leftChars="0"/>
                    <w:jc w:val="center"/>
                    <w:rPr>
                      <w:rFonts w:hint="default" w:ascii="Times New Roman" w:hAnsi="Times New Roman" w:cs="Times New Roman"/>
                      <w:color w:val="auto"/>
                      <w:szCs w:val="21"/>
                    </w:rPr>
                  </w:pPr>
                </w:p>
              </w:tc>
            </w:tr>
            <w:tr w14:paraId="3189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rPr>
              <w:tc>
                <w:tcPr>
                  <w:tcW w:w="261" w:type="pct"/>
                  <w:noWrap w:val="0"/>
                  <w:vAlign w:val="center"/>
                </w:tcPr>
                <w:p w14:paraId="5062F05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816" w:type="pct"/>
                  <w:noWrap w:val="0"/>
                  <w:vAlign w:val="center"/>
                </w:tcPr>
                <w:p w14:paraId="6A792FE5">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电动压风机</w:t>
                  </w:r>
                </w:p>
              </w:tc>
              <w:tc>
                <w:tcPr>
                  <w:tcW w:w="445" w:type="pct"/>
                  <w:noWrap w:val="0"/>
                  <w:vAlign w:val="center"/>
                </w:tcPr>
                <w:p w14:paraId="3D6B3C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64DECB9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-33.56</w:t>
                  </w:r>
                </w:p>
              </w:tc>
              <w:tc>
                <w:tcPr>
                  <w:tcW w:w="536" w:type="pct"/>
                  <w:noWrap w:val="0"/>
                  <w:vAlign w:val="center"/>
                </w:tcPr>
                <w:p w14:paraId="07FC612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96.84</w:t>
                  </w:r>
                </w:p>
              </w:tc>
              <w:tc>
                <w:tcPr>
                  <w:tcW w:w="438" w:type="pct"/>
                  <w:noWrap w:val="0"/>
                  <w:vAlign w:val="center"/>
                </w:tcPr>
                <w:p w14:paraId="68A3FDD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0D57AF6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763" w:type="pct"/>
                  <w:vMerge w:val="continue"/>
                  <w:noWrap w:val="0"/>
                  <w:vAlign w:val="center"/>
                </w:tcPr>
                <w:p w14:paraId="539C5200">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523008D3">
                  <w:pPr>
                    <w:pStyle w:val="14"/>
                    <w:spacing w:after="0" w:line="240" w:lineRule="auto"/>
                    <w:ind w:left="0" w:leftChars="0"/>
                    <w:jc w:val="center"/>
                    <w:rPr>
                      <w:rFonts w:hint="default" w:ascii="Times New Roman" w:hAnsi="Times New Roman" w:cs="Times New Roman"/>
                      <w:color w:val="auto"/>
                      <w:szCs w:val="21"/>
                    </w:rPr>
                  </w:pPr>
                </w:p>
              </w:tc>
            </w:tr>
            <w:tr w14:paraId="0C9B9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375A97F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816" w:type="pct"/>
                  <w:noWrap w:val="0"/>
                  <w:vAlign w:val="center"/>
                </w:tcPr>
                <w:p w14:paraId="24467B3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钻井泵（2台）</w:t>
                  </w:r>
                </w:p>
              </w:tc>
              <w:tc>
                <w:tcPr>
                  <w:tcW w:w="445" w:type="pct"/>
                  <w:noWrap w:val="0"/>
                  <w:vAlign w:val="center"/>
                </w:tcPr>
                <w:p w14:paraId="17DC884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39658BC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59.23</w:t>
                  </w:r>
                </w:p>
              </w:tc>
              <w:tc>
                <w:tcPr>
                  <w:tcW w:w="536" w:type="pct"/>
                  <w:noWrap w:val="0"/>
                  <w:vAlign w:val="center"/>
                </w:tcPr>
                <w:p w14:paraId="272E9DC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60.47</w:t>
                  </w:r>
                </w:p>
              </w:tc>
              <w:tc>
                <w:tcPr>
                  <w:tcW w:w="438" w:type="pct"/>
                  <w:noWrap w:val="0"/>
                  <w:vAlign w:val="center"/>
                </w:tcPr>
                <w:p w14:paraId="39607FF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51E53B4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69576CA9">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72D0816E">
                  <w:pPr>
                    <w:pStyle w:val="14"/>
                    <w:spacing w:after="0" w:line="240" w:lineRule="auto"/>
                    <w:ind w:left="0" w:leftChars="0"/>
                    <w:jc w:val="center"/>
                    <w:rPr>
                      <w:rFonts w:hint="default" w:ascii="Times New Roman" w:hAnsi="Times New Roman" w:cs="Times New Roman"/>
                      <w:color w:val="auto"/>
                      <w:szCs w:val="21"/>
                    </w:rPr>
                  </w:pPr>
                </w:p>
              </w:tc>
            </w:tr>
            <w:tr w14:paraId="21CB7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10021B9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16" w:type="pct"/>
                  <w:noWrap w:val="0"/>
                  <w:vAlign w:val="center"/>
                </w:tcPr>
                <w:p w14:paraId="2890C9EA">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加重泵（2台）</w:t>
                  </w:r>
                </w:p>
              </w:tc>
              <w:tc>
                <w:tcPr>
                  <w:tcW w:w="445" w:type="pct"/>
                  <w:noWrap w:val="0"/>
                  <w:vAlign w:val="center"/>
                </w:tcPr>
                <w:p w14:paraId="2B9CE86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7C04EC4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40.76</w:t>
                  </w:r>
                </w:p>
              </w:tc>
              <w:tc>
                <w:tcPr>
                  <w:tcW w:w="536" w:type="pct"/>
                  <w:noWrap w:val="0"/>
                  <w:vAlign w:val="center"/>
                </w:tcPr>
                <w:p w14:paraId="35BD203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83.59</w:t>
                  </w:r>
                </w:p>
              </w:tc>
              <w:tc>
                <w:tcPr>
                  <w:tcW w:w="438" w:type="pct"/>
                  <w:noWrap w:val="0"/>
                  <w:vAlign w:val="center"/>
                </w:tcPr>
                <w:p w14:paraId="08FE3A3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70055FB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22699498">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126B7490">
                  <w:pPr>
                    <w:pStyle w:val="14"/>
                    <w:spacing w:after="0" w:line="240" w:lineRule="auto"/>
                    <w:ind w:left="0" w:leftChars="0"/>
                    <w:jc w:val="center"/>
                    <w:rPr>
                      <w:rFonts w:hint="default" w:ascii="Times New Roman" w:hAnsi="Times New Roman" w:cs="Times New Roman"/>
                      <w:color w:val="auto"/>
                      <w:szCs w:val="21"/>
                    </w:rPr>
                  </w:pPr>
                </w:p>
              </w:tc>
            </w:tr>
            <w:tr w14:paraId="7F842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5D05374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noWrap w:val="0"/>
                  <w:vAlign w:val="center"/>
                </w:tcPr>
                <w:p w14:paraId="3805D27B">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noWrap w:val="0"/>
                  <w:vAlign w:val="center"/>
                </w:tcPr>
                <w:p w14:paraId="47A3B42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533C268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65.28</w:t>
                  </w:r>
                </w:p>
              </w:tc>
              <w:tc>
                <w:tcPr>
                  <w:tcW w:w="536" w:type="pct"/>
                  <w:noWrap w:val="0"/>
                  <w:vAlign w:val="center"/>
                </w:tcPr>
                <w:p w14:paraId="515447C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77.43</w:t>
                  </w:r>
                </w:p>
              </w:tc>
              <w:tc>
                <w:tcPr>
                  <w:tcW w:w="438" w:type="pct"/>
                  <w:noWrap w:val="0"/>
                  <w:vAlign w:val="center"/>
                </w:tcPr>
                <w:p w14:paraId="5C369F0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4155C8A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3" w:type="pct"/>
                  <w:vMerge w:val="continue"/>
                  <w:noWrap w:val="0"/>
                  <w:vAlign w:val="center"/>
                </w:tcPr>
                <w:p w14:paraId="0B836CEF">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45B5AEBC">
                  <w:pPr>
                    <w:pStyle w:val="14"/>
                    <w:spacing w:after="0" w:line="240" w:lineRule="auto"/>
                    <w:ind w:left="0" w:leftChars="0"/>
                    <w:jc w:val="center"/>
                    <w:rPr>
                      <w:rFonts w:hint="default" w:ascii="Times New Roman" w:hAnsi="Times New Roman" w:cs="Times New Roman"/>
                      <w:color w:val="auto"/>
                      <w:szCs w:val="21"/>
                    </w:rPr>
                  </w:pPr>
                </w:p>
              </w:tc>
            </w:tr>
            <w:tr w14:paraId="486E2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rPr>
              <w:tc>
                <w:tcPr>
                  <w:tcW w:w="5000" w:type="pct"/>
                  <w:gridSpan w:val="9"/>
                  <w:noWrap w:val="0"/>
                  <w:vAlign w:val="center"/>
                </w:tcPr>
                <w:p w14:paraId="6EEE3FDE">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w:t>
                  </w:r>
                  <w:r>
                    <w:rPr>
                      <w:rFonts w:hint="default" w:ascii="Times New Roman" w:hAnsi="Times New Roman" w:cs="Times New Roman"/>
                      <w:color w:val="auto"/>
                      <w:szCs w:val="21"/>
                    </w:rPr>
                    <w:t>西南角</w:t>
                  </w:r>
                  <w:r>
                    <w:rPr>
                      <w:rFonts w:hint="default" w:ascii="Times New Roman" w:hAnsi="Times New Roman" w:eastAsia="宋体" w:cs="Times New Roman"/>
                      <w:color w:val="auto"/>
                      <w:szCs w:val="21"/>
                      <w:lang w:eastAsia="zh-CN"/>
                    </w:rPr>
                    <w:t>（110.269319</w:t>
                  </w:r>
                  <w:r>
                    <w:rPr>
                      <w:rFonts w:hint="default" w:ascii="Times New Roman" w:hAnsi="Times New Roman" w:eastAsia="宋体" w:cs="Times New Roman"/>
                      <w:color w:val="auto"/>
                      <w:szCs w:val="21"/>
                      <w:lang w:val="en-US" w:eastAsia="zh-CN"/>
                    </w:rPr>
                    <w:t>°，38.186216°</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zCs w:val="21"/>
                    </w:rPr>
                    <w:t>边界。</w:t>
                  </w:r>
                </w:p>
              </w:tc>
            </w:tr>
          </w:tbl>
          <w:p w14:paraId="047A75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在不考虑声传播过程中屏障隔声、空气吸收、地面效应的前提下，利用点声源衰减模式，对噪声影响的范围进行计算，结果见表4-</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p>
          <w:p w14:paraId="448FE1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根据本项目施工期间主要噪声源的特征，可采用点声源距离衰减公式对主要声源产生声环境质量影响进行预测，具体公式如下：</w:t>
            </w:r>
          </w:p>
          <w:p w14:paraId="2FA711BA">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本项目室外声源按照点声源几何发散衰减模式计算：</w:t>
            </w:r>
          </w:p>
          <w:p w14:paraId="4490804B">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i/>
                <w:color w:val="auto"/>
                <w:position w:val="-30"/>
              </w:rPr>
              <w:object>
                <v:shape id="_x0000_i1026" o:spt="75" type="#_x0000_t75" style="height:34pt;width:114.95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p>
          <w:p w14:paraId="1E749A7C">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p</w:t>
            </w:r>
            <w:r>
              <w:rPr>
                <w:rFonts w:hint="default" w:ascii="Times New Roman" w:hAnsi="Times New Roman" w:cs="Times New Roman"/>
                <w:i w:val="0"/>
                <w:color w:val="auto"/>
              </w:rPr>
              <w:t>（</w:t>
            </w:r>
            <w:r>
              <w:rPr>
                <w:rFonts w:hint="default" w:ascii="Times New Roman" w:hAnsi="Times New Roman" w:cs="Times New Roman"/>
                <w:i/>
                <w:iCs/>
                <w:color w:val="auto"/>
              </w:rPr>
              <w:t>r</w:t>
            </w:r>
            <w:r>
              <w:rPr>
                <w:rFonts w:hint="default" w:ascii="Times New Roman" w:hAnsi="Times New Roman" w:cs="Times New Roman"/>
                <w:i w:val="0"/>
                <w:color w:val="auto"/>
              </w:rPr>
              <w:t>）——预测点处声压级，dB；</w:t>
            </w:r>
          </w:p>
          <w:p w14:paraId="03D45308">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p</w:t>
            </w:r>
            <w:r>
              <w:rPr>
                <w:rFonts w:hint="default" w:ascii="Times New Roman" w:hAnsi="Times New Roman" w:cs="Times New Roman"/>
                <w:i w:val="0"/>
                <w:color w:val="auto"/>
              </w:rPr>
              <w:t>（</w:t>
            </w: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）——参考位置</w:t>
            </w: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处的声压级，dB；</w:t>
            </w:r>
          </w:p>
          <w:p w14:paraId="0F3BD2E3">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r</w:t>
            </w:r>
            <w:r>
              <w:rPr>
                <w:rFonts w:hint="default" w:ascii="Times New Roman" w:hAnsi="Times New Roman" w:cs="Times New Roman"/>
                <w:i w:val="0"/>
                <w:color w:val="auto"/>
              </w:rPr>
              <w:t>——预测点距声源的距离；</w:t>
            </w:r>
          </w:p>
          <w:p w14:paraId="763BBBCE">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——参考位置距声源的距离。</w:t>
            </w:r>
          </w:p>
          <w:p w14:paraId="73E1F3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施工设备噪声衰减结果表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820"/>
              <w:gridCol w:w="578"/>
              <w:gridCol w:w="833"/>
              <w:gridCol w:w="682"/>
              <w:gridCol w:w="682"/>
              <w:gridCol w:w="748"/>
              <w:gridCol w:w="748"/>
              <w:gridCol w:w="753"/>
              <w:gridCol w:w="753"/>
              <w:gridCol w:w="779"/>
            </w:tblGrid>
            <w:tr w14:paraId="2EC4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Merge w:val="restart"/>
                  <w:vAlign w:val="center"/>
                </w:tcPr>
                <w:p w14:paraId="63C989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w:t>
                  </w:r>
                </w:p>
              </w:tc>
              <w:tc>
                <w:tcPr>
                  <w:tcW w:w="472" w:type="pct"/>
                  <w:vMerge w:val="restart"/>
                  <w:vAlign w:val="center"/>
                </w:tcPr>
                <w:p w14:paraId="3BCBFE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降噪后声级dB（A）</w:t>
                  </w:r>
                </w:p>
              </w:tc>
              <w:tc>
                <w:tcPr>
                  <w:tcW w:w="333" w:type="pct"/>
                  <w:vMerge w:val="restart"/>
                  <w:vAlign w:val="center"/>
                </w:tcPr>
                <w:p w14:paraId="145FC0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运行数量</w:t>
                  </w:r>
                </w:p>
              </w:tc>
              <w:tc>
                <w:tcPr>
                  <w:tcW w:w="477" w:type="pct"/>
                  <w:vMerge w:val="restart"/>
                  <w:vAlign w:val="center"/>
                </w:tcPr>
                <w:p w14:paraId="2AA969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合成声压级dB（A）</w:t>
                  </w:r>
                </w:p>
              </w:tc>
              <w:tc>
                <w:tcPr>
                  <w:tcW w:w="2958" w:type="pct"/>
                  <w:gridSpan w:val="7"/>
                  <w:vAlign w:val="center"/>
                </w:tcPr>
                <w:p w14:paraId="092DDA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受声点不同距离处噪声衰减值/dB（A）</w:t>
                  </w:r>
                </w:p>
              </w:tc>
            </w:tr>
            <w:tr w14:paraId="7831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Merge w:val="continue"/>
                  <w:vAlign w:val="center"/>
                </w:tcPr>
                <w:p w14:paraId="5FF819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2" w:type="pct"/>
                  <w:vMerge w:val="continue"/>
                  <w:vAlign w:val="center"/>
                </w:tcPr>
                <w:p w14:paraId="59EFFB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3" w:type="pct"/>
                  <w:vMerge w:val="continue"/>
                  <w:vAlign w:val="center"/>
                </w:tcPr>
                <w:p w14:paraId="74AD61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7" w:type="pct"/>
                  <w:vMerge w:val="continue"/>
                  <w:vAlign w:val="center"/>
                </w:tcPr>
                <w:p w14:paraId="5FF1B6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92" w:type="pct"/>
                  <w:vAlign w:val="center"/>
                </w:tcPr>
                <w:p w14:paraId="337B4B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10m</w:t>
                  </w:r>
                </w:p>
              </w:tc>
              <w:tc>
                <w:tcPr>
                  <w:tcW w:w="392" w:type="pct"/>
                  <w:vAlign w:val="center"/>
                </w:tcPr>
                <w:p w14:paraId="46B3AD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50m</w:t>
                  </w:r>
                </w:p>
              </w:tc>
              <w:tc>
                <w:tcPr>
                  <w:tcW w:w="430" w:type="pct"/>
                  <w:vAlign w:val="center"/>
                </w:tcPr>
                <w:p w14:paraId="074E5A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100m</w:t>
                  </w:r>
                </w:p>
              </w:tc>
              <w:tc>
                <w:tcPr>
                  <w:tcW w:w="430" w:type="pct"/>
                  <w:vAlign w:val="center"/>
                </w:tcPr>
                <w:p w14:paraId="1C6FBA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150m</w:t>
                  </w:r>
                </w:p>
              </w:tc>
              <w:tc>
                <w:tcPr>
                  <w:tcW w:w="433" w:type="pct"/>
                  <w:vAlign w:val="center"/>
                </w:tcPr>
                <w:p w14:paraId="43867F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200m</w:t>
                  </w:r>
                </w:p>
              </w:tc>
              <w:tc>
                <w:tcPr>
                  <w:tcW w:w="433" w:type="pct"/>
                  <w:vAlign w:val="center"/>
                </w:tcPr>
                <w:p w14:paraId="77D190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250m</w:t>
                  </w:r>
                </w:p>
              </w:tc>
              <w:tc>
                <w:tcPr>
                  <w:tcW w:w="445" w:type="pct"/>
                  <w:vAlign w:val="center"/>
                </w:tcPr>
                <w:p w14:paraId="5788B7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300m</w:t>
                  </w:r>
                </w:p>
              </w:tc>
            </w:tr>
            <w:tr w14:paraId="1F2A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6963F2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钻机</w:t>
                  </w:r>
                </w:p>
              </w:tc>
              <w:tc>
                <w:tcPr>
                  <w:tcW w:w="472" w:type="pct"/>
                  <w:vAlign w:val="center"/>
                </w:tcPr>
                <w:p w14:paraId="54ADDC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85</w:t>
                  </w:r>
                </w:p>
              </w:tc>
              <w:tc>
                <w:tcPr>
                  <w:tcW w:w="333" w:type="pct"/>
                  <w:vAlign w:val="center"/>
                </w:tcPr>
                <w:p w14:paraId="122C14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7" w:type="pct"/>
                  <w:vAlign w:val="center"/>
                </w:tcPr>
                <w:p w14:paraId="334504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85</w:t>
                  </w:r>
                </w:p>
              </w:tc>
              <w:tc>
                <w:tcPr>
                  <w:tcW w:w="392" w:type="pct"/>
                  <w:vAlign w:val="center"/>
                </w:tcPr>
                <w:p w14:paraId="4B03DD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c>
                <w:tcPr>
                  <w:tcW w:w="392" w:type="pct"/>
                  <w:vAlign w:val="center"/>
                </w:tcPr>
                <w:p w14:paraId="64D7CD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w:t>
                  </w:r>
                </w:p>
              </w:tc>
              <w:tc>
                <w:tcPr>
                  <w:tcW w:w="430" w:type="pct"/>
                  <w:vAlign w:val="center"/>
                </w:tcPr>
                <w:p w14:paraId="37F391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44.5</w:t>
                  </w:r>
                </w:p>
              </w:tc>
              <w:tc>
                <w:tcPr>
                  <w:tcW w:w="430" w:type="pct"/>
                  <w:vAlign w:val="center"/>
                </w:tcPr>
                <w:p w14:paraId="02A8A9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w:t>
                  </w:r>
                </w:p>
              </w:tc>
              <w:tc>
                <w:tcPr>
                  <w:tcW w:w="433" w:type="pct"/>
                  <w:vAlign w:val="center"/>
                </w:tcPr>
                <w:p w14:paraId="00FECD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38</w:t>
                  </w:r>
                </w:p>
              </w:tc>
              <w:tc>
                <w:tcPr>
                  <w:tcW w:w="433" w:type="pct"/>
                  <w:vAlign w:val="center"/>
                </w:tcPr>
                <w:p w14:paraId="080411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w:t>
                  </w:r>
                </w:p>
              </w:tc>
              <w:tc>
                <w:tcPr>
                  <w:tcW w:w="445" w:type="pct"/>
                  <w:vAlign w:val="center"/>
                </w:tcPr>
                <w:p w14:paraId="59BD8B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34</w:t>
                  </w:r>
                </w:p>
              </w:tc>
            </w:tr>
            <w:tr w14:paraId="7DE1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01AB4A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泥浆泵</w:t>
                  </w:r>
                </w:p>
              </w:tc>
              <w:tc>
                <w:tcPr>
                  <w:tcW w:w="472" w:type="pct"/>
                  <w:vAlign w:val="center"/>
                </w:tcPr>
                <w:p w14:paraId="22E0DE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70</w:t>
                  </w:r>
                </w:p>
              </w:tc>
              <w:tc>
                <w:tcPr>
                  <w:tcW w:w="333" w:type="pct"/>
                  <w:vAlign w:val="center"/>
                </w:tcPr>
                <w:p w14:paraId="69D7AE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477" w:type="pct"/>
                  <w:vAlign w:val="center"/>
                </w:tcPr>
                <w:p w14:paraId="41699F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392" w:type="pct"/>
                  <w:vAlign w:val="center"/>
                </w:tcPr>
                <w:p w14:paraId="3E6EF7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392" w:type="pct"/>
                  <w:vAlign w:val="center"/>
                </w:tcPr>
                <w:p w14:paraId="7A8236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39</w:t>
                  </w:r>
                </w:p>
              </w:tc>
              <w:tc>
                <w:tcPr>
                  <w:tcW w:w="430" w:type="pct"/>
                  <w:vAlign w:val="center"/>
                </w:tcPr>
                <w:p w14:paraId="2A4F7F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430" w:type="pct"/>
                  <w:vAlign w:val="center"/>
                </w:tcPr>
                <w:p w14:paraId="7C4332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29.5</w:t>
                  </w:r>
                </w:p>
              </w:tc>
              <w:tc>
                <w:tcPr>
                  <w:tcW w:w="433" w:type="pct"/>
                  <w:vAlign w:val="center"/>
                </w:tcPr>
                <w:p w14:paraId="1D64C5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27</w:t>
                  </w:r>
                </w:p>
              </w:tc>
              <w:tc>
                <w:tcPr>
                  <w:tcW w:w="433" w:type="pct"/>
                  <w:vAlign w:val="center"/>
                </w:tcPr>
                <w:p w14:paraId="50BCF6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445" w:type="pct"/>
                  <w:vAlign w:val="center"/>
                </w:tcPr>
                <w:p w14:paraId="2F6823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3.5</w:t>
                  </w:r>
                </w:p>
              </w:tc>
            </w:tr>
            <w:tr w14:paraId="6F8B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2FD073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除砂器</w:t>
                  </w:r>
                </w:p>
              </w:tc>
              <w:tc>
                <w:tcPr>
                  <w:tcW w:w="472" w:type="pct"/>
                  <w:vAlign w:val="center"/>
                </w:tcPr>
                <w:p w14:paraId="08DF49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3168D2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7" w:type="pct"/>
                  <w:vAlign w:val="center"/>
                </w:tcPr>
                <w:p w14:paraId="2B922C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392" w:type="pct"/>
                  <w:vAlign w:val="center"/>
                </w:tcPr>
                <w:p w14:paraId="43D058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45</w:t>
                  </w:r>
                </w:p>
              </w:tc>
              <w:tc>
                <w:tcPr>
                  <w:tcW w:w="392" w:type="pct"/>
                  <w:vAlign w:val="center"/>
                </w:tcPr>
                <w:p w14:paraId="0FFB80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w:t>
                  </w:r>
                </w:p>
              </w:tc>
              <w:tc>
                <w:tcPr>
                  <w:tcW w:w="430" w:type="pct"/>
                  <w:vAlign w:val="center"/>
                </w:tcPr>
                <w:p w14:paraId="131AEB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430" w:type="pct"/>
                  <w:vAlign w:val="center"/>
                </w:tcPr>
                <w:p w14:paraId="53525C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21.5</w:t>
                  </w:r>
                </w:p>
              </w:tc>
              <w:tc>
                <w:tcPr>
                  <w:tcW w:w="433" w:type="pct"/>
                  <w:vAlign w:val="center"/>
                </w:tcPr>
                <w:p w14:paraId="7BD427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433" w:type="pct"/>
                  <w:vAlign w:val="center"/>
                </w:tcPr>
                <w:p w14:paraId="06CD25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445" w:type="pct"/>
                  <w:vAlign w:val="center"/>
                </w:tcPr>
                <w:p w14:paraId="3FFAA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15.5</w:t>
                  </w:r>
                </w:p>
              </w:tc>
            </w:tr>
            <w:tr w14:paraId="7C21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614146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除泥器</w:t>
                  </w:r>
                </w:p>
              </w:tc>
              <w:tc>
                <w:tcPr>
                  <w:tcW w:w="472" w:type="pct"/>
                  <w:vAlign w:val="center"/>
                </w:tcPr>
                <w:p w14:paraId="27A326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60038D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7" w:type="pct"/>
                  <w:vAlign w:val="center"/>
                </w:tcPr>
                <w:p w14:paraId="36BA81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392" w:type="pct"/>
                  <w:vAlign w:val="center"/>
                </w:tcPr>
                <w:p w14:paraId="1B9439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p>
              </w:tc>
              <w:tc>
                <w:tcPr>
                  <w:tcW w:w="392" w:type="pct"/>
                  <w:vAlign w:val="center"/>
                </w:tcPr>
                <w:p w14:paraId="465D62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31</w:t>
                  </w:r>
                </w:p>
              </w:tc>
              <w:tc>
                <w:tcPr>
                  <w:tcW w:w="430" w:type="pct"/>
                  <w:vAlign w:val="center"/>
                </w:tcPr>
                <w:p w14:paraId="507C83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30" w:type="pct"/>
                  <w:vAlign w:val="center"/>
                </w:tcPr>
                <w:p w14:paraId="3BC29B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21.5</w:t>
                  </w:r>
                </w:p>
              </w:tc>
              <w:tc>
                <w:tcPr>
                  <w:tcW w:w="433" w:type="pct"/>
                  <w:vAlign w:val="center"/>
                </w:tcPr>
                <w:p w14:paraId="4E0E4D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19</w:t>
                  </w:r>
                </w:p>
              </w:tc>
              <w:tc>
                <w:tcPr>
                  <w:tcW w:w="433" w:type="pct"/>
                  <w:vAlign w:val="center"/>
                </w:tcPr>
                <w:p w14:paraId="48DB9A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445" w:type="pct"/>
                  <w:vAlign w:val="center"/>
                </w:tcPr>
                <w:p w14:paraId="5E48BA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15.5</w:t>
                  </w:r>
                </w:p>
              </w:tc>
            </w:tr>
            <w:tr w14:paraId="45DC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06E8A7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离心机</w:t>
                  </w:r>
                </w:p>
              </w:tc>
              <w:tc>
                <w:tcPr>
                  <w:tcW w:w="472" w:type="pct"/>
                  <w:vAlign w:val="center"/>
                </w:tcPr>
                <w:p w14:paraId="008123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63DF0D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7" w:type="pct"/>
                  <w:vAlign w:val="center"/>
                </w:tcPr>
                <w:p w14:paraId="50F098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73</w:t>
                  </w:r>
                </w:p>
              </w:tc>
              <w:tc>
                <w:tcPr>
                  <w:tcW w:w="392" w:type="pct"/>
                  <w:vAlign w:val="center"/>
                </w:tcPr>
                <w:p w14:paraId="6F4E5D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53</w:t>
                  </w:r>
                </w:p>
              </w:tc>
              <w:tc>
                <w:tcPr>
                  <w:tcW w:w="392" w:type="pct"/>
                  <w:vAlign w:val="center"/>
                </w:tcPr>
                <w:p w14:paraId="2B32F0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vAlign w:val="center"/>
                </w:tcPr>
                <w:p w14:paraId="605DA5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vAlign w:val="center"/>
                </w:tcPr>
                <w:p w14:paraId="41ED3A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29.5</w:t>
                  </w:r>
                </w:p>
              </w:tc>
              <w:tc>
                <w:tcPr>
                  <w:tcW w:w="433" w:type="pct"/>
                  <w:vAlign w:val="center"/>
                </w:tcPr>
                <w:p w14:paraId="0E51F4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w:t>
                  </w:r>
                </w:p>
              </w:tc>
              <w:tc>
                <w:tcPr>
                  <w:tcW w:w="433" w:type="pct"/>
                  <w:vAlign w:val="center"/>
                </w:tcPr>
                <w:p w14:paraId="0A5AD8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445" w:type="pct"/>
                  <w:vAlign w:val="center"/>
                </w:tcPr>
                <w:p w14:paraId="53FBEB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23.5</w:t>
                  </w:r>
                </w:p>
              </w:tc>
            </w:tr>
            <w:tr w14:paraId="03B3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03C798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振动筛</w:t>
                  </w:r>
                </w:p>
              </w:tc>
              <w:tc>
                <w:tcPr>
                  <w:tcW w:w="472" w:type="pct"/>
                  <w:vAlign w:val="center"/>
                </w:tcPr>
                <w:p w14:paraId="2C1C6D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77AEC8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w:t>
                  </w:r>
                </w:p>
              </w:tc>
              <w:tc>
                <w:tcPr>
                  <w:tcW w:w="477" w:type="pct"/>
                  <w:vAlign w:val="top"/>
                </w:tcPr>
                <w:p w14:paraId="56438C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69.7</w:t>
                  </w:r>
                </w:p>
              </w:tc>
              <w:tc>
                <w:tcPr>
                  <w:tcW w:w="392" w:type="pct"/>
                  <w:vAlign w:val="top"/>
                </w:tcPr>
                <w:p w14:paraId="1FFD88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49.7</w:t>
                  </w:r>
                </w:p>
              </w:tc>
              <w:tc>
                <w:tcPr>
                  <w:tcW w:w="392" w:type="pct"/>
                  <w:vAlign w:val="top"/>
                </w:tcPr>
                <w:p w14:paraId="38A6BB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35.7</w:t>
                  </w:r>
                </w:p>
              </w:tc>
              <w:tc>
                <w:tcPr>
                  <w:tcW w:w="430" w:type="pct"/>
                  <w:vAlign w:val="top"/>
                </w:tcPr>
                <w:p w14:paraId="595EB4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29.7</w:t>
                  </w:r>
                </w:p>
              </w:tc>
              <w:tc>
                <w:tcPr>
                  <w:tcW w:w="430" w:type="pct"/>
                  <w:vAlign w:val="top"/>
                </w:tcPr>
                <w:p w14:paraId="5EEE1C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26.2</w:t>
                  </w:r>
                </w:p>
              </w:tc>
              <w:tc>
                <w:tcPr>
                  <w:tcW w:w="433" w:type="pct"/>
                  <w:vAlign w:val="top"/>
                </w:tcPr>
                <w:p w14:paraId="3AA57F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23.7</w:t>
                  </w:r>
                </w:p>
              </w:tc>
              <w:tc>
                <w:tcPr>
                  <w:tcW w:w="433" w:type="pct"/>
                  <w:vAlign w:val="top"/>
                </w:tcPr>
                <w:p w14:paraId="5264FC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21.7</w:t>
                  </w:r>
                </w:p>
              </w:tc>
              <w:tc>
                <w:tcPr>
                  <w:tcW w:w="445" w:type="pct"/>
                  <w:vAlign w:val="top"/>
                </w:tcPr>
                <w:p w14:paraId="47F448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p>
              </w:tc>
            </w:tr>
            <w:tr w14:paraId="6DE5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4CDE8A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加重泵</w:t>
                  </w:r>
                </w:p>
              </w:tc>
              <w:tc>
                <w:tcPr>
                  <w:tcW w:w="472" w:type="pct"/>
                  <w:vAlign w:val="center"/>
                </w:tcPr>
                <w:p w14:paraId="4979C0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3CAF34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7" w:type="pct"/>
                  <w:vAlign w:val="top"/>
                </w:tcPr>
                <w:p w14:paraId="46C572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73</w:t>
                  </w:r>
                </w:p>
              </w:tc>
              <w:tc>
                <w:tcPr>
                  <w:tcW w:w="392" w:type="pct"/>
                  <w:vAlign w:val="center"/>
                </w:tcPr>
                <w:p w14:paraId="6A13C4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53</w:t>
                  </w:r>
                </w:p>
              </w:tc>
              <w:tc>
                <w:tcPr>
                  <w:tcW w:w="392" w:type="pct"/>
                  <w:vAlign w:val="center"/>
                </w:tcPr>
                <w:p w14:paraId="135A39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vAlign w:val="center"/>
                </w:tcPr>
                <w:p w14:paraId="488BB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vAlign w:val="center"/>
                </w:tcPr>
                <w:p w14:paraId="2232EC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29.5</w:t>
                  </w:r>
                </w:p>
              </w:tc>
              <w:tc>
                <w:tcPr>
                  <w:tcW w:w="433" w:type="pct"/>
                  <w:vAlign w:val="center"/>
                </w:tcPr>
                <w:p w14:paraId="450783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w:t>
                  </w:r>
                </w:p>
              </w:tc>
              <w:tc>
                <w:tcPr>
                  <w:tcW w:w="433" w:type="pct"/>
                  <w:vAlign w:val="center"/>
                </w:tcPr>
                <w:p w14:paraId="561E7F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445" w:type="pct"/>
                  <w:vAlign w:val="center"/>
                </w:tcPr>
                <w:p w14:paraId="0487A8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23.5</w:t>
                  </w:r>
                </w:p>
              </w:tc>
            </w:tr>
            <w:tr w14:paraId="7EBC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55ADE2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自动压风机</w:t>
                  </w:r>
                </w:p>
              </w:tc>
              <w:tc>
                <w:tcPr>
                  <w:tcW w:w="472" w:type="pct"/>
                  <w:vAlign w:val="center"/>
                </w:tcPr>
                <w:p w14:paraId="6CE589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4C2DD3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7" w:type="pct"/>
                  <w:vAlign w:val="center"/>
                </w:tcPr>
                <w:p w14:paraId="54B704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392" w:type="pct"/>
                  <w:vAlign w:val="center"/>
                </w:tcPr>
                <w:p w14:paraId="056A52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392" w:type="pct"/>
                  <w:vAlign w:val="center"/>
                </w:tcPr>
                <w:p w14:paraId="1025A7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430" w:type="pct"/>
                  <w:vAlign w:val="center"/>
                </w:tcPr>
                <w:p w14:paraId="5D2FF7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430" w:type="pct"/>
                  <w:vAlign w:val="center"/>
                </w:tcPr>
                <w:p w14:paraId="50D85B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433" w:type="pct"/>
                  <w:vAlign w:val="center"/>
                </w:tcPr>
                <w:p w14:paraId="4E9CE9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433" w:type="pct"/>
                  <w:vAlign w:val="center"/>
                </w:tcPr>
                <w:p w14:paraId="488199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445" w:type="pct"/>
                  <w:vAlign w:val="center"/>
                </w:tcPr>
                <w:p w14:paraId="3FE997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4F3F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443E30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电动压风机</w:t>
                  </w:r>
                </w:p>
              </w:tc>
              <w:tc>
                <w:tcPr>
                  <w:tcW w:w="472" w:type="pct"/>
                  <w:vAlign w:val="center"/>
                </w:tcPr>
                <w:p w14:paraId="230B6C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167570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7" w:type="pct"/>
                  <w:vAlign w:val="center"/>
                </w:tcPr>
                <w:p w14:paraId="321FD6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392" w:type="pct"/>
                  <w:vAlign w:val="center"/>
                </w:tcPr>
                <w:p w14:paraId="6AF5E7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392" w:type="pct"/>
                  <w:vAlign w:val="center"/>
                </w:tcPr>
                <w:p w14:paraId="6407D4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430" w:type="pct"/>
                  <w:vAlign w:val="center"/>
                </w:tcPr>
                <w:p w14:paraId="4962FA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430" w:type="pct"/>
                  <w:vAlign w:val="center"/>
                </w:tcPr>
                <w:p w14:paraId="395B00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433" w:type="pct"/>
                  <w:vAlign w:val="center"/>
                </w:tcPr>
                <w:p w14:paraId="1AF5C4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433" w:type="pct"/>
                  <w:vAlign w:val="center"/>
                </w:tcPr>
                <w:p w14:paraId="4D9D30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445" w:type="pct"/>
                  <w:vAlign w:val="center"/>
                </w:tcPr>
                <w:p w14:paraId="74C278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60DF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2F424B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钻井泵</w:t>
                  </w:r>
                </w:p>
              </w:tc>
              <w:tc>
                <w:tcPr>
                  <w:tcW w:w="472" w:type="pct"/>
                  <w:vAlign w:val="center"/>
                </w:tcPr>
                <w:p w14:paraId="6C6FE7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7031C8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7" w:type="pct"/>
                  <w:vAlign w:val="top"/>
                </w:tcPr>
                <w:p w14:paraId="0D1AC4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73</w:t>
                  </w:r>
                </w:p>
              </w:tc>
              <w:tc>
                <w:tcPr>
                  <w:tcW w:w="392" w:type="pct"/>
                  <w:vAlign w:val="center"/>
                </w:tcPr>
                <w:p w14:paraId="7CBAC7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392" w:type="pct"/>
                  <w:vAlign w:val="center"/>
                </w:tcPr>
                <w:p w14:paraId="66A0A4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430" w:type="pct"/>
                  <w:vAlign w:val="center"/>
                </w:tcPr>
                <w:p w14:paraId="13C6E8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430" w:type="pct"/>
                  <w:vAlign w:val="center"/>
                </w:tcPr>
                <w:p w14:paraId="0DA7A8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433" w:type="pct"/>
                  <w:vAlign w:val="center"/>
                </w:tcPr>
                <w:p w14:paraId="514C91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433" w:type="pct"/>
                  <w:vAlign w:val="center"/>
                </w:tcPr>
                <w:p w14:paraId="383EDE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45" w:type="pct"/>
                  <w:vAlign w:val="center"/>
                </w:tcPr>
                <w:p w14:paraId="2134E6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145C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pct"/>
                  <w:gridSpan w:val="4"/>
                  <w:vAlign w:val="center"/>
                </w:tcPr>
                <w:p w14:paraId="15AE3A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叠加值</w:t>
                  </w:r>
                </w:p>
              </w:tc>
              <w:tc>
                <w:tcPr>
                  <w:tcW w:w="392" w:type="pct"/>
                  <w:vAlign w:val="center"/>
                </w:tcPr>
                <w:p w14:paraId="11F74D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66</w:t>
                  </w:r>
                </w:p>
              </w:tc>
              <w:tc>
                <w:tcPr>
                  <w:tcW w:w="392" w:type="pct"/>
                  <w:vAlign w:val="center"/>
                </w:tcPr>
                <w:p w14:paraId="5ECAC1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w:t>
                  </w:r>
                </w:p>
              </w:tc>
              <w:tc>
                <w:tcPr>
                  <w:tcW w:w="430" w:type="pct"/>
                  <w:vAlign w:val="center"/>
                </w:tcPr>
                <w:p w14:paraId="5DE0CE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c>
                <w:tcPr>
                  <w:tcW w:w="430" w:type="pct"/>
                  <w:vAlign w:val="center"/>
                </w:tcPr>
                <w:p w14:paraId="5A8D49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42</w:t>
                  </w:r>
                </w:p>
              </w:tc>
              <w:tc>
                <w:tcPr>
                  <w:tcW w:w="433" w:type="pct"/>
                  <w:vAlign w:val="center"/>
                </w:tcPr>
                <w:p w14:paraId="237ACB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40</w:t>
                  </w:r>
                </w:p>
              </w:tc>
              <w:tc>
                <w:tcPr>
                  <w:tcW w:w="433" w:type="pct"/>
                  <w:vAlign w:val="center"/>
                </w:tcPr>
                <w:p w14:paraId="1565A6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38</w:t>
                  </w:r>
                </w:p>
              </w:tc>
              <w:tc>
                <w:tcPr>
                  <w:tcW w:w="445" w:type="pct"/>
                  <w:vAlign w:val="center"/>
                </w:tcPr>
                <w:p w14:paraId="61D893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w:t>
                  </w:r>
                </w:p>
              </w:tc>
            </w:tr>
          </w:tbl>
          <w:p w14:paraId="13296A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由上表可知，钻井施工期间，钻机噪声影响最大，</w:t>
            </w:r>
            <w:r>
              <w:rPr>
                <w:rFonts w:hint="eastAsia" w:ascii="Times New Roman" w:hAnsi="Times New Roman" w:eastAsia="宋体" w:cs="Times New Roman"/>
                <w:b w:val="0"/>
                <w:bCs w:val="0"/>
                <w:color w:val="auto"/>
                <w:sz w:val="24"/>
                <w:szCs w:val="24"/>
                <w:vertAlign w:val="baseline"/>
                <w:lang w:val="en-US" w:eastAsia="zh-CN"/>
              </w:rPr>
              <w:t>经过距离衰减后，</w:t>
            </w:r>
            <w:r>
              <w:rPr>
                <w:rFonts w:hint="eastAsia" w:ascii="Times New Roman" w:hAnsi="Times New Roman" w:eastAsia="宋体" w:cs="Times New Roman"/>
                <w:b w:val="0"/>
                <w:bCs w:val="0"/>
                <w:color w:val="auto"/>
                <w:sz w:val="24"/>
                <w:szCs w:val="24"/>
                <w:vertAlign w:val="baseline"/>
                <w:lang w:val="en-US" w:eastAsia="zh-CN"/>
              </w:rPr>
              <w:t>在距离井场场界50m处昼夜间噪声可满足《建筑施工场界环境噪声排放标准》(GB12523-2011)中相关规定。在不考虑背景噪声情况下，距离井场场界噪声100m处昼夜间噪声贡献值可满足《声环境质量标准》(GB3096-2008)1类声环境功能区要求。根据调查，本项目探井施工场地周边最近住户距离约为140m，项目施工对周边居民产生得影响可接受。</w:t>
            </w:r>
          </w:p>
          <w:p w14:paraId="447B10C1">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2、土石方阶段声环境影响分析</w:t>
            </w:r>
          </w:p>
          <w:p w14:paraId="0A8DA06B">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土石方阶段主要使用推土机、装载机、翻斗车等设备，由于施工量较小，施工期很短，设备噪声值相对较小，类比同类型项目，昼间在距离设备50米处，夜间在距离施工设备250米处可满足《建筑施工场界环境噪声排放标准》（GB12523-2011）中相关规定。</w:t>
            </w:r>
          </w:p>
          <w:p w14:paraId="26B3510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根据现场勘查，本项目140m处有张家沟村民。环评要求土石方工程施工期段，设备间歇运行，夜间严禁土石方作业。</w:t>
            </w:r>
          </w:p>
          <w:p w14:paraId="4A6ABD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3、压裂噪声影响</w:t>
            </w:r>
          </w:p>
          <w:p w14:paraId="20A888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本项目各井场均设置4台压裂车，单台压裂车噪声值为100dB（A）。在不考虑声传播过程中屏障隔声、空气吸收、地面效应的前提下，利用点声源衰减模式，对噪声影响的范围进行计算，结果见表4-6。</w:t>
            </w:r>
          </w:p>
          <w:p w14:paraId="54D5FF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根据本项目施工期间主要噪声源的特征，可采用点声源距离衰减公式对主要声源产生声环境质量影响进行预测，具体公式如下：</w:t>
            </w:r>
          </w:p>
          <w:p w14:paraId="3FDCEF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Lr=Lr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-20lg（r/r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w:t>
            </w:r>
          </w:p>
          <w:p w14:paraId="7FCD03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式中：Lr—距声源r处的A声压级，dB（A）；</w:t>
            </w:r>
          </w:p>
          <w:p w14:paraId="14B5E9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Lr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—距声源r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处的A声压级，dB（A）；</w:t>
            </w:r>
          </w:p>
          <w:p w14:paraId="5442B4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r—预测点与声源的距离，m；</w:t>
            </w:r>
          </w:p>
          <w:p w14:paraId="773E5F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—监测设备噪声时的距离，m。</w:t>
            </w:r>
          </w:p>
          <w:p w14:paraId="7A03D0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施工压裂噪声经距离衰减后的预测结果见下表。</w:t>
            </w:r>
          </w:p>
          <w:p w14:paraId="3544DA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表4-6  距声源不同距离处的噪声预测值     单位：dB（A）</w:t>
            </w:r>
          </w:p>
          <w:tbl>
            <w:tblPr>
              <w:tblStyle w:val="20"/>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934"/>
              <w:gridCol w:w="935"/>
              <w:gridCol w:w="935"/>
              <w:gridCol w:w="935"/>
              <w:gridCol w:w="935"/>
              <w:gridCol w:w="935"/>
              <w:gridCol w:w="935"/>
              <w:gridCol w:w="935"/>
            </w:tblGrid>
            <w:tr w14:paraId="3446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restart"/>
                  <w:vAlign w:val="center"/>
                </w:tcPr>
                <w:p w14:paraId="0F981A9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设备</w:t>
                  </w:r>
                </w:p>
              </w:tc>
              <w:tc>
                <w:tcPr>
                  <w:tcW w:w="934" w:type="dxa"/>
                  <w:vMerge w:val="restart"/>
                  <w:vAlign w:val="center"/>
                </w:tcPr>
                <w:p w14:paraId="2D40D6B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声压级</w:t>
                  </w:r>
                </w:p>
              </w:tc>
              <w:tc>
                <w:tcPr>
                  <w:tcW w:w="6545" w:type="dxa"/>
                  <w:gridSpan w:val="7"/>
                  <w:vAlign w:val="center"/>
                </w:tcPr>
                <w:p w14:paraId="4CD5CF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测点声源距离（m）</w:t>
                  </w:r>
                </w:p>
              </w:tc>
            </w:tr>
            <w:tr w14:paraId="18EE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continue"/>
                  <w:vAlign w:val="center"/>
                </w:tcPr>
                <w:p w14:paraId="170F267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934" w:type="dxa"/>
                  <w:vMerge w:val="continue"/>
                  <w:vAlign w:val="center"/>
                </w:tcPr>
                <w:p w14:paraId="126581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935" w:type="dxa"/>
                  <w:shd w:val="clear" w:color="auto" w:fill="auto"/>
                  <w:vAlign w:val="center"/>
                </w:tcPr>
                <w:p w14:paraId="2E20B00B">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50</w:t>
                  </w:r>
                </w:p>
              </w:tc>
              <w:tc>
                <w:tcPr>
                  <w:tcW w:w="935" w:type="dxa"/>
                  <w:shd w:val="clear" w:color="auto" w:fill="auto"/>
                  <w:vAlign w:val="center"/>
                </w:tcPr>
                <w:p w14:paraId="250EE1C8">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100</w:t>
                  </w:r>
                </w:p>
              </w:tc>
              <w:tc>
                <w:tcPr>
                  <w:tcW w:w="935" w:type="dxa"/>
                  <w:shd w:val="clear" w:color="auto" w:fill="auto"/>
                  <w:vAlign w:val="center"/>
                </w:tcPr>
                <w:p w14:paraId="167875B7">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200</w:t>
                  </w:r>
                </w:p>
              </w:tc>
              <w:tc>
                <w:tcPr>
                  <w:tcW w:w="935" w:type="dxa"/>
                  <w:shd w:val="clear" w:color="auto" w:fill="auto"/>
                  <w:vAlign w:val="center"/>
                </w:tcPr>
                <w:p w14:paraId="23831340">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250</w:t>
                  </w:r>
                </w:p>
              </w:tc>
              <w:tc>
                <w:tcPr>
                  <w:tcW w:w="935" w:type="dxa"/>
                  <w:shd w:val="clear" w:color="auto" w:fill="auto"/>
                  <w:vAlign w:val="center"/>
                </w:tcPr>
                <w:p w14:paraId="5B1FC347">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300</w:t>
                  </w:r>
                </w:p>
              </w:tc>
              <w:tc>
                <w:tcPr>
                  <w:tcW w:w="935" w:type="dxa"/>
                  <w:shd w:val="clear" w:color="auto" w:fill="auto"/>
                  <w:vAlign w:val="center"/>
                </w:tcPr>
                <w:p w14:paraId="433D93B1">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350</w:t>
                  </w:r>
                </w:p>
              </w:tc>
              <w:tc>
                <w:tcPr>
                  <w:tcW w:w="935" w:type="dxa"/>
                  <w:shd w:val="clear" w:color="auto" w:fill="auto"/>
                  <w:vAlign w:val="center"/>
                </w:tcPr>
                <w:p w14:paraId="363F8B4B">
                  <w:pPr>
                    <w:spacing w:before="99"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400</w:t>
                  </w:r>
                </w:p>
              </w:tc>
            </w:tr>
            <w:tr w14:paraId="3569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3D0F48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压裂车</w:t>
                  </w:r>
                </w:p>
              </w:tc>
              <w:tc>
                <w:tcPr>
                  <w:tcW w:w="934" w:type="dxa"/>
                  <w:vAlign w:val="center"/>
                </w:tcPr>
                <w:p w14:paraId="295331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106</w:t>
                  </w:r>
                </w:p>
              </w:tc>
              <w:tc>
                <w:tcPr>
                  <w:tcW w:w="935" w:type="dxa"/>
                  <w:shd w:val="clear" w:color="auto" w:fill="auto"/>
                  <w:vAlign w:val="center"/>
                </w:tcPr>
                <w:p w14:paraId="2366F25F">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72</w:t>
                  </w:r>
                </w:p>
              </w:tc>
              <w:tc>
                <w:tcPr>
                  <w:tcW w:w="935" w:type="dxa"/>
                  <w:shd w:val="clear" w:color="auto" w:fill="auto"/>
                  <w:vAlign w:val="center"/>
                </w:tcPr>
                <w:p w14:paraId="135281F9">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66</w:t>
                  </w:r>
                </w:p>
              </w:tc>
              <w:tc>
                <w:tcPr>
                  <w:tcW w:w="935" w:type="dxa"/>
                  <w:shd w:val="clear" w:color="auto" w:fill="auto"/>
                  <w:vAlign w:val="center"/>
                </w:tcPr>
                <w:p w14:paraId="58069380">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60</w:t>
                  </w:r>
                </w:p>
              </w:tc>
              <w:tc>
                <w:tcPr>
                  <w:tcW w:w="935" w:type="dxa"/>
                  <w:shd w:val="clear" w:color="auto" w:fill="auto"/>
                  <w:vAlign w:val="center"/>
                </w:tcPr>
                <w:p w14:paraId="09F05ECA">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58</w:t>
                  </w:r>
                </w:p>
              </w:tc>
              <w:tc>
                <w:tcPr>
                  <w:tcW w:w="935" w:type="dxa"/>
                  <w:shd w:val="clear" w:color="auto" w:fill="auto"/>
                  <w:vAlign w:val="center"/>
                </w:tcPr>
                <w:p w14:paraId="76F42295">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56</w:t>
                  </w:r>
                </w:p>
              </w:tc>
              <w:tc>
                <w:tcPr>
                  <w:tcW w:w="935" w:type="dxa"/>
                  <w:shd w:val="clear" w:color="auto" w:fill="auto"/>
                  <w:vAlign w:val="center"/>
                </w:tcPr>
                <w:p w14:paraId="29B71032">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55</w:t>
                  </w:r>
                </w:p>
              </w:tc>
              <w:tc>
                <w:tcPr>
                  <w:tcW w:w="935" w:type="dxa"/>
                  <w:shd w:val="clear" w:color="auto" w:fill="auto"/>
                  <w:vAlign w:val="center"/>
                </w:tcPr>
                <w:p w14:paraId="08DB54C4">
                  <w:pPr>
                    <w:spacing w:before="213" w:line="195" w:lineRule="auto"/>
                    <w:jc w:val="center"/>
                    <w:rPr>
                      <w:rFonts w:hint="default" w:ascii="Times New Roman" w:hAnsi="Times New Roman" w:eastAsia="Times New Roman" w:cs="Times New Roman"/>
                      <w:color w:val="auto"/>
                      <w:sz w:val="20"/>
                      <w:szCs w:val="20"/>
                      <w:lang w:val="en-US" w:eastAsia="zh-CN" w:bidi="ar-SA"/>
                    </w:rPr>
                  </w:pPr>
                  <w:r>
                    <w:rPr>
                      <w:rFonts w:hint="eastAsia" w:ascii="Times New Roman" w:hAnsi="Times New Roman" w:eastAsia="Times New Roman" w:cs="Times New Roman"/>
                      <w:color w:val="auto"/>
                      <w:sz w:val="20"/>
                      <w:szCs w:val="20"/>
                      <w:lang w:val="en-US" w:eastAsia="zh-CN" w:bidi="ar-SA"/>
                    </w:rPr>
                    <w:t>54</w:t>
                  </w:r>
                </w:p>
              </w:tc>
            </w:tr>
          </w:tbl>
          <w:p w14:paraId="086CF5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可见在距离</w:t>
            </w:r>
            <w:r>
              <w:rPr>
                <w:rFonts w:hint="eastAsia" w:ascii="Times New Roman" w:hAnsi="Times New Roman" w:eastAsia="宋体" w:cs="Times New Roman"/>
                <w:b w:val="0"/>
                <w:bCs w:val="0"/>
                <w:color w:val="auto"/>
                <w:sz w:val="24"/>
                <w:szCs w:val="24"/>
                <w:vertAlign w:val="baseline"/>
                <w:lang w:val="en-US" w:eastAsia="zh-CN"/>
              </w:rPr>
              <w:t>昼间</w:t>
            </w:r>
            <w:r>
              <w:rPr>
                <w:rFonts w:hint="eastAsia" w:ascii="Times New Roman" w:hAnsi="Times New Roman" w:eastAsia="宋体" w:cs="Times New Roman"/>
                <w:b w:val="0"/>
                <w:bCs w:val="0"/>
                <w:color w:val="auto"/>
                <w:sz w:val="24"/>
                <w:szCs w:val="24"/>
                <w:vertAlign w:val="baseline"/>
                <w:lang w:val="en-US" w:eastAsia="zh-CN"/>
              </w:rPr>
              <w:t>100m、夜间400m处，压裂噪声基本可满足《建筑施工场界环境噪声排放标准》（GB12523-2011）中相关规定。根据现场调查，项目东南侧140m处有一户张家沟村居民。评价要求为尽量减轻压裂过程对周边的噪声影响，项目应合理规划施工时间，午间（12：00-14：00）和夜间（20：00-次日8：00）均不进行施工，项目施工期噪声对声环境和声环境保护目标的影响在可接受范围内。</w:t>
            </w:r>
          </w:p>
          <w:p w14:paraId="56E0F9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、试气放喷噪声对环境影响分析</w:t>
            </w:r>
          </w:p>
          <w:p w14:paraId="22BBB0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在不考虑声传播过程中屏障隔声、空气吸收、地面效应的前提下，利用点声 源衰减模式，对噪声影响的范围进行计算，结果见表4-</w:t>
            </w:r>
            <w:r>
              <w:rPr>
                <w:rFonts w:hint="eastAsia" w:ascii="Times New Roman" w:hAnsi="Times New Roman" w:eastAsia="宋体" w:cs="Times New Roman"/>
                <w:b w:val="0"/>
                <w:bCs w:val="0"/>
                <w:color w:val="auto"/>
                <w:sz w:val="24"/>
                <w:szCs w:val="24"/>
                <w:vertAlign w:val="baseline"/>
                <w:lang w:val="en-US" w:eastAsia="zh-CN"/>
              </w:rPr>
              <w:t>7</w:t>
            </w:r>
            <w:r>
              <w:rPr>
                <w:rFonts w:hint="default" w:ascii="Times New Roman" w:hAnsi="Times New Roman" w:eastAsia="宋体" w:cs="Times New Roman"/>
                <w:b w:val="0"/>
                <w:bCs w:val="0"/>
                <w:color w:val="auto"/>
                <w:sz w:val="24"/>
                <w:szCs w:val="24"/>
                <w:vertAlign w:val="baseline"/>
                <w:lang w:val="en-US" w:eastAsia="zh-CN"/>
              </w:rPr>
              <w:t>。</w:t>
            </w:r>
          </w:p>
          <w:p w14:paraId="6500D9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根据本项目施工期间主要噪声源的特征，可采用点声源距离衰减公式对主要 声源产生声环境质量影响进行预测，具体公式如下：</w:t>
            </w:r>
          </w:p>
          <w:p w14:paraId="792F90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Lr=Lr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-20lg（r/r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w:t>
            </w:r>
          </w:p>
          <w:p w14:paraId="1F4BBB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式中：Lr—距声源r处的A声压级，dB（A）；</w:t>
            </w:r>
          </w:p>
          <w:p w14:paraId="5F2A03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Lr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—距声源r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处的A声压级，dB（A）；</w:t>
            </w:r>
          </w:p>
          <w:p w14:paraId="70D7AC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r—预测点与声源的距离，m；</w:t>
            </w:r>
          </w:p>
          <w:p w14:paraId="6E8002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r</w:t>
            </w:r>
            <w:r>
              <w:rPr>
                <w:rFonts w:hint="eastAsia" w:ascii="Times New Roman" w:hAnsi="Times New Roman" w:eastAsia="宋体" w:cs="Times New Roman"/>
                <w:b w:val="0"/>
                <w:bCs w:val="0"/>
                <w:color w:val="auto"/>
                <w:sz w:val="24"/>
                <w:szCs w:val="24"/>
                <w:vertAlign w:val="subscript"/>
                <w:lang w:val="en-US" w:eastAsia="zh-CN"/>
              </w:rPr>
              <w:t>0</w:t>
            </w:r>
            <w:r>
              <w:rPr>
                <w:rFonts w:hint="eastAsia" w:ascii="Times New Roman" w:hAnsi="Times New Roman" w:eastAsia="宋体" w:cs="Times New Roman"/>
                <w:b w:val="0"/>
                <w:bCs w:val="0"/>
                <w:color w:val="auto"/>
                <w:sz w:val="24"/>
                <w:szCs w:val="24"/>
                <w:vertAlign w:val="baseline"/>
                <w:lang w:val="en-US" w:eastAsia="zh-CN"/>
              </w:rPr>
              <w:t>—监测设备噪声时的距离，m。</w:t>
            </w:r>
          </w:p>
          <w:p w14:paraId="354443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w:t>
            </w:r>
            <w:r>
              <w:rPr>
                <w:rFonts w:hint="eastAsia" w:ascii="Times New Roman" w:hAnsi="Times New Roman" w:eastAsia="宋体" w:cs="Times New Roman"/>
                <w:b w:val="0"/>
                <w:bCs w:val="0"/>
                <w:color w:val="auto"/>
                <w:sz w:val="24"/>
                <w:szCs w:val="24"/>
                <w:vertAlign w:val="baseline"/>
                <w:lang w:val="en-US" w:eastAsia="zh-CN"/>
              </w:rPr>
              <w:t>放喷</w:t>
            </w:r>
            <w:r>
              <w:rPr>
                <w:rFonts w:hint="default" w:ascii="Times New Roman" w:hAnsi="Times New Roman" w:eastAsia="宋体" w:cs="Times New Roman"/>
                <w:b w:val="0"/>
                <w:bCs w:val="0"/>
                <w:color w:val="auto"/>
                <w:sz w:val="24"/>
                <w:szCs w:val="24"/>
                <w:vertAlign w:val="baseline"/>
                <w:lang w:val="en-US" w:eastAsia="zh-CN"/>
              </w:rPr>
              <w:t>噪声经距离衰减后的预测结果见下表。</w:t>
            </w:r>
          </w:p>
          <w:p w14:paraId="593D41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表4-7  距声源不同距离处的噪声预测值     单位：dB（A）</w:t>
            </w:r>
          </w:p>
          <w:tbl>
            <w:tblPr>
              <w:tblStyle w:val="20"/>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934"/>
              <w:gridCol w:w="935"/>
              <w:gridCol w:w="935"/>
              <w:gridCol w:w="935"/>
              <w:gridCol w:w="935"/>
              <w:gridCol w:w="935"/>
              <w:gridCol w:w="935"/>
              <w:gridCol w:w="935"/>
            </w:tblGrid>
            <w:tr w14:paraId="2090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restart"/>
                  <w:vAlign w:val="center"/>
                </w:tcPr>
                <w:p w14:paraId="0A1D10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设备</w:t>
                  </w:r>
                </w:p>
              </w:tc>
              <w:tc>
                <w:tcPr>
                  <w:tcW w:w="934" w:type="dxa"/>
                  <w:vMerge w:val="restart"/>
                  <w:vAlign w:val="center"/>
                </w:tcPr>
                <w:p w14:paraId="57D677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声压级</w:t>
                  </w:r>
                </w:p>
              </w:tc>
              <w:tc>
                <w:tcPr>
                  <w:tcW w:w="6545" w:type="dxa"/>
                  <w:gridSpan w:val="7"/>
                  <w:vAlign w:val="center"/>
                </w:tcPr>
                <w:p w14:paraId="194D69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测点声源距离（m）</w:t>
                  </w:r>
                </w:p>
              </w:tc>
            </w:tr>
            <w:tr w14:paraId="4263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continue"/>
                  <w:vAlign w:val="center"/>
                </w:tcPr>
                <w:p w14:paraId="2C1E6C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934" w:type="dxa"/>
                  <w:vMerge w:val="continue"/>
                  <w:vAlign w:val="center"/>
                </w:tcPr>
                <w:p w14:paraId="1AB5A83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935" w:type="dxa"/>
                  <w:shd w:val="clear" w:color="auto" w:fill="auto"/>
                  <w:vAlign w:val="center"/>
                </w:tcPr>
                <w:p w14:paraId="3E69FCD9">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10"/>
                      <w:sz w:val="20"/>
                      <w:szCs w:val="20"/>
                    </w:rPr>
                    <w:t>10</w:t>
                  </w:r>
                </w:p>
              </w:tc>
              <w:tc>
                <w:tcPr>
                  <w:tcW w:w="935" w:type="dxa"/>
                  <w:shd w:val="clear" w:color="auto" w:fill="auto"/>
                  <w:vAlign w:val="center"/>
                </w:tcPr>
                <w:p w14:paraId="1304B6F7">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1"/>
                      <w:sz w:val="20"/>
                      <w:szCs w:val="20"/>
                    </w:rPr>
                    <w:t>30</w:t>
                  </w:r>
                </w:p>
              </w:tc>
              <w:tc>
                <w:tcPr>
                  <w:tcW w:w="935" w:type="dxa"/>
                  <w:shd w:val="clear" w:color="auto" w:fill="auto"/>
                  <w:vAlign w:val="center"/>
                </w:tcPr>
                <w:p w14:paraId="60EA5141">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2"/>
                      <w:sz w:val="20"/>
                      <w:szCs w:val="20"/>
                    </w:rPr>
                    <w:t>50</w:t>
                  </w:r>
                </w:p>
              </w:tc>
              <w:tc>
                <w:tcPr>
                  <w:tcW w:w="935" w:type="dxa"/>
                  <w:shd w:val="clear" w:color="auto" w:fill="auto"/>
                  <w:vAlign w:val="center"/>
                </w:tcPr>
                <w:p w14:paraId="67FBFDF9">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5"/>
                      <w:sz w:val="20"/>
                      <w:szCs w:val="20"/>
                    </w:rPr>
                    <w:t>100</w:t>
                  </w:r>
                </w:p>
              </w:tc>
              <w:tc>
                <w:tcPr>
                  <w:tcW w:w="935" w:type="dxa"/>
                  <w:shd w:val="clear" w:color="auto" w:fill="auto"/>
                  <w:vAlign w:val="center"/>
                </w:tcPr>
                <w:p w14:paraId="69495AA3">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5"/>
                      <w:sz w:val="20"/>
                      <w:szCs w:val="20"/>
                    </w:rPr>
                    <w:t>120</w:t>
                  </w:r>
                </w:p>
              </w:tc>
              <w:tc>
                <w:tcPr>
                  <w:tcW w:w="935" w:type="dxa"/>
                  <w:shd w:val="clear" w:color="auto" w:fill="auto"/>
                  <w:vAlign w:val="center"/>
                </w:tcPr>
                <w:p w14:paraId="5EE998FA">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5"/>
                      <w:sz w:val="20"/>
                      <w:szCs w:val="20"/>
                    </w:rPr>
                    <w:t>150</w:t>
                  </w:r>
                </w:p>
              </w:tc>
              <w:tc>
                <w:tcPr>
                  <w:tcW w:w="935" w:type="dxa"/>
                  <w:shd w:val="clear" w:color="auto" w:fill="auto"/>
                  <w:vAlign w:val="center"/>
                </w:tcPr>
                <w:p w14:paraId="1D93A082">
                  <w:pPr>
                    <w:spacing w:before="99"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3"/>
                      <w:sz w:val="20"/>
                      <w:szCs w:val="20"/>
                    </w:rPr>
                    <w:t>200</w:t>
                  </w:r>
                </w:p>
              </w:tc>
            </w:tr>
            <w:tr w14:paraId="15F7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34" w:type="dxa"/>
                  <w:vAlign w:val="center"/>
                </w:tcPr>
                <w:p w14:paraId="56860D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放喷</w:t>
                  </w:r>
                </w:p>
              </w:tc>
              <w:tc>
                <w:tcPr>
                  <w:tcW w:w="934" w:type="dxa"/>
                  <w:vAlign w:val="center"/>
                </w:tcPr>
                <w:p w14:paraId="2E42F8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w:t>
                  </w:r>
                </w:p>
              </w:tc>
              <w:tc>
                <w:tcPr>
                  <w:tcW w:w="935" w:type="dxa"/>
                  <w:shd w:val="clear" w:color="auto" w:fill="auto"/>
                  <w:vAlign w:val="center"/>
                </w:tcPr>
                <w:p w14:paraId="0F7D663E">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1"/>
                      <w:sz w:val="20"/>
                      <w:szCs w:val="20"/>
                    </w:rPr>
                    <w:t>80.0</w:t>
                  </w:r>
                </w:p>
              </w:tc>
              <w:tc>
                <w:tcPr>
                  <w:tcW w:w="935" w:type="dxa"/>
                  <w:shd w:val="clear" w:color="auto" w:fill="auto"/>
                  <w:vAlign w:val="center"/>
                </w:tcPr>
                <w:p w14:paraId="7F739862">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2"/>
                      <w:sz w:val="20"/>
                      <w:szCs w:val="20"/>
                    </w:rPr>
                    <w:t>70.5</w:t>
                  </w:r>
                </w:p>
              </w:tc>
              <w:tc>
                <w:tcPr>
                  <w:tcW w:w="935" w:type="dxa"/>
                  <w:shd w:val="clear" w:color="auto" w:fill="auto"/>
                  <w:vAlign w:val="center"/>
                </w:tcPr>
                <w:p w14:paraId="399F34B2">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2"/>
                      <w:sz w:val="20"/>
                      <w:szCs w:val="20"/>
                    </w:rPr>
                    <w:t>66.0</w:t>
                  </w:r>
                </w:p>
              </w:tc>
              <w:tc>
                <w:tcPr>
                  <w:tcW w:w="935" w:type="dxa"/>
                  <w:shd w:val="clear" w:color="auto" w:fill="auto"/>
                  <w:vAlign w:val="center"/>
                </w:tcPr>
                <w:p w14:paraId="201EC9AF">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1"/>
                      <w:sz w:val="20"/>
                      <w:szCs w:val="20"/>
                    </w:rPr>
                    <w:t>60</w:t>
                  </w:r>
                </w:p>
              </w:tc>
              <w:tc>
                <w:tcPr>
                  <w:tcW w:w="935" w:type="dxa"/>
                  <w:shd w:val="clear" w:color="auto" w:fill="auto"/>
                  <w:vAlign w:val="center"/>
                </w:tcPr>
                <w:p w14:paraId="2D5C6139">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2"/>
                      <w:sz w:val="20"/>
                      <w:szCs w:val="20"/>
                    </w:rPr>
                    <w:t>58.4</w:t>
                  </w:r>
                </w:p>
              </w:tc>
              <w:tc>
                <w:tcPr>
                  <w:tcW w:w="935" w:type="dxa"/>
                  <w:shd w:val="clear" w:color="auto" w:fill="auto"/>
                  <w:vAlign w:val="center"/>
                </w:tcPr>
                <w:p w14:paraId="580F4292">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z w:val="20"/>
                      <w:szCs w:val="20"/>
                    </w:rPr>
                    <w:t>56.5</w:t>
                  </w:r>
                </w:p>
              </w:tc>
              <w:tc>
                <w:tcPr>
                  <w:tcW w:w="935" w:type="dxa"/>
                  <w:shd w:val="clear" w:color="auto" w:fill="auto"/>
                  <w:vAlign w:val="center"/>
                </w:tcPr>
                <w:p w14:paraId="6B0A02EB">
                  <w:pPr>
                    <w:spacing w:before="213" w:line="195" w:lineRule="auto"/>
                    <w:jc w:val="center"/>
                    <w:rPr>
                      <w:rFonts w:hint="eastAsia" w:ascii="Times New Roman" w:hAnsi="Times New Roman" w:eastAsia="Times New Roman" w:cs="Times New Roman"/>
                      <w:color w:val="auto"/>
                      <w:sz w:val="20"/>
                      <w:szCs w:val="20"/>
                      <w:lang w:val="en-US" w:eastAsia="zh-CN" w:bidi="ar-SA"/>
                    </w:rPr>
                  </w:pPr>
                  <w:r>
                    <w:rPr>
                      <w:rFonts w:ascii="Times New Roman" w:hAnsi="Times New Roman" w:eastAsia="Times New Roman" w:cs="Times New Roman"/>
                      <w:color w:val="auto"/>
                      <w:spacing w:val="2"/>
                      <w:sz w:val="20"/>
                      <w:szCs w:val="20"/>
                    </w:rPr>
                    <w:t>54.0</w:t>
                  </w:r>
                </w:p>
              </w:tc>
            </w:tr>
          </w:tbl>
          <w:p w14:paraId="6F0C5A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可见在距离200m处，放喷昼夜噪声基本可满足《建筑施工场界环境噪声排放标准》（GB12523-2011）中相关规定。为尽量减轻压裂过程对周边的噪声影响，项目应合理规划施工时间，午间（12：00-14：00）和夜间（20：00-次日8：00）不进行施工，项目施工期噪声对声环境和声环境保护目标的影响在可接受范围内。</w:t>
            </w:r>
          </w:p>
          <w:p w14:paraId="3DA10F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综上，本项目在采取各项噪声措施的情况下，在昼间进行压裂和放喷，对周边居民点影响较小。</w:t>
            </w:r>
          </w:p>
          <w:p w14:paraId="08C286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w:t>
            </w:r>
          </w:p>
          <w:p w14:paraId="52FDA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项目钻井过程中产生的固体废物主要有废弃泥浆、岩屑、废机油及井队员工产生的生活垃圾。</w:t>
            </w:r>
          </w:p>
          <w:p w14:paraId="7FB54C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w:t>
            </w:r>
            <w:r>
              <w:rPr>
                <w:rFonts w:hint="eastAsia" w:ascii="Times New Roman" w:hAnsi="Times New Roman" w:eastAsia="宋体" w:cs="Times New Roman"/>
                <w:b/>
                <w:bCs/>
                <w:color w:val="auto"/>
                <w:sz w:val="24"/>
                <w:szCs w:val="24"/>
                <w:vertAlign w:val="baseline"/>
                <w:lang w:val="en-US" w:eastAsia="zh-CN"/>
              </w:rPr>
              <w:t>泥饼</w:t>
            </w:r>
          </w:p>
          <w:p w14:paraId="7FBFA4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废弃钻井泥浆</w:t>
            </w:r>
            <w:r>
              <w:rPr>
                <w:rFonts w:hint="eastAsia" w:ascii="Times New Roman" w:hAnsi="Times New Roman" w:eastAsia="宋体" w:cs="Times New Roman"/>
                <w:b w:val="0"/>
                <w:bCs w:val="0"/>
                <w:color w:val="auto"/>
                <w:sz w:val="24"/>
                <w:szCs w:val="24"/>
                <w:vertAlign w:val="baseline"/>
                <w:lang w:val="en-US" w:eastAsia="zh-CN"/>
              </w:rPr>
              <w:t>（泥饼）</w:t>
            </w:r>
            <w:r>
              <w:rPr>
                <w:rFonts w:hint="default" w:ascii="Times New Roman" w:hAnsi="Times New Roman" w:eastAsia="宋体" w:cs="Times New Roman"/>
                <w:b w:val="0"/>
                <w:bCs w:val="0"/>
                <w:color w:val="auto"/>
                <w:sz w:val="24"/>
                <w:szCs w:val="24"/>
                <w:vertAlign w:val="baseline"/>
                <w:lang w:val="en-US" w:eastAsia="zh-CN"/>
              </w:rPr>
              <w:t>是指在钻井过程中无法利用的剩余泥浆，其产生量随井深和井径的不同而改变。根据类比企业在该地区已建勘探井的调查情况，钻井废弃泥浆产生量可按照经验公式推算：</w:t>
            </w:r>
          </w:p>
          <w:p w14:paraId="0817BC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10"/>
                <w:sz w:val="24"/>
                <w:szCs w:val="24"/>
                <w:vertAlign w:val="baseline"/>
                <w:lang w:val="en-US" w:eastAsia="zh-CN"/>
              </w:rPr>
              <w:object>
                <v:shape id="_x0000_i1027" o:spt="75" type="#_x0000_t75" style="height:18pt;width:197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14:paraId="12244F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6BC557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V——钻井泥浆量，m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774E4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2F8006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w:t>
            </w:r>
            <w:r>
              <w:rPr>
                <w:rFonts w:hint="eastAsia" w:ascii="Times New Roman" w:hAnsi="Times New Roman" w:eastAsia="宋体" w:cs="Times New Roman"/>
                <w:b w:val="0"/>
                <w:bCs w:val="0"/>
                <w:color w:val="auto"/>
                <w:sz w:val="24"/>
                <w:szCs w:val="24"/>
                <w:vertAlign w:val="baseline"/>
                <w:lang w:val="en-US" w:eastAsia="zh-CN"/>
              </w:rPr>
              <w:t>600</w:t>
            </w:r>
            <w:r>
              <w:rPr>
                <w:rFonts w:hint="default"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baseline"/>
                <w:lang w:val="en-US" w:eastAsia="zh-CN"/>
              </w:rPr>
              <w:t>米107-2M井</w:t>
            </w:r>
            <w:r>
              <w:rPr>
                <w:rFonts w:hint="default" w:ascii="Times New Roman" w:hAnsi="Times New Roman" w:eastAsia="宋体" w:cs="Times New Roman"/>
                <w:b w:val="0"/>
                <w:bCs w:val="0"/>
                <w:color w:val="auto"/>
                <w:sz w:val="24"/>
                <w:szCs w:val="24"/>
                <w:vertAlign w:val="baseline"/>
                <w:lang w:val="en-US" w:eastAsia="zh-CN"/>
              </w:rPr>
              <w:t>二开</w:t>
            </w:r>
            <w:r>
              <w:rPr>
                <w:rFonts w:hint="eastAsia" w:ascii="Times New Roman" w:hAnsi="Times New Roman" w:eastAsia="宋体" w:cs="Times New Roman"/>
                <w:b w:val="0"/>
                <w:bCs w:val="0"/>
                <w:color w:val="auto"/>
                <w:sz w:val="24"/>
                <w:szCs w:val="24"/>
                <w:vertAlign w:val="baseline"/>
                <w:lang w:val="en-US" w:eastAsia="zh-CN"/>
              </w:rPr>
              <w:t>2150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baseline"/>
                <w:lang w:val="en-US" w:eastAsia="zh-CN"/>
              </w:rPr>
              <w:t>。</w:t>
            </w:r>
          </w:p>
          <w:p w14:paraId="3CA52C0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根据计算，项目单井钻井废弃泥浆产生量约为</w:t>
            </w:r>
            <w:r>
              <w:rPr>
                <w:rFonts w:hint="eastAsia" w:ascii="Times New Roman" w:hAnsi="Times New Roman" w:eastAsia="宋体" w:cs="Times New Roman"/>
                <w:b w:val="0"/>
                <w:bCs w:val="0"/>
                <w:color w:val="auto"/>
                <w:sz w:val="24"/>
                <w:szCs w:val="24"/>
                <w:vertAlign w:val="baseline"/>
                <w:lang w:val="en-US" w:eastAsia="zh-CN"/>
              </w:rPr>
              <w:t>350.09</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重复利用率为95%，废弃钻井泥浆产生量为17.5t。</w:t>
            </w:r>
          </w:p>
          <w:p w14:paraId="18CBD52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泥浆的主要成分是土粉、纯碱、烧碱和无机及有机添加剂，本项目使用水基泥浆，按照《榆林市油（气）开采废弃物处置环保暂行管理办法》（榆政环发〔2015〕170号）的相关要求进行收集，经场地内泥浆循环系统配套的移动式泥饼</w:t>
            </w:r>
            <w:r>
              <w:rPr>
                <w:rFonts w:hint="eastAsia" w:ascii="Times New Roman" w:hAnsi="Times New Roman" w:eastAsia="宋体" w:cs="Times New Roman"/>
                <w:b w:val="0"/>
                <w:bCs w:val="0"/>
                <w:color w:val="auto"/>
                <w:sz w:val="24"/>
                <w:szCs w:val="24"/>
                <w:vertAlign w:val="baseline"/>
                <w:lang w:val="en-US" w:eastAsia="zh-CN"/>
              </w:rPr>
              <w:t>循环罐</w:t>
            </w:r>
            <w:r>
              <w:rPr>
                <w:rFonts w:hint="default" w:ascii="Times New Roman" w:hAnsi="Times New Roman" w:eastAsia="宋体" w:cs="Times New Roman"/>
                <w:b w:val="0"/>
                <w:bCs w:val="0"/>
                <w:color w:val="auto"/>
                <w:sz w:val="24"/>
                <w:szCs w:val="24"/>
                <w:vertAlign w:val="baseline"/>
                <w:lang w:val="en-US" w:eastAsia="zh-CN"/>
              </w:rPr>
              <w:t>收集</w:t>
            </w:r>
            <w:r>
              <w:rPr>
                <w:rFonts w:hint="eastAsia" w:ascii="Times New Roman" w:hAnsi="Times New Roman" w:eastAsia="宋体" w:cs="Times New Roman"/>
                <w:b w:val="0"/>
                <w:bCs w:val="0"/>
                <w:color w:val="auto"/>
                <w:sz w:val="24"/>
                <w:szCs w:val="24"/>
                <w:vertAlign w:val="baseline"/>
                <w:lang w:val="en-US" w:eastAsia="zh-CN"/>
              </w:rPr>
              <w:t>在不同的井场之间进行循环使用</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最终使用完后</w:t>
            </w:r>
            <w:r>
              <w:rPr>
                <w:rFonts w:hint="default" w:ascii="Times New Roman" w:hAnsi="Times New Roman" w:cs="Times New Roman"/>
                <w:color w:val="auto"/>
                <w:lang w:val="en-US" w:eastAsia="zh-CN"/>
              </w:rPr>
              <w:t>由罐车拉运至陕西德禾鑫盛环保科技有限公司处置。</w:t>
            </w:r>
          </w:p>
          <w:p w14:paraId="61F1AB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（2）钻井岩屑</w:t>
            </w:r>
          </w:p>
          <w:p w14:paraId="1F1E30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钻井过程中，岩石被钻头破碎成岩屑，随着泥浆经循环泵带出井口，经地面的泥浆不落地系统处理分离，钻井岩屑的产生量按以下公式计算：</w:t>
            </w:r>
          </w:p>
          <w:p w14:paraId="1EAF919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6"/>
                <w:sz w:val="24"/>
                <w:szCs w:val="24"/>
                <w:vertAlign w:val="baseline"/>
                <w:lang w:val="en-US" w:eastAsia="zh-CN"/>
              </w:rPr>
              <w:object>
                <v:shape id="_x0000_i1028" o:spt="75" type="#_x0000_t75" style="height:16pt;width:72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14:paraId="09BDD7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245DC3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W——钻井岩屑产生量，t；</w:t>
            </w:r>
          </w:p>
          <w:p w14:paraId="4B6AC0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142E58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h——钻井的深度，m，一开6</w:t>
            </w:r>
            <w:r>
              <w:rPr>
                <w:rFonts w:hint="eastAsia" w:ascii="Times New Roman" w:hAnsi="Times New Roman" w:eastAsia="宋体" w:cs="Times New Roman"/>
                <w:b w:val="0"/>
                <w:bCs w:val="0"/>
                <w:color w:val="auto"/>
                <w:sz w:val="24"/>
                <w:szCs w:val="24"/>
                <w:vertAlign w:val="baseline"/>
                <w:lang w:val="en-US" w:eastAsia="zh-CN"/>
              </w:rPr>
              <w:t>0</w:t>
            </w:r>
            <w:r>
              <w:rPr>
                <w:rFonts w:hint="default" w:ascii="Times New Roman" w:hAnsi="Times New Roman" w:eastAsia="宋体" w:cs="Times New Roman"/>
                <w:b w:val="0"/>
                <w:bCs w:val="0"/>
                <w:color w:val="auto"/>
                <w:sz w:val="24"/>
                <w:szCs w:val="24"/>
                <w:vertAlign w:val="baseline"/>
                <w:lang w:val="en-US" w:eastAsia="zh-CN"/>
              </w:rPr>
              <w:t>0m，</w:t>
            </w:r>
            <w:r>
              <w:rPr>
                <w:rFonts w:hint="eastAsia" w:ascii="Times New Roman" w:hAnsi="Times New Roman" w:eastAsia="宋体" w:cs="Times New Roman"/>
                <w:b w:val="0"/>
                <w:bCs w:val="0"/>
                <w:color w:val="auto"/>
                <w:sz w:val="24"/>
                <w:szCs w:val="24"/>
                <w:vertAlign w:val="baseline"/>
                <w:lang w:val="en-US" w:eastAsia="zh-CN"/>
              </w:rPr>
              <w:t>米107-2M井</w:t>
            </w:r>
            <w:r>
              <w:rPr>
                <w:rFonts w:hint="default" w:ascii="Times New Roman" w:hAnsi="Times New Roman" w:eastAsia="宋体" w:cs="Times New Roman"/>
                <w:b w:val="0"/>
                <w:bCs w:val="0"/>
                <w:color w:val="auto"/>
                <w:sz w:val="24"/>
                <w:szCs w:val="24"/>
                <w:vertAlign w:val="baseline"/>
                <w:lang w:val="en-US" w:eastAsia="zh-CN"/>
              </w:rPr>
              <w:t>二开</w:t>
            </w:r>
            <w:r>
              <w:rPr>
                <w:rFonts w:hint="eastAsia" w:ascii="Times New Roman" w:hAnsi="Times New Roman" w:eastAsia="宋体" w:cs="Times New Roman"/>
                <w:b w:val="0"/>
                <w:bCs w:val="0"/>
                <w:color w:val="auto"/>
                <w:sz w:val="24"/>
                <w:szCs w:val="24"/>
                <w:vertAlign w:val="baseline"/>
                <w:lang w:val="en-US" w:eastAsia="zh-CN"/>
              </w:rPr>
              <w:t>2150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baseline"/>
                <w:lang w:val="en-US" w:eastAsia="zh-CN"/>
              </w:rPr>
              <w:t>；</w:t>
            </w:r>
          </w:p>
          <w:p w14:paraId="2E835B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d——岩石密度，t/m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，取2.71t/m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021DE39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sz w:val="24"/>
                <w:szCs w:val="24"/>
                <w:vertAlign w:val="baseline"/>
                <w:lang w:val="en-US" w:eastAsia="zh-CN"/>
              </w:rPr>
              <w:t>根</w:t>
            </w:r>
            <w:r>
              <w:rPr>
                <w:rFonts w:hint="default" w:ascii="Times New Roman" w:hAnsi="Times New Roman" w:eastAsia="宋体" w:cs="Times New Roman"/>
                <w:b w:val="0"/>
                <w:bCs w:val="0"/>
                <w:color w:val="auto"/>
                <w:sz w:val="24"/>
                <w:szCs w:val="24"/>
                <w:highlight w:val="none"/>
                <w:vertAlign w:val="baseline"/>
                <w:lang w:val="en-US" w:eastAsia="zh-CN"/>
              </w:rPr>
              <w:t>据本项目钻井的直径及钻井深度计算得出，</w:t>
            </w:r>
            <w:r>
              <w:rPr>
                <w:rFonts w:hint="eastAsia" w:ascii="Times New Roman" w:hAnsi="Times New Roman" w:eastAsia="宋体" w:cs="Times New Roman"/>
                <w:b w:val="0"/>
                <w:bCs w:val="0"/>
                <w:color w:val="auto"/>
                <w:sz w:val="24"/>
                <w:szCs w:val="24"/>
                <w:vertAlign w:val="baseline"/>
                <w:lang w:val="en-US" w:eastAsia="zh-CN"/>
              </w:rPr>
              <w:t>米107-2M井</w:t>
            </w:r>
            <w:r>
              <w:rPr>
                <w:rFonts w:hint="default" w:ascii="Times New Roman" w:hAnsi="Times New Roman" w:eastAsia="宋体" w:cs="Times New Roman"/>
                <w:b w:val="0"/>
                <w:bCs w:val="0"/>
                <w:color w:val="auto"/>
                <w:sz w:val="24"/>
                <w:szCs w:val="24"/>
                <w:highlight w:val="none"/>
                <w:vertAlign w:val="baseline"/>
                <w:lang w:val="en-US" w:eastAsia="zh-CN"/>
              </w:rPr>
              <w:t>单井钻井岩屑量</w:t>
            </w:r>
            <w:r>
              <w:rPr>
                <w:rFonts w:hint="eastAsia" w:ascii="Times New Roman" w:hAnsi="Times New Roman" w:eastAsia="宋体" w:cs="Times New Roman"/>
                <w:b w:val="0"/>
                <w:bCs w:val="0"/>
                <w:color w:val="auto"/>
                <w:sz w:val="24"/>
                <w:szCs w:val="24"/>
                <w:highlight w:val="none"/>
                <w:vertAlign w:val="baseline"/>
                <w:lang w:val="en-US" w:eastAsia="zh-CN"/>
              </w:rPr>
              <w:t>494</w:t>
            </w:r>
            <w:r>
              <w:rPr>
                <w:rFonts w:hint="default" w:ascii="Times New Roman" w:hAnsi="Times New Roman" w:eastAsia="宋体" w:cs="Times New Roman"/>
                <w:b w:val="0"/>
                <w:bCs w:val="0"/>
                <w:color w:val="auto"/>
                <w:sz w:val="24"/>
                <w:szCs w:val="24"/>
                <w:highlight w:val="none"/>
                <w:vertAlign w:val="baseline"/>
                <w:lang w:val="en-US" w:eastAsia="zh-CN"/>
              </w:rPr>
              <w:t>t，</w:t>
            </w:r>
            <w:r>
              <w:rPr>
                <w:rFonts w:hint="default" w:ascii="Times New Roman" w:hAnsi="Times New Roman" w:eastAsia="宋体" w:cs="Times New Roman"/>
                <w:b w:val="0"/>
                <w:bCs w:val="0"/>
                <w:color w:val="auto"/>
                <w:sz w:val="24"/>
                <w:szCs w:val="24"/>
                <w:vertAlign w:val="baseline"/>
                <w:lang w:val="en-US" w:eastAsia="zh-CN"/>
              </w:rPr>
              <w:t>井场设置移动式泥饼和岩屑收集罐，罐区设置围堰，</w:t>
            </w:r>
            <w:r>
              <w:rPr>
                <w:rFonts w:hint="eastAsia" w:ascii="Times New Roman" w:hAnsi="Times New Roman" w:eastAsia="宋体" w:cs="Times New Roman"/>
                <w:b w:val="0"/>
                <w:bCs w:val="0"/>
                <w:color w:val="auto"/>
                <w:sz w:val="24"/>
                <w:szCs w:val="24"/>
                <w:vertAlign w:val="baseline"/>
                <w:lang w:val="en-US" w:eastAsia="zh-CN"/>
              </w:rPr>
              <w:t>地面做防渗处理</w:t>
            </w:r>
            <w:r>
              <w:rPr>
                <w:rFonts w:hint="default" w:ascii="Times New Roman" w:hAnsi="Times New Roman" w:eastAsia="宋体" w:cs="Times New Roman"/>
                <w:b w:val="0"/>
                <w:bCs w:val="0"/>
                <w:color w:val="auto"/>
                <w:sz w:val="24"/>
                <w:szCs w:val="24"/>
                <w:vertAlign w:val="baseline"/>
                <w:lang w:val="en-US" w:eastAsia="zh-CN"/>
              </w:rPr>
              <w:t>，设遮雨设施，</w:t>
            </w:r>
            <w:r>
              <w:rPr>
                <w:rFonts w:hint="default" w:ascii="Times New Roman" w:hAnsi="Times New Roman" w:cs="Times New Roman"/>
                <w:color w:val="auto"/>
                <w:lang w:val="en-US" w:eastAsia="zh-CN"/>
              </w:rPr>
              <w:t>符合《榆林市油气开采废弃物不落地集中处置推广项目建设管理指南（试行）》（榆林市生态环境局于2018年8月21日发布）的要求。经场地内泥浆循环系统配套的移动式泥饼和岩屑收集罐暂存，由罐车拉运至陕西德禾鑫盛环保科技有限公司处置。</w:t>
            </w:r>
          </w:p>
          <w:p w14:paraId="0754F33A">
            <w:pPr>
              <w:pStyle w:val="2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项目使用水基泥浆。钻井岩屑按照《榆林市油（气）开采废弃物处置环保暂行管理办法》（榆政环发〔2015〕170号）的相关要求进行收集，根据本地区同类项目工程经验，钻井岩屑中不含重金属和放射性含量物质，属于Ⅱ类一般固废。</w:t>
            </w:r>
          </w:p>
          <w:p w14:paraId="2D75C7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173D46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主要来源于清洗钻具、套管时产生的废机油。根据建设单位同类型项目资料，预计单井废机油产生量为0.04t，委托有资质的单位进行处置。</w:t>
            </w:r>
          </w:p>
          <w:p w14:paraId="2C90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废纯碱、膨润土包装袋</w:t>
            </w:r>
          </w:p>
          <w:p w14:paraId="036163F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废弃包装袋主要为钻井材料中纯碱、膨润土废弃包装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其中</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rPr>
              <w:t>膨润土、纯碱包装袋产生量约为0.015t，属于一般固体废物，施工结束后回收综合利用。</w:t>
            </w:r>
          </w:p>
          <w:p w14:paraId="1ADC36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（5）废弃防渗膜</w:t>
            </w:r>
          </w:p>
          <w:p w14:paraId="512D5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为防止在钻井过程中钻井泥浆、钻井污水等污染地面从而造成对土壤、地下水的影响，需要在钻井过程中在钻井平台附近铺设防渗布</w:t>
            </w:r>
            <w:r>
              <w:rPr>
                <w:rFonts w:hint="default" w:ascii="Times New Roman" w:hAnsi="Times New Roman" w:cs="Times New Roman"/>
                <w:color w:val="auto"/>
                <w:sz w:val="24"/>
                <w:lang w:val="en-US" w:eastAsia="zh-CN"/>
              </w:rPr>
              <w:t>。沾染油类物质的防渗膜属于危险废物，</w:t>
            </w:r>
            <w:r>
              <w:rPr>
                <w:rFonts w:hint="default" w:ascii="Times New Roman" w:hAnsi="Times New Roman" w:cs="Times New Roman"/>
                <w:color w:val="auto"/>
                <w:sz w:val="24"/>
              </w:rPr>
              <w:t>危废代码为900-041-49。根据建设单位</w:t>
            </w:r>
            <w:r>
              <w:rPr>
                <w:rFonts w:hint="default" w:ascii="Times New Roman" w:hAnsi="Times New Roman" w:cs="Times New Roman"/>
                <w:color w:val="auto"/>
                <w:sz w:val="24"/>
                <w:lang w:val="en-US" w:eastAsia="zh-CN"/>
              </w:rPr>
              <w:t>提供资料</w:t>
            </w:r>
            <w:r>
              <w:rPr>
                <w:rFonts w:hint="default" w:ascii="Times New Roman" w:hAnsi="Times New Roman" w:cs="Times New Roman"/>
                <w:color w:val="auto"/>
                <w:sz w:val="24"/>
              </w:rPr>
              <w:t>，本项目施工单井</w:t>
            </w:r>
            <w:r>
              <w:rPr>
                <w:rFonts w:hint="default" w:ascii="Times New Roman" w:hAnsi="Times New Roman" w:cs="Times New Roman"/>
                <w:color w:val="auto"/>
                <w:sz w:val="24"/>
                <w:lang w:val="en-US" w:eastAsia="zh-CN"/>
              </w:rPr>
              <w:t>含油</w:t>
            </w:r>
            <w:r>
              <w:rPr>
                <w:rFonts w:hint="default" w:ascii="Times New Roman" w:hAnsi="Times New Roman" w:cs="Times New Roman"/>
                <w:color w:val="auto"/>
                <w:sz w:val="24"/>
              </w:rPr>
              <w:t>废防渗布产生量约为</w:t>
            </w:r>
            <w:r>
              <w:rPr>
                <w:rFonts w:hint="default" w:ascii="Times New Roman" w:hAnsi="Times New Roman" w:cs="Times New Roman"/>
                <w:color w:val="auto"/>
                <w:sz w:val="24"/>
              </w:rPr>
              <w:t>0.0</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t</w:t>
            </w:r>
            <w:r>
              <w:rPr>
                <w:rFonts w:hint="default" w:ascii="Times New Roman" w:hAnsi="Times New Roman" w:cs="Times New Roman"/>
                <w:color w:val="auto"/>
                <w:sz w:val="24"/>
              </w:rPr>
              <w:t>。施工结束后沾染了</w:t>
            </w:r>
            <w:r>
              <w:rPr>
                <w:rFonts w:hint="default" w:ascii="Times New Roman" w:hAnsi="Times New Roman" w:eastAsia="宋体" w:cs="Times New Roman"/>
                <w:color w:val="auto"/>
                <w:sz w:val="24"/>
                <w:lang w:val="en-US" w:eastAsia="zh-CN"/>
              </w:rPr>
              <w:t>油类物质的</w:t>
            </w:r>
            <w:r>
              <w:rPr>
                <w:rFonts w:hint="default" w:ascii="Times New Roman" w:hAnsi="Times New Roman" w:cs="Times New Roman"/>
                <w:color w:val="auto"/>
                <w:sz w:val="24"/>
              </w:rPr>
              <w:t>的废防渗布作为危险废物委托有资质单位外运处置。</w:t>
            </w:r>
          </w:p>
          <w:p w14:paraId="65A575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6</w:t>
            </w:r>
            <w:r>
              <w:rPr>
                <w:rFonts w:hint="default" w:ascii="Times New Roman" w:hAnsi="Times New Roman" w:eastAsia="宋体" w:cs="Times New Roman"/>
                <w:b/>
                <w:bCs/>
                <w:color w:val="auto"/>
                <w:sz w:val="24"/>
                <w:szCs w:val="24"/>
                <w:vertAlign w:val="baseline"/>
                <w:lang w:val="en-US" w:eastAsia="zh-CN"/>
              </w:rPr>
              <w:t>）生活垃圾</w:t>
            </w:r>
          </w:p>
          <w:p w14:paraId="2124C9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职工生活垃圾每人每天0.5kg计，单井生活垃圾产生量约为0.875t。</w:t>
            </w:r>
            <w:r>
              <w:rPr>
                <w:rFonts w:hint="default" w:ascii="Times New Roman" w:hAnsi="Times New Roman" w:cs="Times New Roman"/>
                <w:color w:val="auto"/>
                <w:sz w:val="24"/>
                <w:lang w:eastAsia="zh-CN"/>
              </w:rPr>
              <w:t>井场设置垃圾箱，施工结束后送附近垃圾中转站</w:t>
            </w:r>
            <w:r>
              <w:rPr>
                <w:rFonts w:hint="default" w:ascii="Times New Roman" w:hAnsi="Times New Roman" w:cs="Times New Roman"/>
                <w:color w:val="auto"/>
                <w:sz w:val="24"/>
                <w:lang w:val="en-US" w:eastAsia="zh-CN"/>
              </w:rPr>
              <w:t>，由当地环卫部门统一拉运处置</w:t>
            </w:r>
            <w:r>
              <w:rPr>
                <w:rFonts w:hint="default" w:ascii="Times New Roman" w:hAnsi="Times New Roman" w:cs="Times New Roman"/>
                <w:color w:val="auto"/>
                <w:sz w:val="24"/>
                <w:lang w:eastAsia="zh-CN"/>
              </w:rPr>
              <w:t>。</w:t>
            </w:r>
          </w:p>
          <w:p w14:paraId="77CB39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项目固体废物产生与处置措施表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494"/>
              <w:gridCol w:w="1196"/>
              <w:gridCol w:w="1132"/>
              <w:gridCol w:w="1375"/>
              <w:gridCol w:w="2739"/>
            </w:tblGrid>
            <w:tr w14:paraId="4A98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029DAF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859" w:type="pct"/>
                  <w:vAlign w:val="center"/>
                </w:tcPr>
                <w:p w14:paraId="145752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固废种类</w:t>
                  </w:r>
                </w:p>
              </w:tc>
              <w:tc>
                <w:tcPr>
                  <w:tcW w:w="688" w:type="pct"/>
                  <w:vAlign w:val="center"/>
                </w:tcPr>
                <w:p w14:paraId="79F0C3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w:t>
                  </w:r>
                </w:p>
              </w:tc>
              <w:tc>
                <w:tcPr>
                  <w:tcW w:w="651" w:type="pct"/>
                  <w:vAlign w:val="center"/>
                </w:tcPr>
                <w:p w14:paraId="21A0D7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791" w:type="pct"/>
                  <w:vAlign w:val="center"/>
                </w:tcPr>
                <w:p w14:paraId="2B5939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代码</w:t>
                  </w:r>
                </w:p>
              </w:tc>
              <w:tc>
                <w:tcPr>
                  <w:tcW w:w="1575" w:type="pct"/>
                  <w:vAlign w:val="center"/>
                </w:tcPr>
                <w:p w14:paraId="526755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处置措施</w:t>
                  </w:r>
                </w:p>
              </w:tc>
            </w:tr>
            <w:tr w14:paraId="39C6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FD048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859" w:type="pct"/>
                  <w:vAlign w:val="center"/>
                </w:tcPr>
                <w:p w14:paraId="2D73D4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泥饼</w:t>
                  </w:r>
                </w:p>
              </w:tc>
              <w:tc>
                <w:tcPr>
                  <w:tcW w:w="688" w:type="pct"/>
                  <w:vAlign w:val="center"/>
                </w:tcPr>
                <w:p w14:paraId="698502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17.5</w:t>
                  </w:r>
                </w:p>
              </w:tc>
              <w:tc>
                <w:tcPr>
                  <w:tcW w:w="651" w:type="pct"/>
                  <w:vAlign w:val="center"/>
                </w:tcPr>
                <w:p w14:paraId="21B079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46AFF6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SW12</w:t>
                  </w:r>
                </w:p>
                <w:p w14:paraId="62A3D5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072-001-S12</w:t>
                  </w:r>
                </w:p>
              </w:tc>
              <w:tc>
                <w:tcPr>
                  <w:tcW w:w="1575" w:type="pct"/>
                  <w:vMerge w:val="restart"/>
                  <w:vAlign w:val="center"/>
                </w:tcPr>
                <w:p w14:paraId="2D2064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交</w:t>
                  </w:r>
                  <w:r>
                    <w:rPr>
                      <w:rFonts w:hint="default" w:ascii="Times New Roman" w:hAnsi="Times New Roman" w:cs="Times New Roman"/>
                      <w:color w:val="auto"/>
                      <w:sz w:val="21"/>
                      <w:szCs w:val="21"/>
                      <w:lang w:val="en-US" w:eastAsia="zh-CN"/>
                    </w:rPr>
                    <w:t>陕西德禾鑫盛环保科技有限公司处置</w:t>
                  </w:r>
                </w:p>
              </w:tc>
            </w:tr>
            <w:tr w14:paraId="5DCA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404D2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859" w:type="pct"/>
                  <w:vAlign w:val="center"/>
                </w:tcPr>
                <w:p w14:paraId="103629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钻井岩屑</w:t>
                  </w:r>
                </w:p>
              </w:tc>
              <w:tc>
                <w:tcPr>
                  <w:tcW w:w="688" w:type="pct"/>
                  <w:vAlign w:val="center"/>
                </w:tcPr>
                <w:p w14:paraId="7E8633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494</w:t>
                  </w:r>
                </w:p>
              </w:tc>
              <w:tc>
                <w:tcPr>
                  <w:tcW w:w="651" w:type="pct"/>
                  <w:vAlign w:val="center"/>
                </w:tcPr>
                <w:p w14:paraId="596FEE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3E2FF9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SW12 072-001-S12</w:t>
                  </w:r>
                </w:p>
              </w:tc>
              <w:tc>
                <w:tcPr>
                  <w:tcW w:w="1575" w:type="pct"/>
                  <w:vMerge w:val="continue"/>
                  <w:vAlign w:val="center"/>
                </w:tcPr>
                <w:p w14:paraId="645011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3C3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5EC47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859" w:type="pct"/>
                  <w:vAlign w:val="center"/>
                </w:tcPr>
                <w:p w14:paraId="308326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废纯碱、膨润土包装袋</w:t>
                  </w:r>
                </w:p>
              </w:tc>
              <w:tc>
                <w:tcPr>
                  <w:tcW w:w="688" w:type="pct"/>
                  <w:vAlign w:val="center"/>
                </w:tcPr>
                <w:p w14:paraId="117077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0.015</w:t>
                  </w:r>
                </w:p>
              </w:tc>
              <w:tc>
                <w:tcPr>
                  <w:tcW w:w="651" w:type="pct"/>
                  <w:vAlign w:val="center"/>
                </w:tcPr>
                <w:p w14:paraId="122D7D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720CC0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SW17 900-099-S17</w:t>
                  </w:r>
                </w:p>
              </w:tc>
              <w:tc>
                <w:tcPr>
                  <w:tcW w:w="1575" w:type="pct"/>
                  <w:vAlign w:val="center"/>
                </w:tcPr>
                <w:p w14:paraId="34BF8D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回收</w:t>
                  </w:r>
                  <w:r>
                    <w:rPr>
                      <w:rFonts w:hint="eastAsia" w:ascii="Times New Roman" w:hAnsi="Times New Roman" w:cs="Times New Roman"/>
                      <w:color w:val="auto"/>
                      <w:sz w:val="21"/>
                      <w:szCs w:val="21"/>
                      <w:lang w:val="en-US" w:eastAsia="zh-CN"/>
                    </w:rPr>
                    <w:t>后</w:t>
                  </w:r>
                  <w:r>
                    <w:rPr>
                      <w:rFonts w:hint="default" w:ascii="Times New Roman" w:hAnsi="Times New Roman" w:cs="Times New Roman"/>
                      <w:color w:val="auto"/>
                      <w:sz w:val="21"/>
                      <w:szCs w:val="21"/>
                      <w:lang w:val="en-US" w:eastAsia="zh-CN"/>
                    </w:rPr>
                    <w:t>综合利用</w:t>
                  </w:r>
                </w:p>
              </w:tc>
            </w:tr>
            <w:tr w14:paraId="570C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217600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859" w:type="pct"/>
                  <w:vAlign w:val="center"/>
                </w:tcPr>
                <w:p w14:paraId="50F7B6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688" w:type="pct"/>
                  <w:vAlign w:val="center"/>
                </w:tcPr>
                <w:p w14:paraId="5DE42E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0.875</w:t>
                  </w:r>
                </w:p>
              </w:tc>
              <w:tc>
                <w:tcPr>
                  <w:tcW w:w="651" w:type="pct"/>
                  <w:vAlign w:val="center"/>
                </w:tcPr>
                <w:p w14:paraId="12681F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168DFA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SW64 900-099-S64</w:t>
                  </w:r>
                </w:p>
              </w:tc>
              <w:tc>
                <w:tcPr>
                  <w:tcW w:w="1575" w:type="pct"/>
                  <w:vAlign w:val="center"/>
                </w:tcPr>
                <w:p w14:paraId="6F26EA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施工结束后送附近垃圾中转站，由当地环卫部门统一拉运处置</w:t>
                  </w:r>
                </w:p>
              </w:tc>
            </w:tr>
            <w:tr w14:paraId="08EE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7DBEFF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859" w:type="pct"/>
                  <w:vAlign w:val="center"/>
                </w:tcPr>
                <w:p w14:paraId="3FAA75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废机油</w:t>
                  </w:r>
                </w:p>
              </w:tc>
              <w:tc>
                <w:tcPr>
                  <w:tcW w:w="688" w:type="pct"/>
                  <w:vAlign w:val="center"/>
                </w:tcPr>
                <w:p w14:paraId="0B958F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0.04</w:t>
                  </w:r>
                </w:p>
              </w:tc>
              <w:tc>
                <w:tcPr>
                  <w:tcW w:w="651" w:type="pct"/>
                  <w:vAlign w:val="center"/>
                </w:tcPr>
                <w:p w14:paraId="0EB378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06006D67">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p w14:paraId="210CE7A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900-214-08</w:t>
                  </w:r>
                </w:p>
              </w:tc>
              <w:tc>
                <w:tcPr>
                  <w:tcW w:w="1575" w:type="pct"/>
                  <w:vAlign w:val="center"/>
                </w:tcPr>
                <w:p w14:paraId="08F98C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r w14:paraId="57A3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CD597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859" w:type="pct"/>
                  <w:vAlign w:val="center"/>
                </w:tcPr>
                <w:p w14:paraId="198863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废弃防渗膜</w:t>
                  </w:r>
                </w:p>
              </w:tc>
              <w:tc>
                <w:tcPr>
                  <w:tcW w:w="688" w:type="pct"/>
                  <w:vAlign w:val="center"/>
                </w:tcPr>
                <w:p w14:paraId="32BF59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0.01</w:t>
                  </w:r>
                </w:p>
              </w:tc>
              <w:tc>
                <w:tcPr>
                  <w:tcW w:w="651" w:type="pct"/>
                  <w:vAlign w:val="center"/>
                </w:tcPr>
                <w:p w14:paraId="6D6249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09B3D67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p w14:paraId="349F962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900-041-49</w:t>
                  </w:r>
                </w:p>
              </w:tc>
              <w:tc>
                <w:tcPr>
                  <w:tcW w:w="1575" w:type="pct"/>
                  <w:vAlign w:val="center"/>
                </w:tcPr>
                <w:p w14:paraId="6841D8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bl>
          <w:p w14:paraId="2DC7862F">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9</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危险废物产生情况一览表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4"/>
              <w:gridCol w:w="696"/>
              <w:gridCol w:w="698"/>
              <w:gridCol w:w="1119"/>
              <w:gridCol w:w="538"/>
              <w:gridCol w:w="793"/>
              <w:gridCol w:w="315"/>
              <w:gridCol w:w="506"/>
              <w:gridCol w:w="409"/>
              <w:gridCol w:w="590"/>
              <w:gridCol w:w="2711"/>
            </w:tblGrid>
            <w:tr w14:paraId="4012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noWrap w:val="0"/>
                  <w:vAlign w:val="center"/>
                </w:tcPr>
                <w:p w14:paraId="6C7207A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400" w:type="pct"/>
                  <w:noWrap w:val="0"/>
                  <w:vAlign w:val="center"/>
                </w:tcPr>
                <w:p w14:paraId="7428E3D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危险废物名称</w:t>
                  </w:r>
                </w:p>
              </w:tc>
              <w:tc>
                <w:tcPr>
                  <w:tcW w:w="401" w:type="pct"/>
                  <w:noWrap w:val="0"/>
                  <w:vAlign w:val="center"/>
                </w:tcPr>
                <w:p w14:paraId="2752A33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w:t>
                  </w:r>
                </w:p>
                <w:p w14:paraId="1DF7EFD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类别</w:t>
                  </w:r>
                </w:p>
              </w:tc>
              <w:tc>
                <w:tcPr>
                  <w:tcW w:w="643" w:type="pct"/>
                  <w:noWrap w:val="0"/>
                  <w:vAlign w:val="center"/>
                </w:tcPr>
                <w:p w14:paraId="168A9F7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危险废物代码</w:t>
                  </w:r>
                </w:p>
              </w:tc>
              <w:tc>
                <w:tcPr>
                  <w:tcW w:w="309" w:type="pct"/>
                  <w:noWrap w:val="0"/>
                  <w:vAlign w:val="center"/>
                </w:tcPr>
                <w:p w14:paraId="350E293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456" w:type="pct"/>
                  <w:noWrap w:val="0"/>
                  <w:vAlign w:val="center"/>
                </w:tcPr>
                <w:p w14:paraId="7104110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产生工序及装置</w:t>
                  </w:r>
                </w:p>
              </w:tc>
              <w:tc>
                <w:tcPr>
                  <w:tcW w:w="181" w:type="pct"/>
                  <w:noWrap w:val="0"/>
                  <w:vAlign w:val="center"/>
                </w:tcPr>
                <w:p w14:paraId="2854B85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291" w:type="pct"/>
                  <w:noWrap w:val="0"/>
                  <w:vAlign w:val="center"/>
                </w:tcPr>
                <w:p w14:paraId="352C0E5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主要成分</w:t>
                  </w:r>
                </w:p>
              </w:tc>
              <w:tc>
                <w:tcPr>
                  <w:tcW w:w="235" w:type="pct"/>
                  <w:noWrap w:val="0"/>
                  <w:vAlign w:val="center"/>
                </w:tcPr>
                <w:p w14:paraId="5175829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产废</w:t>
                  </w:r>
                </w:p>
                <w:p w14:paraId="701B8F4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周期</w:t>
                  </w:r>
                </w:p>
              </w:tc>
              <w:tc>
                <w:tcPr>
                  <w:tcW w:w="339" w:type="pct"/>
                  <w:noWrap w:val="0"/>
                  <w:vAlign w:val="center"/>
                </w:tcPr>
                <w:p w14:paraId="130814D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危险特性</w:t>
                  </w:r>
                </w:p>
              </w:tc>
              <w:tc>
                <w:tcPr>
                  <w:tcW w:w="1558" w:type="pct"/>
                  <w:noWrap w:val="0"/>
                  <w:vAlign w:val="center"/>
                </w:tcPr>
                <w:p w14:paraId="3E70D4D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污染防治措施</w:t>
                  </w:r>
                </w:p>
              </w:tc>
            </w:tr>
            <w:tr w14:paraId="091E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81" w:type="pct"/>
                  <w:noWrap w:val="0"/>
                  <w:vAlign w:val="center"/>
                </w:tcPr>
                <w:p w14:paraId="7FB6A64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400" w:type="pct"/>
                  <w:noWrap w:val="0"/>
                  <w:vAlign w:val="top"/>
                </w:tcPr>
                <w:p w14:paraId="255CA46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废机油</w:t>
                  </w:r>
                </w:p>
              </w:tc>
              <w:tc>
                <w:tcPr>
                  <w:tcW w:w="401" w:type="pct"/>
                  <w:noWrap w:val="0"/>
                  <w:vAlign w:val="center"/>
                </w:tcPr>
                <w:p w14:paraId="1221225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tc>
              <w:tc>
                <w:tcPr>
                  <w:tcW w:w="643" w:type="pct"/>
                  <w:noWrap w:val="0"/>
                  <w:vAlign w:val="center"/>
                </w:tcPr>
                <w:p w14:paraId="4CA0BA7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900-214-08</w:t>
                  </w:r>
                </w:p>
              </w:tc>
              <w:tc>
                <w:tcPr>
                  <w:tcW w:w="309" w:type="pct"/>
                  <w:noWrap w:val="0"/>
                  <w:vAlign w:val="center"/>
                </w:tcPr>
                <w:p w14:paraId="583EA0D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green"/>
                      <w:lang w:val="en-US" w:eastAsia="zh-CN"/>
                    </w:rPr>
                  </w:pPr>
                  <w:r>
                    <w:rPr>
                      <w:rFonts w:hint="eastAsia" w:ascii="Times New Roman" w:hAnsi="Times New Roman" w:cs="Times New Roman"/>
                      <w:color w:val="auto"/>
                      <w:sz w:val="21"/>
                      <w:szCs w:val="21"/>
                      <w:highlight w:val="none"/>
                      <w:lang w:val="en-US" w:eastAsia="zh-CN"/>
                    </w:rPr>
                    <w:t>0.04</w:t>
                  </w:r>
                  <w:r>
                    <w:rPr>
                      <w:rFonts w:hint="default" w:ascii="Times New Roman" w:hAnsi="Times New Roman" w:cs="Times New Roman"/>
                      <w:color w:val="auto"/>
                      <w:sz w:val="21"/>
                      <w:szCs w:val="21"/>
                      <w:highlight w:val="none"/>
                      <w:lang w:val="en-US" w:eastAsia="zh-CN"/>
                    </w:rPr>
                    <w:t>t</w:t>
                  </w:r>
                </w:p>
              </w:tc>
              <w:tc>
                <w:tcPr>
                  <w:tcW w:w="456" w:type="pct"/>
                  <w:noWrap w:val="0"/>
                  <w:vAlign w:val="center"/>
                </w:tcPr>
                <w:p w14:paraId="712B6E6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181" w:type="pct"/>
                  <w:noWrap w:val="0"/>
                  <w:vAlign w:val="center"/>
                </w:tcPr>
                <w:p w14:paraId="706188E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291" w:type="pct"/>
                  <w:noWrap w:val="0"/>
                  <w:vAlign w:val="center"/>
                </w:tcPr>
                <w:p w14:paraId="000E94C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235" w:type="pct"/>
                  <w:noWrap w:val="0"/>
                  <w:vAlign w:val="center"/>
                </w:tcPr>
                <w:p w14:paraId="3352B50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339" w:type="pct"/>
                  <w:noWrap w:val="0"/>
                  <w:vAlign w:val="center"/>
                </w:tcPr>
                <w:p w14:paraId="3F61B55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w:t>
                  </w:r>
                </w:p>
              </w:tc>
              <w:tc>
                <w:tcPr>
                  <w:tcW w:w="1558" w:type="pct"/>
                  <w:vMerge w:val="restart"/>
                  <w:noWrap w:val="0"/>
                  <w:vAlign w:val="top"/>
                </w:tcPr>
                <w:p w14:paraId="50FB32A2">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专用容器收集，待钻井结束后全部委托有资质单位拉运处置</w:t>
                  </w:r>
                </w:p>
              </w:tc>
            </w:tr>
            <w:tr w14:paraId="01AE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noWrap w:val="0"/>
                  <w:vAlign w:val="center"/>
                </w:tcPr>
                <w:p w14:paraId="3AB8CF07">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400" w:type="pct"/>
                  <w:noWrap w:val="0"/>
                  <w:vAlign w:val="center"/>
                </w:tcPr>
                <w:p w14:paraId="1BBDCC6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废防渗膜</w:t>
                  </w:r>
                </w:p>
              </w:tc>
              <w:tc>
                <w:tcPr>
                  <w:tcW w:w="401" w:type="pct"/>
                  <w:noWrap w:val="0"/>
                  <w:vAlign w:val="center"/>
                </w:tcPr>
                <w:p w14:paraId="0132ED9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tc>
              <w:tc>
                <w:tcPr>
                  <w:tcW w:w="643" w:type="pct"/>
                  <w:noWrap w:val="0"/>
                  <w:vAlign w:val="center"/>
                </w:tcPr>
                <w:p w14:paraId="7B1186B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900-041-49</w:t>
                  </w:r>
                </w:p>
              </w:tc>
              <w:tc>
                <w:tcPr>
                  <w:tcW w:w="309" w:type="pct"/>
                  <w:noWrap w:val="0"/>
                  <w:vAlign w:val="center"/>
                </w:tcPr>
                <w:p w14:paraId="1D72E51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0.01t</w:t>
                  </w:r>
                </w:p>
              </w:tc>
              <w:tc>
                <w:tcPr>
                  <w:tcW w:w="456" w:type="pct"/>
                  <w:noWrap w:val="0"/>
                  <w:vAlign w:val="center"/>
                </w:tcPr>
                <w:p w14:paraId="49A7B8F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181" w:type="pct"/>
                  <w:noWrap w:val="0"/>
                  <w:vAlign w:val="center"/>
                </w:tcPr>
                <w:p w14:paraId="7C09516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291" w:type="pct"/>
                  <w:noWrap w:val="0"/>
                  <w:vAlign w:val="center"/>
                </w:tcPr>
                <w:p w14:paraId="217A2A8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235" w:type="pct"/>
                  <w:noWrap w:val="0"/>
                  <w:vAlign w:val="center"/>
                </w:tcPr>
                <w:p w14:paraId="5DB1564A">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339" w:type="pct"/>
                  <w:noWrap w:val="0"/>
                  <w:vAlign w:val="center"/>
                </w:tcPr>
                <w:p w14:paraId="0D2CBA5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1558" w:type="pct"/>
                  <w:vMerge w:val="continue"/>
                  <w:noWrap w:val="0"/>
                  <w:vAlign w:val="top"/>
                </w:tcPr>
                <w:p w14:paraId="556293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p>
              </w:tc>
            </w:tr>
          </w:tbl>
          <w:p w14:paraId="3781B9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lang w:val="en-US" w:eastAsia="zh-CN"/>
              </w:rPr>
              <w:t>评价要求建设单位做好施工期固体废物管理工作，一般固体废物及危险废物均记录台账并妥善保管，台账包括废物名称、产生时间、产生量、储存位置、储存方式、转移时间、转移单位等信息，确保施工期各类固体废物全部得到妥善处置。</w:t>
            </w:r>
          </w:p>
          <w:p w14:paraId="76BC7C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七、土壤环境影响分析</w:t>
            </w:r>
          </w:p>
          <w:p w14:paraId="4C04F96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前工程期间的开挖和填埋行为将会破坏土壤结构。对场地平整产生的剥离表层土，在井场的临时土石方堆存点集中临时堆放，完井后用于场地复垦用土。剥离表层土临时堆场地设置截排水沟等严格的水保措施防止水土流失。通井场地面采用碎石和混凝土敷设，有效保护占地原表层土壤。完井后，随着生态保护措施的进行，井场对土壤的影响将得到尽快恢复。项目对土壤环境的影响主要表现为对土壤性质、土壤肥力的影响以及土壤污染三个方面。</w:t>
            </w:r>
          </w:p>
          <w:p w14:paraId="11B7005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（1）土壤性质影响</w:t>
            </w:r>
          </w:p>
          <w:p w14:paraId="154632E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钻井前会对井场进行场地的清理，土石方开挖、堆放、回填以及材料堆放、人工践踏、机械设备碾压等活动都将对土壤理化性质产生影响。</w:t>
            </w:r>
          </w:p>
          <w:p w14:paraId="403237B8">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①扰乱土壤耕作层，破坏土壤耕层结构</w:t>
            </w:r>
          </w:p>
          <w:p w14:paraId="68DDC02B">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表开挖必定扰乱和破坏土壤耕作层，这种扰乱和破坏，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33229811">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②混合土壤层次，改变土体构型</w:t>
            </w:r>
          </w:p>
          <w:p w14:paraId="04F9ED3E">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在形成过程中，由于物质和能量长期垂直分异，形成质地、结构、性质和厚度差异明显的土壤剖面构型。项目的土石方的开挖与回填，使原土壤层次混合，原土体构型破坏。土体构型的破坏，将改变土体中物质和能量的运动变化规律，使表层通气透水性变差，使亚表层保水、保肥性能降低，造成对植物的生长、发育及其产量影响。</w:t>
            </w:r>
          </w:p>
          <w:p w14:paraId="4A27CD30">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③影响土壤紧实度</w:t>
            </w:r>
          </w:p>
          <w:p w14:paraId="62DCE79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植被生长，甚至导致压实地表寸草不生，形成局部人工荒漠现象。</w:t>
            </w:r>
          </w:p>
          <w:p w14:paraId="547C356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（2）土壤肥力影响</w:t>
            </w:r>
          </w:p>
          <w:p w14:paraId="25510D6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中的有机质、氮、磷、钾等养分含量，均表现为表土层远高于心土层；在土壤肥力其它方面如紧实度、空隙性、适耕性、团粒结构含量等，也都表现为表土层优于心土层。施工期土石方的开挖与回填，将扰动甚至打乱原土体构型，使土壤养分、水分含量及肥力状况受到较大的影响，影响植被正常生长。因此在土石方开挖、回填过程中，必须严格对表层土实行分层堆放和分层回填。</w:t>
            </w:r>
          </w:p>
          <w:p w14:paraId="46F986D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（3）土壤污染影响</w:t>
            </w:r>
          </w:p>
          <w:p w14:paraId="3FF7456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本项目为天然气勘探工程，不会导致场地土壤的盐化、碱化、酸化等，可能对土壤产生的影响主要为施工过程涉及的油类物质、钻井液、压裂液及其他原辅材料发生泄露通过地面漫流和垂直入渗的方式污染土壤。</w:t>
            </w:r>
          </w:p>
          <w:p w14:paraId="7303B26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为了减少本项目施工对土壤环境的影响，钻井工作区、泥浆不落地系统区、钻井液材料房、储罐区等采取重点防渗措施</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废液、固废储罐四周设置围堰，地面防渗层的防渗性能不应低于1.5m厚渗透系数为1.0×10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cm/s的黏土层的防渗性能；采用撬装式</w:t>
            </w:r>
            <w:r>
              <w:rPr>
                <w:rFonts w:hint="eastAsia" w:ascii="Times New Roman" w:hAnsi="Times New Roman" w:cs="Times New Roman"/>
                <w:color w:val="auto"/>
                <w:lang w:val="en-US" w:eastAsia="zh-CN"/>
              </w:rPr>
              <w:t>危废贮存库</w:t>
            </w:r>
            <w:r>
              <w:rPr>
                <w:rFonts w:hint="default" w:ascii="Times New Roman" w:hAnsi="Times New Roman" w:cs="Times New Roman"/>
                <w:color w:val="auto"/>
                <w:lang w:val="en-US" w:eastAsia="zh-CN"/>
              </w:rPr>
              <w:t>，至少1m厚黏土层(渗透系数不大于10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s)的防渗层，或至少2mm厚高密度聚乙烯膜等人工防渗材料(渗透系数不大于10</w:t>
            </w:r>
            <w:r>
              <w:rPr>
                <w:rFonts w:hint="eastAsia" w:ascii="Times New Roman" w:hAnsi="Times New Roman" w:cs="Times New Roman"/>
                <w:color w:val="auto"/>
                <w:vertAlign w:val="superscript"/>
                <w:lang w:val="en-US" w:eastAsia="zh-CN"/>
              </w:rPr>
              <w:t>-</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cm/s)，或其他防渗性能等效的材料。</w:t>
            </w:r>
            <w:r>
              <w:rPr>
                <w:rFonts w:hint="default" w:ascii="Times New Roman" w:hAnsi="Times New Roman" w:cs="Times New Roman"/>
                <w:color w:val="auto"/>
                <w:lang w:val="en-US" w:eastAsia="zh-CN"/>
              </w:rPr>
              <w:t>设置防渗防雨的应急罐，用于随钻不落地回收系统出现事故时，临时存放钻井泥浆和岩屑，避免钻井泥浆外泄。</w:t>
            </w:r>
          </w:p>
          <w:p w14:paraId="4E20510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根据《陕西省煤炭石油天然气开发生态环境保护条例》（2019年9月27日修订）中“第三十一条 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的要求，本次评价提出如下要求：</w:t>
            </w:r>
          </w:p>
          <w:p w14:paraId="7041893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在钻井、压裂、固井、试井过程中造成探井场地及周边土壤污染的，以及出现其他造成土壤污染情形的，应立即按照规定开展土壤污染状况调查、风险评估，实施风险管控和修复。</w:t>
            </w:r>
          </w:p>
          <w:p w14:paraId="76AE61F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综上，由于项目占地均为临时占地，占地规模小，施工期短，施工结束后即恢复原有土地利用类型，不改变原有土地性质，且对井场重点区域进行防渗处理，因此对土壤环境影响较小。</w:t>
            </w:r>
          </w:p>
          <w:p w14:paraId="186A38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八、环境风险影响分析</w:t>
            </w:r>
          </w:p>
          <w:p w14:paraId="38BA17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天然气勘探作业是多专业工种的野外作业，由于地下情况复杂，钻井作业隐藏着对环境的多种不安全因素，钻井作业可能出现的环境事故主要为洗井废水、压裂返排液泄漏使用和储运过程泄漏以及井喷。</w:t>
            </w:r>
          </w:p>
          <w:p w14:paraId="035B21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（1）风险物质调查</w:t>
            </w:r>
          </w:p>
          <w:p w14:paraId="5741F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本项目涉及到的物料主要有钻井过程地层中可能出现的天然气（CH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油、钻井液（及其主要添加剂纯碱、烧碱、乳化石蜡、重晶石粉等）、压裂返排液（及压裂液主要添加剂胍胶、氯化钾、氢氧化钠等）等，其中钻井液和压裂液的添加剂不属于危险物质，钻井液和压裂返排液主要成分为有机物类、无机盐类，均为无害物质，因此项目涉及的危险物质主要为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）、设备维修保养产生的废机油，在输运及贮存过程中均存在一定危险有害性。</w:t>
            </w:r>
          </w:p>
          <w:p w14:paraId="698711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（2）环境风险及环境影响途径识别</w:t>
            </w:r>
          </w:p>
          <w:p w14:paraId="70D0EC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勘探井开发过程环境风险事故中，影响范围较广的风险事故主要为井喷及井喷引起天然气（CH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）泄漏，可能影响环境的途径主要是井喷泄漏直接进入大气环境引发中毒，或天然气泄漏发生火灾爆炸事故时伴生污染物进入大气环境，通过大气扩散对项目周围环境造成危害，天然气（CH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）主要分布在钻井区域、天然气管道等处</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废油主要分布在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，可能影响环境的途径主要是油类物质泄露通过井场地面下渗至地下含水层并向下游迁移，对下游地下水环境造成污染事故，或油类泄漏发生火灾事故时伴生污染物进入大气环境，造成周围大气环境污染事故。</w:t>
            </w:r>
          </w:p>
          <w:p w14:paraId="6CC5D5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项目危险物质分布及环境影响途径见表4-</w:t>
            </w:r>
            <w:r>
              <w:rPr>
                <w:rFonts w:hint="eastAsia" w:ascii="Times New Roman" w:hAnsi="Times New Roman" w:eastAsia="宋体" w:cs="Times New Roman"/>
                <w:b w:val="0"/>
                <w:bCs w:val="0"/>
                <w:color w:val="auto"/>
                <w:sz w:val="24"/>
                <w:szCs w:val="24"/>
                <w:vertAlign w:val="baseline"/>
                <w:lang w:val="en-US" w:eastAsia="zh-CN"/>
              </w:rPr>
              <w:t>10</w:t>
            </w:r>
            <w:r>
              <w:rPr>
                <w:rFonts w:hint="default" w:ascii="Times New Roman" w:hAnsi="Times New Roman" w:eastAsia="宋体" w:cs="Times New Roman"/>
                <w:b w:val="0"/>
                <w:bCs w:val="0"/>
                <w:color w:val="auto"/>
                <w:sz w:val="24"/>
                <w:szCs w:val="24"/>
                <w:vertAlign w:val="baseline"/>
                <w:lang w:val="en-US" w:eastAsia="zh-CN"/>
              </w:rPr>
              <w:t>。</w:t>
            </w:r>
          </w:p>
          <w:p w14:paraId="4E97BF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项目环境风险及环境影响途径识别表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44"/>
              <w:gridCol w:w="1313"/>
              <w:gridCol w:w="1228"/>
              <w:gridCol w:w="1573"/>
              <w:gridCol w:w="1099"/>
              <w:gridCol w:w="1562"/>
            </w:tblGrid>
            <w:tr w14:paraId="7526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5D4033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715" w:type="pct"/>
                  <w:vAlign w:val="center"/>
                </w:tcPr>
                <w:p w14:paraId="20D1D8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危险物质</w:t>
                  </w:r>
                </w:p>
              </w:tc>
              <w:tc>
                <w:tcPr>
                  <w:tcW w:w="755" w:type="pct"/>
                  <w:vAlign w:val="center"/>
                </w:tcPr>
                <w:p w14:paraId="7AF201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风险单元</w:t>
                  </w:r>
                </w:p>
              </w:tc>
              <w:tc>
                <w:tcPr>
                  <w:tcW w:w="706" w:type="pct"/>
                  <w:vAlign w:val="center"/>
                </w:tcPr>
                <w:p w14:paraId="488FD2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作业特点</w:t>
                  </w:r>
                </w:p>
              </w:tc>
              <w:tc>
                <w:tcPr>
                  <w:tcW w:w="904" w:type="pct"/>
                  <w:vAlign w:val="center"/>
                </w:tcPr>
                <w:p w14:paraId="650824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环境风险类型</w:t>
                  </w:r>
                </w:p>
              </w:tc>
              <w:tc>
                <w:tcPr>
                  <w:tcW w:w="632" w:type="pct"/>
                  <w:vAlign w:val="center"/>
                </w:tcPr>
                <w:p w14:paraId="7462F7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w:t>
                  </w:r>
                </w:p>
              </w:tc>
              <w:tc>
                <w:tcPr>
                  <w:tcW w:w="898" w:type="pct"/>
                  <w:vAlign w:val="center"/>
                </w:tcPr>
                <w:p w14:paraId="3ADAE2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可能受影响的环境敏感目标</w:t>
                  </w:r>
                </w:p>
              </w:tc>
            </w:tr>
            <w:tr w14:paraId="6CDF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2DB186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715" w:type="pct"/>
                  <w:vAlign w:val="center"/>
                </w:tcPr>
                <w:p w14:paraId="438D99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天然气（甲烷）</w:t>
                  </w:r>
                </w:p>
              </w:tc>
              <w:tc>
                <w:tcPr>
                  <w:tcW w:w="755" w:type="pct"/>
                  <w:vAlign w:val="center"/>
                </w:tcPr>
                <w:p w14:paraId="282725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钻井区域、天然气管道等处</w:t>
                  </w:r>
                </w:p>
              </w:tc>
              <w:tc>
                <w:tcPr>
                  <w:tcW w:w="706" w:type="pct"/>
                  <w:vAlign w:val="center"/>
                </w:tcPr>
                <w:p w14:paraId="0F2B5D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Align w:val="center"/>
                </w:tcPr>
                <w:p w14:paraId="17DD2A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70DFD5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5898AC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5FE6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14:paraId="2DD064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715" w:type="pct"/>
                  <w:vMerge w:val="restart"/>
                  <w:vAlign w:val="center"/>
                </w:tcPr>
                <w:p w14:paraId="0EE169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w:t>
                  </w:r>
                </w:p>
              </w:tc>
              <w:tc>
                <w:tcPr>
                  <w:tcW w:w="755" w:type="pct"/>
                  <w:vMerge w:val="restart"/>
                  <w:vAlign w:val="center"/>
                </w:tcPr>
                <w:p w14:paraId="23BFEA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危废贮存库</w:t>
                  </w:r>
                </w:p>
              </w:tc>
              <w:tc>
                <w:tcPr>
                  <w:tcW w:w="706" w:type="pct"/>
                  <w:vMerge w:val="restart"/>
                  <w:vAlign w:val="center"/>
                </w:tcPr>
                <w:p w14:paraId="530683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Merge w:val="restart"/>
                  <w:vAlign w:val="center"/>
                </w:tcPr>
                <w:p w14:paraId="52DDEE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47A967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4DC80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r>
            <w:tr w14:paraId="3835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14:paraId="567AD7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15" w:type="pct"/>
                  <w:vMerge w:val="continue"/>
                  <w:vAlign w:val="center"/>
                </w:tcPr>
                <w:p w14:paraId="0BEEE3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5" w:type="pct"/>
                  <w:vMerge w:val="continue"/>
                  <w:vAlign w:val="center"/>
                </w:tcPr>
                <w:p w14:paraId="796F31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06" w:type="pct"/>
                  <w:vMerge w:val="continue"/>
                  <w:vAlign w:val="center"/>
                </w:tcPr>
                <w:p w14:paraId="35E9CB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04" w:type="pct"/>
                  <w:vMerge w:val="continue"/>
                  <w:vAlign w:val="center"/>
                </w:tcPr>
                <w:p w14:paraId="41AA60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32" w:type="pct"/>
                  <w:vAlign w:val="center"/>
                </w:tcPr>
                <w:p w14:paraId="5DA21C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地下水扩散</w:t>
                  </w:r>
                </w:p>
              </w:tc>
              <w:tc>
                <w:tcPr>
                  <w:tcW w:w="898" w:type="pct"/>
                  <w:vAlign w:val="center"/>
                </w:tcPr>
                <w:p w14:paraId="49DE85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w:t>
                  </w:r>
                </w:p>
              </w:tc>
            </w:tr>
          </w:tbl>
          <w:p w14:paraId="66024F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w:t>
            </w:r>
            <w:r>
              <w:rPr>
                <w:rFonts w:hint="eastAsia" w:ascii="Times New Roman" w:hAnsi="Times New Roman" w:eastAsia="宋体" w:cs="Times New Roman"/>
                <w:b/>
                <w:bCs/>
                <w:color w:val="auto"/>
                <w:sz w:val="21"/>
                <w:szCs w:val="21"/>
                <w:vertAlign w:val="baseline"/>
                <w:lang w:val="en-US" w:eastAsia="zh-CN"/>
              </w:rPr>
              <w:t>11</w:t>
            </w:r>
            <w:r>
              <w:rPr>
                <w:rFonts w:hint="default" w:ascii="Times New Roman" w:hAnsi="Times New Roman" w:eastAsia="宋体" w:cs="Times New Roman"/>
                <w:b/>
                <w:bCs/>
                <w:color w:val="auto"/>
                <w:sz w:val="21"/>
                <w:szCs w:val="21"/>
                <w:vertAlign w:val="baseline"/>
                <w:lang w:val="en-US" w:eastAsia="zh-CN"/>
              </w:rPr>
              <w:t xml:space="preserve">  项目危险化学品储存状况一览表</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873"/>
              <w:gridCol w:w="1291"/>
              <w:gridCol w:w="1367"/>
              <w:gridCol w:w="1077"/>
              <w:gridCol w:w="1359"/>
              <w:gridCol w:w="1216"/>
            </w:tblGrid>
            <w:tr w14:paraId="4A4C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6BEBA8B1">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78" w:type="pct"/>
                  <w:noWrap w:val="0"/>
                  <w:vAlign w:val="center"/>
                </w:tcPr>
                <w:p w14:paraId="159E7618">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危险物质名称</w:t>
                  </w:r>
                </w:p>
              </w:tc>
              <w:tc>
                <w:tcPr>
                  <w:tcW w:w="742" w:type="pct"/>
                  <w:noWrap w:val="0"/>
                  <w:vAlign w:val="center"/>
                </w:tcPr>
                <w:p w14:paraId="5CF9899E">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CAS号</w:t>
                  </w:r>
                </w:p>
              </w:tc>
              <w:tc>
                <w:tcPr>
                  <w:tcW w:w="787" w:type="pct"/>
                  <w:noWrap w:val="0"/>
                  <w:vAlign w:val="center"/>
                </w:tcPr>
                <w:p w14:paraId="47DBB975">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厂区最大储存量(t)</w:t>
                  </w:r>
                </w:p>
              </w:tc>
              <w:tc>
                <w:tcPr>
                  <w:tcW w:w="620" w:type="pct"/>
                  <w:noWrap w:val="0"/>
                  <w:vAlign w:val="center"/>
                </w:tcPr>
                <w:p w14:paraId="2D86D893">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临界量（t）</w:t>
                  </w:r>
                </w:p>
              </w:tc>
              <w:tc>
                <w:tcPr>
                  <w:tcW w:w="781" w:type="pct"/>
                  <w:noWrap w:val="0"/>
                  <w:vAlign w:val="center"/>
                </w:tcPr>
                <w:p w14:paraId="0310B722">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该物质Q值</w:t>
                  </w:r>
                </w:p>
              </w:tc>
              <w:tc>
                <w:tcPr>
                  <w:tcW w:w="699" w:type="pct"/>
                  <w:noWrap w:val="0"/>
                  <w:vAlign w:val="center"/>
                </w:tcPr>
                <w:p w14:paraId="4C4BCB06">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生产工艺特点</w:t>
                  </w:r>
                </w:p>
              </w:tc>
            </w:tr>
            <w:tr w14:paraId="2C11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24705A17">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78" w:type="pct"/>
                  <w:noWrap w:val="0"/>
                  <w:vAlign w:val="center"/>
                </w:tcPr>
                <w:p w14:paraId="4C2F653E">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742" w:type="pct"/>
                  <w:noWrap w:val="0"/>
                  <w:vAlign w:val="center"/>
                </w:tcPr>
                <w:p w14:paraId="34088C00">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87" w:type="pct"/>
                  <w:noWrap w:val="0"/>
                  <w:vAlign w:val="center"/>
                </w:tcPr>
                <w:p w14:paraId="7079AA21">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4</w:t>
                  </w:r>
                </w:p>
              </w:tc>
              <w:tc>
                <w:tcPr>
                  <w:tcW w:w="620" w:type="pct"/>
                  <w:noWrap w:val="0"/>
                  <w:vAlign w:val="center"/>
                </w:tcPr>
                <w:p w14:paraId="783B7BD0">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781" w:type="pct"/>
                  <w:noWrap w:val="0"/>
                  <w:vAlign w:val="center"/>
                </w:tcPr>
                <w:p w14:paraId="55F29144">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w:t>
                  </w:r>
                  <w:r>
                    <w:rPr>
                      <w:rFonts w:hint="eastAsia" w:ascii="Times New Roman" w:hAnsi="Times New Roman" w:eastAsia="宋体" w:cs="Times New Roman"/>
                      <w:color w:val="auto"/>
                      <w:sz w:val="21"/>
                      <w:szCs w:val="21"/>
                      <w:lang w:val="en-US" w:eastAsia="zh-CN"/>
                    </w:rPr>
                    <w:t>8</w:t>
                  </w:r>
                </w:p>
              </w:tc>
              <w:tc>
                <w:tcPr>
                  <w:tcW w:w="699" w:type="pct"/>
                  <w:noWrap w:val="0"/>
                  <w:vAlign w:val="center"/>
                </w:tcPr>
                <w:p w14:paraId="44D6115C">
                  <w:pPr>
                    <w:pStyle w:val="30"/>
                    <w:adjustRightInd w:val="0"/>
                    <w:snapToGrid w:val="0"/>
                    <w:spacing w:line="320" w:lineRule="exact"/>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14:paraId="7A48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pct"/>
                  <w:gridSpan w:val="3"/>
                  <w:noWrap w:val="0"/>
                  <w:vAlign w:val="center"/>
                </w:tcPr>
                <w:p w14:paraId="42137FC4">
                  <w:pPr>
                    <w:pStyle w:val="30"/>
                    <w:adjustRightInd w:val="0"/>
                    <w:snapToGrid w:val="0"/>
                    <w:spacing w:line="320" w:lineRule="exact"/>
                    <w:ind w:firstLine="0" w:firstLineChars="0"/>
                    <w:jc w:val="center"/>
                    <w:rPr>
                      <w:color w:val="auto"/>
                    </w:rPr>
                  </w:pPr>
                  <w:r>
                    <w:rPr>
                      <w:rFonts w:hint="default" w:ascii="Times New Roman" w:hAnsi="Times New Roman" w:eastAsia="宋体" w:cs="Times New Roman"/>
                      <w:color w:val="auto"/>
                      <w:sz w:val="21"/>
                      <w:szCs w:val="21"/>
                      <w:lang w:val="en-US" w:eastAsia="zh-CN"/>
                    </w:rPr>
                    <w:t>合计</w:t>
                  </w:r>
                </w:p>
              </w:tc>
              <w:tc>
                <w:tcPr>
                  <w:tcW w:w="2189" w:type="pct"/>
                  <w:gridSpan w:val="3"/>
                  <w:noWrap w:val="0"/>
                  <w:vAlign w:val="center"/>
                </w:tcPr>
                <w:p w14:paraId="3CA0C58A">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008</w:t>
                  </w:r>
                </w:p>
              </w:tc>
              <w:tc>
                <w:tcPr>
                  <w:tcW w:w="699" w:type="pct"/>
                  <w:noWrap w:val="0"/>
                  <w:vAlign w:val="center"/>
                </w:tcPr>
                <w:p w14:paraId="71412108">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411231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由表4-</w:t>
            </w:r>
            <w:r>
              <w:rPr>
                <w:rFonts w:hint="eastAsia" w:ascii="Times New Roman" w:hAnsi="Times New Roman" w:eastAsia="宋体" w:cs="Times New Roman"/>
                <w:b w:val="0"/>
                <w:bCs w:val="0"/>
                <w:color w:val="auto"/>
                <w:sz w:val="24"/>
                <w:szCs w:val="24"/>
                <w:vertAlign w:val="baseline"/>
                <w:lang w:val="en-US" w:eastAsia="zh-CN"/>
              </w:rPr>
              <w:t>11</w:t>
            </w:r>
            <w:r>
              <w:rPr>
                <w:rFonts w:hint="default" w:ascii="Times New Roman" w:hAnsi="Times New Roman" w:eastAsia="宋体" w:cs="Times New Roman"/>
                <w:b w:val="0"/>
                <w:bCs w:val="0"/>
                <w:color w:val="auto"/>
                <w:sz w:val="24"/>
                <w:szCs w:val="24"/>
                <w:vertAlign w:val="baseline"/>
                <w:lang w:val="en-US" w:eastAsia="zh-CN"/>
              </w:rPr>
              <w:t>可知，项目</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Q=0.0</w:t>
            </w:r>
            <w:r>
              <w:rPr>
                <w:rFonts w:hint="eastAsia" w:ascii="Times New Roman" w:hAnsi="Times New Roman" w:eastAsia="宋体" w:cs="Times New Roman"/>
                <w:b w:val="0"/>
                <w:bCs w:val="0"/>
                <w:color w:val="auto"/>
                <w:sz w:val="24"/>
                <w:szCs w:val="24"/>
                <w:vertAlign w:val="baseline"/>
                <w:lang w:val="en-US" w:eastAsia="zh-CN"/>
              </w:rPr>
              <w:t>008</w:t>
            </w:r>
            <w:r>
              <w:rPr>
                <w:rFonts w:hint="default" w:ascii="Times New Roman" w:hAnsi="Times New Roman" w:eastAsia="宋体" w:cs="Times New Roman"/>
                <w:b w:val="0"/>
                <w:bCs w:val="0"/>
                <w:color w:val="auto"/>
                <w:sz w:val="24"/>
                <w:szCs w:val="24"/>
                <w:vertAlign w:val="baseline"/>
                <w:lang w:val="en-US" w:eastAsia="zh-CN"/>
              </w:rPr>
              <w:t>&lt;1，环境风险较小。</w:t>
            </w:r>
          </w:p>
          <w:p w14:paraId="6255D2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各危险物质理化性质见下表：</w:t>
            </w:r>
          </w:p>
          <w:p w14:paraId="4AD515B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4"/>
                <w:szCs w:val="24"/>
                <w:lang w:val="en-US" w:eastAsia="zh-CN"/>
              </w:rPr>
              <w:t>①天然气</w:t>
            </w:r>
          </w:p>
          <w:p w14:paraId="6134EDD1">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天然气</w:t>
            </w:r>
            <w:r>
              <w:rPr>
                <w:rFonts w:hint="default" w:ascii="Times New Roman" w:hAnsi="Times New Roman" w:cs="Times New Roman"/>
                <w:color w:val="auto"/>
                <w:sz w:val="21"/>
                <w:szCs w:val="21"/>
                <w:lang w:eastAsia="zh-CN"/>
              </w:rPr>
              <w:t>理化特性及危险性一览表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91"/>
              <w:gridCol w:w="1596"/>
              <w:gridCol w:w="2241"/>
              <w:gridCol w:w="2193"/>
              <w:gridCol w:w="1973"/>
            </w:tblGrid>
            <w:tr w14:paraId="2BDC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1E5AA61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485" w:type="dxa"/>
                  <w:vAlign w:val="center"/>
                </w:tcPr>
                <w:p w14:paraId="58FD3A5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2085" w:type="dxa"/>
                  <w:vAlign w:val="center"/>
                </w:tcPr>
                <w:p w14:paraId="1E59CA3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w:t>
                  </w:r>
                </w:p>
              </w:tc>
              <w:tc>
                <w:tcPr>
                  <w:tcW w:w="2040" w:type="dxa"/>
                  <w:vAlign w:val="center"/>
                </w:tcPr>
                <w:p w14:paraId="3066BDC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1836" w:type="dxa"/>
                  <w:vAlign w:val="center"/>
                </w:tcPr>
                <w:p w14:paraId="3F3D28A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Marsh gas</w:t>
                  </w:r>
                </w:p>
              </w:tc>
            </w:tr>
            <w:tr w14:paraId="2C64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24D5F4A4">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E67089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2085" w:type="dxa"/>
                  <w:vAlign w:val="center"/>
                </w:tcPr>
                <w:p w14:paraId="6B43E7C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CH</w:t>
                  </w:r>
                  <w:r>
                    <w:rPr>
                      <w:rFonts w:hint="default" w:ascii="Times New Roman" w:hAnsi="Times New Roman" w:cs="Times New Roman"/>
                      <w:color w:val="auto"/>
                      <w:sz w:val="21"/>
                      <w:szCs w:val="21"/>
                      <w:vertAlign w:val="subscript"/>
                      <w:lang w:val="en-US" w:eastAsia="zh-CN"/>
                    </w:rPr>
                    <w:t>4</w:t>
                  </w:r>
                </w:p>
              </w:tc>
              <w:tc>
                <w:tcPr>
                  <w:tcW w:w="2040" w:type="dxa"/>
                  <w:vAlign w:val="center"/>
                </w:tcPr>
                <w:p w14:paraId="5DC3427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1836" w:type="dxa"/>
                  <w:vAlign w:val="center"/>
                </w:tcPr>
                <w:p w14:paraId="18E64BA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74-82-8</w:t>
                  </w:r>
                </w:p>
              </w:tc>
            </w:tr>
            <w:tr w14:paraId="1C76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3E94657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485" w:type="dxa"/>
                  <w:vAlign w:val="center"/>
                </w:tcPr>
                <w:p w14:paraId="7DEC652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2085" w:type="dxa"/>
                  <w:vAlign w:val="center"/>
                </w:tcPr>
                <w:p w14:paraId="31F4500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-182.5</w:t>
                  </w:r>
                </w:p>
              </w:tc>
              <w:tc>
                <w:tcPr>
                  <w:tcW w:w="2040" w:type="dxa"/>
                  <w:vAlign w:val="center"/>
                </w:tcPr>
                <w:p w14:paraId="24FD2C6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1836" w:type="dxa"/>
                  <w:vAlign w:val="center"/>
                </w:tcPr>
                <w:p w14:paraId="16A2359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0.55</w:t>
                  </w:r>
                </w:p>
              </w:tc>
            </w:tr>
            <w:tr w14:paraId="2162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4817B515">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5FFF32D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2214AAA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无色或无臭气体（天然气中已加入识别臭味）。</w:t>
                  </w:r>
                </w:p>
              </w:tc>
            </w:tr>
            <w:tr w14:paraId="562E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00681756">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ACABEA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1C3045C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微溶于水，溶于醇、乙醚。</w:t>
                  </w:r>
                </w:p>
              </w:tc>
            </w:tr>
            <w:tr w14:paraId="2FFB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48EB6FD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485" w:type="dxa"/>
                  <w:vAlign w:val="center"/>
                </w:tcPr>
                <w:p w14:paraId="260130B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2085" w:type="dxa"/>
                  <w:vAlign w:val="center"/>
                </w:tcPr>
                <w:p w14:paraId="479C1E0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-188</w:t>
                  </w:r>
                </w:p>
              </w:tc>
              <w:tc>
                <w:tcPr>
                  <w:tcW w:w="2040" w:type="dxa"/>
                  <w:vAlign w:val="center"/>
                </w:tcPr>
                <w:p w14:paraId="62DDA47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1836" w:type="dxa"/>
                  <w:vAlign w:val="center"/>
                </w:tcPr>
                <w:p w14:paraId="3A97D47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5.3～15</w:t>
                  </w:r>
                </w:p>
              </w:tc>
            </w:tr>
            <w:tr w14:paraId="4493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20AAB92A">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F84BE9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2085" w:type="dxa"/>
                  <w:vAlign w:val="center"/>
                </w:tcPr>
                <w:p w14:paraId="4E0BE5E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538</w:t>
                  </w:r>
                </w:p>
              </w:tc>
              <w:tc>
                <w:tcPr>
                  <w:tcW w:w="2040" w:type="dxa"/>
                  <w:vAlign w:val="center"/>
                </w:tcPr>
                <w:p w14:paraId="392B77A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w:t>
                  </w:r>
                </w:p>
              </w:tc>
              <w:tc>
                <w:tcPr>
                  <w:tcW w:w="1836" w:type="dxa"/>
                  <w:vAlign w:val="center"/>
                </w:tcPr>
                <w:p w14:paraId="54A3A08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w:t>
                  </w:r>
                </w:p>
              </w:tc>
            </w:tr>
            <w:tr w14:paraId="5A79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C5E5867">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1B3693A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火灾危险类别</w:t>
                  </w:r>
                </w:p>
              </w:tc>
              <w:tc>
                <w:tcPr>
                  <w:tcW w:w="2085" w:type="dxa"/>
                  <w:vAlign w:val="center"/>
                </w:tcPr>
                <w:p w14:paraId="0A90FA0B">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第2.1类，易燃气体</w:t>
                  </w:r>
                </w:p>
              </w:tc>
              <w:tc>
                <w:tcPr>
                  <w:tcW w:w="2040" w:type="dxa"/>
                  <w:vAlign w:val="center"/>
                </w:tcPr>
                <w:p w14:paraId="2560D84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爆炸危险组别类别</w:t>
                  </w:r>
                </w:p>
              </w:tc>
              <w:tc>
                <w:tcPr>
                  <w:tcW w:w="1836" w:type="dxa"/>
                  <w:vAlign w:val="center"/>
                </w:tcPr>
                <w:p w14:paraId="6854BE5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T3/ⅡΑ</w:t>
                  </w:r>
                </w:p>
              </w:tc>
            </w:tr>
            <w:tr w14:paraId="6EAA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5225A7B3">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3DAD6A0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400BFCC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易燃，与与空气混合能形成爆炸性混合物，遇热源和明火易引起燃烧爆炸，与五氧化溴、氯气、次氯酸、三氟化氮、液氧、二氟化氮及其它强氧化剂接触能发生剧烈反应。</w:t>
                  </w:r>
                </w:p>
                <w:p w14:paraId="36211B2F">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燃烧（分解）产物：一氧化碳、二氧化碳。</w:t>
                  </w:r>
                </w:p>
                <w:p w14:paraId="35C8C1E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天然气除了有上述危险特性外，还具有下列特性：天然气中含有少量的硫化氢，长期吸入，对人的神经系统有毒害；在高压、高温、有水的情况下，对金属可产生硫化氢应力开裂。</w:t>
                  </w:r>
                </w:p>
              </w:tc>
            </w:tr>
            <w:tr w14:paraId="502F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00313CB1">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1C3F77D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52BD84A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泡沫、干粉、CO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、雾状水。</w:t>
                  </w:r>
                </w:p>
              </w:tc>
            </w:tr>
            <w:tr w14:paraId="34AF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3CF7075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446" w:type="dxa"/>
                  <w:gridSpan w:val="4"/>
                  <w:vAlign w:val="center"/>
                </w:tcPr>
                <w:p w14:paraId="7CDA055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w:t>
                  </w:r>
                </w:p>
                <w:p w14:paraId="16A5150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37C8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2E86456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446" w:type="dxa"/>
                  <w:gridSpan w:val="4"/>
                  <w:vAlign w:val="center"/>
                </w:tcPr>
                <w:p w14:paraId="5ECEBB5D">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皮肤冻伤：若有冻伤，就医治疗。</w:t>
                  </w:r>
                </w:p>
                <w:p w14:paraId="6DE001D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tc>
            </w:tr>
            <w:tr w14:paraId="312C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1BF3745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446" w:type="dxa"/>
                  <w:gridSpan w:val="4"/>
                  <w:vAlign w:val="center"/>
                </w:tcPr>
                <w:p w14:paraId="387ED40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工程防护：生产过程密闭，全面通风。</w:t>
                  </w:r>
                </w:p>
                <w:p w14:paraId="7504DFE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个人防护：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它高浓度区作业，须有人监护。</w:t>
                  </w:r>
                </w:p>
              </w:tc>
            </w:tr>
            <w:tr w14:paraId="03A8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72D6931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446" w:type="dxa"/>
                  <w:gridSpan w:val="4"/>
                  <w:vAlign w:val="center"/>
                </w:tcPr>
                <w:p w14:paraId="74E88C0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5DB1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7781B03B">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446" w:type="dxa"/>
                  <w:gridSpan w:val="4"/>
                  <w:vAlign w:val="center"/>
                </w:tcPr>
                <w:p w14:paraId="5B6B6FEC">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14:paraId="2C7FDD8D">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②机油</w:t>
            </w:r>
          </w:p>
          <w:p w14:paraId="684E8844">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4-1</w:t>
            </w:r>
            <w:r>
              <w:rPr>
                <w:rFonts w:hint="eastAsia" w:ascii="Times New Roman" w:hAnsi="Times New Roman" w:cs="Times New Roman"/>
                <w:color w:val="auto"/>
                <w:sz w:val="21"/>
                <w:szCs w:val="21"/>
                <w:lang w:val="en-US" w:eastAsia="zh-CN"/>
              </w:rPr>
              <w:t xml:space="preserve">3  </w:t>
            </w:r>
            <w:r>
              <w:rPr>
                <w:rFonts w:hint="default" w:ascii="Times New Roman" w:hAnsi="Times New Roman" w:cs="Times New Roman"/>
                <w:color w:val="auto"/>
                <w:sz w:val="21"/>
                <w:szCs w:val="21"/>
                <w:lang w:eastAsia="zh-CN"/>
              </w:rPr>
              <w:t>机油理化特性及危险性一览表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9"/>
              <w:gridCol w:w="1719"/>
              <w:gridCol w:w="1603"/>
              <w:gridCol w:w="2224"/>
              <w:gridCol w:w="2579"/>
            </w:tblGrid>
            <w:tr w14:paraId="6735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restart"/>
                  <w:vAlign w:val="center"/>
                </w:tcPr>
                <w:p w14:paraId="36C450F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661" w:type="dxa"/>
                  <w:vAlign w:val="center"/>
                </w:tcPr>
                <w:p w14:paraId="3C754D7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1549" w:type="dxa"/>
                  <w:vAlign w:val="center"/>
                </w:tcPr>
                <w:p w14:paraId="0BCEC65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机油</w:t>
                  </w:r>
                </w:p>
              </w:tc>
              <w:tc>
                <w:tcPr>
                  <w:tcW w:w="2150" w:type="dxa"/>
                  <w:vAlign w:val="center"/>
                </w:tcPr>
                <w:p w14:paraId="55527BE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2493" w:type="dxa"/>
                  <w:vAlign w:val="center"/>
                </w:tcPr>
                <w:p w14:paraId="0100EE2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lubricating oil；Lube oil</w:t>
                  </w:r>
                </w:p>
              </w:tc>
            </w:tr>
            <w:tr w14:paraId="12AA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vAlign w:val="center"/>
                </w:tcPr>
                <w:p w14:paraId="7858D7F4">
                  <w:pPr>
                    <w:pStyle w:val="27"/>
                    <w:bidi w:val="0"/>
                    <w:jc w:val="center"/>
                    <w:rPr>
                      <w:rFonts w:hint="default" w:ascii="Times New Roman" w:hAnsi="Times New Roman" w:cs="Times New Roman"/>
                      <w:color w:val="auto"/>
                      <w:sz w:val="21"/>
                      <w:szCs w:val="21"/>
                      <w:lang w:val="en-US" w:eastAsia="zh-CN"/>
                    </w:rPr>
                  </w:pPr>
                </w:p>
              </w:tc>
              <w:tc>
                <w:tcPr>
                  <w:tcW w:w="1661" w:type="dxa"/>
                  <w:vAlign w:val="center"/>
                </w:tcPr>
                <w:p w14:paraId="152553F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1549" w:type="dxa"/>
                  <w:shd w:val="clear" w:color="auto" w:fill="auto"/>
                  <w:vAlign w:val="center"/>
                </w:tcPr>
                <w:p w14:paraId="2157E27C">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c>
                <w:tcPr>
                  <w:tcW w:w="2150" w:type="dxa"/>
                  <w:vAlign w:val="center"/>
                </w:tcPr>
                <w:p w14:paraId="2F32DD5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2493" w:type="dxa"/>
                  <w:shd w:val="clear" w:color="auto" w:fill="auto"/>
                  <w:vAlign w:val="center"/>
                </w:tcPr>
                <w:p w14:paraId="47E0981B">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r>
            <w:tr w14:paraId="4087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restart"/>
                  <w:vAlign w:val="center"/>
                </w:tcPr>
                <w:p w14:paraId="1F9F95C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661" w:type="dxa"/>
                  <w:vAlign w:val="center"/>
                </w:tcPr>
                <w:p w14:paraId="23C46AF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1549" w:type="dxa"/>
                  <w:shd w:val="clear" w:color="auto" w:fill="auto"/>
                  <w:vAlign w:val="center"/>
                </w:tcPr>
                <w:p w14:paraId="67D26FC8">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c>
                <w:tcPr>
                  <w:tcW w:w="2150" w:type="dxa"/>
                  <w:vAlign w:val="center"/>
                </w:tcPr>
                <w:p w14:paraId="55D8BEA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2493" w:type="dxa"/>
                  <w:shd w:val="clear" w:color="auto" w:fill="auto"/>
                  <w:vAlign w:val="center"/>
                </w:tcPr>
                <w:p w14:paraId="584680F6">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w:t>
                  </w:r>
                </w:p>
              </w:tc>
            </w:tr>
            <w:tr w14:paraId="4627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vAlign w:val="center"/>
                </w:tcPr>
                <w:p w14:paraId="328DC900">
                  <w:pPr>
                    <w:pStyle w:val="27"/>
                    <w:bidi w:val="0"/>
                    <w:jc w:val="center"/>
                    <w:rPr>
                      <w:rFonts w:hint="default" w:ascii="Times New Roman" w:hAnsi="Times New Roman" w:cs="Times New Roman"/>
                      <w:color w:val="auto"/>
                      <w:sz w:val="21"/>
                      <w:szCs w:val="21"/>
                      <w:lang w:val="en-US" w:eastAsia="zh-CN"/>
                    </w:rPr>
                  </w:pPr>
                </w:p>
              </w:tc>
              <w:tc>
                <w:tcPr>
                  <w:tcW w:w="1661" w:type="dxa"/>
                  <w:vAlign w:val="center"/>
                </w:tcPr>
                <w:p w14:paraId="395E637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6192" w:type="dxa"/>
                  <w:gridSpan w:val="3"/>
                  <w:vAlign w:val="center"/>
                </w:tcPr>
                <w:p w14:paraId="26D8471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油状液体，淡黄色至褐色，无气味或略带异味。</w:t>
                  </w:r>
                </w:p>
              </w:tc>
            </w:tr>
            <w:tr w14:paraId="2972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vAlign w:val="center"/>
                </w:tcPr>
                <w:p w14:paraId="53F2E9E8">
                  <w:pPr>
                    <w:pStyle w:val="27"/>
                    <w:bidi w:val="0"/>
                    <w:jc w:val="center"/>
                    <w:rPr>
                      <w:rFonts w:hint="default" w:ascii="Times New Roman" w:hAnsi="Times New Roman" w:cs="Times New Roman"/>
                      <w:color w:val="auto"/>
                      <w:sz w:val="21"/>
                      <w:szCs w:val="21"/>
                      <w:lang w:val="en-US" w:eastAsia="zh-CN"/>
                    </w:rPr>
                  </w:pPr>
                </w:p>
              </w:tc>
              <w:tc>
                <w:tcPr>
                  <w:tcW w:w="1661" w:type="dxa"/>
                  <w:vAlign w:val="center"/>
                </w:tcPr>
                <w:p w14:paraId="4E24824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6192" w:type="dxa"/>
                  <w:gridSpan w:val="3"/>
                  <w:vAlign w:val="center"/>
                </w:tcPr>
                <w:p w14:paraId="62836AF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不溶于水。</w:t>
                  </w:r>
                </w:p>
              </w:tc>
            </w:tr>
            <w:tr w14:paraId="3277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restart"/>
                  <w:vAlign w:val="center"/>
                </w:tcPr>
                <w:p w14:paraId="6F7AB28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661" w:type="dxa"/>
                  <w:vAlign w:val="center"/>
                </w:tcPr>
                <w:p w14:paraId="1DD4F76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1549" w:type="dxa"/>
                  <w:vAlign w:val="center"/>
                </w:tcPr>
                <w:p w14:paraId="3D4C9F5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2150" w:type="dxa"/>
                  <w:vAlign w:val="center"/>
                </w:tcPr>
                <w:p w14:paraId="1A3BBB1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2493" w:type="dxa"/>
                  <w:vAlign w:val="center"/>
                </w:tcPr>
                <w:p w14:paraId="59A4FE6D">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14:paraId="6CED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vAlign w:val="center"/>
                </w:tcPr>
                <w:p w14:paraId="79E03B0F">
                  <w:pPr>
                    <w:pStyle w:val="27"/>
                    <w:bidi w:val="0"/>
                    <w:jc w:val="center"/>
                    <w:rPr>
                      <w:rFonts w:hint="default" w:ascii="Times New Roman" w:hAnsi="Times New Roman" w:cs="Times New Roman"/>
                      <w:color w:val="auto"/>
                      <w:sz w:val="21"/>
                      <w:szCs w:val="21"/>
                      <w:lang w:val="en-US" w:eastAsia="zh-CN"/>
                    </w:rPr>
                  </w:pPr>
                </w:p>
              </w:tc>
              <w:tc>
                <w:tcPr>
                  <w:tcW w:w="1661" w:type="dxa"/>
                  <w:vAlign w:val="center"/>
                </w:tcPr>
                <w:p w14:paraId="330E0B9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1549" w:type="dxa"/>
                  <w:vAlign w:val="center"/>
                </w:tcPr>
                <w:p w14:paraId="7922F387">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248</w:t>
                  </w:r>
                </w:p>
              </w:tc>
              <w:tc>
                <w:tcPr>
                  <w:tcW w:w="2150" w:type="dxa"/>
                  <w:vAlign w:val="center"/>
                </w:tcPr>
                <w:p w14:paraId="51E347C3">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稳定性</w:t>
                  </w:r>
                </w:p>
              </w:tc>
              <w:tc>
                <w:tcPr>
                  <w:tcW w:w="2493" w:type="dxa"/>
                  <w:vAlign w:val="center"/>
                </w:tcPr>
                <w:p w14:paraId="5459ADBC">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w:t>
                  </w:r>
                </w:p>
              </w:tc>
            </w:tr>
            <w:tr w14:paraId="0239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vAlign w:val="center"/>
                </w:tcPr>
                <w:p w14:paraId="2A2CB4D7">
                  <w:pPr>
                    <w:pStyle w:val="27"/>
                    <w:bidi w:val="0"/>
                    <w:jc w:val="center"/>
                    <w:rPr>
                      <w:rFonts w:hint="default" w:ascii="Times New Roman" w:hAnsi="Times New Roman" w:cs="Times New Roman"/>
                      <w:color w:val="auto"/>
                      <w:sz w:val="21"/>
                      <w:szCs w:val="21"/>
                      <w:lang w:val="en-US" w:eastAsia="zh-CN"/>
                    </w:rPr>
                  </w:pPr>
                </w:p>
              </w:tc>
              <w:tc>
                <w:tcPr>
                  <w:tcW w:w="1661" w:type="dxa"/>
                  <w:vAlign w:val="center"/>
                </w:tcPr>
                <w:p w14:paraId="778738F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6192" w:type="dxa"/>
                  <w:gridSpan w:val="3"/>
                  <w:vAlign w:val="center"/>
                </w:tcPr>
                <w:p w14:paraId="40209EB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遇明火、高热可燃。</w:t>
                  </w:r>
                </w:p>
              </w:tc>
            </w:tr>
            <w:tr w14:paraId="13A2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Merge w:val="continue"/>
                  <w:vAlign w:val="center"/>
                </w:tcPr>
                <w:p w14:paraId="30C313B2">
                  <w:pPr>
                    <w:pStyle w:val="27"/>
                    <w:bidi w:val="0"/>
                    <w:jc w:val="center"/>
                    <w:rPr>
                      <w:rFonts w:hint="default" w:ascii="Times New Roman" w:hAnsi="Times New Roman" w:cs="Times New Roman"/>
                      <w:color w:val="auto"/>
                      <w:sz w:val="21"/>
                      <w:szCs w:val="21"/>
                      <w:lang w:val="en-US" w:eastAsia="zh-CN"/>
                    </w:rPr>
                  </w:pPr>
                </w:p>
              </w:tc>
              <w:tc>
                <w:tcPr>
                  <w:tcW w:w="1661" w:type="dxa"/>
                  <w:vAlign w:val="center"/>
                </w:tcPr>
                <w:p w14:paraId="7843176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6192" w:type="dxa"/>
                  <w:gridSpan w:val="3"/>
                  <w:vAlign w:val="center"/>
                </w:tcPr>
                <w:p w14:paraId="41C59440">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雾状水、泡沫、干粉、二氧化碳、砂土。</w:t>
                  </w:r>
                </w:p>
              </w:tc>
            </w:tr>
            <w:tr w14:paraId="5F53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Align w:val="center"/>
                </w:tcPr>
                <w:p w14:paraId="1E434B6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853" w:type="dxa"/>
                  <w:gridSpan w:val="4"/>
                  <w:vAlign w:val="center"/>
                </w:tcPr>
                <w:p w14:paraId="4EA24C59">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侵入途径：吸入、食入；</w:t>
                  </w:r>
                </w:p>
                <w:p w14:paraId="795FBC91">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急性吸入，可出现乏力、头晕、头痛、恶心，严重者可引起油脂性肺炎。慢接触者，暴露部位可发生油性痤疮和接触性皮炎。可引起神经衰弱综合征，呼吸道和眼刺激症状及慢性油脂性肺炎。</w:t>
                  </w:r>
                </w:p>
              </w:tc>
            </w:tr>
            <w:tr w14:paraId="2285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Align w:val="center"/>
                </w:tcPr>
                <w:p w14:paraId="2571DD8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853" w:type="dxa"/>
                  <w:gridSpan w:val="4"/>
                  <w:vAlign w:val="center"/>
                </w:tcPr>
                <w:p w14:paraId="5D1655CA">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皮肤接触：立即脱去被污染的衣着，用大量清水冲洗；</w:t>
                  </w:r>
                </w:p>
                <w:p w14:paraId="2AF5477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眼睛接触：立即提起眼睑，用大量流动清水或生理盐水冲洗，就医；</w:t>
                  </w:r>
                </w:p>
                <w:p w14:paraId="732D96D5">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p w14:paraId="5D25C18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食入：饮足量温水，催吐，就医。</w:t>
                  </w:r>
                </w:p>
              </w:tc>
            </w:tr>
            <w:tr w14:paraId="24D5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Align w:val="center"/>
                </w:tcPr>
                <w:p w14:paraId="08C5400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853" w:type="dxa"/>
                  <w:gridSpan w:val="4"/>
                  <w:vAlign w:val="center"/>
                </w:tcPr>
                <w:p w14:paraId="3ACA9299">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工程控制：密闭操作，注意通风；</w:t>
                  </w:r>
                </w:p>
                <w:p w14:paraId="74D335F5">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呼吸系统防护：空气中浓度超标时，建议佩戴自吸过滤式防毒面具(半面)。紧急事态抢救或撤离时，应该佩戴空气呼吸器。</w:t>
                  </w:r>
                </w:p>
                <w:p w14:paraId="4566021A">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眼睛防护：戴化学安全防护眼镜；</w:t>
                  </w:r>
                </w:p>
                <w:p w14:paraId="020BDD08">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身体防护:穿防毒物渗透工作服；</w:t>
                  </w:r>
                </w:p>
                <w:p w14:paraId="4187EF30">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手防护：戴橡胶耐油手套；</w:t>
                  </w:r>
                </w:p>
                <w:p w14:paraId="681A0C35">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其他：工作现场严禁吸烟，避免长期反复接触。</w:t>
                  </w:r>
                </w:p>
              </w:tc>
            </w:tr>
            <w:tr w14:paraId="746F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Align w:val="center"/>
                </w:tcPr>
                <w:p w14:paraId="648684F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853" w:type="dxa"/>
                  <w:gridSpan w:val="4"/>
                  <w:vAlign w:val="center"/>
                </w:tcPr>
                <w:p w14:paraId="1058D89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迅速撤离泄漏污染区人员至安全区，并进行隔离，严格限制出入。切断火源。建议应急处理人员戴自给正压式呼吸器，穿防毒服。尽可能切断泄漏源。防止流入下水道、排洪沟等限制性空间。</w:t>
                  </w:r>
                </w:p>
                <w:p w14:paraId="2141F61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小量泄漏：用砂土或其它不燃材料吸附或吸收。</w:t>
                  </w:r>
                </w:p>
                <w:p w14:paraId="423A56E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大量泄漏：构筑围堤或挖坑收容。用泵转移至槽车或专用收集器内，回收或运至废物处理场所处置。</w:t>
                  </w:r>
                </w:p>
              </w:tc>
            </w:tr>
            <w:tr w14:paraId="7CD0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0" w:type="dxa"/>
                  <w:vAlign w:val="center"/>
                </w:tcPr>
                <w:p w14:paraId="7CB62E9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853" w:type="dxa"/>
                  <w:gridSpan w:val="4"/>
                  <w:vAlign w:val="center"/>
                </w:tcPr>
                <w:p w14:paraId="2B48AAC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储存于阴凉、通风的库房。远离火种、热源。应与氧化剂分开存放，切忌混储。配备相应品种和数量的消防器材。储区应备有泄漏应急处理设备和合适的收容材料。</w:t>
                  </w:r>
                </w:p>
                <w:p w14:paraId="716D70E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前应先检查包装容器是否完整、密封，运输过程中要确保容器不泄漏、不倒塌、不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65F91F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（3）环境风险分析</w:t>
            </w:r>
          </w:p>
          <w:p w14:paraId="666010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1）大气环境风险分析</w:t>
            </w:r>
          </w:p>
          <w:p w14:paraId="342258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①井喷事故</w:t>
            </w:r>
          </w:p>
          <w:p w14:paraId="48F39F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钻井进入气层后，遇到高压气流，因各种原因使井底压力不能平衡底层压力时而造成井喷和井喷失控事故。井喷失控发生的机率虽然很小，但危害较大，主要表现在井喷后会有大量的天然气逸散到空气中，对周围的环境空气造成一定的影响；井喷失控喷射出的天然气遇火燃烧爆炸造成冲击波和热辐射伤人。尽管井喷造成的后果是严重的，但井喷发生的概率非常小，只有在钻井遇</w:t>
            </w:r>
            <w:r>
              <w:rPr>
                <w:rFonts w:hint="eastAsia" w:ascii="Times New Roman" w:hAnsi="Times New Roman" w:eastAsia="宋体" w:cs="Times New Roman"/>
                <w:b w:val="0"/>
                <w:bCs w:val="0"/>
                <w:color w:val="auto"/>
                <w:sz w:val="24"/>
                <w:szCs w:val="24"/>
                <w:vertAlign w:val="baseline"/>
                <w:lang w:val="en-US" w:eastAsia="zh-CN"/>
              </w:rPr>
              <w:t>高压采</w:t>
            </w:r>
            <w:r>
              <w:rPr>
                <w:rFonts w:hint="default" w:ascii="Times New Roman" w:hAnsi="Times New Roman" w:eastAsia="宋体" w:cs="Times New Roman"/>
                <w:b w:val="0"/>
                <w:bCs w:val="0"/>
                <w:color w:val="auto"/>
                <w:sz w:val="24"/>
                <w:szCs w:val="24"/>
                <w:vertAlign w:val="baseline"/>
                <w:lang w:val="en-US" w:eastAsia="zh-CN"/>
              </w:rPr>
              <w:t>气层且操作不当时才有可能发生。而由于操作者直接责任而引起井控措施不当、违反操作规程、井控措施故障等是造成井喷失控事故的主要因素。本项目在钻井时采用了安装防喷器和控制装置等防喷措施，项目发生井喷的概率很小。</w:t>
            </w:r>
          </w:p>
          <w:p w14:paraId="2ABDEC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②放喷事故</w:t>
            </w:r>
          </w:p>
          <w:p w14:paraId="326FDB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为了解气井的产气量，在完井及压裂后，需进行测试放喷，项目通过</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进行测试。</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周围50m范围内进行清理，远离易燃物品，同时应远离居民区，</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用于储存随放喷气体带出的地下水及洗井废水。项目设置10</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，能够满足放喷气体带出的废水存储。</w:t>
            </w:r>
          </w:p>
          <w:p w14:paraId="3C0CFA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w:t>
            </w:r>
          </w:p>
          <w:p w14:paraId="2FBB6D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风险影响主要是</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废油泄漏的火灾爆炸。本项目</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内废油储存量较少，发生泄漏后全部收集在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内，工作人员可及时发现并清理，引发环境风险事故的可能性极低。</w:t>
            </w:r>
          </w:p>
          <w:p w14:paraId="2D0B3A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2）地表水环境风险分析</w:t>
            </w:r>
          </w:p>
          <w:p w14:paraId="404C6D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正常情况下，本项目井场设置泥浆不落地系统，生产废水全部妥善处置，不会外排出场地，井喷等事故情况下，喷出的泥浆废液可由井场内应急储罐收集处理，不会外排引发地表水体污染。</w:t>
            </w:r>
          </w:p>
          <w:p w14:paraId="77ADAB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3）地下水环境风险分析</w:t>
            </w:r>
          </w:p>
          <w:p w14:paraId="51927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w:t>
            </w:r>
          </w:p>
          <w:p w14:paraId="43B882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的废油泄漏，石油烃类污染物可能通过井场地面下渗至地下含水层并向下游迁移，对下游地下水环境造成风险事故，由于项目</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均已按照相关要求采取分区防渗，可有效防止污染物下渗进入地下水。</w:t>
            </w:r>
          </w:p>
          <w:p w14:paraId="08FB7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②井漏事故</w:t>
            </w:r>
          </w:p>
          <w:p w14:paraId="1C397F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井漏事故对地下水的污染是指在钻井过程中，钻井废水、泥浆漏失于地下水含水层中，造成地下含水层水质污染。就钻井漏失而言，发生在局部且持续时间较短。</w:t>
            </w:r>
          </w:p>
          <w:p w14:paraId="1FD1E1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4033FC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039909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综上，在采取一系列风险防范措施之后，项目环境风险在可控范围内，对周边环境影响较小。</w:t>
            </w:r>
          </w:p>
          <w:p w14:paraId="4AE91B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九、封井环境影响分析</w:t>
            </w:r>
          </w:p>
          <w:p w14:paraId="17F57E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本项目为天然气评价井项目，封井分为临时封井和永久封井，当评价井具有开发价值时对其进行管网建设用于生产输送，或采取临时封井等待管网建设以及开发生产。当评价井不具有开发价值时，采取永久封井。</w:t>
            </w:r>
          </w:p>
          <w:p w14:paraId="4B25D7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（1）临时封井</w:t>
            </w:r>
          </w:p>
          <w:p w14:paraId="34DCCF5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临时封井时按行业规范进行封井作业，对钻井设备、基础进行拆除、搬迁，井口安装采气设施。在井口位置设标记，注明该井的启用与封闭时间及使用单位等，在封井结束后清理井场，</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285D1F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（2）永久封井</w:t>
            </w:r>
          </w:p>
          <w:p w14:paraId="4C388C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的目的主要包括：保护淡水层免受地层流体或地表水窜入的污染；隔离开采井段与未开采利用井段；保护地表土壤和地面水不受地层流体污染；隔离开污水的层段；封井措施按照中石油企业标准《废弃井封井处置规范》（QSH0653-2015）要求执行，关键性层段之间应隔离开，主要包括以下工作：</w:t>
            </w:r>
          </w:p>
          <w:p w14:paraId="6F448D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①隔离各个</w:t>
            </w:r>
            <w:r>
              <w:rPr>
                <w:rFonts w:hint="eastAsia" w:ascii="Times New Roman" w:hAnsi="Times New Roman" w:eastAsia="宋体" w:cs="Times New Roman"/>
                <w:b w:val="0"/>
                <w:bCs w:val="0"/>
                <w:color w:val="auto"/>
                <w:sz w:val="24"/>
                <w:szCs w:val="24"/>
                <w:vertAlign w:val="baseline"/>
                <w:lang w:val="en-US" w:eastAsia="zh-CN"/>
              </w:rPr>
              <w:t>采</w:t>
            </w:r>
            <w:r>
              <w:rPr>
                <w:rFonts w:hint="default" w:ascii="Times New Roman" w:hAnsi="Times New Roman" w:eastAsia="宋体" w:cs="Times New Roman"/>
                <w:b w:val="0"/>
                <w:bCs w:val="0"/>
                <w:color w:val="auto"/>
                <w:sz w:val="24"/>
                <w:szCs w:val="24"/>
                <w:vertAlign w:val="baseline"/>
                <w:lang w:val="en-US" w:eastAsia="zh-CN"/>
              </w:rPr>
              <w:t>气层和处理废水的层段，并在最下部淡水层的底部打一个水泥塞；</w:t>
            </w:r>
          </w:p>
          <w:p w14:paraId="596AD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②打地表水泥塞，阻止地面水渗入井内，并流入淡水层，同时限制境内流体流出地表，从而保护土壤和地面水；</w:t>
            </w:r>
          </w:p>
          <w:p w14:paraId="522AB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为防止层间窜流干扰邻井开发，在废弃井井内选择水泥塞或桥塞的位置，要确保隔离开已确认有生产能力的气层或注水层，使井内所有注采井段都被隔离开，将油气及注入液限值在各自的层段内，阻止各层之间的井内窜流；</w:t>
            </w:r>
          </w:p>
          <w:p w14:paraId="7D3B3E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④恢复地貌，去掉井口装置和割掉一定深度以上的表层套管，使井与土地使用的矛盾最小化。</w:t>
            </w:r>
          </w:p>
          <w:p w14:paraId="22325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⑤封井后使用GPS重新定位，建立档案。</w:t>
            </w:r>
          </w:p>
          <w:p w14:paraId="2B22CD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（3）其他影响</w:t>
            </w:r>
          </w:p>
          <w:p w14:paraId="6BE399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封井期还需对井场的地面设施进行拆除，在拆除过程中会产生少量扬尘，扬尘受影响人群主要为拆除人员，拆除时间较短，且与当地自然条件导致的风沙相比较，清理过程中扬尘造成的环境影响可忽略不计。</w:t>
            </w:r>
          </w:p>
          <w:p w14:paraId="57D4B4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封井之后需进行场地生态恢复，并进行植树种草，播撒种植当地适宜生长的草籽，以促进当地生态环境的恢复，项目占地面积较小，故对生态环境影响较小。</w:t>
            </w:r>
          </w:p>
          <w:p w14:paraId="35B88F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综上，项目封井对周边环境影响较小。</w:t>
            </w:r>
          </w:p>
        </w:tc>
      </w:tr>
      <w:tr w14:paraId="7E36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2D8DA44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运营期生态环境影响分析</w:t>
            </w:r>
          </w:p>
        </w:tc>
        <w:tc>
          <w:tcPr>
            <w:tcW w:w="8629" w:type="dxa"/>
            <w:vAlign w:val="center"/>
          </w:tcPr>
          <w:p w14:paraId="4C1636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091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top"/>
          </w:tcPr>
          <w:p w14:paraId="6C188456">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选址选线环境合理性分析</w:t>
            </w:r>
          </w:p>
        </w:tc>
        <w:tc>
          <w:tcPr>
            <w:tcW w:w="8629" w:type="dxa"/>
            <w:vAlign w:val="top"/>
          </w:tcPr>
          <w:p w14:paraId="770E7D91">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占地合理性</w:t>
            </w:r>
          </w:p>
          <w:p w14:paraId="26B5674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highlight w:val="none"/>
              </w:rPr>
            </w:pPr>
            <w:r>
              <w:rPr>
                <w:color w:val="auto"/>
                <w:sz w:val="24"/>
                <w:highlight w:val="none"/>
              </w:rPr>
              <w:t>本项目</w:t>
            </w:r>
            <w:r>
              <w:rPr>
                <w:rFonts w:hint="eastAsia"/>
                <w:color w:val="auto"/>
                <w:sz w:val="24"/>
                <w:highlight w:val="none"/>
                <w:lang w:val="en-US" w:eastAsia="zh-CN"/>
              </w:rPr>
              <w:t>探井</w:t>
            </w:r>
            <w:r>
              <w:rPr>
                <w:color w:val="auto"/>
                <w:sz w:val="24"/>
                <w:highlight w:val="none"/>
              </w:rPr>
              <w:t>勘探</w:t>
            </w:r>
            <w:r>
              <w:rPr>
                <w:rFonts w:hint="eastAsia"/>
                <w:color w:val="auto"/>
                <w:sz w:val="24"/>
                <w:highlight w:val="none"/>
                <w:lang w:val="en-US" w:eastAsia="zh-CN"/>
              </w:rPr>
              <w:t>测试</w:t>
            </w:r>
            <w:r>
              <w:rPr>
                <w:color w:val="auto"/>
                <w:sz w:val="24"/>
                <w:highlight w:val="none"/>
              </w:rPr>
              <w:t>后如有开采价值，将依法办理国土征地手续等，无开采价值将恢复原貌</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本项目临时</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占地面积</w:t>
            </w:r>
            <w:r>
              <w:rPr>
                <w:rFonts w:hint="eastAsia" w:ascii="Times New Roman" w:hAnsi="Times New Roman" w:eastAsia="宋体" w:cs="Times New Roman"/>
                <w:color w:val="auto"/>
                <w:sz w:val="24"/>
                <w:szCs w:val="24"/>
                <w:highlight w:val="none"/>
                <w:lang w:val="en-US" w:eastAsia="zh-CN"/>
              </w:rPr>
              <w:t>14348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bCs/>
                <w:color w:val="auto"/>
                <w:sz w:val="24"/>
                <w:szCs w:val="24"/>
                <w:highlight w:val="none"/>
                <w:lang w:val="en-US" w:eastAsia="zh-CN" w:bidi="ar"/>
              </w:rPr>
              <w:t>目前正在办理临时用地手续，</w:t>
            </w:r>
            <w:r>
              <w:rPr>
                <w:rFonts w:hint="default" w:ascii="Times New Roman" w:hAnsi="Times New Roman" w:eastAsia="宋体" w:cs="Times New Roman"/>
                <w:color w:val="auto"/>
                <w:sz w:val="24"/>
                <w:szCs w:val="24"/>
                <w:highlight w:val="none"/>
                <w:lang w:val="en-US" w:eastAsia="zh-CN"/>
              </w:rPr>
              <w:t>占地类型主要为耕地、种植园用地、林地、草地</w:t>
            </w:r>
            <w:r>
              <w:rPr>
                <w:rFonts w:hint="eastAsia"/>
                <w:bCs/>
                <w:color w:val="auto"/>
                <w:sz w:val="24"/>
                <w:szCs w:val="24"/>
                <w:highlight w:val="none"/>
                <w:lang w:val="en-US" w:eastAsia="zh-CN" w:bidi="ar"/>
              </w:rPr>
              <w:t>，</w:t>
            </w:r>
            <w:r>
              <w:rPr>
                <w:rFonts w:hint="default" w:ascii="Times New Roman" w:hAnsi="Times New Roman" w:cs="Times New Roman"/>
                <w:color w:val="auto"/>
                <w:sz w:val="24"/>
                <w:highlight w:val="none"/>
                <w:lang w:eastAsia="zh-CN"/>
              </w:rPr>
              <w:t>不涉及基本农田、生态红线和禁止建设区，</w:t>
            </w:r>
            <w:r>
              <w:rPr>
                <w:rFonts w:hint="eastAsia" w:ascii="Times New Roman" w:hAnsi="Times New Roman" w:eastAsia="宋体" w:cs="Times New Roman"/>
                <w:bCs/>
                <w:snapToGrid w:val="0"/>
                <w:color w:val="auto"/>
                <w:kern w:val="0"/>
                <w:sz w:val="24"/>
                <w:highlight w:val="none"/>
              </w:rPr>
              <w:t>项目建设符合榆林市投资项目选址“一张图”控制线要求</w:t>
            </w:r>
            <w:r>
              <w:rPr>
                <w:rFonts w:hint="eastAsia" w:ascii="Times New Roman" w:hAnsi="Times New Roman" w:eastAsia="宋体" w:cs="Times New Roman"/>
                <w:bCs/>
                <w:snapToGrid w:val="0"/>
                <w:color w:val="auto"/>
                <w:kern w:val="0"/>
                <w:sz w:val="24"/>
                <w:highlight w:val="none"/>
                <w:lang w:eastAsia="zh-CN"/>
              </w:rPr>
              <w:t>，</w:t>
            </w:r>
            <w:r>
              <w:rPr>
                <w:rFonts w:hint="eastAsia" w:ascii="Times New Roman" w:hAnsi="Times New Roman" w:eastAsia="宋体" w:cs="Times New Roman"/>
                <w:bCs/>
                <w:snapToGrid w:val="0"/>
                <w:color w:val="auto"/>
                <w:kern w:val="0"/>
                <w:sz w:val="24"/>
                <w:highlight w:val="none"/>
                <w:lang w:val="en-US" w:eastAsia="zh-CN"/>
              </w:rPr>
              <w:t>故项目</w:t>
            </w:r>
            <w:r>
              <w:rPr>
                <w:rFonts w:hint="default" w:ascii="Times New Roman" w:hAnsi="Times New Roman" w:cs="Times New Roman"/>
                <w:color w:val="auto"/>
                <w:sz w:val="24"/>
                <w:highlight w:val="none"/>
              </w:rPr>
              <w:t>占地合理。</w:t>
            </w:r>
          </w:p>
          <w:p w14:paraId="0224E8A1">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highlight w:val="none"/>
              </w:rPr>
              <w:t>选址合理性</w:t>
            </w:r>
          </w:p>
          <w:p w14:paraId="7B334950">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项目位于</w:t>
            </w:r>
            <w:r>
              <w:rPr>
                <w:rFonts w:hint="eastAsia" w:ascii="Times New Roman" w:hAnsi="Times New Roman" w:eastAsia="宋体" w:cs="Times New Roman"/>
                <w:color w:val="auto"/>
                <w:sz w:val="24"/>
                <w:szCs w:val="24"/>
                <w:highlight w:val="none"/>
                <w:lang w:val="en-US" w:eastAsia="zh-CN"/>
              </w:rPr>
              <w:t>榆林市佳县王家砭镇</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临时</w:t>
            </w:r>
            <w:r>
              <w:rPr>
                <w:rFonts w:hint="default" w:ascii="Times New Roman" w:hAnsi="Times New Roman" w:eastAsia="宋体" w:cs="Times New Roman"/>
                <w:color w:val="auto"/>
                <w:sz w:val="24"/>
                <w:szCs w:val="24"/>
                <w:highlight w:val="none"/>
                <w:lang w:val="en-US" w:eastAsia="zh-CN"/>
              </w:rPr>
              <w:t>占地类型主要为耕地、种植园用地、林地、草地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不</w:t>
            </w:r>
            <w:r>
              <w:rPr>
                <w:rFonts w:hint="default" w:ascii="Times New Roman" w:hAnsi="Times New Roman" w:cs="Times New Roman"/>
                <w:color w:val="auto"/>
                <w:sz w:val="24"/>
                <w:szCs w:val="24"/>
                <w:highlight w:val="none"/>
                <w:lang w:eastAsia="zh-CN"/>
              </w:rPr>
              <w:t>占用</w:t>
            </w:r>
            <w:r>
              <w:rPr>
                <w:rFonts w:hint="default" w:ascii="Times New Roman" w:hAnsi="Times New Roman" w:cs="Times New Roman"/>
                <w:color w:val="auto"/>
                <w:sz w:val="24"/>
                <w:szCs w:val="24"/>
                <w:highlight w:val="none"/>
              </w:rPr>
              <w:t>基本农田</w:t>
            </w:r>
            <w:r>
              <w:rPr>
                <w:rFonts w:hint="default" w:ascii="Times New Roman" w:hAnsi="Times New Roman" w:cs="Times New Roman"/>
                <w:color w:val="auto"/>
                <w:sz w:val="24"/>
                <w:szCs w:val="24"/>
                <w:highlight w:val="none"/>
                <w:lang w:eastAsia="zh-CN"/>
              </w:rPr>
              <w:t>和生态红线</w:t>
            </w:r>
            <w:r>
              <w:rPr>
                <w:rFonts w:hint="default" w:ascii="Times New Roman" w:hAnsi="Times New Roman" w:cs="Times New Roman"/>
                <w:color w:val="auto"/>
                <w:sz w:val="24"/>
                <w:szCs w:val="24"/>
                <w:highlight w:val="none"/>
              </w:rPr>
              <w:t>。根据《建设项目环境影响评价分类管理名录（2021年版）》中关于环境敏感因素的界定原则，本项目影响区不涉及饮用水水源保护区、自然保护区、风景名胜区等环境敏感区域。</w:t>
            </w:r>
          </w:p>
          <w:p w14:paraId="6C4530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项目探井建设</w:t>
            </w:r>
            <w:r>
              <w:rPr>
                <w:rFonts w:hint="default" w:ascii="Times New Roman" w:hAnsi="Times New Roman" w:eastAsia="宋体" w:cs="Times New Roman"/>
                <w:color w:val="auto"/>
                <w:sz w:val="24"/>
                <w:szCs w:val="24"/>
                <w:highlight w:val="none"/>
                <w:lang w:val="en-US" w:eastAsia="zh-CN"/>
              </w:rPr>
              <w:t>临时用地较小，工程仅涉及施工期，施工期采取各类措施后污染物可实现达标排放或不外排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施工结束后，对不具有利用价值的勘探井进行永久封井，</w:t>
            </w:r>
            <w:r>
              <w:rPr>
                <w:rFonts w:hint="eastAsia" w:ascii="Times New Roman" w:hAnsi="Times New Roman" w:eastAsia="宋体" w:cs="Times New Roman"/>
                <w:color w:val="auto"/>
                <w:sz w:val="24"/>
                <w:szCs w:val="24"/>
                <w:highlight w:val="none"/>
                <w:lang w:val="en-US" w:eastAsia="zh-CN"/>
              </w:rPr>
              <w:t>现有井场内占地恢复原状，临时占地</w:t>
            </w:r>
            <w:r>
              <w:rPr>
                <w:rFonts w:hint="default" w:ascii="Times New Roman" w:hAnsi="Times New Roman" w:eastAsia="宋体" w:cs="Times New Roman"/>
                <w:color w:val="auto"/>
                <w:sz w:val="24"/>
                <w:szCs w:val="24"/>
                <w:highlight w:val="none"/>
              </w:rPr>
              <w:t>恢复原土地类型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若测试具有工业产能，</w:t>
            </w:r>
            <w:r>
              <w:rPr>
                <w:rFonts w:hint="eastAsia" w:ascii="Times New Roman" w:hAnsi="Times New Roman" w:eastAsia="宋体" w:cs="Times New Roman"/>
                <w:color w:val="auto"/>
                <w:sz w:val="24"/>
                <w:szCs w:val="24"/>
                <w:highlight w:val="none"/>
                <w:lang w:val="en-US" w:eastAsia="zh-CN"/>
              </w:rPr>
              <w:t>交由</w:t>
            </w:r>
            <w:r>
              <w:rPr>
                <w:rFonts w:hint="default" w:ascii="Times New Roman" w:hAnsi="Times New Roman" w:cs="Times New Roman"/>
                <w:color w:val="auto"/>
                <w:sz w:val="24"/>
                <w:szCs w:val="24"/>
                <w:highlight w:val="none"/>
                <w:lang w:val="en-US" w:eastAsia="zh-CN"/>
              </w:rPr>
              <w:t>长庆油田分公司第二采气厂</w:t>
            </w:r>
            <w:r>
              <w:rPr>
                <w:rFonts w:hint="eastAsia" w:ascii="Times New Roman" w:hAnsi="Times New Roman" w:eastAsia="宋体" w:cs="Times New Roman"/>
                <w:color w:val="auto"/>
                <w:sz w:val="24"/>
                <w:szCs w:val="24"/>
                <w:highlight w:val="none"/>
                <w:lang w:val="en-US" w:eastAsia="zh-CN"/>
              </w:rPr>
              <w:t>按标准化建设进行建设，临时占地不恢复。经分析，项目建设</w:t>
            </w:r>
            <w:r>
              <w:rPr>
                <w:rFonts w:hint="default" w:ascii="Times New Roman" w:hAnsi="Times New Roman" w:eastAsia="宋体" w:cs="Times New Roman"/>
                <w:color w:val="auto"/>
                <w:sz w:val="24"/>
                <w:szCs w:val="24"/>
                <w:highlight w:val="none"/>
                <w:lang w:val="en-US" w:eastAsia="zh-CN"/>
              </w:rPr>
              <w:t>符合榆林市</w:t>
            </w:r>
            <w:r>
              <w:rPr>
                <w:rFonts w:hint="default" w:ascii="Times New Roman" w:hAnsi="Times New Roman" w:eastAsia="宋体" w:cs="Times New Roman"/>
                <w:color w:val="auto"/>
                <w:sz w:val="24"/>
                <w:szCs w:val="24"/>
                <w:highlight w:val="none"/>
              </w:rPr>
              <w:t>生态环境分区管控</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lang w:val="en-US" w:eastAsia="zh-CN"/>
              </w:rPr>
              <w:t>管控单元要求。</w:t>
            </w:r>
          </w:p>
          <w:p w14:paraId="39C6E80F">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highlight w:val="none"/>
                <w:lang w:val="en-US" w:eastAsia="zh-CN"/>
              </w:rPr>
              <w:t>本次新建1口气勘探层位与探井周边已有气井层位不同，属于新气层层位勘探</w:t>
            </w:r>
            <w:r>
              <w:rPr>
                <w:rFonts w:hint="eastAsia" w:ascii="Times New Roman" w:hAnsi="Times New Roman" w:eastAsia="宋体" w:cs="Times New Roman"/>
                <w:b w:val="0"/>
                <w:color w:val="auto"/>
                <w:sz w:val="24"/>
                <w:szCs w:val="24"/>
                <w:highlight w:val="none"/>
                <w:lang w:val="en-US" w:eastAsia="zh-CN"/>
              </w:rPr>
              <w:t>，符合天然气探井勘探布局要求，旨在现有气田区域内</w:t>
            </w:r>
            <w:r>
              <w:rPr>
                <w:rFonts w:hint="default" w:ascii="Times New Roman" w:hAnsi="Times New Roman" w:eastAsia="宋体" w:cs="Times New Roman"/>
                <w:color w:val="auto"/>
                <w:sz w:val="24"/>
                <w:highlight w:val="none"/>
              </w:rPr>
              <w:t>寻找新的适合开发的</w:t>
            </w:r>
            <w:r>
              <w:rPr>
                <w:rFonts w:hint="eastAsia"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为气田后续产能建设提供决策依据</w:t>
            </w:r>
            <w:r>
              <w:rPr>
                <w:rFonts w:hint="default" w:ascii="Times New Roman" w:hAnsi="Times New Roman" w:eastAsia="宋体" w:cs="Times New Roman"/>
                <w:b w:val="0"/>
                <w:color w:val="auto"/>
                <w:kern w:val="2"/>
                <w:sz w:val="24"/>
                <w:szCs w:val="24"/>
                <w:highlight w:val="none"/>
                <w:lang w:val="en-US" w:eastAsia="zh-CN" w:bidi="ar-SA"/>
              </w:rPr>
              <w:t>。</w:t>
            </w:r>
          </w:p>
          <w:p w14:paraId="11FBF6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color w:val="auto"/>
                <w:kern w:val="2"/>
                <w:sz w:val="24"/>
                <w:szCs w:val="24"/>
                <w:highlight w:val="none"/>
                <w:lang w:val="en-US" w:eastAsia="zh-CN" w:bidi="ar-SA"/>
              </w:rPr>
              <w:t>据现场调查，本项目探井</w:t>
            </w:r>
            <w:r>
              <w:rPr>
                <w:rFonts w:hint="eastAsia" w:ascii="Times New Roman" w:hAns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00m范围内无学校、医院和大型油库等密集型、高危性场所，</w:t>
            </w:r>
            <w:r>
              <w:rPr>
                <w:rFonts w:hint="eastAsia" w:ascii="Times New Roman" w:hAnsi="Times New Roman" w:eastAsia="宋体" w:cs="Times New Roman"/>
                <w:b w:val="0"/>
                <w:color w:val="auto"/>
                <w:kern w:val="2"/>
                <w:sz w:val="24"/>
                <w:szCs w:val="24"/>
                <w:highlight w:val="none"/>
                <w:lang w:val="en-US" w:eastAsia="zh-CN" w:bidi="ar-SA"/>
              </w:rPr>
              <w:t>100</w:t>
            </w:r>
            <w:r>
              <w:rPr>
                <w:rFonts w:hint="default" w:ascii="Times New Roman" w:hAnsi="Times New Roman" w:eastAsia="宋体" w:cs="Times New Roman"/>
                <w:b w:val="0"/>
                <w:color w:val="auto"/>
                <w:kern w:val="2"/>
                <w:sz w:val="24"/>
                <w:szCs w:val="24"/>
                <w:highlight w:val="none"/>
                <w:lang w:val="en-US" w:eastAsia="zh-CN" w:bidi="ar-SA"/>
              </w:rPr>
              <w:t>m范围内无高压线及其它永久性设施，</w:t>
            </w:r>
            <w:r>
              <w:rPr>
                <w:rFonts w:hint="eastAsia" w:ascii="Times New Roman" w:hAnsi="Times New Roman" w:eastAsia="宋体"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00m范围内无铁路、高速公路等，</w:t>
            </w:r>
            <w:r>
              <w:rPr>
                <w:rFonts w:hint="eastAsia" w:ascii="Times New Roman" w:hAnsi="Times New Roman" w:eastAsia="宋体" w:cs="Times New Roman"/>
                <w:b w:val="0"/>
                <w:color w:val="auto"/>
                <w:kern w:val="2"/>
                <w:sz w:val="24"/>
                <w:szCs w:val="24"/>
                <w:highlight w:val="none"/>
                <w:lang w:val="en-US" w:eastAsia="zh-CN" w:bidi="ar-SA"/>
              </w:rPr>
              <w:t>100m范围内无居民点，探井选址</w:t>
            </w:r>
            <w:r>
              <w:rPr>
                <w:rFonts w:hint="default" w:ascii="Times New Roman" w:hAnsi="Times New Roman" w:cs="Times New Roman"/>
                <w:color w:val="auto"/>
                <w:sz w:val="24"/>
                <w:highlight w:val="none"/>
              </w:rPr>
              <w:t>符合《钻前工程及井场布置技术要求》（SY/T5466-2013）中3.2.2节规定。</w:t>
            </w:r>
            <w:r>
              <w:rPr>
                <w:rFonts w:hint="eastAsia" w:ascii="Times New Roman" w:hAnsi="Times New Roman" w:cs="Times New Roman"/>
                <w:color w:val="auto"/>
                <w:sz w:val="24"/>
                <w:highlight w:val="none"/>
                <w:lang w:val="en-US" w:eastAsia="zh-CN"/>
              </w:rPr>
              <w:t>根据项目施工期平面布置图，放喷池位于井场歪，与井口距离大于30m，放散管位于井场外下风向，与井口距离大于50m，</w:t>
            </w:r>
            <w:r>
              <w:rPr>
                <w:rFonts w:hint="default" w:ascii="Times New Roman" w:hAnsi="Times New Roman" w:cs="Times New Roman"/>
                <w:color w:val="auto"/>
                <w:sz w:val="24"/>
                <w:highlight w:val="none"/>
              </w:rPr>
              <w:t>符合《钻前工程及井场布置技术要求》（SY/T5466-2013）</w:t>
            </w:r>
            <w:r>
              <w:rPr>
                <w:rFonts w:hint="eastAsia" w:ascii="Times New Roman" w:hAnsi="Times New Roman" w:cs="Times New Roman"/>
                <w:color w:val="auto"/>
                <w:sz w:val="24"/>
                <w:highlight w:val="none"/>
                <w:lang w:val="en-US" w:eastAsia="zh-CN"/>
              </w:rPr>
              <w:t>相关</w:t>
            </w:r>
            <w:r>
              <w:rPr>
                <w:rFonts w:hint="default" w:ascii="Times New Roman" w:hAnsi="Times New Roman" w:cs="Times New Roman"/>
                <w:color w:val="auto"/>
                <w:sz w:val="24"/>
                <w:highlight w:val="none"/>
              </w:rPr>
              <w:t>规定</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放喷池和放散管选址合理</w:t>
            </w:r>
            <w:r>
              <w:rPr>
                <w:rFonts w:hint="eastAsia" w:ascii="Times New Roman" w:hAnsi="Times New Roman" w:cs="Times New Roman"/>
                <w:color w:val="auto"/>
                <w:sz w:val="24"/>
                <w:highlight w:val="none"/>
                <w:lang w:eastAsia="zh-CN"/>
              </w:rPr>
              <w:t>。</w:t>
            </w:r>
          </w:p>
          <w:p w14:paraId="244053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4"/>
                <w:szCs w:val="24"/>
                <w:highlight w:val="none"/>
                <w:lang w:val="en-US" w:eastAsia="zh-CN" w:bidi="ar-SA"/>
              </w:rPr>
              <w:t>项目选址与重要设施或民宅的距离下表4-</w:t>
            </w:r>
            <w:r>
              <w:rPr>
                <w:rFonts w:hint="eastAsia" w:ascii="Times New Roman" w:hAnsi="Times New Roman" w:eastAsia="宋体" w:cs="Times New Roman"/>
                <w:b w:val="0"/>
                <w:color w:val="auto"/>
                <w:kern w:val="2"/>
                <w:sz w:val="24"/>
                <w:szCs w:val="24"/>
                <w:highlight w:val="none"/>
                <w:lang w:val="en-US" w:eastAsia="zh-CN" w:bidi="ar-SA"/>
              </w:rPr>
              <w:t>14</w:t>
            </w:r>
            <w:r>
              <w:rPr>
                <w:rFonts w:hint="default" w:ascii="Times New Roman" w:hAnsi="Times New Roman" w:eastAsia="宋体" w:cs="Times New Roman"/>
                <w:b w:val="0"/>
                <w:color w:val="auto"/>
                <w:kern w:val="2"/>
                <w:sz w:val="24"/>
                <w:szCs w:val="24"/>
                <w:highlight w:val="none"/>
                <w:lang w:val="en-US" w:eastAsia="zh-CN" w:bidi="ar-SA"/>
              </w:rPr>
              <w:t>和附图。</w:t>
            </w:r>
          </w:p>
          <w:p w14:paraId="116FC231">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outlineLvl w:val="9"/>
              <w:rPr>
                <w:rFonts w:hint="default" w:ascii="Times New Roman" w:hAnsi="Times New Roman" w:eastAsia="等线"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cs="Times New Roman"/>
                <w:color w:val="auto"/>
                <w:sz w:val="21"/>
                <w:szCs w:val="21"/>
              </w:rPr>
              <w:t>4-</w:t>
            </w:r>
            <w:r>
              <w:rPr>
                <w:rFonts w:hint="eastAsia" w:cs="Times New Roman"/>
                <w:color w:val="auto"/>
                <w:sz w:val="21"/>
                <w:szCs w:val="21"/>
                <w:lang w:val="en-US" w:eastAsia="zh-CN"/>
              </w:rPr>
              <w:t>14</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钻井井口周边</w:t>
            </w:r>
            <w:r>
              <w:rPr>
                <w:rFonts w:hint="default" w:ascii="Times New Roman" w:hAnsi="Times New Roman" w:eastAsia="宋体" w:cs="Times New Roman"/>
                <w:color w:val="auto"/>
                <w:sz w:val="21"/>
                <w:szCs w:val="21"/>
              </w:rPr>
              <w:t>敏感目标调查表</w:t>
            </w:r>
          </w:p>
          <w:tbl>
            <w:tblPr>
              <w:tblStyle w:val="19"/>
              <w:tblW w:w="5000" w:type="pct"/>
              <w:jc w:val="center"/>
              <w:tblLayout w:type="autofit"/>
              <w:tblCellMar>
                <w:top w:w="0" w:type="dxa"/>
                <w:left w:w="108" w:type="dxa"/>
                <w:bottom w:w="0" w:type="dxa"/>
                <w:right w:w="108" w:type="dxa"/>
              </w:tblCellMar>
            </w:tblPr>
            <w:tblGrid>
              <w:gridCol w:w="825"/>
              <w:gridCol w:w="1450"/>
              <w:gridCol w:w="1438"/>
              <w:gridCol w:w="770"/>
              <w:gridCol w:w="678"/>
              <w:gridCol w:w="523"/>
              <w:gridCol w:w="448"/>
              <w:gridCol w:w="530"/>
              <w:gridCol w:w="510"/>
              <w:gridCol w:w="631"/>
              <w:gridCol w:w="681"/>
              <w:gridCol w:w="220"/>
            </w:tblGrid>
            <w:tr w14:paraId="6AD441E2">
              <w:tblPrEx>
                <w:tblCellMar>
                  <w:top w:w="0" w:type="dxa"/>
                  <w:left w:w="108" w:type="dxa"/>
                  <w:bottom w:w="0" w:type="dxa"/>
                  <w:right w:w="108" w:type="dxa"/>
                </w:tblCellMar>
              </w:tblPrEx>
              <w:trPr>
                <w:trHeight w:val="283" w:hRule="atLeast"/>
                <w:jc w:val="center"/>
              </w:trPr>
              <w:tc>
                <w:tcPr>
                  <w:tcW w:w="464" w:type="pct"/>
                  <w:vMerge w:val="restart"/>
                  <w:tcBorders>
                    <w:top w:val="single" w:color="auto" w:sz="4" w:space="0"/>
                    <w:left w:val="single" w:color="auto" w:sz="4" w:space="0"/>
                    <w:bottom w:val="single" w:color="auto" w:sz="4" w:space="0"/>
                    <w:right w:val="single" w:color="auto" w:sz="4" w:space="0"/>
                  </w:tcBorders>
                  <w:noWrap/>
                  <w:vAlign w:val="center"/>
                </w:tcPr>
                <w:p w14:paraId="024C7746">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lang w:val="en-US" w:eastAsia="zh-CN"/>
                    </w:rPr>
                    <w:t>实施</w:t>
                  </w:r>
                  <w:r>
                    <w:rPr>
                      <w:rFonts w:hint="default" w:ascii="Times New Roman" w:hAnsi="Times New Roman" w:cs="Times New Roman"/>
                      <w:b/>
                      <w:bCs/>
                      <w:color w:val="auto"/>
                      <w:kern w:val="0"/>
                      <w:sz w:val="21"/>
                      <w:szCs w:val="21"/>
                    </w:rPr>
                    <w:t>井号</w:t>
                  </w:r>
                </w:p>
              </w:tc>
              <w:tc>
                <w:tcPr>
                  <w:tcW w:w="1627" w:type="pct"/>
                  <w:gridSpan w:val="2"/>
                  <w:tcBorders>
                    <w:top w:val="single" w:color="auto" w:sz="4" w:space="0"/>
                    <w:left w:val="nil"/>
                    <w:bottom w:val="single" w:color="auto" w:sz="4" w:space="0"/>
                    <w:right w:val="single" w:color="auto" w:sz="4" w:space="0"/>
                  </w:tcBorders>
                  <w:noWrap/>
                  <w:vAlign w:val="center"/>
                </w:tcPr>
                <w:p w14:paraId="1B39B4D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2"/>
                      <w:sz w:val="21"/>
                      <w:szCs w:val="21"/>
                      <w:highlight w:val="none"/>
                      <w:lang w:val="en-US" w:eastAsia="zh-CN" w:bidi="ar-SA"/>
                    </w:rPr>
                    <w:t>学校、医院和大型油库等密集型、高危性场所</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9343FE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民宅</w:t>
                  </w:r>
                </w:p>
              </w:tc>
              <w:tc>
                <w:tcPr>
                  <w:tcW w:w="550" w:type="pct"/>
                  <w:gridSpan w:val="2"/>
                  <w:tcBorders>
                    <w:top w:val="single" w:color="auto" w:sz="4" w:space="0"/>
                    <w:left w:val="single" w:color="auto" w:sz="4" w:space="0"/>
                    <w:bottom w:val="single" w:color="auto" w:sz="4" w:space="0"/>
                    <w:right w:val="single" w:color="auto" w:sz="4" w:space="0"/>
                  </w:tcBorders>
                  <w:noWrap/>
                  <w:vAlign w:val="center"/>
                </w:tcPr>
                <w:p w14:paraId="04F0DB2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高压线及其它</w:t>
                  </w:r>
                </w:p>
                <w:p w14:paraId="6C4E112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永久性设施</w:t>
                  </w:r>
                </w:p>
              </w:tc>
              <w:tc>
                <w:tcPr>
                  <w:tcW w:w="669" w:type="pct"/>
                  <w:gridSpan w:val="2"/>
                  <w:tcBorders>
                    <w:top w:val="single" w:color="auto" w:sz="4" w:space="0"/>
                    <w:left w:val="nil"/>
                    <w:bottom w:val="single" w:color="auto" w:sz="4" w:space="0"/>
                    <w:right w:val="single" w:color="auto" w:sz="4" w:space="0"/>
                  </w:tcBorders>
                  <w:noWrap/>
                  <w:vAlign w:val="center"/>
                </w:tcPr>
                <w:p w14:paraId="2E60D636">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铁路</w:t>
                  </w:r>
                </w:p>
              </w:tc>
              <w:tc>
                <w:tcPr>
                  <w:tcW w:w="742" w:type="pct"/>
                  <w:gridSpan w:val="2"/>
                  <w:tcBorders>
                    <w:top w:val="single" w:color="auto" w:sz="4" w:space="0"/>
                    <w:left w:val="nil"/>
                    <w:bottom w:val="single" w:color="auto" w:sz="4" w:space="0"/>
                    <w:right w:val="single" w:color="auto" w:sz="4" w:space="0"/>
                  </w:tcBorders>
                  <w:noWrap/>
                  <w:vAlign w:val="center"/>
                </w:tcPr>
                <w:p w14:paraId="63853C6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高速公路</w:t>
                  </w:r>
                </w:p>
              </w:tc>
              <w:tc>
                <w:tcPr>
                  <w:tcW w:w="126" w:type="pct"/>
                  <w:vMerge w:val="restart"/>
                  <w:tcBorders>
                    <w:top w:val="single" w:color="auto" w:sz="4" w:space="0"/>
                    <w:left w:val="single" w:color="auto" w:sz="4" w:space="0"/>
                    <w:bottom w:val="single" w:color="auto" w:sz="4" w:space="0"/>
                    <w:right w:val="single" w:color="auto" w:sz="4" w:space="0"/>
                  </w:tcBorders>
                  <w:noWrap w:val="0"/>
                  <w:vAlign w:val="center"/>
                </w:tcPr>
                <w:p w14:paraId="3D0ECDE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是否符合要求</w:t>
                  </w:r>
                </w:p>
              </w:tc>
            </w:tr>
            <w:tr w14:paraId="2A568C7C">
              <w:tblPrEx>
                <w:tblCellMar>
                  <w:top w:w="0" w:type="dxa"/>
                  <w:left w:w="108" w:type="dxa"/>
                  <w:bottom w:w="0" w:type="dxa"/>
                  <w:right w:w="108" w:type="dxa"/>
                </w:tblCellMar>
              </w:tblPrEx>
              <w:trPr>
                <w:trHeight w:val="283" w:hRule="atLeast"/>
                <w:jc w:val="center"/>
              </w:trPr>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14:paraId="1C5CA55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c>
                <w:tcPr>
                  <w:tcW w:w="817" w:type="pct"/>
                  <w:tcBorders>
                    <w:top w:val="nil"/>
                    <w:left w:val="nil"/>
                    <w:bottom w:val="single" w:color="auto" w:sz="4" w:space="0"/>
                    <w:right w:val="single" w:color="auto" w:sz="4" w:space="0"/>
                  </w:tcBorders>
                  <w:noWrap/>
                  <w:vAlign w:val="center"/>
                </w:tcPr>
                <w:p w14:paraId="44460E9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809" w:type="pct"/>
                  <w:tcBorders>
                    <w:top w:val="nil"/>
                    <w:left w:val="single" w:color="auto" w:sz="4" w:space="0"/>
                    <w:bottom w:val="single" w:color="auto" w:sz="4" w:space="0"/>
                    <w:right w:val="single" w:color="auto" w:sz="4" w:space="0"/>
                  </w:tcBorders>
                  <w:noWrap/>
                  <w:vAlign w:val="center"/>
                </w:tcPr>
                <w:p w14:paraId="5F02353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438" w:type="pct"/>
                  <w:tcBorders>
                    <w:top w:val="nil"/>
                    <w:left w:val="single" w:color="auto" w:sz="4" w:space="0"/>
                    <w:bottom w:val="single" w:color="auto" w:sz="4" w:space="0"/>
                    <w:right w:val="single" w:color="auto" w:sz="4" w:space="0"/>
                  </w:tcBorders>
                  <w:noWrap/>
                  <w:vAlign w:val="center"/>
                </w:tcPr>
                <w:p w14:paraId="4EB7461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80" w:type="pct"/>
                  <w:tcBorders>
                    <w:top w:val="nil"/>
                    <w:left w:val="single" w:color="auto" w:sz="4" w:space="0"/>
                    <w:bottom w:val="single" w:color="auto" w:sz="4" w:space="0"/>
                    <w:right w:val="single" w:color="auto" w:sz="4" w:space="0"/>
                  </w:tcBorders>
                  <w:noWrap/>
                  <w:vAlign w:val="center"/>
                </w:tcPr>
                <w:p w14:paraId="06FB744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00" w:type="pct"/>
                  <w:tcBorders>
                    <w:top w:val="nil"/>
                    <w:left w:val="single" w:color="auto" w:sz="4" w:space="0"/>
                    <w:bottom w:val="single" w:color="auto" w:sz="4" w:space="0"/>
                    <w:right w:val="single" w:color="auto" w:sz="4" w:space="0"/>
                  </w:tcBorders>
                  <w:noWrap/>
                  <w:vAlign w:val="center"/>
                </w:tcPr>
                <w:p w14:paraId="5A51694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249" w:type="pct"/>
                  <w:tcBorders>
                    <w:top w:val="nil"/>
                    <w:left w:val="single" w:color="auto" w:sz="4" w:space="0"/>
                    <w:bottom w:val="single" w:color="auto" w:sz="4" w:space="0"/>
                    <w:right w:val="single" w:color="auto" w:sz="4" w:space="0"/>
                  </w:tcBorders>
                  <w:noWrap/>
                  <w:vAlign w:val="center"/>
                </w:tcPr>
                <w:p w14:paraId="171E984C">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42" w:type="pct"/>
                  <w:tcBorders>
                    <w:top w:val="nil"/>
                    <w:left w:val="nil"/>
                    <w:bottom w:val="single" w:color="auto" w:sz="4" w:space="0"/>
                    <w:right w:val="single" w:color="auto" w:sz="4" w:space="0"/>
                  </w:tcBorders>
                  <w:noWrap/>
                  <w:vAlign w:val="center"/>
                </w:tcPr>
                <w:p w14:paraId="72FEEA1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26" w:type="pct"/>
                  <w:tcBorders>
                    <w:top w:val="nil"/>
                    <w:left w:val="single" w:color="auto" w:sz="4" w:space="0"/>
                    <w:bottom w:val="single" w:color="auto" w:sz="4" w:space="0"/>
                    <w:right w:val="single" w:color="auto" w:sz="4" w:space="0"/>
                  </w:tcBorders>
                  <w:noWrap/>
                  <w:vAlign w:val="center"/>
                </w:tcPr>
                <w:p w14:paraId="5DCA42E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55" w:type="pct"/>
                  <w:tcBorders>
                    <w:top w:val="nil"/>
                    <w:left w:val="nil"/>
                    <w:bottom w:val="single" w:color="auto" w:sz="4" w:space="0"/>
                    <w:right w:val="single" w:color="auto" w:sz="4" w:space="0"/>
                  </w:tcBorders>
                  <w:noWrap/>
                  <w:vAlign w:val="center"/>
                </w:tcPr>
                <w:p w14:paraId="01F7A8DC">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87" w:type="pct"/>
                  <w:tcBorders>
                    <w:top w:val="nil"/>
                    <w:left w:val="single" w:color="auto" w:sz="4" w:space="0"/>
                    <w:bottom w:val="single" w:color="auto" w:sz="4" w:space="0"/>
                    <w:right w:val="single" w:color="auto" w:sz="4" w:space="0"/>
                  </w:tcBorders>
                  <w:noWrap/>
                  <w:vAlign w:val="center"/>
                </w:tcPr>
                <w:p w14:paraId="5A5A7A1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126" w:type="pct"/>
                  <w:vMerge w:val="continue"/>
                  <w:tcBorders>
                    <w:top w:val="single" w:color="auto" w:sz="4" w:space="0"/>
                    <w:left w:val="single" w:color="auto" w:sz="4" w:space="0"/>
                    <w:bottom w:val="single" w:color="auto" w:sz="4" w:space="0"/>
                    <w:right w:val="single" w:color="auto" w:sz="4" w:space="0"/>
                  </w:tcBorders>
                  <w:noWrap w:val="0"/>
                  <w:vAlign w:val="center"/>
                </w:tcPr>
                <w:p w14:paraId="250DCEE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r>
            <w:tr w14:paraId="5A4B64CF">
              <w:tblPrEx>
                <w:tblCellMar>
                  <w:top w:w="0" w:type="dxa"/>
                  <w:left w:w="108" w:type="dxa"/>
                  <w:bottom w:w="0" w:type="dxa"/>
                  <w:right w:w="108" w:type="dxa"/>
                </w:tblCellMar>
              </w:tblPrEx>
              <w:trPr>
                <w:trHeight w:val="283" w:hRule="atLeast"/>
                <w:jc w:val="center"/>
              </w:trPr>
              <w:tc>
                <w:tcPr>
                  <w:tcW w:w="464" w:type="pct"/>
                  <w:tcBorders>
                    <w:top w:val="nil"/>
                    <w:left w:val="single" w:color="auto" w:sz="4" w:space="0"/>
                    <w:bottom w:val="single" w:color="auto" w:sz="4" w:space="0"/>
                    <w:right w:val="single" w:color="auto" w:sz="4" w:space="0"/>
                  </w:tcBorders>
                  <w:shd w:val="clear" w:color="auto" w:fill="auto"/>
                  <w:noWrap/>
                  <w:vAlign w:val="center"/>
                </w:tcPr>
                <w:p w14:paraId="1B799C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u w:val="none"/>
                      <w:vertAlign w:val="baseline"/>
                      <w:lang w:val="en-US" w:eastAsia="zh-CN"/>
                    </w:rPr>
                    <w:t>米107-2M</w:t>
                  </w:r>
                </w:p>
              </w:tc>
              <w:tc>
                <w:tcPr>
                  <w:tcW w:w="1627" w:type="pct"/>
                  <w:gridSpan w:val="2"/>
                  <w:tcBorders>
                    <w:top w:val="single" w:color="auto" w:sz="4" w:space="0"/>
                    <w:left w:val="nil"/>
                    <w:bottom w:val="single" w:color="auto" w:sz="4" w:space="0"/>
                    <w:right w:val="single" w:color="auto" w:sz="4" w:space="0"/>
                  </w:tcBorders>
                  <w:noWrap/>
                  <w:vAlign w:val="center"/>
                </w:tcPr>
                <w:p w14:paraId="54CBC46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EBFA84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w:t>
                  </w:r>
                </w:p>
              </w:tc>
              <w:tc>
                <w:tcPr>
                  <w:tcW w:w="550" w:type="pct"/>
                  <w:gridSpan w:val="2"/>
                  <w:tcBorders>
                    <w:top w:val="single" w:color="auto" w:sz="4" w:space="0"/>
                    <w:left w:val="single" w:color="auto" w:sz="4" w:space="0"/>
                    <w:bottom w:val="single" w:color="auto" w:sz="4" w:space="0"/>
                    <w:right w:val="single" w:color="000000" w:sz="4" w:space="0"/>
                  </w:tcBorders>
                  <w:noWrap/>
                  <w:vAlign w:val="center"/>
                </w:tcPr>
                <w:p w14:paraId="47757A6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51A2CCFC">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2814D88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669" w:type="pct"/>
                  <w:gridSpan w:val="2"/>
                  <w:tcBorders>
                    <w:top w:val="nil"/>
                    <w:left w:val="nil"/>
                    <w:bottom w:val="single" w:color="auto" w:sz="4" w:space="0"/>
                    <w:right w:val="single" w:color="auto" w:sz="4" w:space="0"/>
                  </w:tcBorders>
                  <w:noWrap/>
                  <w:vAlign w:val="center"/>
                </w:tcPr>
                <w:p w14:paraId="664B7EA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742" w:type="pct"/>
                  <w:gridSpan w:val="2"/>
                  <w:tcBorders>
                    <w:top w:val="single" w:color="auto" w:sz="4" w:space="0"/>
                    <w:left w:val="nil"/>
                    <w:bottom w:val="single" w:color="auto" w:sz="4" w:space="0"/>
                    <w:right w:val="single" w:color="000000" w:sz="4" w:space="0"/>
                  </w:tcBorders>
                  <w:noWrap/>
                  <w:vAlign w:val="center"/>
                </w:tcPr>
                <w:p w14:paraId="56FFFA6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126" w:type="pct"/>
                  <w:tcBorders>
                    <w:top w:val="nil"/>
                    <w:left w:val="nil"/>
                    <w:bottom w:val="single" w:color="auto" w:sz="4" w:space="0"/>
                    <w:right w:val="single" w:color="auto" w:sz="4" w:space="0"/>
                  </w:tcBorders>
                  <w:noWrap/>
                  <w:vAlign w:val="center"/>
                </w:tcPr>
                <w:p w14:paraId="25E2BE9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14:paraId="0C0DF4C2">
              <w:tblPrEx>
                <w:tblCellMar>
                  <w:top w:w="0" w:type="dxa"/>
                  <w:left w:w="108" w:type="dxa"/>
                  <w:bottom w:w="0" w:type="dxa"/>
                  <w:right w:w="108" w:type="dxa"/>
                </w:tblCellMar>
              </w:tblPrEx>
              <w:trPr>
                <w:trHeight w:val="283" w:hRule="atLeast"/>
                <w:jc w:val="center"/>
              </w:trPr>
              <w:tc>
                <w:tcPr>
                  <w:tcW w:w="464" w:type="pct"/>
                  <w:tcBorders>
                    <w:top w:val="single" w:color="auto" w:sz="4" w:space="0"/>
                    <w:left w:val="single" w:color="auto" w:sz="4" w:space="0"/>
                    <w:bottom w:val="single" w:color="auto" w:sz="4" w:space="0"/>
                    <w:right w:val="single" w:color="auto" w:sz="4" w:space="0"/>
                  </w:tcBorders>
                  <w:noWrap/>
                  <w:vAlign w:val="center"/>
                </w:tcPr>
                <w:p w14:paraId="4A5B26D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规范要求</w:t>
                  </w:r>
                </w:p>
              </w:tc>
              <w:tc>
                <w:tcPr>
                  <w:tcW w:w="1627" w:type="pct"/>
                  <w:gridSpan w:val="2"/>
                  <w:tcBorders>
                    <w:top w:val="single" w:color="auto" w:sz="4" w:space="0"/>
                    <w:left w:val="nil"/>
                    <w:bottom w:val="single" w:color="auto" w:sz="4" w:space="0"/>
                    <w:right w:val="single" w:color="auto" w:sz="4" w:space="0"/>
                  </w:tcBorders>
                  <w:noWrap/>
                  <w:vAlign w:val="center"/>
                </w:tcPr>
                <w:p w14:paraId="18EF862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3E14828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00</w:t>
                  </w:r>
                </w:p>
              </w:tc>
              <w:tc>
                <w:tcPr>
                  <w:tcW w:w="550" w:type="pct"/>
                  <w:gridSpan w:val="2"/>
                  <w:tcBorders>
                    <w:top w:val="single" w:color="auto" w:sz="4" w:space="0"/>
                    <w:left w:val="single" w:color="auto" w:sz="4" w:space="0"/>
                    <w:bottom w:val="single" w:color="auto" w:sz="4" w:space="0"/>
                    <w:right w:val="single" w:color="auto" w:sz="4" w:space="0"/>
                  </w:tcBorders>
                  <w:noWrap/>
                  <w:vAlign w:val="center"/>
                </w:tcPr>
                <w:p w14:paraId="4F49C0D6">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75</w:t>
                  </w:r>
                </w:p>
              </w:tc>
              <w:tc>
                <w:tcPr>
                  <w:tcW w:w="669" w:type="pct"/>
                  <w:gridSpan w:val="2"/>
                  <w:tcBorders>
                    <w:top w:val="single" w:color="auto" w:sz="4" w:space="0"/>
                    <w:left w:val="nil"/>
                    <w:bottom w:val="single" w:color="auto" w:sz="4" w:space="0"/>
                    <w:right w:val="single" w:color="auto" w:sz="4" w:space="0"/>
                  </w:tcBorders>
                  <w:noWrap/>
                  <w:vAlign w:val="center"/>
                </w:tcPr>
                <w:p w14:paraId="7778307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742" w:type="pct"/>
                  <w:gridSpan w:val="2"/>
                  <w:tcBorders>
                    <w:top w:val="single" w:color="auto" w:sz="4" w:space="0"/>
                    <w:left w:val="nil"/>
                    <w:bottom w:val="single" w:color="auto" w:sz="4" w:space="0"/>
                    <w:right w:val="single" w:color="auto" w:sz="4" w:space="0"/>
                  </w:tcBorders>
                  <w:noWrap/>
                  <w:vAlign w:val="center"/>
                </w:tcPr>
                <w:p w14:paraId="76FEE92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6" w:type="pct"/>
                  <w:tcBorders>
                    <w:top w:val="single" w:color="auto" w:sz="4" w:space="0"/>
                    <w:left w:val="nil"/>
                    <w:bottom w:val="single" w:color="auto" w:sz="4" w:space="0"/>
                    <w:right w:val="single" w:color="auto" w:sz="4" w:space="0"/>
                  </w:tcBorders>
                  <w:noWrap/>
                  <w:vAlign w:val="center"/>
                </w:tcPr>
                <w:p w14:paraId="6CA7E2A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bl>
          <w:p w14:paraId="7F8618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szCs w:val="32"/>
              </w:rPr>
              <w:t>综上</w:t>
            </w:r>
            <w:r>
              <w:rPr>
                <w:rFonts w:hint="eastAsia" w:ascii="Times New Roman" w:hAnsi="Times New Roman" w:cs="Times New Roman"/>
                <w:color w:val="auto"/>
                <w:sz w:val="24"/>
                <w:szCs w:val="32"/>
                <w:lang w:val="en-US" w:eastAsia="zh-CN"/>
              </w:rPr>
              <w:t>所述</w:t>
            </w:r>
            <w:r>
              <w:rPr>
                <w:rFonts w:hint="default" w:ascii="Times New Roman" w:hAnsi="Times New Roman" w:cs="Times New Roman"/>
                <w:color w:val="auto"/>
                <w:sz w:val="24"/>
                <w:szCs w:val="32"/>
              </w:rPr>
              <w:t>，本工程的建设选址具有环境合理性</w:t>
            </w:r>
            <w:r>
              <w:rPr>
                <w:rFonts w:hint="default" w:ascii="Times New Roman" w:hAnsi="Times New Roman" w:cs="Times New Roman"/>
                <w:color w:val="auto"/>
                <w:sz w:val="24"/>
                <w:szCs w:val="32"/>
                <w:lang w:eastAsia="zh-CN"/>
              </w:rPr>
              <w:t>。</w:t>
            </w:r>
          </w:p>
        </w:tc>
      </w:tr>
    </w:tbl>
    <w:p w14:paraId="2621EDB0">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178C5FF5">
      <w:pPr>
        <w:numPr>
          <w:ilvl w:val="0"/>
          <w:numId w:val="5"/>
        </w:numPr>
        <w:ind w:left="0" w:leftChars="0" w:firstLine="0" w:firstLineChars="0"/>
        <w:jc w:val="center"/>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主要生态环境保护措施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5"/>
      </w:tblGrid>
      <w:tr w14:paraId="2E87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0DAB97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施工期生态环境保护措施</w:t>
            </w:r>
          </w:p>
        </w:tc>
        <w:tc>
          <w:tcPr>
            <w:tcW w:w="8254" w:type="dxa"/>
            <w:vAlign w:val="top"/>
          </w:tcPr>
          <w:p w14:paraId="7C6D94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一、生态环境保护措施</w:t>
            </w:r>
          </w:p>
          <w:p w14:paraId="596D6DB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eastAsia="宋体" w:cs="Times New Roman"/>
                <w:color w:val="auto"/>
                <w:lang w:val="en-US" w:eastAsia="zh-CN"/>
              </w:rPr>
              <w:t>根据土地利用现状分析本项目米107-2M井场</w:t>
            </w:r>
            <w:r>
              <w:rPr>
                <w:rFonts w:hint="default" w:ascii="Times New Roman" w:hAnsi="Times New Roman" w:eastAsia="宋体" w:cs="Times New Roman"/>
                <w:b w:val="0"/>
                <w:bCs w:val="0"/>
                <w:color w:val="auto"/>
                <w:sz w:val="24"/>
                <w:szCs w:val="24"/>
                <w:vertAlign w:val="baseline"/>
                <w:lang w:val="en-US" w:eastAsia="zh-CN"/>
              </w:rPr>
              <w:t>土地利用现状类型主要为耕地、林地、草地、园地。若永久封井，本项目占地类型中园地和草地采取人工干预的手段进行生态恢复，规划为林地的区域恢复为林地，未规划为林地的区域恢复为原有生态类型（草地、园地），耕地交由农户进行复垦。</w:t>
            </w:r>
          </w:p>
          <w:p w14:paraId="7953995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施工期</w:t>
            </w:r>
            <w:r>
              <w:rPr>
                <w:rFonts w:hint="default" w:ascii="Times New Roman" w:hAnsi="Times New Roman" w:cs="Times New Roman"/>
                <w:color w:val="auto"/>
              </w:rPr>
              <w:t>生态环境保护措施</w:t>
            </w:r>
          </w:p>
          <w:p w14:paraId="055AD6B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w:t>
            </w:r>
            <w:r>
              <w:rPr>
                <w:rFonts w:hint="default" w:ascii="Times New Roman" w:hAnsi="Times New Roman" w:eastAsia="宋体" w:cs="Times New Roman"/>
                <w:color w:val="auto"/>
                <w:lang w:val="en-US" w:eastAsia="zh-CN"/>
              </w:rPr>
              <w:t>本项目</w:t>
            </w:r>
            <w:r>
              <w:rPr>
                <w:rFonts w:hint="default" w:ascii="Times New Roman" w:hAnsi="Times New Roman" w:cs="Times New Roman"/>
                <w:color w:val="auto"/>
              </w:rPr>
              <w:t>在施工组织设计中严格控制占地范围；施工活动需严格控制在施工区域内，并将临时占地面积控制在最低限度，尽量使用既有道路，以免对土壤与植被造成不必要破坏。项目施工时首先应剥离表土。在剥离表土前，对开挖区域内的植被等有碍物进行彻底清除，然后采用人工开挖，先把表层土按预定厚度剥离后，在井场内临时占地区内选定一处作为表土临时堆土区，用于开采结束后的复垦覆土。表土临时堆场周边应设置挡土墙，控制边坡坡降比1:2左右，适时对表土堆场表面进行防尘网遮盖、洒水浸润，同时于表土堆场表面覆盖篷布（防尘、防雨水冲刷），覆盖率需达100%。在堆场周围开挖排水沟，排水沟易采用梯形断面，底宽30cm，高30cm，内坡比1:1，内壁夯实，排水沟与附近已有沟渠相通。在施工结束、场地清理完成后随即采取地表平整、表土回覆、绿化等恢复措施，减少施工期对生态环境影响。</w:t>
            </w:r>
          </w:p>
          <w:p w14:paraId="27037DD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17745" cy="2139950"/>
                  <wp:effectExtent l="0" t="0" r="1905"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4817745" cy="2139950"/>
                          </a:xfrm>
                          <a:prstGeom prst="rect">
                            <a:avLst/>
                          </a:prstGeom>
                          <a:noFill/>
                          <a:ln>
                            <a:noFill/>
                          </a:ln>
                        </pic:spPr>
                      </pic:pic>
                    </a:graphicData>
                  </a:graphic>
                </wp:inline>
              </w:drawing>
            </w:r>
          </w:p>
          <w:p w14:paraId="5EA6B603">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
                <w:color w:val="auto"/>
                <w:szCs w:val="21"/>
              </w:rPr>
              <w:t xml:space="preserve">图5-1 </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cs="Times New Roman"/>
                <w:b/>
                <w:color w:val="auto"/>
                <w:szCs w:val="21"/>
              </w:rPr>
              <w:t>施工期表土剥离临时堆土区防护措施断面</w:t>
            </w:r>
          </w:p>
          <w:p w14:paraId="3A9E859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施工中尽量缩小影响范围，合理布置井场，选择合适的设备搬迁路线，合理布置钻井设备，减少井场占地面积。缩短施工时间，提高工程施工效率，减少工程在空间上、时间上对生态环境的影响；</w:t>
            </w:r>
          </w:p>
          <w:p w14:paraId="0C58B40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③施工完毕应尽快整理施工现场，恢复原有用地性质；施工期间对建筑材料的堆放采取篷布苫盖措施，防止雨水冲刷；</w:t>
            </w:r>
          </w:p>
          <w:p w14:paraId="33428F2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④制定严格的施工操作规范，建立施工期环境管理制度；相对固定运输路线，严禁施工车辆随意开辟施工便道，严禁随意砍伐植被；</w:t>
            </w:r>
          </w:p>
          <w:p w14:paraId="153F245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⑤迅速恢复植被破坏前的地表形态，填埋废土坑、平整作业现场、改善植被更新生长条件，防止局部土地退化；</w:t>
            </w:r>
          </w:p>
          <w:p w14:paraId="694318B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⑥为防止井场作业加剧水土流失，进场前集中收集表土，并进行遮盖围堵以防风吹雨淋流失，作业结束后再覆盖表土等措施后，可有效减少水土流失；</w:t>
            </w:r>
          </w:p>
          <w:p w14:paraId="010B57B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⑦井场内禁止废水、废弃泥浆、废弃岩屑、以及其他废物流失和乱排放，严禁机油等各种油料落地，擦洗设备和更换的废油品料要集中到废油回收罐，如果发现外溢和散落必须及时清理；</w:t>
            </w:r>
          </w:p>
          <w:p w14:paraId="73F61D2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⑧完井后回收各种原料，清理井场上散落的泥浆、污水、油料和各种废弃物。泥浆药品等泥浆材料及废油必须全部回收，不得随意遗弃于井场，完井后做到作业现场整洁、平整、卫生、无油污、无固废。</w:t>
            </w:r>
          </w:p>
          <w:p w14:paraId="0A662C3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⑨项目开发建设前，做好施工规划前期工作，尽量缩小施工范围，减少临时占地面积；施工机械应严格按照规定的施工道路行驶，严禁占用施工区域外的土地；加强施工人员的各类管理；做好工程完井后生态环境的恢复工作；加强环境管理和监理制度；加强生态保护宣传教育，以尽量减少植被破坏及水土流失等不利影响。</w:t>
            </w:r>
          </w:p>
          <w:p w14:paraId="2754B8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通过采取相应的生态保护措施，项目建设对区域生态系统的完整性、稳定性影响较小，不会对生态环境造成显著的影响。</w:t>
            </w:r>
          </w:p>
          <w:p w14:paraId="6B12909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封井期生态环境保护措施</w:t>
            </w:r>
          </w:p>
          <w:p w14:paraId="6476321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本工程为</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勘探井，钻井结束后，通过完井测试评价</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藏情况，</w:t>
            </w:r>
            <w:r>
              <w:rPr>
                <w:rFonts w:hint="default" w:ascii="Times New Roman" w:hAnsi="Times New Roman" w:cs="Times New Roman"/>
                <w:color w:val="auto"/>
                <w:lang w:val="en-US" w:eastAsia="zh-CN"/>
              </w:rPr>
              <w:t>若</w:t>
            </w:r>
            <w:r>
              <w:rPr>
                <w:rFonts w:hint="default" w:ascii="Times New Roman" w:hAnsi="Times New Roman" w:cs="Times New Roman"/>
                <w:color w:val="auto"/>
                <w:lang w:eastAsia="zh-CN"/>
              </w:rPr>
              <w:t>不具备开采价值，进行永久封井，场地恢复原状；若测试具有工业产能，临时封井，移交给长庆油田分公司第二采气厂按标准化井场进行建设和管理</w:t>
            </w:r>
            <w:r>
              <w:rPr>
                <w:rFonts w:hint="default" w:ascii="Times New Roman" w:hAnsi="Times New Roman" w:eastAsia="宋体" w:cs="Times New Roman"/>
                <w:color w:val="auto"/>
                <w:sz w:val="24"/>
                <w:szCs w:val="24"/>
                <w:highlight w:val="none"/>
                <w:lang w:val="en-US" w:eastAsia="zh-CN"/>
              </w:rPr>
              <w:t>，无论临时封井还是永久封井都需进行生态恢复</w:t>
            </w:r>
            <w:r>
              <w:rPr>
                <w:rFonts w:hint="default" w:ascii="Times New Roman" w:hAnsi="Times New Roman" w:cs="Times New Roman"/>
                <w:color w:val="auto"/>
                <w:sz w:val="24"/>
              </w:rPr>
              <w:t>。</w:t>
            </w:r>
          </w:p>
          <w:p w14:paraId="7E2762E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封井作业将对设备、基础进行拆除、搬迁、封井口作业。封井口环境影响因素不再存在，无三废排放，无噪声影响。</w:t>
            </w:r>
          </w:p>
          <w:p w14:paraId="6CE4783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封井原因主要包括地质报废与工程报废。一般地质报废是指在钻井过程中，未遇到含</w:t>
            </w:r>
            <w:r>
              <w:rPr>
                <w:rFonts w:hint="default" w:ascii="Times New Roman" w:hAnsi="Times New Roman" w:cs="Times New Roman"/>
                <w:color w:val="auto"/>
                <w:lang w:val="en-US" w:eastAsia="zh-CN"/>
              </w:rPr>
              <w:t>采</w:t>
            </w:r>
            <w:r>
              <w:rPr>
                <w:rFonts w:hint="default" w:ascii="Times New Roman" w:hAnsi="Times New Roman" w:cs="Times New Roman"/>
                <w:color w:val="auto"/>
                <w:lang w:eastAsia="zh-CN"/>
              </w:rPr>
              <w:t>气层，无任何油气显示的情况。地质勘探过程属于钻井的前端工序，因此一旦无含</w:t>
            </w:r>
            <w:r>
              <w:rPr>
                <w:rFonts w:hint="default" w:ascii="Times New Roman" w:hAnsi="Times New Roman" w:cs="Times New Roman"/>
                <w:color w:val="auto"/>
                <w:lang w:val="en-US" w:eastAsia="zh-CN"/>
              </w:rPr>
              <w:t>采</w:t>
            </w:r>
            <w:r>
              <w:rPr>
                <w:rFonts w:hint="default" w:ascii="Times New Roman" w:hAnsi="Times New Roman" w:cs="Times New Roman"/>
                <w:color w:val="auto"/>
                <w:lang w:eastAsia="zh-CN"/>
              </w:rPr>
              <w:t>气层，直接将其井口进行封堵，封堵后对井场进行恢复，修复后场内无钻探痕迹。恢复过程主要为：对钻井设施进行拆除；土地平整；对井场土壤进行重构，在井场宜绿区域进行绿化种植。工程报废是指已经下设套管后，通过试</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，未达到可开发利用的</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，则进行封场处理。封井后地面将留有井口封堵痕迹，对井场恢复原有地貌类型。封井期生态具体恢复措施步骤见图5-</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p>
          <w:p w14:paraId="355F274E">
            <w:pPr>
              <w:pStyle w:val="26"/>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299970" cy="3206115"/>
                  <wp:effectExtent l="0" t="0" r="508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5"/>
                          <a:stretch>
                            <a:fillRect/>
                          </a:stretch>
                        </pic:blipFill>
                        <pic:spPr>
                          <a:xfrm>
                            <a:off x="0" y="0"/>
                            <a:ext cx="2299970" cy="3206115"/>
                          </a:xfrm>
                          <a:prstGeom prst="rect">
                            <a:avLst/>
                          </a:prstGeom>
                          <a:noFill/>
                          <a:ln>
                            <a:noFill/>
                          </a:ln>
                        </pic:spPr>
                      </pic:pic>
                    </a:graphicData>
                  </a:graphic>
                </wp:inline>
              </w:drawing>
            </w:r>
          </w:p>
          <w:p w14:paraId="003C17DD">
            <w:pPr>
              <w:pStyle w:val="10"/>
              <w:bidi w:val="0"/>
              <w:ind w:left="0" w:lef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5-2</w:t>
            </w:r>
            <w:r>
              <w:rPr>
                <w:rFonts w:hint="default" w:ascii="Times New Roman" w:hAnsi="Times New Roman" w:cs="Times New Roman"/>
                <w:color w:val="auto"/>
                <w:sz w:val="21"/>
                <w:szCs w:val="21"/>
                <w:lang w:eastAsia="zh-CN"/>
              </w:rPr>
              <w:t xml:space="preserve">  井场生态恢复步骤</w:t>
            </w:r>
          </w:p>
          <w:p w14:paraId="0ED1D0AC">
            <w:pPr>
              <w:pStyle w:val="2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（3）生态恢复要求</w:t>
            </w:r>
          </w:p>
          <w:p w14:paraId="3772D3D5">
            <w:pPr>
              <w:pStyle w:val="2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当勘探井具有开发价值时，采取临时封井，</w:t>
            </w:r>
            <w:r>
              <w:rPr>
                <w:rFonts w:hint="default" w:ascii="Times New Roman" w:hAnsi="Times New Roman" w:cs="Times New Roman"/>
                <w:color w:val="auto"/>
                <w:lang w:val="en-US" w:eastAsia="zh-CN"/>
              </w:rPr>
              <w:t>临时占地</w:t>
            </w:r>
            <w:r>
              <w:rPr>
                <w:rFonts w:hint="default" w:ascii="Times New Roman" w:hAnsi="Times New Roman" w:cs="Times New Roman"/>
                <w:color w:val="auto"/>
              </w:rPr>
              <w:t>暂不进行生态恢复</w:t>
            </w:r>
            <w:r>
              <w:rPr>
                <w:rFonts w:hint="default" w:ascii="Times New Roman" w:hAnsi="Times New Roman" w:cs="Times New Roman"/>
                <w:color w:val="auto"/>
                <w:lang w:eastAsia="zh-CN"/>
              </w:rPr>
              <w:t>；</w:t>
            </w:r>
            <w:r>
              <w:rPr>
                <w:rFonts w:hint="default" w:ascii="Times New Roman" w:hAnsi="Times New Roman" w:cs="Times New Roman"/>
                <w:bCs/>
                <w:color w:val="auto"/>
                <w:sz w:val="24"/>
                <w:lang w:val="en-US" w:eastAsia="zh-CN"/>
              </w:rPr>
              <w:t>若不具有工业生产价值，则对井场临时占地进行生态恢复，</w:t>
            </w:r>
            <w:r>
              <w:rPr>
                <w:rFonts w:hint="default" w:ascii="Times New Roman" w:hAnsi="Times New Roman" w:cs="Times New Roman"/>
                <w:bCs/>
                <w:color w:val="auto"/>
                <w:sz w:val="24"/>
              </w:rPr>
              <w:t>以达到与周边生态系统一致。</w:t>
            </w:r>
          </w:p>
          <w:p w14:paraId="591AD857">
            <w:pPr>
              <w:pStyle w:val="26"/>
              <w:bidi w:val="0"/>
              <w:rPr>
                <w:rFonts w:hint="default" w:ascii="Times New Roman" w:hAnsi="Times New Roman" w:cs="Times New Roman"/>
                <w:color w:val="auto"/>
              </w:rPr>
            </w:pPr>
            <w:r>
              <w:rPr>
                <w:rFonts w:hint="default" w:ascii="Times New Roman" w:hAnsi="Times New Roman" w:cs="Times New Roman"/>
                <w:color w:val="auto"/>
              </w:rPr>
              <w:t>（4）生态恢复整治方案</w:t>
            </w:r>
            <w:r>
              <w:rPr>
                <w:rFonts w:hint="default" w:ascii="Times New Roman" w:hAnsi="Times New Roman" w:cs="Times New Roman"/>
                <w:color w:val="auto"/>
                <w:lang w:val="en-US" w:eastAsia="zh-CN"/>
              </w:rPr>
              <w:t>及</w:t>
            </w:r>
            <w:r>
              <w:rPr>
                <w:rFonts w:hint="default" w:ascii="Times New Roman" w:hAnsi="Times New Roman" w:cs="Times New Roman"/>
                <w:color w:val="auto"/>
              </w:rPr>
              <w:t>恢复用地控制指标</w:t>
            </w:r>
          </w:p>
          <w:p w14:paraId="6DB1175C">
            <w:pPr>
              <w:pStyle w:val="26"/>
              <w:bidi w:val="0"/>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项目仅涉及施工期，不涉及运营期，</w:t>
            </w:r>
            <w:r>
              <w:rPr>
                <w:rFonts w:hint="default" w:ascii="Times New Roman" w:hAnsi="Times New Roman" w:eastAsia="宋体" w:cs="Times New Roman"/>
                <w:color w:val="auto"/>
                <w:lang w:val="en-US" w:eastAsia="zh-CN"/>
              </w:rPr>
              <w:t>本项目钻井结束封井后即开展生态恢复，</w:t>
            </w:r>
            <w:r>
              <w:rPr>
                <w:rFonts w:hint="default" w:ascii="Times New Roman" w:hAnsi="Times New Roman" w:cs="Times New Roman"/>
                <w:color w:val="auto"/>
              </w:rPr>
              <w:t>本次评价仅针对施工期提出相关生态恢复措施，具体生态恢复方案如下：</w:t>
            </w:r>
          </w:p>
          <w:p w14:paraId="7FBC5061">
            <w:pPr>
              <w:pStyle w:val="26"/>
              <w:bidi w:val="0"/>
              <w:rPr>
                <w:rFonts w:hint="default" w:ascii="Times New Roman" w:hAnsi="Times New Roman" w:cs="Times New Roman"/>
                <w:color w:val="auto"/>
              </w:rPr>
            </w:pPr>
            <w:r>
              <w:rPr>
                <w:rFonts w:hint="default" w:ascii="Times New Roman" w:hAnsi="Times New Roman" w:cs="Times New Roman"/>
                <w:color w:val="auto"/>
              </w:rPr>
              <w:t>①场地清理</w:t>
            </w:r>
          </w:p>
          <w:p w14:paraId="060E66D2">
            <w:pPr>
              <w:pStyle w:val="26"/>
              <w:bidi w:val="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拆除工程</w:t>
            </w:r>
          </w:p>
          <w:p w14:paraId="2F7EB45E">
            <w:pPr>
              <w:pStyle w:val="26"/>
              <w:bidi w:val="0"/>
              <w:rPr>
                <w:rFonts w:hint="default" w:ascii="Times New Roman" w:hAnsi="Times New Roman" w:cs="Times New Roman"/>
                <w:color w:val="auto"/>
              </w:rPr>
            </w:pPr>
            <w:r>
              <w:rPr>
                <w:rFonts w:hint="default" w:ascii="Times New Roman" w:hAnsi="Times New Roman" w:cs="Times New Roman"/>
                <w:color w:val="auto"/>
              </w:rPr>
              <w:t>钻井设施均为撬装，例如材料房，值班室等，开钻时由钻井队运至井场。因此，封井期由钻井队拆除，外运。临时</w:t>
            </w:r>
            <w:r>
              <w:rPr>
                <w:rFonts w:hint="default" w:ascii="Times New Roman" w:hAnsi="Times New Roman" w:cs="Times New Roman"/>
                <w:color w:val="auto"/>
                <w:lang w:eastAsia="zh-CN"/>
              </w:rPr>
              <w:t>危废贮存点</w:t>
            </w:r>
            <w:r>
              <w:rPr>
                <w:rFonts w:hint="default" w:ascii="Times New Roman" w:hAnsi="Times New Roman" w:cs="Times New Roman"/>
                <w:color w:val="auto"/>
              </w:rPr>
              <w:t>需将危废按照要求处置完毕后，对其拆除，外运；水泥墩、钢架等支撑物彻底拆除、外运，为土地平整创造条件。</w:t>
            </w:r>
          </w:p>
          <w:p w14:paraId="20692CCA">
            <w:pPr>
              <w:pStyle w:val="26"/>
              <w:bidi w:val="0"/>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场地地表清理</w:t>
            </w:r>
          </w:p>
          <w:p w14:paraId="499E4A9B">
            <w:pPr>
              <w:pStyle w:val="2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据统计，本项目临时占地</w:t>
            </w:r>
            <w:r>
              <w:rPr>
                <w:rFonts w:hint="default" w:ascii="Times New Roman" w:hAnsi="Times New Roman" w:cs="Times New Roman"/>
                <w:color w:val="auto"/>
                <w:highlight w:val="none"/>
                <w:lang w:val="en-US" w:eastAsia="zh-CN"/>
              </w:rPr>
              <w:t>总</w:t>
            </w:r>
            <w:r>
              <w:rPr>
                <w:rFonts w:hint="default" w:ascii="Times New Roman" w:hAnsi="Times New Roman" w:cs="Times New Roman"/>
                <w:color w:val="auto"/>
                <w:highlight w:val="none"/>
              </w:rPr>
              <w:t>面积</w:t>
            </w:r>
            <w:r>
              <w:rPr>
                <w:rFonts w:hint="default" w:ascii="Times New Roman" w:hAnsi="Times New Roman" w:eastAsia="宋体" w:cs="Times New Roman"/>
                <w:color w:val="auto"/>
                <w:highlight w:val="none"/>
                <w:lang w:val="en-US" w:eastAsia="zh-CN"/>
              </w:rPr>
              <w:t>约</w:t>
            </w:r>
            <w:r>
              <w:rPr>
                <w:rFonts w:hint="default" w:ascii="Times New Roman" w:hAnsi="Times New Roman" w:cs="Times New Roman"/>
                <w:color w:val="auto"/>
                <w:highlight w:val="none"/>
                <w:lang w:val="en-US" w:eastAsia="zh-CN"/>
              </w:rPr>
              <w:t>14348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，施工场地、井场表面铺满碎石，在进行覆土前需要清理，场地恢复后的土壤需清洁平整。</w:t>
            </w:r>
          </w:p>
          <w:p w14:paraId="2540C783">
            <w:pPr>
              <w:pStyle w:val="26"/>
              <w:bidi w:val="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lang w:eastAsia="zh-CN"/>
              </w:rPr>
              <w:t>、</w:t>
            </w:r>
            <w:r>
              <w:rPr>
                <w:rFonts w:hint="default" w:ascii="Times New Roman" w:hAnsi="Times New Roman" w:cs="Times New Roman"/>
                <w:color w:val="auto"/>
              </w:rPr>
              <w:t>土地平整</w:t>
            </w:r>
          </w:p>
          <w:p w14:paraId="6A478452">
            <w:pPr>
              <w:pStyle w:val="26"/>
              <w:bidi w:val="0"/>
              <w:rPr>
                <w:rFonts w:hint="default" w:ascii="Times New Roman" w:hAnsi="Times New Roman" w:cs="Times New Roman"/>
                <w:color w:val="auto"/>
              </w:rPr>
            </w:pPr>
            <w:r>
              <w:rPr>
                <w:rFonts w:hint="default" w:ascii="Times New Roman" w:hAnsi="Times New Roman" w:cs="Times New Roman"/>
                <w:color w:val="auto"/>
              </w:rPr>
              <w:t>井场经过建筑物拆除后，对井场内的土地进行整体的平整，部分拆除后的凹地，采用临时</w:t>
            </w:r>
            <w:r>
              <w:rPr>
                <w:rFonts w:hint="default" w:ascii="Times New Roman" w:hAnsi="Times New Roman" w:cs="Times New Roman"/>
                <w:color w:val="auto"/>
                <w:lang w:eastAsia="zh-CN"/>
              </w:rPr>
              <w:t>堆土场</w:t>
            </w:r>
            <w:r>
              <w:rPr>
                <w:rFonts w:hint="default" w:ascii="Times New Roman" w:hAnsi="Times New Roman" w:cs="Times New Roman"/>
                <w:color w:val="auto"/>
              </w:rPr>
              <w:t>的表土进行平整。</w:t>
            </w:r>
          </w:p>
          <w:p w14:paraId="5D4C057C">
            <w:pPr>
              <w:pStyle w:val="26"/>
              <w:bidi w:val="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恢复工程</w:t>
            </w:r>
          </w:p>
          <w:p w14:paraId="7CD2A8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井场经过建筑物压占，车辆流动，板结严重。地表建筑物和地表碎石清除后，</w:t>
            </w:r>
            <w:r>
              <w:rPr>
                <w:rFonts w:hint="default" w:ascii="Times New Roman" w:hAnsi="Times New Roman" w:cs="Times New Roman"/>
                <w:color w:val="auto"/>
                <w:lang w:val="en-US" w:eastAsia="zh-CN"/>
              </w:rPr>
              <w:t>若永久封井，则</w:t>
            </w:r>
            <w:r>
              <w:rPr>
                <w:rFonts w:hint="default" w:ascii="Times New Roman" w:hAnsi="Times New Roman" w:cs="Times New Roman"/>
                <w:color w:val="auto"/>
              </w:rPr>
              <w:t>通过深翻耕松土透气，能够满足井场宜绿区域种植生长的要求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若临时封井，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按标准化井场进行建设和管理，无论临时封井还是永久封井都需进行生态恢复</w:t>
            </w:r>
            <w:r>
              <w:rPr>
                <w:rFonts w:hint="default" w:ascii="Times New Roman" w:hAnsi="Times New Roman" w:cs="Times New Roman"/>
                <w:color w:val="auto"/>
                <w:sz w:val="24"/>
              </w:rPr>
              <w:t>。</w:t>
            </w:r>
          </w:p>
          <w:p w14:paraId="687C7EC3">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②土壤修复</w:t>
            </w:r>
          </w:p>
          <w:p w14:paraId="493E6085">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若施工过程对土地造成污染，首先应清理污染土壤运至有资质单位处置，然后则开展土壤修复工作。</w:t>
            </w:r>
          </w:p>
          <w:p w14:paraId="421F6243">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生物措施</w:t>
            </w:r>
          </w:p>
          <w:p w14:paraId="772258F2">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结合当地的气候条件进行相关污染土壤治理修复工作，</w:t>
            </w:r>
            <w:r>
              <w:rPr>
                <w:rFonts w:hint="default" w:ascii="Times New Roman" w:hAnsi="Times New Roman" w:cs="Times New Roman"/>
                <w:color w:val="auto"/>
                <w:lang w:val="en-US" w:eastAsia="zh-CN"/>
              </w:rPr>
              <w:t>如在污染区块</w:t>
            </w:r>
            <w:r>
              <w:rPr>
                <w:rFonts w:hint="default" w:ascii="Times New Roman" w:hAnsi="Times New Roman" w:cs="Times New Roman"/>
                <w:color w:val="auto"/>
              </w:rPr>
              <w:t>种植对石油类及有机物等具有较强富集能力的绿色植物进行植被修复。</w:t>
            </w:r>
          </w:p>
          <w:p w14:paraId="402BCA77">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土壤培肥措施</w:t>
            </w:r>
          </w:p>
          <w:p w14:paraId="21C06524">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井场勘探后如未发现</w:t>
            </w:r>
            <w:r>
              <w:rPr>
                <w:rFonts w:hint="default" w:ascii="Times New Roman" w:hAnsi="Times New Roman" w:cs="Times New Roman"/>
                <w:color w:val="auto"/>
                <w:lang w:val="en-US" w:eastAsia="zh-CN"/>
              </w:rPr>
              <w:t>天然气或不具开采价值</w:t>
            </w:r>
            <w:r>
              <w:rPr>
                <w:rFonts w:hint="default" w:ascii="Times New Roman" w:hAnsi="Times New Roman" w:cs="Times New Roman"/>
                <w:color w:val="auto"/>
              </w:rPr>
              <w:t>，进行土地复垦，复垦为</w:t>
            </w:r>
            <w:r>
              <w:rPr>
                <w:rFonts w:hint="default" w:ascii="Times New Roman" w:hAnsi="Times New Roman" w:cs="Times New Roman"/>
                <w:color w:val="auto"/>
                <w:lang w:val="en-US" w:eastAsia="zh-CN"/>
              </w:rPr>
              <w:t>原有土地利用类型</w:t>
            </w:r>
            <w:r>
              <w:rPr>
                <w:rFonts w:hint="default" w:ascii="Times New Roman" w:hAnsi="Times New Roman" w:cs="Times New Roman"/>
                <w:color w:val="auto"/>
              </w:rPr>
              <w:t>。根据场地的地形地貌因子、土壤物理性质、土壤化学性质、生物因子等指标，判定影响区域土壤修复与植被恢复的主要限制性因子，适量有机施肥，保障生产力水平不下降。</w:t>
            </w:r>
          </w:p>
          <w:p w14:paraId="4DF99BEE">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③生态人工恢复</w:t>
            </w:r>
          </w:p>
          <w:p w14:paraId="2A9440D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钻井工程结束后，若临时封井，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按标准化井场进行建设和管理，无论临时封井还是永久封井都需进行生态恢复</w:t>
            </w:r>
            <w:r>
              <w:rPr>
                <w:rFonts w:hint="default" w:ascii="Times New Roman" w:hAnsi="Times New Roman" w:cs="Times New Roman"/>
                <w:color w:val="auto"/>
                <w:sz w:val="24"/>
              </w:rPr>
              <w:t>。</w:t>
            </w:r>
          </w:p>
          <w:p w14:paraId="3C4264B9">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若永久封井，</w:t>
            </w:r>
            <w:r>
              <w:rPr>
                <w:rFonts w:hint="default" w:ascii="Times New Roman" w:hAnsi="Times New Roman" w:cs="Times New Roman"/>
                <w:color w:val="auto"/>
              </w:rPr>
              <w:t>采取人工干预的手段进行生态恢复。生态人工恢复主要工序为：土地平整→植被种植→植被养护。</w:t>
            </w:r>
            <w:r>
              <w:rPr>
                <w:rFonts w:hint="default" w:ascii="Times New Roman" w:hAnsi="Times New Roman" w:cs="Times New Roman"/>
                <w:color w:val="auto"/>
                <w:lang w:val="en-US" w:eastAsia="zh-CN"/>
              </w:rPr>
              <w:t>不同占地类型具体恢复措施见下：</w:t>
            </w:r>
          </w:p>
          <w:p w14:paraId="3567C675">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草地恢复：若永久封井，</w:t>
            </w:r>
            <w:r>
              <w:rPr>
                <w:rFonts w:hint="default" w:ascii="Times New Roman" w:hAnsi="Times New Roman" w:cs="Times New Roman"/>
                <w:color w:val="auto"/>
              </w:rPr>
              <w:t>施工结束后，</w:t>
            </w:r>
            <w:r>
              <w:rPr>
                <w:rFonts w:hint="default" w:ascii="Times New Roman" w:hAnsi="Times New Roman" w:cs="Times New Roman"/>
                <w:color w:val="auto"/>
                <w:lang w:eastAsia="zh-CN"/>
              </w:rPr>
              <w:t>草地</w:t>
            </w:r>
            <w:r>
              <w:rPr>
                <w:rFonts w:hint="default" w:ascii="Times New Roman" w:hAnsi="Times New Roman" w:cs="Times New Roman"/>
                <w:color w:val="auto"/>
              </w:rPr>
              <w:t>恢复为原有生态类型，</w:t>
            </w:r>
            <w:r>
              <w:rPr>
                <w:rFonts w:hint="default" w:ascii="Times New Roman" w:hAnsi="Times New Roman" w:cs="Times New Roman"/>
                <w:color w:val="auto"/>
                <w:lang w:val="en-US" w:eastAsia="zh-CN"/>
              </w:rPr>
              <w:t>米107-2M井草地恢复面积为0.0965公顷</w:t>
            </w:r>
            <w:r>
              <w:rPr>
                <w:rFonts w:hint="default" w:ascii="Times New Roman" w:hAnsi="Times New Roman" w:cs="Times New Roman"/>
                <w:color w:val="auto"/>
                <w:lang w:eastAsia="zh-CN"/>
              </w:rPr>
              <w:t>，</w:t>
            </w:r>
            <w:r>
              <w:rPr>
                <w:rFonts w:hint="default" w:ascii="Times New Roman" w:hAnsi="Times New Roman" w:cs="Times New Roman"/>
                <w:color w:val="auto"/>
              </w:rPr>
              <w:t>草本植物可选择披碱草、柠条、紫花苜蓿</w:t>
            </w:r>
            <w:r>
              <w:rPr>
                <w:rFonts w:hint="default" w:ascii="Times New Roman" w:hAnsi="Times New Roman" w:cs="Times New Roman"/>
                <w:color w:val="auto"/>
                <w:lang w:eastAsia="zh-CN"/>
              </w:rPr>
              <w:t>、</w:t>
            </w:r>
            <w:r>
              <w:rPr>
                <w:rFonts w:hint="default" w:ascii="Times New Roman" w:hAnsi="Times New Roman" w:cs="Times New Roman"/>
                <w:color w:val="auto"/>
              </w:rPr>
              <w:t>沙打旺、沙嵩、黄蒿等，披碱草、紫花、苜蓿撒播量45kg/hm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rPr>
              <w:t>既能起到防风固沙、水土保持的作用</w:t>
            </w:r>
            <w:r>
              <w:rPr>
                <w:rFonts w:hint="default" w:ascii="Times New Roman" w:hAnsi="Times New Roman" w:cs="Times New Roman"/>
                <w:color w:val="auto"/>
                <w:lang w:eastAsia="zh-CN"/>
              </w:rPr>
              <w:t>，</w:t>
            </w:r>
            <w:r>
              <w:rPr>
                <w:rFonts w:hint="default" w:ascii="Times New Roman" w:hAnsi="Times New Roman" w:cs="Times New Roman"/>
                <w:color w:val="auto"/>
              </w:rPr>
              <w:t>又不会对项目区域生态景观造成影响</w:t>
            </w:r>
            <w:r>
              <w:rPr>
                <w:rFonts w:hint="default" w:ascii="Times New Roman" w:hAnsi="Times New Roman" w:cs="Times New Roman"/>
                <w:color w:val="auto"/>
                <w:lang w:val="en-US" w:eastAsia="zh-CN"/>
              </w:rPr>
              <w:t>。</w:t>
            </w:r>
          </w:p>
          <w:p w14:paraId="175BAC8A">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林地恢复：若永久封井，</w:t>
            </w:r>
            <w:r>
              <w:rPr>
                <w:rFonts w:hint="default" w:ascii="Times New Roman" w:hAnsi="Times New Roman" w:cs="Times New Roman"/>
                <w:color w:val="auto"/>
              </w:rPr>
              <w:t>施工结束后，</w:t>
            </w:r>
            <w:r>
              <w:rPr>
                <w:rFonts w:hint="default" w:ascii="Times New Roman" w:hAnsi="Times New Roman" w:cs="Times New Roman"/>
                <w:color w:val="auto"/>
                <w:lang w:val="en-US" w:eastAsia="zh-CN"/>
              </w:rPr>
              <w:t>进行林地恢复</w:t>
            </w:r>
            <w:r>
              <w:rPr>
                <w:rFonts w:hint="default" w:ascii="Times New Roman" w:hAnsi="Times New Roman" w:cs="Times New Roman"/>
                <w:color w:val="auto"/>
              </w:rPr>
              <w:t>，</w:t>
            </w:r>
            <w:r>
              <w:rPr>
                <w:rFonts w:hint="default" w:ascii="Times New Roman" w:hAnsi="Times New Roman" w:cs="Times New Roman"/>
                <w:color w:val="auto"/>
                <w:lang w:val="en-US" w:eastAsia="zh-CN"/>
              </w:rPr>
              <w:t>恢复面积为0.1406</w:t>
            </w:r>
            <w:r>
              <w:rPr>
                <w:rFonts w:hint="default" w:ascii="Times New Roman" w:hAnsi="Times New Roman" w:eastAsia="宋体" w:cs="Times New Roman"/>
                <w:color w:val="auto"/>
                <w:lang w:val="en-US" w:eastAsia="zh-CN"/>
              </w:rPr>
              <w:t>公顷</w:t>
            </w:r>
            <w:r>
              <w:rPr>
                <w:rFonts w:hint="default" w:ascii="Times New Roman" w:hAnsi="Times New Roman" w:cs="Times New Roman"/>
                <w:color w:val="auto"/>
                <w:lang w:eastAsia="zh-CN"/>
              </w:rPr>
              <w:t>，</w:t>
            </w:r>
            <w:r>
              <w:rPr>
                <w:rFonts w:hint="default" w:ascii="Times New Roman" w:hAnsi="Times New Roman" w:cs="Times New Roman"/>
                <w:color w:val="auto"/>
              </w:rPr>
              <w:t>生态恢复植被应选用当地耐寒、保水固土能力强根系发达的物种，优先考虑灌木树种，</w:t>
            </w:r>
            <w:r>
              <w:rPr>
                <w:rFonts w:hint="default" w:ascii="Times New Roman" w:hAnsi="Times New Roman" w:cs="Times New Roman"/>
                <w:color w:val="auto"/>
                <w:lang w:val="en-US" w:eastAsia="zh-CN"/>
              </w:rPr>
              <w:t>如</w:t>
            </w:r>
            <w:r>
              <w:rPr>
                <w:rFonts w:hint="default" w:ascii="Times New Roman" w:hAnsi="Times New Roman" w:cs="Times New Roman"/>
                <w:color w:val="auto"/>
              </w:rPr>
              <w:t>柠条、沙棘等</w:t>
            </w:r>
            <w:r>
              <w:rPr>
                <w:rFonts w:hint="default" w:ascii="Times New Roman" w:hAnsi="Times New Roman" w:cs="Times New Roman"/>
                <w:color w:val="auto"/>
                <w:lang w:eastAsia="zh-CN"/>
              </w:rPr>
              <w:t>。</w:t>
            </w:r>
          </w:p>
          <w:p w14:paraId="50D194F8">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本项目治理区土地复垦主要的用途为</w:t>
            </w:r>
            <w:r>
              <w:rPr>
                <w:rFonts w:hint="default" w:ascii="Times New Roman" w:hAnsi="Times New Roman" w:cs="Times New Roman"/>
                <w:color w:val="auto"/>
                <w:lang w:val="en-US" w:eastAsia="zh-CN"/>
              </w:rPr>
              <w:t>林</w:t>
            </w:r>
            <w:r>
              <w:rPr>
                <w:rFonts w:hint="default" w:ascii="Times New Roman" w:hAnsi="Times New Roman" w:cs="Times New Roman"/>
                <w:color w:val="auto"/>
              </w:rPr>
              <w:t>地，根据《土地复垦质量控制标准》（TD/T1036-2013）中黄土高原区土地复垦质量控制标准，本项目土地复垦具体控制指标见下表。</w:t>
            </w:r>
          </w:p>
          <w:p w14:paraId="01FADD6C">
            <w:pPr>
              <w:pStyle w:val="1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5-1</w:t>
            </w:r>
            <w:r>
              <w:rPr>
                <w:rFonts w:hint="default" w:ascii="Times New Roman" w:hAnsi="Times New Roman" w:cs="Times New Roman"/>
                <w:color w:val="auto"/>
                <w:sz w:val="21"/>
                <w:szCs w:val="21"/>
                <w:lang w:eastAsia="zh-CN"/>
              </w:rPr>
              <w:t xml:space="preserve">  本项目生态恢复控制指标表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79"/>
              <w:gridCol w:w="4560"/>
            </w:tblGrid>
            <w:tr w14:paraId="04B2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387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1BF6CD7">
                  <w:pPr>
                    <w:pStyle w:val="27"/>
                    <w:bidi w:val="0"/>
                    <w:snapToGrid w:val="0"/>
                    <w:jc w:val="center"/>
                    <w:rPr>
                      <w:rFonts w:hint="default" w:ascii="Times New Roman" w:hAnsi="Times New Roman" w:cs="Times New Roman"/>
                      <w:b/>
                      <w:bCs/>
                      <w:color w:val="auto"/>
                      <w:sz w:val="21"/>
                      <w:szCs w:val="21"/>
                      <w:lang w:val="en-US" w:eastAsia="zh-CN"/>
                    </w:rPr>
                  </w:pPr>
                </w:p>
                <w:p w14:paraId="65A2040E">
                  <w:pPr>
                    <w:pStyle w:val="27"/>
                    <w:bidi w:val="0"/>
                    <w:snapToGrid w:val="0"/>
                    <w:jc w:val="center"/>
                    <mc:AlternateContent>
                      <mc:Choice Requires="wpsCustomData">
                        <wpsCustomData:diagonalParaType/>
                      </mc:Choice>
                    </mc:AlternateContent>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基本指标</w:t>
                  </w:r>
                </w:p>
                <w:p w14:paraId="73780323">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复垦方向</w:t>
                  </w:r>
                </w:p>
              </w:tc>
              <w:tc>
                <w:tcPr>
                  <w:tcW w:w="4335" w:type="dxa"/>
                  <w:vAlign w:val="center"/>
                </w:tcPr>
                <w:p w14:paraId="532720A6">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本项目控制标准</w:t>
                  </w:r>
                </w:p>
              </w:tc>
            </w:tr>
            <w:tr w14:paraId="3668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continue"/>
                  <w:vAlign w:val="center"/>
                </w:tcPr>
                <w:p w14:paraId="143CD3C7">
                  <w:pPr>
                    <w:pStyle w:val="27"/>
                    <w:bidi w:val="0"/>
                    <w:jc w:val="center"/>
                    <w:rPr>
                      <w:rFonts w:hint="default" w:ascii="Times New Roman" w:hAnsi="Times New Roman" w:cs="Times New Roman"/>
                      <w:b/>
                      <w:bCs/>
                      <w:color w:val="auto"/>
                      <w:sz w:val="21"/>
                      <w:szCs w:val="21"/>
                    </w:rPr>
                  </w:pPr>
                </w:p>
              </w:tc>
              <w:tc>
                <w:tcPr>
                  <w:tcW w:w="4335" w:type="dxa"/>
                  <w:vAlign w:val="center"/>
                </w:tcPr>
                <w:p w14:paraId="3E6F982A">
                  <w:pPr>
                    <w:pStyle w:val="27"/>
                    <w:bidi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灌木林地</w:t>
                  </w:r>
                </w:p>
              </w:tc>
            </w:tr>
            <w:tr w14:paraId="04C5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7C3A571E">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有效土层厚度/（cm）</w:t>
                  </w:r>
                </w:p>
              </w:tc>
              <w:tc>
                <w:tcPr>
                  <w:tcW w:w="4335" w:type="dxa"/>
                  <w:vAlign w:val="center"/>
                </w:tcPr>
                <w:p w14:paraId="0E46B4B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30</w:t>
                  </w:r>
                </w:p>
              </w:tc>
            </w:tr>
            <w:tr w14:paraId="1BD0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9DD40FC">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土壤容重/（g/cm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335" w:type="dxa"/>
                  <w:vAlign w:val="center"/>
                </w:tcPr>
                <w:p w14:paraId="51B3633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1.5</w:t>
                  </w:r>
                </w:p>
              </w:tc>
            </w:tr>
            <w:tr w14:paraId="291A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800BE4B">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土壤质地</w:t>
                  </w:r>
                </w:p>
              </w:tc>
              <w:tc>
                <w:tcPr>
                  <w:tcW w:w="4335" w:type="dxa"/>
                  <w:vAlign w:val="center"/>
                </w:tcPr>
                <w:p w14:paraId="108093F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砂土至砂质黏土</w:t>
                  </w:r>
                </w:p>
              </w:tc>
            </w:tr>
            <w:tr w14:paraId="0075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8D7099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砾石含量/（%）</w:t>
                  </w:r>
                </w:p>
              </w:tc>
              <w:tc>
                <w:tcPr>
                  <w:tcW w:w="4335" w:type="dxa"/>
                  <w:vAlign w:val="center"/>
                </w:tcPr>
                <w:p w14:paraId="1560556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25</w:t>
                  </w:r>
                </w:p>
              </w:tc>
            </w:tr>
            <w:tr w14:paraId="034C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5BBCF95A">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w:t>
                  </w:r>
                </w:p>
              </w:tc>
              <w:tc>
                <w:tcPr>
                  <w:tcW w:w="4335" w:type="dxa"/>
                  <w:vAlign w:val="center"/>
                </w:tcPr>
                <w:p w14:paraId="52EB7A9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6.5-8.5</w:t>
                  </w:r>
                </w:p>
              </w:tc>
            </w:tr>
            <w:tr w14:paraId="5D38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6617E1A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有机质/（%）</w:t>
                  </w:r>
                </w:p>
              </w:tc>
              <w:tc>
                <w:tcPr>
                  <w:tcW w:w="4335" w:type="dxa"/>
                  <w:vAlign w:val="center"/>
                </w:tcPr>
                <w:p w14:paraId="194559A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0.5</w:t>
                  </w:r>
                </w:p>
              </w:tc>
            </w:tr>
            <w:tr w14:paraId="12AD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3289FF7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配套设施（道路）</w:t>
                  </w:r>
                </w:p>
              </w:tc>
              <w:tc>
                <w:tcPr>
                  <w:tcW w:w="4335" w:type="dxa"/>
                  <w:vAlign w:val="center"/>
                </w:tcPr>
                <w:p w14:paraId="2E9D5B3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达到</w:t>
                  </w:r>
                  <w:r>
                    <w:rPr>
                      <w:rFonts w:hint="default" w:ascii="Times New Roman" w:hAnsi="Times New Roman" w:cs="Times New Roman"/>
                      <w:color w:val="auto"/>
                      <w:sz w:val="21"/>
                      <w:szCs w:val="21"/>
                      <w:lang w:val="en-US" w:eastAsia="zh-CN"/>
                    </w:rPr>
                    <w:t>当地本行业工程</w:t>
                  </w:r>
                  <w:r>
                    <w:rPr>
                      <w:rFonts w:hint="default" w:ascii="Times New Roman" w:hAnsi="Times New Roman" w:cs="Times New Roman"/>
                      <w:color w:val="auto"/>
                      <w:sz w:val="21"/>
                      <w:szCs w:val="21"/>
                    </w:rPr>
                    <w:t>建设标准要求</w:t>
                  </w:r>
                </w:p>
              </w:tc>
            </w:tr>
            <w:tr w14:paraId="1C82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52C6DBEC">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定植密度</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株</w:t>
                  </w:r>
                  <w:r>
                    <w:rPr>
                      <w:rFonts w:hint="default" w:ascii="Times New Roman" w:hAnsi="Times New Roman" w:cs="Times New Roman"/>
                      <w:color w:val="auto"/>
                      <w:sz w:val="21"/>
                      <w:szCs w:val="21"/>
                    </w:rPr>
                    <w:t>/hm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4335" w:type="dxa"/>
                  <w:vAlign w:val="center"/>
                </w:tcPr>
                <w:p w14:paraId="662DBDE8">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满足《造林作业设计规程》（LY/T1607）要求</w:t>
                  </w:r>
                </w:p>
              </w:tc>
            </w:tr>
            <w:tr w14:paraId="2E98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0024495E">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郁闭</w:t>
                  </w:r>
                  <w:r>
                    <w:rPr>
                      <w:rFonts w:hint="default" w:ascii="Times New Roman" w:hAnsi="Times New Roman" w:cs="Times New Roman"/>
                      <w:color w:val="auto"/>
                      <w:sz w:val="21"/>
                      <w:szCs w:val="21"/>
                    </w:rPr>
                    <w:t>度/（%）</w:t>
                  </w:r>
                </w:p>
              </w:tc>
              <w:tc>
                <w:tcPr>
                  <w:tcW w:w="4335" w:type="dxa"/>
                  <w:vAlign w:val="center"/>
                </w:tcPr>
                <w:p w14:paraId="14754131">
                  <w:pPr>
                    <w:pStyle w:val="27"/>
                    <w:bidi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0.30</w:t>
                  </w:r>
                </w:p>
              </w:tc>
            </w:tr>
          </w:tbl>
          <w:p w14:paraId="4CCA785D">
            <w:pPr>
              <w:pStyle w:val="1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表5-2  临时生态保护措施一览表</w:t>
            </w:r>
          </w:p>
          <w:tbl>
            <w:tblPr>
              <w:tblStyle w:val="20"/>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453"/>
              <w:gridCol w:w="1728"/>
              <w:gridCol w:w="2832"/>
            </w:tblGrid>
            <w:tr w14:paraId="229E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7" w:type="pct"/>
                  <w:noWrap w:val="0"/>
                  <w:vAlign w:val="center"/>
                </w:tcPr>
                <w:p w14:paraId="2651EEF3">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现状占地类型</w:t>
                  </w:r>
                </w:p>
              </w:tc>
              <w:tc>
                <w:tcPr>
                  <w:tcW w:w="1424" w:type="pct"/>
                  <w:noWrap w:val="0"/>
                  <w:vAlign w:val="center"/>
                </w:tcPr>
                <w:p w14:paraId="1C2DF68C">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恢复类型及面积</w:t>
                  </w:r>
                </w:p>
              </w:tc>
              <w:tc>
                <w:tcPr>
                  <w:tcW w:w="1003" w:type="pct"/>
                  <w:noWrap w:val="0"/>
                  <w:vAlign w:val="center"/>
                </w:tcPr>
                <w:p w14:paraId="2D2F3E15">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恢复种植</w:t>
                  </w:r>
                </w:p>
              </w:tc>
              <w:tc>
                <w:tcPr>
                  <w:tcW w:w="1644" w:type="pct"/>
                  <w:noWrap w:val="0"/>
                  <w:vAlign w:val="center"/>
                </w:tcPr>
                <w:p w14:paraId="1D612158">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恢复时间</w:t>
                  </w:r>
                </w:p>
              </w:tc>
            </w:tr>
            <w:tr w14:paraId="4F73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927" w:type="pct"/>
                  <w:noWrap w:val="0"/>
                  <w:vAlign w:val="center"/>
                </w:tcPr>
                <w:p w14:paraId="70662C2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耕地、种植园用地、林地、草地</w:t>
                  </w:r>
                </w:p>
              </w:tc>
              <w:tc>
                <w:tcPr>
                  <w:tcW w:w="1424" w:type="pct"/>
                  <w:noWrap w:val="0"/>
                  <w:vAlign w:val="center"/>
                </w:tcPr>
                <w:p w14:paraId="1624CEE3">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项目临时占地14348m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，临时用地恢复原状，即</w:t>
                  </w:r>
                  <w:r>
                    <w:rPr>
                      <w:rFonts w:hint="default" w:ascii="Times New Roman" w:hAnsi="Times New Roman" w:eastAsia="宋体" w:cs="Times New Roman"/>
                      <w:color w:val="auto"/>
                      <w:sz w:val="21"/>
                      <w:szCs w:val="21"/>
                      <w:lang w:val="en-US" w:eastAsia="zh-CN"/>
                    </w:rPr>
                    <w:t>耕地</w:t>
                  </w:r>
                  <w:r>
                    <w:rPr>
                      <w:rFonts w:hint="default" w:ascii="Times New Roman" w:hAnsi="Times New Roman" w:eastAsia="宋体" w:cs="Times New Roman"/>
                      <w:color w:val="auto"/>
                      <w:sz w:val="21"/>
                      <w:szCs w:val="21"/>
                      <w:highlight w:val="none"/>
                      <w:lang w:val="en-US" w:eastAsia="zh-CN"/>
                    </w:rPr>
                    <w:t>恢复为</w:t>
                  </w:r>
                  <w:r>
                    <w:rPr>
                      <w:rFonts w:hint="default" w:ascii="Times New Roman" w:hAnsi="Times New Roman" w:eastAsia="宋体" w:cs="Times New Roman"/>
                      <w:color w:val="auto"/>
                      <w:sz w:val="21"/>
                      <w:szCs w:val="21"/>
                      <w:lang w:val="en-US" w:eastAsia="zh-CN"/>
                    </w:rPr>
                    <w:t>耕地，</w:t>
                  </w:r>
                  <w:r>
                    <w:rPr>
                      <w:rFonts w:hint="default" w:ascii="Times New Roman" w:hAnsi="Times New Roman" w:eastAsia="宋体" w:cs="Times New Roman"/>
                      <w:color w:val="auto"/>
                      <w:sz w:val="21"/>
                      <w:szCs w:val="21"/>
                      <w:highlight w:val="none"/>
                      <w:lang w:val="en-US" w:eastAsia="zh-CN"/>
                    </w:rPr>
                    <w:t>草地恢复为草地，林地恢复为林地，并辅以草地搭配。</w:t>
                  </w:r>
                </w:p>
              </w:tc>
              <w:tc>
                <w:tcPr>
                  <w:tcW w:w="1003" w:type="pct"/>
                  <w:noWrap w:val="0"/>
                  <w:vAlign w:val="center"/>
                </w:tcPr>
                <w:p w14:paraId="49DBB06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林木</w:t>
                  </w:r>
                  <w:r>
                    <w:rPr>
                      <w:rFonts w:hint="default" w:ascii="Times New Roman" w:hAnsi="Times New Roman" w:cs="Times New Roman"/>
                      <w:color w:val="auto"/>
                      <w:sz w:val="21"/>
                      <w:szCs w:val="21"/>
                    </w:rPr>
                    <w:t>优先考虑灌木树种，</w:t>
                  </w:r>
                  <w:r>
                    <w:rPr>
                      <w:rFonts w:hint="default" w:ascii="Times New Roman" w:hAnsi="Times New Roman" w:cs="Times New Roman"/>
                      <w:color w:val="auto"/>
                      <w:sz w:val="21"/>
                      <w:szCs w:val="21"/>
                      <w:lang w:val="en-US" w:eastAsia="zh-CN"/>
                    </w:rPr>
                    <w:t>如</w:t>
                  </w:r>
                  <w:r>
                    <w:rPr>
                      <w:rFonts w:hint="default" w:ascii="Times New Roman" w:hAnsi="Times New Roman" w:cs="Times New Roman"/>
                      <w:color w:val="auto"/>
                      <w:sz w:val="21"/>
                      <w:szCs w:val="21"/>
                    </w:rPr>
                    <w:t>柠条、沙棘等；草本有冰草、沙打旺、沙嵩、黄蒿等</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耕地交由农民进行复垦，给农户相应的补偿</w:t>
                  </w:r>
                </w:p>
              </w:tc>
              <w:tc>
                <w:tcPr>
                  <w:tcW w:w="1644" w:type="pct"/>
                  <w:noWrap w:val="0"/>
                  <w:vAlign w:val="center"/>
                </w:tcPr>
                <w:p w14:paraId="1BD3F887">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施工结合后根据气候条件适时开展生态恢复工作，确保2-3年内临时占地恢复到原有植被类型和覆盖度。</w:t>
                  </w:r>
                </w:p>
              </w:tc>
            </w:tr>
          </w:tbl>
          <w:p w14:paraId="717797AE">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永久封井时，项目临时占地生态恢复措施设计图见图5-3。</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9"/>
            </w:tblGrid>
            <w:tr w14:paraId="6300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649B11E3">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rPr>
                    <w:drawing>
                      <wp:inline distT="0" distB="0" distL="114300" distR="114300">
                        <wp:extent cx="5322570" cy="1861185"/>
                        <wp:effectExtent l="0" t="0" r="1143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6"/>
                                <a:stretch>
                                  <a:fillRect/>
                                </a:stretch>
                              </pic:blipFill>
                              <pic:spPr>
                                <a:xfrm>
                                  <a:off x="0" y="0"/>
                                  <a:ext cx="5322570" cy="1861185"/>
                                </a:xfrm>
                                <a:prstGeom prst="rect">
                                  <a:avLst/>
                                </a:prstGeom>
                                <a:noFill/>
                                <a:ln>
                                  <a:noFill/>
                                </a:ln>
                              </pic:spPr>
                            </pic:pic>
                          </a:graphicData>
                        </a:graphic>
                      </wp:inline>
                    </w:drawing>
                  </w:r>
                </w:p>
              </w:tc>
            </w:tr>
            <w:tr w14:paraId="7162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64529BE3">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林地恢复为林地，</w:t>
                  </w:r>
                  <w:r>
                    <w:rPr>
                      <w:rFonts w:hint="default" w:ascii="Times New Roman" w:hAnsi="Times New Roman" w:eastAsia="宋体" w:cs="Times New Roman"/>
                      <w:b/>
                      <w:bCs/>
                      <w:color w:val="auto"/>
                      <w:sz w:val="21"/>
                      <w:szCs w:val="21"/>
                      <w:highlight w:val="none"/>
                      <w:lang w:val="en-US" w:eastAsia="zh-CN"/>
                    </w:rPr>
                    <w:t>辅以草地搭配。</w:t>
                  </w:r>
                </w:p>
              </w:tc>
            </w:tr>
            <w:tr w14:paraId="442F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5EE44501">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rPr>
                    <w:drawing>
                      <wp:inline distT="0" distB="0" distL="114300" distR="114300">
                        <wp:extent cx="5442585" cy="1965325"/>
                        <wp:effectExtent l="0" t="0" r="5715" b="158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7"/>
                                <a:stretch>
                                  <a:fillRect/>
                                </a:stretch>
                              </pic:blipFill>
                              <pic:spPr>
                                <a:xfrm>
                                  <a:off x="0" y="0"/>
                                  <a:ext cx="5442585" cy="1965325"/>
                                </a:xfrm>
                                <a:prstGeom prst="rect">
                                  <a:avLst/>
                                </a:prstGeom>
                                <a:noFill/>
                                <a:ln>
                                  <a:noFill/>
                                </a:ln>
                              </pic:spPr>
                            </pic:pic>
                          </a:graphicData>
                        </a:graphic>
                      </wp:inline>
                    </w:drawing>
                  </w:r>
                </w:p>
              </w:tc>
            </w:tr>
            <w:tr w14:paraId="4E42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4D7CDC8">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草地恢复为草地</w:t>
                  </w:r>
                </w:p>
              </w:tc>
            </w:tr>
          </w:tbl>
          <w:p w14:paraId="1F892A0B">
            <w:pPr>
              <w:keepLines w:val="0"/>
              <w:pageBreakBefore w:val="0"/>
              <w:kinsoku/>
              <w:wordWrap/>
              <w:overflowPunct/>
              <w:topLinePunct w:val="0"/>
              <w:autoSpaceDE/>
              <w:autoSpaceDN/>
              <w:bidi w:val="0"/>
              <w:adjustRightInd w:val="0"/>
              <w:snapToGrid/>
              <w:spacing w:line="360" w:lineRule="auto"/>
              <w:ind w:right="0" w:firstLine="420" w:firstLineChars="20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图5-3  项目临时占地生态恢复措施图</w:t>
            </w:r>
          </w:p>
          <w:p w14:paraId="4A017A7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（5）生态环境综合整治后效果</w:t>
            </w:r>
          </w:p>
          <w:p w14:paraId="7B4F539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由工程分析和影响分析可知，工程建设对生态环境的影响主要表现在对局部植被以及土壤环境等的影响。本项目为临时占地，植被的破坏为临时性影响，钻井结束后，对临时占用的土地进行植被恢复。通过类比调查同类探井项目土地和植被的恢复情况可知，植被恢复较好，植物生长未受到影响，不会破坏生态系统的结构和稳定性，具体治理后植被恢复效果要不低于周边其他区域。</w:t>
            </w:r>
          </w:p>
          <w:p w14:paraId="2997979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工程占地</w:t>
            </w:r>
            <w:r>
              <w:rPr>
                <w:rFonts w:hint="default" w:ascii="Times New Roman" w:hAnsi="Times New Roman" w:cs="Times New Roman"/>
                <w:color w:val="auto"/>
                <w:lang w:val="en-US" w:eastAsia="zh-CN"/>
              </w:rPr>
              <w:t>为</w:t>
            </w:r>
            <w:r>
              <w:rPr>
                <w:rFonts w:hint="default" w:ascii="Times New Roman" w:hAnsi="Times New Roman" w:cs="Times New Roman"/>
                <w:color w:val="auto"/>
              </w:rPr>
              <w:t>临时占地，当勘探井不具有开发价值时，采取永久封井，对临时占地区域恢复原有植被和生态景观，使区域生态景观和谐一致恢复原状；当勘探井具有开发价值时，采取临时封井，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按标准化井场进行建设和管理，无论临时封井还是永久封井都需进行生态恢复</w:t>
            </w:r>
            <w:r>
              <w:rPr>
                <w:rFonts w:hint="default" w:ascii="Times New Roman" w:hAnsi="Times New Roman" w:cs="Times New Roman"/>
                <w:color w:val="auto"/>
                <w:sz w:val="24"/>
              </w:rPr>
              <w:t>。</w:t>
            </w:r>
          </w:p>
          <w:p w14:paraId="3570158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环评要求项目生态恢复过程必须将地面所有与采气无关的设施、设备及地面硬化的砖瓦等必须全部拆除，恢复原有土地类型，覆盖场地保留的表土后对场地进行绿化。不得在原有场地直接覆盖表土后直接对场地绿化。</w:t>
            </w:r>
          </w:p>
          <w:p w14:paraId="6245A06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）防沙治沙保护措施</w:t>
            </w:r>
          </w:p>
          <w:p w14:paraId="6B84ABD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榆林市防止二次沙化及国土绿化五年行动方案（2021-2025年）》要求，坚持生态优先、绿色发展原则，顺应自然，保护自然，以自然恢复为主、人工促进为辅，坚持人与自然和谐共生，坚持保护与发展并进。坚持因地制宜、科学施策原则，严禁违规占用耕地造林绿化，做好防风治沙措施；榆林市《关于加强生态文明建设打造黄土高原生态文明示范区的决定》要求，因地制宜建设乔灌草相结合的防护林体系，引进适宜性经济林树种，实现从防沙治沙到养沙用沙。</w:t>
            </w:r>
          </w:p>
          <w:p w14:paraId="2546C04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本项目施工过程中开挖会扰动地面，损坏植被，引发土地沙化。本次评价提出以下防沙治沙措施：</w:t>
            </w:r>
          </w:p>
          <w:p w14:paraId="52042A5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土方开挖保护措施</w:t>
            </w:r>
          </w:p>
          <w:p w14:paraId="39197C0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施工土方全部用于场地平整，严禁随意堆置；</w:t>
            </w:r>
          </w:p>
          <w:p w14:paraId="5610409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采取有效措施减缓施工扬尘，遇到干燥、易起尘的土方施工作业时，应辅以洒水压尘，尽量缩短起尘操作时间，遇到四级及以上大风天气，应停止土方作业，同时作业处覆以防尘网；</w:t>
            </w:r>
          </w:p>
          <w:p w14:paraId="64532F5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施工期及时采取临时拦挡苫盖措施，工程结束后，及时实施水土保持工程措施和植物措施，提高水土保持防治措施标准，有效的防治水土流失。</w:t>
            </w:r>
          </w:p>
          <w:p w14:paraId="5FDCC5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植物措施</w:t>
            </w:r>
          </w:p>
          <w:p w14:paraId="2872E2C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施工过程中，严格控制施工占地范围，尽可能减少对植被的破坏；</w:t>
            </w:r>
          </w:p>
          <w:p w14:paraId="0F93F78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项目施工结束后，对临时占地进行植被恢复，耕地交由农户进行复垦，园地种植原有果树</w:t>
            </w:r>
            <w:r>
              <w:rPr>
                <w:rFonts w:hint="default" w:ascii="Times New Roman" w:hAnsi="Times New Roman" w:eastAsia="宋体" w:cs="Times New Roman"/>
                <w:color w:val="auto"/>
                <w:lang w:eastAsia="zh-CN"/>
              </w:rPr>
              <w:t>，</w:t>
            </w:r>
            <w:r>
              <w:rPr>
                <w:rFonts w:hint="default" w:ascii="Times New Roman" w:hAnsi="Times New Roman" w:cs="Times New Roman"/>
                <w:color w:val="auto"/>
              </w:rPr>
              <w:t>草地恢复为草地，林地恢复为林地，并辅以草地搭配。林木优先考虑灌木树种，如柠条、沙棘等，草本有冰草、沙打旺、沙嵩、黄蒿等。项目及时采取撒播草籽、种植灌木等措施，恢复原地貌，通过种植草灌木，实现抗风固土防沙效果。</w:t>
            </w:r>
          </w:p>
          <w:p w14:paraId="2E86DD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管理措施</w:t>
            </w:r>
          </w:p>
          <w:p w14:paraId="59D57FC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期间应划定施工活动范围，严格控制地表扰动范围，严格控制和管理运输车辆及重型机械的运行线路和范围，合理确定施工期运输路线，避免车辆随意碾压破坏地表，由专人负责，以防破坏周边土壤和植被，加剧土地荒漠化。</w:t>
            </w:r>
          </w:p>
          <w:p w14:paraId="6EF6FB4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在施工过程中，不得随意碾压项目周边其他固沙植被。施工结束后，对施工迹地及时进行整治、恢复，减轻水土流失，使其受影响的程度降到最低。</w:t>
            </w:r>
          </w:p>
          <w:p w14:paraId="23E80B4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建设单位应牵头组织专业的护林、护草人员，对新栽植的树木、草灌统一进行管护，包括管护期内对幼树的抚育管理，确保树木成活。落实绿化管护责任。发现问题及时补栽补救。</w:t>
            </w:r>
          </w:p>
          <w:p w14:paraId="3F7ED9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二、施工期废气防治措施</w:t>
            </w:r>
          </w:p>
          <w:p w14:paraId="36FFB9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1、钻前工程扬尘</w:t>
            </w:r>
          </w:p>
          <w:p w14:paraId="7E36398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为进一步改善环境空气质量，加强扬尘污染控制，本项目应严格执行《国务院关于印发大气污染防治行动计划的通知》（国发〔2013〕37号）、《陕西省大气污染防治条例》（2014.1.1）、《陕西省建筑施工扬尘治理行动方案》、《建筑施工扬尘治理措施》</w:t>
            </w:r>
            <w:r>
              <w:rPr>
                <w:rFonts w:hint="default" w:ascii="Times New Roman" w:hAnsi="Times New Roman" w:eastAsia="宋体" w:cs="Times New Roman"/>
                <w:color w:val="auto"/>
                <w:lang w:eastAsia="zh-CN"/>
              </w:rPr>
              <w:t>、《榆林市2025年生态环境保护铁腕攻坚行动方案》</w:t>
            </w:r>
            <w:r>
              <w:rPr>
                <w:rFonts w:hint="default" w:ascii="Times New Roman" w:hAnsi="Times New Roman" w:cs="Times New Roman"/>
                <w:color w:val="auto"/>
              </w:rPr>
              <w:t>等相关规定，并采取以下控制措施，以减缓施工扬尘对周边大气环境的影响。</w:t>
            </w:r>
          </w:p>
          <w:p w14:paraId="426BCF8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①施工工地周围按照规范设置硬质材料密闭围挡；</w:t>
            </w:r>
          </w:p>
          <w:p w14:paraId="2F5603F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②禁止在大风天施工作业，尤其引起地面扰动的作业；</w:t>
            </w:r>
          </w:p>
          <w:p w14:paraId="56A3CEC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③对临时堆放的土石方采取篷布遮盖、拦挡等临时性防护措施；</w:t>
            </w:r>
          </w:p>
          <w:p w14:paraId="56A1FC8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④对站区地面、主要施工点周围地面采取洒水降尘等防尘措施；</w:t>
            </w:r>
          </w:p>
          <w:p w14:paraId="6F8165E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⑤施工场地出入口必须进行车辆清洗设备及配套的排水、泥浆沉淀设施；加强运输车辆的管理，不得超载，同时需采取密封、遮盖等措施；</w:t>
            </w:r>
          </w:p>
          <w:p w14:paraId="65D6444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⑥气象预报风速达到四级以上或出现重污染天气状况时，严禁土石方、开挖、回填、倒土等可能产生扬尘的施工作业，同时要对现场采取覆盖、洒水等降尘措施；</w:t>
            </w:r>
          </w:p>
          <w:p w14:paraId="5509377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⑦施工现场禁止将包装物、可燃垃圾等固体废弃物就地焚烧。</w:t>
            </w:r>
          </w:p>
          <w:p w14:paraId="5C3D5C8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评价认为，只要加强管理、切实落实好上述措施，达到《施工场界扬尘排放限值》（DB61/1078-2017）的相关要求，施工场地扬尘对环境的影响将会大大降低，同时其对环境的影响也将随施工的结束而消失。</w:t>
            </w:r>
          </w:p>
          <w:p w14:paraId="67D520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2、完井测试放喷废气</w:t>
            </w:r>
          </w:p>
          <w:p w14:paraId="207B4C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测试放喷采用空中灼烧降低废气的毒性。放喷废气通过燃烧后进行排放。本项目放喷池选址位于</w:t>
            </w:r>
            <w:r>
              <w:rPr>
                <w:rFonts w:hint="default" w:ascii="Times New Roman" w:hAnsi="Times New Roman" w:eastAsia="宋体" w:cs="Times New Roman"/>
                <w:b w:val="0"/>
                <w:bCs w:val="0"/>
                <w:color w:val="auto"/>
                <w:sz w:val="24"/>
                <w:szCs w:val="24"/>
                <w:highlight w:val="none"/>
                <w:vertAlign w:val="baseline"/>
                <w:lang w:val="en-US" w:eastAsia="zh-CN"/>
              </w:rPr>
              <w:t>距离井口100m外的场地上</w:t>
            </w:r>
            <w:r>
              <w:rPr>
                <w:rFonts w:hint="default" w:ascii="Times New Roman" w:hAnsi="Times New Roman" w:eastAsia="宋体" w:cs="Times New Roman"/>
                <w:b w:val="0"/>
                <w:bCs w:val="0"/>
                <w:color w:val="auto"/>
                <w:sz w:val="24"/>
                <w:szCs w:val="24"/>
                <w:vertAlign w:val="baseline"/>
                <w:lang w:val="en-US" w:eastAsia="zh-CN"/>
              </w:rPr>
              <w:t>，项目放喷池内壁由防火砖砌成，外侧设有钢筋水泥墙及钢板，</w:t>
            </w:r>
            <w:r>
              <w:rPr>
                <w:rFonts w:hint="default" w:ascii="Times New Roman" w:hAnsi="Times New Roman" w:eastAsia="宋体" w:cs="Times New Roman"/>
                <w:b w:val="0"/>
                <w:bCs w:val="0"/>
                <w:color w:val="auto"/>
                <w:sz w:val="24"/>
                <w:szCs w:val="24"/>
                <w:highlight w:val="none"/>
                <w:vertAlign w:val="baseline"/>
                <w:lang w:val="en-US" w:eastAsia="zh-CN"/>
              </w:rPr>
              <w:t>放喷池周边200m范围内无居民，周边50m范围植被以灌木林地为主</w:t>
            </w:r>
            <w:r>
              <w:rPr>
                <w:rFonts w:hint="default" w:ascii="Times New Roman" w:hAnsi="Times New Roman" w:eastAsia="宋体" w:cs="Times New Roman"/>
                <w:b w:val="0"/>
                <w:bCs w:val="0"/>
                <w:color w:val="auto"/>
                <w:sz w:val="24"/>
                <w:szCs w:val="24"/>
                <w:vertAlign w:val="baseline"/>
                <w:lang w:val="en-US" w:eastAsia="zh-CN"/>
              </w:rPr>
              <w:t>，无高大林木，地势空旷便于废气扩散，且放喷池位于当地常年风向的侧风向处。</w:t>
            </w:r>
          </w:p>
          <w:p w14:paraId="3260A0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最大程度降低测试放喷废气对环境的影响，测试放喷时，要选择合适的时间，在天气晴朗，且风较大的天气进行，便于废气扩散。加之测试放喷时间短，对大气环境的影响较短，测试完毕，影响很快消除，因此对环境的影响不大。</w:t>
            </w:r>
          </w:p>
          <w:p w14:paraId="21D909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项目放喷池周边200m范围内无居民居住，为</w:t>
            </w:r>
            <w:r>
              <w:rPr>
                <w:rFonts w:hint="default" w:ascii="Times New Roman" w:hAnsi="Times New Roman" w:eastAsia="宋体" w:cs="Times New Roman"/>
                <w:b w:val="0"/>
                <w:bCs w:val="0"/>
                <w:color w:val="auto"/>
                <w:sz w:val="24"/>
                <w:szCs w:val="24"/>
                <w:vertAlign w:val="baseline"/>
                <w:lang w:val="en-US" w:eastAsia="zh-CN"/>
              </w:rPr>
              <w:t>减轻工程放喷对附近农户的影响，环评建议在放喷前，建设方应根据安全需求对距放喷口200m范围建立警戒点并进行24小时警戒，在放喷期间告诫附近村民不要在项目区周边活动，减轻放喷废气对附近农户的影响。在放喷时，虽然采用放喷池放喷，但是放喷天然气燃烧产生的热辐射会对测试区周围的土壤和植被会造成灼伤，这种影响需要一定的时间才能逐步恢复。</w:t>
            </w:r>
          </w:p>
          <w:p w14:paraId="796323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由上分析，本项目除了在放喷时由于热辐射会对放喷池周围的土壤和植被造成灼伤外，其产生的废气对当地大气环境影响甚微。</w:t>
            </w:r>
          </w:p>
          <w:p w14:paraId="41BC3F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严格执行《石油天然气钻井、开发、储运、防火防爆安全生产技术规程》(SY5225-2012)关于放喷池选址要求及放喷撤离要求的前提下。本项目的实施不会造成该区域的环境空气质量发生改变，不会对周边保护目标造成明显不利影响。</w:t>
            </w:r>
          </w:p>
          <w:p w14:paraId="077D08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3、事故放喷废气</w:t>
            </w:r>
          </w:p>
          <w:p w14:paraId="1D3267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进入气层后，有可能遇到异常高压气流，如果井内泥浆密度值过低，达不到平衡井内压力要求，就可能发生井喷。此时利用防喷器迅速封闭井口，若井口压力过高，则打开放喷管线阀门泄压，即事故放喷，事故放喷在石油天然气行业是低概率事件。事故放喷主产物是天然气燃烧后产生的S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、NOx、CO、H</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S、烃类。事故放喷时间持续较短，且通过专用的放喷管线将天然气引至放喷池进行点火放喷，事故放喷时间段，属临时排放，放喷完毕，影响很快消除，环评要求建设单位在发生事故时对周边居民实施临时疏散，因此事故放喷对周边人群健康基本无影响，对环境影响也较小。</w:t>
            </w:r>
          </w:p>
          <w:p w14:paraId="046ED0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4、施工机械及运输车辆排放的汽车尾气防治措施</w:t>
            </w:r>
          </w:p>
          <w:p w14:paraId="783FBBD3">
            <w:pPr>
              <w:pStyle w:val="2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本项目施工期间各类机械均采用电驱动，属于清洁能源，施工机械不会产生大气污染物。</w:t>
            </w:r>
          </w:p>
          <w:p w14:paraId="795262FE">
            <w:pPr>
              <w:pStyle w:val="26"/>
              <w:bidi w:val="0"/>
              <w:rPr>
                <w:rFonts w:hint="default" w:ascii="Times New Roman" w:hAnsi="Times New Roman" w:cs="Times New Roman"/>
                <w:color w:val="auto"/>
              </w:rPr>
            </w:pPr>
            <w:r>
              <w:rPr>
                <w:rFonts w:hint="default" w:ascii="Times New Roman" w:hAnsi="Times New Roman" w:cs="Times New Roman"/>
                <w:color w:val="auto"/>
              </w:rPr>
              <w:t>施工车辆废气的主要污染物为氮氧化物、二氧化硫和一氧化碳</w:t>
            </w:r>
            <w:r>
              <w:rPr>
                <w:rFonts w:hint="default" w:ascii="Times New Roman" w:hAnsi="Times New Roman" w:cs="Times New Roman"/>
                <w:color w:val="auto"/>
                <w:lang w:eastAsia="zh-CN"/>
              </w:rPr>
              <w:t>，</w:t>
            </w:r>
            <w:r>
              <w:rPr>
                <w:rFonts w:hint="default" w:ascii="Times New Roman" w:hAnsi="Times New Roman" w:cs="Times New Roman"/>
                <w:color w:val="auto"/>
              </w:rPr>
              <w:t>其特点是排放量小，属间断性无组织排放，加之施工场地开阔，扩散条件良好，而且废气排放是小范围的短期影响，随着施工期的结束，影响将会消失，因此对周围环境空气影响较小。</w:t>
            </w:r>
          </w:p>
          <w:p w14:paraId="16AED2B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eastAsia="宋体" w:cs="Times New Roman"/>
                <w:color w:val="auto"/>
                <w:lang w:val="en-US" w:eastAsia="zh-CN"/>
              </w:rPr>
              <w:t>为</w:t>
            </w:r>
            <w:r>
              <w:rPr>
                <w:rFonts w:hint="default" w:ascii="Times New Roman" w:hAnsi="Times New Roman" w:cs="Times New Roman"/>
                <w:color w:val="auto"/>
              </w:rPr>
              <w:t>进一步降低施工过程中机械设备、运输车辆废气对环境的影响，本次环评提出：</w:t>
            </w:r>
          </w:p>
          <w:p w14:paraId="42F2E94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①定期对机械设备、运输车辆检修、维护，提高机械的正常使用率，尽量减少车辆怠速空档；</w:t>
            </w:r>
          </w:p>
          <w:p w14:paraId="47F0E11A">
            <w:pPr>
              <w:pStyle w:val="26"/>
              <w:bidi w:val="0"/>
              <w:rPr>
                <w:rFonts w:hint="default" w:ascii="Times New Roman" w:hAnsi="Times New Roman" w:cs="Times New Roman"/>
                <w:color w:val="auto"/>
              </w:rPr>
            </w:pPr>
            <w:r>
              <w:rPr>
                <w:rFonts w:hint="default" w:ascii="Times New Roman" w:hAnsi="Times New Roman" w:cs="Times New Roman"/>
                <w:color w:val="auto"/>
              </w:rPr>
              <w:t>②应定期对施工期机械设备和运输车辆排放的废气进行检查监测，机动车污染物排放超标的不得上路行驶；</w:t>
            </w:r>
          </w:p>
          <w:p w14:paraId="24B44523">
            <w:pPr>
              <w:pStyle w:val="2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③严禁使用劣质油，运输车辆优先使用</w:t>
            </w:r>
            <w:r>
              <w:rPr>
                <w:rFonts w:hint="default" w:ascii="Times New Roman" w:hAnsi="Times New Roman" w:eastAsia="宋体" w:cs="Times New Roman"/>
                <w:color w:val="auto"/>
                <w:lang w:val="en-US" w:eastAsia="zh-CN"/>
              </w:rPr>
              <w:t>含硫量低于10ppm的</w:t>
            </w:r>
            <w:r>
              <w:rPr>
                <w:rFonts w:hint="default" w:ascii="Times New Roman" w:hAnsi="Times New Roman" w:cs="Times New Roman"/>
                <w:color w:val="auto"/>
              </w:rPr>
              <w:t>的低硫汽油</w:t>
            </w:r>
            <w:r>
              <w:rPr>
                <w:rFonts w:hint="default" w:ascii="Times New Roman" w:hAnsi="Times New Roman" w:eastAsia="宋体" w:cs="Times New Roman"/>
                <w:color w:val="auto"/>
                <w:lang w:eastAsia="zh-CN"/>
              </w:rPr>
              <w:t>；</w:t>
            </w:r>
          </w:p>
          <w:p w14:paraId="13A9CF4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eastAsia="宋体" w:cs="Times New Roman"/>
                <w:color w:val="auto"/>
                <w:lang w:eastAsia="zh-CN"/>
              </w:rPr>
              <w:t>④</w:t>
            </w:r>
            <w:r>
              <w:rPr>
                <w:rFonts w:hint="default" w:ascii="Times New Roman" w:hAnsi="Times New Roman" w:eastAsia="宋体" w:cs="Times New Roman"/>
                <w:color w:val="auto"/>
                <w:sz w:val="24"/>
                <w:szCs w:val="21"/>
              </w:rPr>
              <w:t>施工机械</w:t>
            </w:r>
            <w:r>
              <w:rPr>
                <w:rFonts w:hint="default" w:ascii="Times New Roman" w:hAnsi="Times New Roman" w:eastAsia="宋体" w:cs="Times New Roman"/>
                <w:snapToGrid w:val="0"/>
                <w:color w:val="auto"/>
                <w:sz w:val="24"/>
                <w:szCs w:val="21"/>
              </w:rPr>
              <w:t>废气</w:t>
            </w:r>
            <w:r>
              <w:rPr>
                <w:rFonts w:hint="default" w:ascii="Times New Roman" w:hAnsi="Times New Roman" w:eastAsia="宋体" w:cs="Times New Roman"/>
                <w:snapToGrid w:val="0"/>
                <w:color w:val="auto"/>
                <w:sz w:val="24"/>
                <w:szCs w:val="21"/>
                <w:lang w:val="en-US" w:eastAsia="zh-CN"/>
              </w:rPr>
              <w:t>达到</w:t>
            </w:r>
            <w:r>
              <w:rPr>
                <w:rFonts w:hint="default" w:ascii="Times New Roman" w:hAnsi="Times New Roman" w:eastAsia="宋体" w:cs="Times New Roman"/>
                <w:snapToGrid w:val="0"/>
                <w:color w:val="auto"/>
                <w:sz w:val="24"/>
                <w:szCs w:val="21"/>
              </w:rPr>
              <w:t>《</w:t>
            </w:r>
            <w:r>
              <w:rPr>
                <w:rFonts w:hint="default" w:ascii="Times New Roman" w:hAnsi="Times New Roman" w:eastAsia="宋体" w:cs="Times New Roman"/>
                <w:color w:val="auto"/>
                <w:sz w:val="24"/>
              </w:rPr>
              <w:t>非道路移动机械用柴油机排气污染物排放限值及测量方法（中国第三、四阶段）》及2020年修改单中第四阶段的标准限值</w:t>
            </w:r>
            <w:r>
              <w:rPr>
                <w:rFonts w:hint="default" w:ascii="Times New Roman" w:hAnsi="Times New Roman" w:eastAsia="宋体" w:cs="Times New Roman"/>
                <w:color w:val="auto"/>
                <w:sz w:val="24"/>
                <w:lang w:eastAsia="zh-CN"/>
              </w:rPr>
              <w:t>。</w:t>
            </w:r>
          </w:p>
          <w:p w14:paraId="55DA17D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上，施工期应多加注意施工设备的维护，确保设备正常运行，提高设备原料的利用率。同时合理安排工序，选取优质燃料，禁止运输车辆超载运行等，定期进行车辆尾气检测，对超标排放车辆进行有效的尾气治理，确保所有施工车辆、机械的废气排放达标。</w:t>
            </w:r>
          </w:p>
          <w:p w14:paraId="1985AB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三、废水防治措施</w:t>
            </w:r>
          </w:p>
          <w:p w14:paraId="55B1454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废水治理措施</w:t>
            </w:r>
          </w:p>
          <w:p w14:paraId="366E225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项目勘探期产生的废水主要为生产废水（钻井废水、洗井废水、压裂返排液、放喷废水）和生活污水。钻井结束后最终不能回用的钻井废水、洗井废水、压裂返排液分别收集至专用收集罐，放喷废水收集于放喷池，定期委托陕西榆佳环保科技有限公司采用防渗漏、防溢流的罐车外运处置，不外排。施工营地设旱厕，定期清掏肥田。通过采取以上措施后，能够保证污染物不外排，</w:t>
            </w:r>
            <w:r>
              <w:rPr>
                <w:rFonts w:hint="default" w:ascii="Times New Roman" w:hAnsi="Times New Roman" w:cs="Times New Roman"/>
                <w:color w:val="auto"/>
              </w:rPr>
              <w:t>对地表水环境影响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p>
          <w:p w14:paraId="701BAD6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）废水依托处置可行性分析</w:t>
            </w:r>
          </w:p>
          <w:p w14:paraId="283EE19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cs="Times New Roman"/>
                <w:color w:val="auto"/>
              </w:rPr>
              <w:t>本项目施工期生产废水</w:t>
            </w:r>
            <w:r>
              <w:rPr>
                <w:rFonts w:hint="default" w:ascii="Times New Roman" w:hAnsi="Times New Roman" w:cs="Times New Roman"/>
                <w:color w:val="auto"/>
                <w:lang w:val="en-US" w:eastAsia="zh-CN"/>
              </w:rPr>
              <w:t>委托陕西榆佳环保科技有限公司</w:t>
            </w:r>
            <w:r>
              <w:rPr>
                <w:rFonts w:hint="default" w:ascii="Times New Roman" w:hAnsi="Times New Roman" w:eastAsia="宋体" w:cs="Times New Roman"/>
                <w:color w:val="auto"/>
                <w:lang w:val="en-US" w:eastAsia="zh-CN"/>
              </w:rPr>
              <w:t>采用防渗漏、防溢流的罐车外运处理</w:t>
            </w:r>
            <w:r>
              <w:rPr>
                <w:rFonts w:hint="default" w:ascii="Times New Roman" w:hAnsi="Times New Roman" w:eastAsia="宋体" w:cs="Times New Roman"/>
                <w:color w:val="auto"/>
              </w:rPr>
              <w:t>，不外排。</w:t>
            </w:r>
          </w:p>
          <w:p w14:paraId="10E7476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陕西榆佳环保科技有限公司概况</w:t>
            </w:r>
          </w:p>
          <w:p w14:paraId="3921C03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陕西榆佳环保科技有限公司位于榆林市佳县王家砭镇榆佳经济技术开发区，主要处理佳县及周边气田开采过程产生的泥浆压滤液和压裂返排液。项目采用“二级酸析反应沉淀+液碱+CO</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+隔膜压滤＋精密过滤＋紫外杀菌”工艺对作业废水进行无害化处理，处理规模为2000m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/d，处理后水质达到《碎屑岩油藏注水水质指标技术要求及分析方法》（SY/T5329-2022）用于油(气)开采企业钻井作业或钻井泥浆的配置等</w:t>
            </w:r>
            <w:r>
              <w:rPr>
                <w:rFonts w:hint="default" w:ascii="Times New Roman" w:hAnsi="Times New Roman" w:cs="Times New Roman"/>
                <w:color w:val="auto"/>
                <w:lang w:val="en-US" w:eastAsia="zh-CN"/>
              </w:rPr>
              <w:t>。</w:t>
            </w:r>
          </w:p>
          <w:p w14:paraId="69177A5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②处理工艺流程</w:t>
            </w:r>
          </w:p>
          <w:p w14:paraId="2D1FB7C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陕西榆佳环保科技有限公司集中处理厂水处理工艺流程见图5-4。</w:t>
            </w:r>
          </w:p>
          <w:p w14:paraId="01F555D3">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51170" cy="7093585"/>
                  <wp:effectExtent l="0" t="0" r="11430"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8"/>
                          <a:stretch>
                            <a:fillRect/>
                          </a:stretch>
                        </pic:blipFill>
                        <pic:spPr>
                          <a:xfrm>
                            <a:off x="0" y="0"/>
                            <a:ext cx="5551170" cy="7093585"/>
                          </a:xfrm>
                          <a:prstGeom prst="rect">
                            <a:avLst/>
                          </a:prstGeom>
                          <a:noFill/>
                          <a:ln>
                            <a:noFill/>
                          </a:ln>
                        </pic:spPr>
                      </pic:pic>
                    </a:graphicData>
                  </a:graphic>
                </wp:inline>
              </w:drawing>
            </w:r>
          </w:p>
          <w:p w14:paraId="6DFD6594">
            <w:pPr>
              <w:pStyle w:val="10"/>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5-4</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水</w:t>
            </w:r>
            <w:r>
              <w:rPr>
                <w:rFonts w:hint="default" w:ascii="Times New Roman" w:hAnsi="Times New Roman" w:cs="Times New Roman"/>
                <w:color w:val="auto"/>
                <w:sz w:val="21"/>
                <w:szCs w:val="21"/>
                <w:lang w:eastAsia="zh-CN"/>
              </w:rPr>
              <w:t>处理工艺流程图</w:t>
            </w:r>
          </w:p>
          <w:p w14:paraId="66F4F99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③环保手续执行情况</w:t>
            </w:r>
          </w:p>
          <w:p w14:paraId="1E05CBC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于2024年7月11日取得了榆林市生态环境局下发的环评批复（榆政环批复〔2024〕85号），于2024年10月9日取得了榆林市生态环境局下发的排污许可证，证书编号为91610828MA7LY0FQ2A001V，于2024年12月28日完成了竣工环境保护验收，目前正常运行。</w:t>
            </w:r>
          </w:p>
          <w:p w14:paraId="04BFB1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④依托可行性分析</w:t>
            </w:r>
          </w:p>
          <w:p w14:paraId="1BDE7E9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陕西榆佳环保科技有限公司处置能力范围涵盖压裂返排液、泥浆压滤废液处理等，根据《陕西榆佳环保科技有限公司佳县榆佳经济技术开发区污水处理厂项目（一期）环境影响报告书》，设计进水水质为：pH：6~12；SS&lt;2000mg/L；溶解性总固体＜60000mg/L；总硬度(以CaC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计)&lt;30000mg/L，处理规模为2000m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/d。本项目产生的废水主要为钻井、洗井废水，压裂返排液，放喷废液等，水质同其他油气田水质基本项目。</w:t>
            </w:r>
          </w:p>
          <w:p w14:paraId="5317E1A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陕西榆佳环保科技有限公司设计水处理规模为2000m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default" w:ascii="Times New Roman" w:hAnsi="Times New Roman" w:cs="Times New Roman"/>
                <w:color w:val="auto"/>
                <w:lang w:val="en-US" w:eastAsia="zh-CN"/>
              </w:rPr>
              <w:t>本项目最大废水产生量约为</w:t>
            </w:r>
            <w:r>
              <w:rPr>
                <w:rFonts w:hint="eastAsia" w:ascii="Times New Roman" w:hAnsi="Times New Roman" w:cs="Times New Roman"/>
                <w:color w:val="auto"/>
                <w:lang w:val="en-US" w:eastAsia="zh-CN"/>
              </w:rPr>
              <w:t>756.125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，处理能力能够满足本项目需求，依托可行。</w:t>
            </w:r>
          </w:p>
          <w:p w14:paraId="20B47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四、噪声防治措施</w:t>
            </w:r>
          </w:p>
          <w:p w14:paraId="4C3076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噪声主要为钻井噪声和完井测试噪声，钻井噪声主要来源于钻井设备、泥浆泵、振动筛、压裂车等连续性噪声，噪声源强在85~100dB(A)，为减轻本项目施工期噪声对周围环境的影响，要求采取必要的噪声控制措施。具体措施如下：</w:t>
            </w:r>
          </w:p>
          <w:p w14:paraId="370753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①严格控制施工时间，合理安排施工计划，尽可能避开午休时间动用高噪声设备。</w:t>
            </w:r>
          </w:p>
          <w:p w14:paraId="298BFF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②钻机应选用低噪声设备，安装基础减振垫，场区四周应设置围挡；压裂车设置隔声设备，仅在白天运行，控制压裂作业频率，以进一步降低该部分噪声对周围环境的影响。</w:t>
            </w:r>
          </w:p>
          <w:p w14:paraId="230A29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③优化运输路线，车辆应避免经过敏感路段；车辆在经过周边村庄时应减速，减少鸣笛等，避免出现扰民现象。</w:t>
            </w:r>
          </w:p>
          <w:p w14:paraId="7CA8A0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④降低施工设备噪声，尽量采用低噪声设备；注意对施工机械定期维修保养，使机械保持最佳工作状态，噪声降低到最低水平。</w:t>
            </w:r>
          </w:p>
          <w:p w14:paraId="40E0D6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⑤同一施工地点应避免安排大量动力机械设备，以免局部累积声级过高。选择低噪声设备。</w:t>
            </w:r>
          </w:p>
          <w:p w14:paraId="4EF7A0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通过采取上述综合降噪措施，可有效降低施工过程噪声对周围环境的影响，确保施工期各项施工活动产生的噪声达到《建筑施工场界环境噪声排放标准》（GB12523-2011）中的相关规定限值要求，对周围环境影响较小。</w:t>
            </w:r>
          </w:p>
          <w:p w14:paraId="43B038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五、地下水防治措施</w:t>
            </w:r>
          </w:p>
          <w:p w14:paraId="61334B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本项目采取的地下水污染防治措施如下：</w:t>
            </w:r>
          </w:p>
          <w:p w14:paraId="358DBC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1、表层固井要求：表层固井必须封固含水层。</w:t>
            </w:r>
          </w:p>
          <w:p w14:paraId="265130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作业要求：为了确保地层的承压能力能够满足固井时防漏及打开气层时安全钻井的需要，在进入气层前必须按工程设计要求进行转化钻井液和工艺堵漏；固井所用水泥、外掺料、外加剂及水泥浆配方必须经长庆油田分公司天然气评价项目部工程技术管理部检验认可备案后，方可使用。</w:t>
            </w:r>
          </w:p>
          <w:p w14:paraId="5230EC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3、生产套管固井钻水泥塞要求：生产套管固井后，必须用大排量循环冲洗干净水泥塞连接处的胶皮及铝片。</w:t>
            </w:r>
          </w:p>
          <w:p w14:paraId="3E8D27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4、其他要求：</w:t>
            </w:r>
          </w:p>
          <w:p w14:paraId="4C29FD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（1）钻井中遇到潜水层，下套管时应注水泥封固，防止地下水层被地层其它流体或钻井泥浆污染。</w:t>
            </w:r>
          </w:p>
          <w:p w14:paraId="492E94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要求水泥环有可靠的密封，环空封固段不窜、不漏、胶结良好，能承受高压；套管的设计必须完全符合整个井生命周期中的钻井、完井和生产过程中所有的技术要求，要求套管有足够的强度，在整个井生命周期内能够承受各种外力作用，抗腐蚀、不断、不裂、不变形。固井水泥的返高也是封隔井筒与地下水的主要措施，本项目导管和一开固井水泥均返高至地面，可以多层防护与隔绝井内流体与含水层之间的联系。</w:t>
            </w:r>
          </w:p>
          <w:p w14:paraId="1F4A24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评价要求施工全程定期对井内套管和井壁进行渗漏检查、修缮，防止套管和井壁发生损坏钻导致钻井液的漏失污染地下水。</w:t>
            </w:r>
          </w:p>
          <w:p w14:paraId="544F13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（3）钻井过程中采取平衡钻进，避免因压力挤动和开泵过猛使泥浆憋入地层；</w:t>
            </w:r>
          </w:p>
          <w:p w14:paraId="52F93C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井场储备足够的封堵剂，钻井过程中应密切注意钻井液的漏失情况，一旦出现漏失，应立即采取堵漏措施，防止钻井液的漏失污染地下水；堵漏剂的选取应考虑清洁、无毒、对人体无害、环境污染轻的种类，建议使用水泥堵漏。</w:t>
            </w:r>
          </w:p>
          <w:p w14:paraId="29AEA8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（5）在井下作业过程中，钻井液和压裂液应集中配置，洗井废水、压裂返排液应100%回收。</w:t>
            </w:r>
          </w:p>
          <w:p w14:paraId="4E8509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（6）钻井、压裂作业和试井过程应采取防喷、地面管线防刺、防漏、防溢等措施。</w:t>
            </w:r>
          </w:p>
          <w:p w14:paraId="55323F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（7）应定期对井内套管和井壁进行检查、修缮，防止套管和井壁发生损坏。</w:t>
            </w:r>
          </w:p>
          <w:p w14:paraId="58E224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5、防渗措施</w:t>
            </w:r>
          </w:p>
          <w:p w14:paraId="265423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为进一步减少工程建设对地下水环境的影响，</w:t>
            </w:r>
            <w:r>
              <w:rPr>
                <w:rFonts w:hint="default" w:ascii="Times New Roman" w:hAnsi="Times New Roman" w:eastAsia="宋体" w:cs="Times New Roman"/>
                <w:b w:val="0"/>
                <w:bCs w:val="0"/>
                <w:color w:val="auto"/>
                <w:sz w:val="24"/>
                <w:szCs w:val="24"/>
                <w:vertAlign w:val="baseline"/>
                <w:lang w:val="en-US" w:eastAsia="zh-CN"/>
              </w:rPr>
              <w:t>参照《环境影响评价技术导则地下水环境》(HJ610-2016)</w:t>
            </w:r>
            <w:r>
              <w:rPr>
                <w:rFonts w:hint="eastAsia" w:ascii="Times New Roman" w:hAnsi="Times New Roman" w:eastAsia="宋体" w:cs="Times New Roman"/>
                <w:b w:val="0"/>
                <w:bCs w:val="0"/>
                <w:color w:val="auto"/>
                <w:sz w:val="24"/>
                <w:szCs w:val="24"/>
                <w:vertAlign w:val="baseline"/>
                <w:lang w:val="en-US" w:eastAsia="zh-CN"/>
              </w:rPr>
              <w:t>、《石油化工工程防渗技术规范》（GB/T50934-2013）以及《危险废物贮存污染控制标准》(GB18597-2023)，</w:t>
            </w:r>
            <w:r>
              <w:rPr>
                <w:rFonts w:hint="default" w:ascii="Times New Roman" w:hAnsi="Times New Roman" w:eastAsia="宋体" w:cs="Times New Roman"/>
                <w:b w:val="0"/>
                <w:bCs w:val="0"/>
                <w:color w:val="auto"/>
                <w:sz w:val="24"/>
                <w:szCs w:val="24"/>
                <w:vertAlign w:val="baseline"/>
                <w:lang w:val="en-US" w:eastAsia="zh-CN"/>
              </w:rPr>
              <w:t>环评建议对井场各区域切实做好防渗措施，具体要求见下表。</w:t>
            </w:r>
          </w:p>
          <w:p w14:paraId="6A6715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项目分区防渗措施要求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6"/>
              <w:gridCol w:w="2004"/>
              <w:gridCol w:w="5829"/>
            </w:tblGrid>
            <w:tr w14:paraId="3491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806" w:type="dxa"/>
                  <w:vAlign w:val="center"/>
                </w:tcPr>
                <w:p w14:paraId="30142F70">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分区</w:t>
                  </w:r>
                </w:p>
              </w:tc>
              <w:tc>
                <w:tcPr>
                  <w:tcW w:w="2004" w:type="dxa"/>
                  <w:vAlign w:val="center"/>
                </w:tcPr>
                <w:p w14:paraId="4C1E5068">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位置</w:t>
                  </w:r>
                </w:p>
              </w:tc>
              <w:tc>
                <w:tcPr>
                  <w:tcW w:w="5829" w:type="dxa"/>
                  <w:vAlign w:val="center"/>
                </w:tcPr>
                <w:p w14:paraId="0765E47B">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防渗要求</w:t>
                  </w:r>
                </w:p>
              </w:tc>
            </w:tr>
            <w:tr w14:paraId="1A06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806" w:type="dxa"/>
                  <w:vAlign w:val="center"/>
                </w:tcPr>
                <w:p w14:paraId="7A6BC061">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2004" w:type="dxa"/>
                  <w:vAlign w:val="center"/>
                </w:tcPr>
                <w:p w14:paraId="74ABF935">
                  <w:pPr>
                    <w:pStyle w:val="27"/>
                    <w:bidi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钻井工作区、泥浆不落地系统区、钻井液材料房、储罐区</w:t>
                  </w:r>
                  <w:r>
                    <w:rPr>
                      <w:rFonts w:hint="eastAsia" w:cs="Times New Roman"/>
                      <w:color w:val="auto"/>
                      <w:sz w:val="21"/>
                      <w:szCs w:val="21"/>
                      <w:lang w:val="en-US" w:eastAsia="zh-CN"/>
                    </w:rPr>
                    <w:t>、</w:t>
                  </w:r>
                  <w:r>
                    <w:rPr>
                      <w:rFonts w:hint="eastAsia" w:cs="Times New Roman"/>
                      <w:color w:val="auto"/>
                      <w:sz w:val="21"/>
                      <w:szCs w:val="21"/>
                      <w:lang w:val="en-US" w:eastAsia="zh-CN"/>
                    </w:rPr>
                    <w:t>放喷池</w:t>
                  </w:r>
                </w:p>
              </w:tc>
              <w:tc>
                <w:tcPr>
                  <w:tcW w:w="5829" w:type="dxa"/>
                  <w:vAlign w:val="center"/>
                </w:tcPr>
                <w:p w14:paraId="13470F79">
                  <w:pPr>
                    <w:pStyle w:val="27"/>
                    <w:bidi w:val="0"/>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防渗层的防渗性能不应低于6.0m厚渗透系数为1.0×10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cm/s的黏土层的防渗性能</w:t>
                  </w:r>
                  <w:r>
                    <w:rPr>
                      <w:rFonts w:hint="eastAsia" w:cs="Times New Roman"/>
                      <w:color w:val="auto"/>
                      <w:sz w:val="21"/>
                      <w:szCs w:val="21"/>
                      <w:lang w:eastAsia="zh-CN"/>
                    </w:rPr>
                    <w:t>。</w:t>
                  </w:r>
                </w:p>
              </w:tc>
            </w:tr>
            <w:tr w14:paraId="1DD6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2" w:hRule="atLeast"/>
                <w:jc w:val="center"/>
              </w:trPr>
              <w:tc>
                <w:tcPr>
                  <w:tcW w:w="806" w:type="dxa"/>
                  <w:vAlign w:val="center"/>
                </w:tcPr>
                <w:p w14:paraId="741B61BE">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一般防渗区</w:t>
                  </w:r>
                </w:p>
              </w:tc>
              <w:tc>
                <w:tcPr>
                  <w:tcW w:w="2004" w:type="dxa"/>
                  <w:vAlign w:val="center"/>
                </w:tcPr>
                <w:p w14:paraId="5D8162D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卫生旱厕、原辅材料存储区</w:t>
                  </w:r>
                </w:p>
              </w:tc>
              <w:tc>
                <w:tcPr>
                  <w:tcW w:w="5829" w:type="dxa"/>
                  <w:vAlign w:val="center"/>
                </w:tcPr>
                <w:p w14:paraId="32F3DF77">
                  <w:pPr>
                    <w:pStyle w:val="27"/>
                    <w:keepNext w:val="0"/>
                    <w:keepLines w:val="0"/>
                    <w:pageBreakBefore w:val="0"/>
                    <w:widowControl w:val="0"/>
                    <w:kinsoku/>
                    <w:wordWrap/>
                    <w:overflowPunct/>
                    <w:topLinePunct w:val="0"/>
                    <w:autoSpaceDE/>
                    <w:autoSpaceDN/>
                    <w:bidi w:val="0"/>
                    <w:adjustRightInd w:val="0"/>
                    <w:snapToGrid w:val="0"/>
                    <w:jc w:val="both"/>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防渗层的防渗性能不应低于1.5m厚渗透系数为1.0×10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lang w:val="en-US" w:eastAsia="zh-CN"/>
                    </w:rPr>
                    <w:t>cm/s的黏土层的防渗性能</w:t>
                  </w:r>
                  <w:r>
                    <w:rPr>
                      <w:rFonts w:hint="eastAsia" w:cs="Times New Roman"/>
                      <w:color w:val="auto"/>
                      <w:sz w:val="21"/>
                      <w:szCs w:val="21"/>
                      <w:lang w:val="en-US" w:eastAsia="zh-CN"/>
                    </w:rPr>
                    <w:t>。</w:t>
                  </w:r>
                </w:p>
              </w:tc>
            </w:tr>
            <w:tr w14:paraId="2CDB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806" w:type="dxa"/>
                  <w:vAlign w:val="center"/>
                </w:tcPr>
                <w:p w14:paraId="1FD2A391">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简单防渗区</w:t>
                  </w:r>
                </w:p>
              </w:tc>
              <w:tc>
                <w:tcPr>
                  <w:tcW w:w="2004" w:type="dxa"/>
                  <w:vAlign w:val="center"/>
                </w:tcPr>
                <w:p w14:paraId="5E71423D">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生活区、</w:t>
                  </w:r>
                  <w:r>
                    <w:rPr>
                      <w:rFonts w:hint="default" w:ascii="Times New Roman" w:hAnsi="Times New Roman" w:cs="Times New Roman"/>
                      <w:color w:val="auto"/>
                      <w:sz w:val="21"/>
                      <w:szCs w:val="21"/>
                      <w:lang w:val="en-US" w:eastAsia="zh-CN"/>
                    </w:rPr>
                    <w:t>物料区等其他</w:t>
                  </w:r>
                  <w:r>
                    <w:rPr>
                      <w:rFonts w:hint="default" w:ascii="Times New Roman" w:hAnsi="Times New Roman" w:cs="Times New Roman"/>
                      <w:color w:val="auto"/>
                      <w:sz w:val="21"/>
                      <w:szCs w:val="21"/>
                    </w:rPr>
                    <w:t>区域</w:t>
                  </w:r>
                </w:p>
              </w:tc>
              <w:tc>
                <w:tcPr>
                  <w:tcW w:w="5829" w:type="dxa"/>
                  <w:vAlign w:val="center"/>
                </w:tcPr>
                <w:p w14:paraId="0DD2FAE9">
                  <w:pPr>
                    <w:pStyle w:val="27"/>
                    <w:bidi w:val="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采用黏土碾压方式进行防渗</w:t>
                  </w:r>
                  <w:r>
                    <w:rPr>
                      <w:rFonts w:hint="default" w:ascii="Times New Roman" w:hAnsi="Times New Roman" w:cs="Times New Roman"/>
                      <w:color w:val="auto"/>
                      <w:sz w:val="21"/>
                      <w:szCs w:val="21"/>
                      <w:lang w:eastAsia="zh-CN"/>
                    </w:rPr>
                    <w:t>。</w:t>
                  </w:r>
                </w:p>
              </w:tc>
            </w:tr>
            <w:tr w14:paraId="411C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810" w:type="dxa"/>
                  <w:gridSpan w:val="2"/>
                  <w:vAlign w:val="center"/>
                </w:tcPr>
                <w:p w14:paraId="1EC9351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撬装式</w:t>
                  </w:r>
                  <w:r>
                    <w:rPr>
                      <w:rFonts w:hint="default" w:ascii="Times New Roman" w:hAnsi="Times New Roman" w:cs="Times New Roman"/>
                      <w:color w:val="auto"/>
                      <w:sz w:val="21"/>
                      <w:szCs w:val="21"/>
                      <w:lang w:eastAsia="zh-CN"/>
                    </w:rPr>
                    <w:t>危废贮存库</w:t>
                  </w:r>
                </w:p>
              </w:tc>
              <w:tc>
                <w:tcPr>
                  <w:tcW w:w="5829" w:type="dxa"/>
                  <w:vAlign w:val="center"/>
                </w:tcPr>
                <w:p w14:paraId="0FFE9E42">
                  <w:pPr>
                    <w:pStyle w:val="27"/>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w:t>
                  </w:r>
                  <w:r>
                    <w:rPr>
                      <w:rFonts w:hint="eastAsia" w:cs="Times New Roman"/>
                      <w:color w:val="auto"/>
                      <w:sz w:val="21"/>
                      <w:szCs w:val="21"/>
                      <w:lang w:val="en-US" w:eastAsia="zh-CN"/>
                    </w:rPr>
                    <w:t>需</w:t>
                  </w:r>
                  <w:r>
                    <w:rPr>
                      <w:rFonts w:hint="default" w:ascii="Times New Roman" w:hAnsi="Times New Roman" w:cs="Times New Roman"/>
                      <w:color w:val="auto"/>
                      <w:sz w:val="21"/>
                      <w:szCs w:val="21"/>
                    </w:rPr>
                    <w:t>满足至少1m厚黏土层（渗透系数不大于10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cm/s）的防渗层，或至少2mm厚高密度聚乙烯膜等人工防渗材料（渗透系数不大于10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cm/s），或其他防渗性能等效的材料</w:t>
                  </w:r>
                  <w:r>
                    <w:rPr>
                      <w:rFonts w:hint="eastAsia" w:cs="Times New Roman"/>
                      <w:color w:val="auto"/>
                      <w:sz w:val="21"/>
                      <w:szCs w:val="21"/>
                      <w:lang w:eastAsia="zh-CN"/>
                    </w:rPr>
                    <w:t>。</w:t>
                  </w:r>
                </w:p>
              </w:tc>
            </w:tr>
          </w:tbl>
          <w:p w14:paraId="13B3A9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六、固体废物防治措施</w:t>
            </w:r>
          </w:p>
          <w:p w14:paraId="4D6D12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项目钻井过程中产生的固体废物主要有泥饼、废弃泥浆、钻井队员工产生的生活垃圾等。</w:t>
            </w:r>
          </w:p>
          <w:p w14:paraId="558382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（1）钻井岩屑、废弃泥浆</w:t>
            </w:r>
          </w:p>
          <w:p w14:paraId="37E49E7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①废弃泥浆</w:t>
            </w:r>
          </w:p>
          <w:p w14:paraId="1F7AC0F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废弃钻井泥浆是指在钻井过程中无法利用的剩余泥浆，按照《榆林市油（气）开采废弃物处置环保暂行管理办法》（榆政环发〔2015〕170号）的相关要求进行收集，经场地内泥浆不落地系统配套的移动式收集罐暂存，委托陕西德禾鑫盛环保科技有限公司外运处置。</w:t>
            </w:r>
          </w:p>
          <w:p w14:paraId="5278EA8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项目钻井过程采用移动式泥浆罐，按照钻井过程中液相及固相落地点，进行点对点式收集、储存，实现液相和固相的不落地。收集的废钻井液利用高效固液分离技术，形成再生钻井液，实现废弃钻井液重复利用。</w:t>
            </w:r>
          </w:p>
          <w:p w14:paraId="1F7378E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本项目泥浆循环利用工艺流程见图</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eastAsia="宋体" w:cs="Times New Roman"/>
                <w:color w:val="auto"/>
                <w:lang w:val="en-US" w:eastAsia="zh-CN"/>
              </w:rPr>
              <w:t>5</w:t>
            </w:r>
            <w:r>
              <w:rPr>
                <w:rFonts w:hint="default" w:ascii="Times New Roman" w:hAnsi="Times New Roman" w:cs="Times New Roman"/>
                <w:color w:val="auto"/>
              </w:rPr>
              <w:t>。</w:t>
            </w:r>
          </w:p>
          <w:p w14:paraId="670A3ECA">
            <w:pPr>
              <w:pStyle w:val="2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sz w:val="24"/>
                <w:lang w:bidi="ar"/>
              </w:rPr>
              <w:drawing>
                <wp:inline distT="0" distB="0" distL="114300" distR="114300">
                  <wp:extent cx="3602355" cy="1932940"/>
                  <wp:effectExtent l="0" t="0" r="17145" b="10160"/>
                  <wp:docPr id="15"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4"/>
                          <pic:cNvPicPr>
                            <a:picLocks noChangeAspect="1"/>
                          </pic:cNvPicPr>
                        </pic:nvPicPr>
                        <pic:blipFill>
                          <a:blip r:embed="rId29"/>
                          <a:stretch>
                            <a:fillRect/>
                          </a:stretch>
                        </pic:blipFill>
                        <pic:spPr>
                          <a:xfrm>
                            <a:off x="0" y="0"/>
                            <a:ext cx="3602355" cy="1932940"/>
                          </a:xfrm>
                          <a:prstGeom prst="rect">
                            <a:avLst/>
                          </a:prstGeom>
                          <a:noFill/>
                          <a:ln>
                            <a:noFill/>
                          </a:ln>
                        </pic:spPr>
                      </pic:pic>
                    </a:graphicData>
                  </a:graphic>
                </wp:inline>
              </w:drawing>
            </w:r>
          </w:p>
          <w:p w14:paraId="5A2F0F01">
            <w:pPr>
              <w:pStyle w:val="10"/>
              <w:bidi w:val="0"/>
              <w:ind w:left="0" w:leftChars="0" w:firstLine="0" w:firstLineChars="0"/>
              <w:jc w:val="center"/>
              <w:rPr>
                <w:rFonts w:hint="default"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5-5</w:t>
            </w:r>
            <w:r>
              <w:rPr>
                <w:rFonts w:hint="default" w:ascii="Times New Roman" w:hAnsi="Times New Roman" w:cs="Times New Roman"/>
                <w:color w:val="auto"/>
                <w:sz w:val="21"/>
                <w:szCs w:val="21"/>
                <w:lang w:eastAsia="zh-CN"/>
              </w:rPr>
              <w:t xml:space="preserve">  泥浆循环利用工艺流程图</w:t>
            </w:r>
          </w:p>
          <w:p w14:paraId="3CB58D6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泥浆不落地工艺流程如下：</w:t>
            </w:r>
          </w:p>
          <w:p w14:paraId="10E8D49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泥浆经过振动筛筛分，岩屑成分通过螺旋输送机收集输送至甩干机顶部的进料口进行甩干。甩干机内，岩屑在离心力的作用将上面附着的液体脱出，从振动筛的缝隙中飞入甩干机的液体收集区，然后流入缓冲罐。脱液后的钻屑被刮刀刮下，在离心力作用下沿锥形筛篮的内壁下落，进入岩屑收集罐。</w:t>
            </w:r>
          </w:p>
          <w:p w14:paraId="167786F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②经振动筛筛分排出的泥浆成分送除泥除沙器和离心机进行泥沙分离，分离后的液相组分送至泥浆循环罐循环利用。</w:t>
            </w:r>
          </w:p>
          <w:p w14:paraId="75627D1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③当除泥除砂器和离心机含液量较高时，分离物进入缓冲罐中，汇同岩屑甩干机产生的液相泵送入高速变频离心机中，进行二次固液分离，固相存放于岩屑收集罐，液相进入储备罐用于重新配制泥浆。</w:t>
            </w:r>
          </w:p>
          <w:p w14:paraId="2EFC0A5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④岩屑收集罐内的岩屑和钻井结束后剩余的钻井泥浆交由陕西德禾鑫盛环保科技有限公司处置。</w:t>
            </w:r>
          </w:p>
          <w:p w14:paraId="78F97AB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过程中，井场作业区域地面全部铺设土工布进行地面防渗，井场内不开挖泥浆池，泥浆存于循环罐内，岩屑暂存在钢制收集罐内，储罐底部均铺设防渗布。施工期间在井场对钻井各环节产生的废弃泥浆收集，采取“铺设作业、带罐上岗”的模式作业，规范处理，井场作业完成3天内废弃钻井泥浆交由陕西德禾鑫盛环保科技有限公司处置，对环境影响较小。废弃钻井泥浆在井场经罐车拉运至集中处理场地，谨防抛洒。</w:t>
            </w:r>
          </w:p>
          <w:p w14:paraId="6416037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②钻井岩屑</w:t>
            </w:r>
          </w:p>
          <w:p w14:paraId="6397182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过程中，岩石被钻头破碎成岩屑，随着泥浆经循环泵带出井口，经地面的泥浆不落地系统处理分离，根据本地区同类项目工程经验，钻井岩屑中不含重金属和放射性含量物质，属于Ⅱ类一般固废，委托陕西德禾鑫盛环保科技有限公司处置。本项目使用水基泥浆，钻井岩屑按照《榆林市油（气）开采废弃物处置环保暂行管理办法》（榆政环发〔2015〕170号）的相关要求进行收集。</w:t>
            </w:r>
          </w:p>
          <w:p w14:paraId="02892C2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③依托可行性分析</w:t>
            </w:r>
          </w:p>
          <w:p w14:paraId="14A7D3B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本项目产生的废弃钻井泥浆、钻井岩屑交由</w:t>
            </w:r>
            <w:r>
              <w:rPr>
                <w:rFonts w:hint="default" w:ascii="Times New Roman" w:hAnsi="Times New Roman" w:cs="Times New Roman"/>
                <w:color w:val="auto"/>
              </w:rPr>
              <w:t>陕西德禾鑫盛环保科技有限公司处置</w:t>
            </w:r>
            <w:r>
              <w:rPr>
                <w:rFonts w:hint="default" w:ascii="Times New Roman" w:hAnsi="Times New Roman" w:cs="Times New Roman"/>
                <w:color w:val="auto"/>
                <w:lang w:val="en-US" w:eastAsia="zh-CN"/>
              </w:rPr>
              <w:t>。</w:t>
            </w:r>
          </w:p>
          <w:p w14:paraId="67821EF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陕西德禾鑫盛环保科技有限公司</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关于佳县刘国具油气田开采废弃物集中处理项目（重大变动）环境影响报告书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位于佳县刘国具镇斗范梁村，</w:t>
            </w:r>
            <w:r>
              <w:rPr>
                <w:rFonts w:hint="default" w:ascii="Times New Roman" w:hAnsi="Times New Roman" w:cs="Times New Roman"/>
                <w:color w:val="auto"/>
                <w:lang w:val="en-US" w:eastAsia="zh-CN"/>
              </w:rPr>
              <w:t>设计钻井岩屑、钻井废弃物处置量25万t</w:t>
            </w:r>
            <w:r>
              <w:rPr>
                <w:rFonts w:hint="default" w:ascii="Times New Roman" w:hAnsi="Times New Roman" w:cs="Times New Roman"/>
                <w:color w:val="auto"/>
                <w:vertAlign w:val="baseline"/>
                <w:lang w:val="en-US" w:eastAsia="zh-CN"/>
              </w:rPr>
              <w:t>/a、5</w:t>
            </w:r>
            <w:r>
              <w:rPr>
                <w:rFonts w:hint="default" w:ascii="Times New Roman" w:hAnsi="Times New Roman" w:cs="Times New Roman"/>
                <w:color w:val="auto"/>
                <w:lang w:val="en-US" w:eastAsia="zh-CN"/>
              </w:rPr>
              <w:t>万t</w:t>
            </w:r>
            <w:r>
              <w:rPr>
                <w:rFonts w:hint="default" w:ascii="Times New Roman" w:hAnsi="Times New Roman" w:cs="Times New Roman"/>
                <w:color w:val="auto"/>
                <w:vertAlign w:val="baseline"/>
                <w:lang w:val="en-US" w:eastAsia="zh-CN"/>
              </w:rPr>
              <w:t>/a</w:t>
            </w:r>
            <w:r>
              <w:rPr>
                <w:rFonts w:hint="default" w:ascii="Times New Roman" w:hAnsi="Times New Roman" w:cs="Times New Roman"/>
                <w:color w:val="auto"/>
                <w:lang w:val="en-US" w:eastAsia="zh-CN"/>
              </w:rPr>
              <w:t>。</w:t>
            </w:r>
            <w:r>
              <w:rPr>
                <w:rFonts w:hint="default" w:ascii="Times New Roman" w:hAnsi="Times New Roman" w:cs="Times New Roman"/>
                <w:color w:val="auto"/>
              </w:rPr>
              <w:t>该</w:t>
            </w:r>
            <w:r>
              <w:rPr>
                <w:rFonts w:hint="default" w:ascii="Times New Roman" w:hAnsi="Times New Roman" w:eastAsia="宋体" w:cs="Times New Roman"/>
                <w:color w:val="auto"/>
                <w:lang w:val="en-US" w:eastAsia="zh-CN"/>
              </w:rPr>
              <w:t>项目</w:t>
            </w:r>
            <w:r>
              <w:rPr>
                <w:rFonts w:hint="default" w:ascii="Times New Roman" w:hAnsi="Times New Roman" w:cs="Times New Roman"/>
                <w:color w:val="auto"/>
              </w:rPr>
              <w:t>于202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eastAsia="宋体" w:cs="Times New Roman"/>
                <w:color w:val="auto"/>
                <w:lang w:val="en-US" w:eastAsia="zh-CN"/>
              </w:rPr>
              <w:t>6月9日</w:t>
            </w:r>
            <w:r>
              <w:rPr>
                <w:rFonts w:hint="default" w:ascii="Times New Roman" w:hAnsi="Times New Roman" w:cs="Times New Roman"/>
                <w:color w:val="auto"/>
              </w:rPr>
              <w:t>取得榆林市行政审批服务局环评批复文件（榆政审批生态发</w:t>
            </w:r>
            <w:r>
              <w:rPr>
                <w:rFonts w:hint="default" w:ascii="Times New Roman" w:hAnsi="Times New Roman" w:eastAsia="宋体" w:cs="Times New Roman"/>
                <w:color w:val="auto"/>
              </w:rPr>
              <w:t>〔</w:t>
            </w:r>
            <w:r>
              <w:rPr>
                <w:rFonts w:hint="default" w:ascii="Times New Roman" w:hAnsi="Times New Roman" w:cs="Times New Roman"/>
                <w:color w:val="auto"/>
              </w:rPr>
              <w:t>202</w:t>
            </w:r>
            <w:r>
              <w:rPr>
                <w:rFonts w:hint="default" w:ascii="Times New Roman" w:hAnsi="Times New Roman"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cs="Times New Roman"/>
                <w:color w:val="auto"/>
              </w:rPr>
              <w:t>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已于2024年3月18日取得榆林市生态环境局下发排污许可证，证书编号为：91610828MA7C36978Y001V；于2024年4月19日完成竣工环境保护验收，目前运行正常。</w:t>
            </w:r>
          </w:p>
          <w:p w14:paraId="312D50A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本项目施工期产生的钻井岩屑为</w:t>
            </w:r>
            <w:r>
              <w:rPr>
                <w:rFonts w:hint="default" w:ascii="Times New Roman" w:hAnsi="Times New Roman" w:eastAsia="宋体" w:cs="Times New Roman"/>
                <w:color w:val="auto"/>
                <w:lang w:val="en-US" w:eastAsia="zh-CN"/>
              </w:rPr>
              <w:t>494</w:t>
            </w:r>
            <w:r>
              <w:rPr>
                <w:rFonts w:hint="default" w:ascii="Times New Roman" w:hAnsi="Times New Roman" w:cs="Times New Roman"/>
                <w:color w:val="auto"/>
              </w:rPr>
              <w:t>t，</w:t>
            </w:r>
            <w:r>
              <w:rPr>
                <w:rFonts w:hint="default" w:ascii="Times New Roman" w:hAnsi="Times New Roman" w:cs="Times New Roman"/>
                <w:color w:val="auto"/>
                <w:lang w:val="en-US" w:eastAsia="zh-CN"/>
              </w:rPr>
              <w:t>废弃</w:t>
            </w:r>
            <w:r>
              <w:rPr>
                <w:rFonts w:hint="default" w:ascii="Times New Roman" w:hAnsi="Times New Roman" w:cs="Times New Roman"/>
                <w:color w:val="auto"/>
              </w:rPr>
              <w:t>钻井泥</w:t>
            </w:r>
            <w:r>
              <w:rPr>
                <w:rFonts w:hint="default" w:ascii="Times New Roman" w:hAnsi="Times New Roman" w:eastAsia="宋体" w:cs="Times New Roman"/>
                <w:color w:val="auto"/>
                <w:lang w:val="en-US" w:eastAsia="zh-CN"/>
              </w:rPr>
              <w:t>饼</w:t>
            </w:r>
            <w:r>
              <w:rPr>
                <w:rFonts w:hint="default" w:ascii="Times New Roman" w:hAnsi="Times New Roman" w:cs="Times New Roman"/>
                <w:color w:val="auto"/>
              </w:rPr>
              <w:t>为</w:t>
            </w:r>
            <w:r>
              <w:rPr>
                <w:rFonts w:hint="default" w:ascii="Times New Roman" w:hAnsi="Times New Roman" w:eastAsia="宋体" w:cs="Times New Roman"/>
                <w:color w:val="auto"/>
                <w:lang w:val="en-US" w:eastAsia="zh-CN"/>
              </w:rPr>
              <w:t>17.5</w:t>
            </w:r>
            <w:r>
              <w:rPr>
                <w:rFonts w:hint="default" w:ascii="Times New Roman" w:hAnsi="Times New Roman" w:cs="Times New Roman"/>
                <w:color w:val="auto"/>
              </w:rPr>
              <w:t>t，该填埋场能力能够满足本项目需求，依托可行。</w:t>
            </w:r>
          </w:p>
          <w:p w14:paraId="29CDBAE1">
            <w:pPr>
              <w:pStyle w:val="2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lang w:eastAsia="zh-CN"/>
              </w:rPr>
              <w:object>
                <v:shape id="_x0000_i1029" o:spt="75" type="#_x0000_t75" style="height:279pt;width:267pt;" o:ole="t" filled="f" o:preferrelative="t" stroked="f" coordsize="21600,21600">
                  <v:path/>
                  <v:fill on="f" focussize="0,0"/>
                  <v:stroke on="f"/>
                  <v:imagedata r:id="rId31" o:title=""/>
                  <o:lock v:ext="edit" aspectratio="f"/>
                  <w10:wrap type="none"/>
                  <w10:anchorlock/>
                </v:shape>
                <o:OLEObject Type="Embed" ProgID="Visio.Drawing.11" ShapeID="_x0000_i1029" DrawAspect="Content" ObjectID="_1468075729" r:id="rId30">
                  <o:LockedField>false</o:LockedField>
                </o:OLEObject>
              </w:object>
            </w:r>
          </w:p>
          <w:p w14:paraId="1672B2C3">
            <w:pPr>
              <w:pStyle w:val="26"/>
              <w:bidi w:val="0"/>
              <w:ind w:left="0" w:leftChars="0" w:firstLine="0" w:firstLineChars="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5-6</w:t>
            </w:r>
            <w:r>
              <w:rPr>
                <w:rFonts w:hint="default" w:ascii="Times New Roman" w:hAnsi="Times New Roman" w:cs="Times New Roman"/>
                <w:b/>
                <w:bCs/>
                <w:color w:val="auto"/>
                <w:sz w:val="21"/>
                <w:szCs w:val="21"/>
                <w:lang w:eastAsia="zh-CN"/>
              </w:rPr>
              <w:t xml:space="preserve">  陕西</w:t>
            </w:r>
            <w:r>
              <w:rPr>
                <w:rFonts w:hint="default" w:ascii="Times New Roman" w:hAnsi="Times New Roman" w:cs="Times New Roman"/>
                <w:b/>
                <w:bCs/>
                <w:color w:val="auto"/>
                <w:sz w:val="21"/>
                <w:szCs w:val="21"/>
                <w:lang w:val="en-US" w:eastAsia="zh-CN"/>
              </w:rPr>
              <w:t>德禾鑫盛环保科技</w:t>
            </w:r>
            <w:r>
              <w:rPr>
                <w:rFonts w:hint="default" w:ascii="Times New Roman" w:hAnsi="Times New Roman" w:cs="Times New Roman"/>
                <w:b/>
                <w:bCs/>
                <w:color w:val="auto"/>
                <w:sz w:val="21"/>
                <w:szCs w:val="21"/>
                <w:lang w:eastAsia="zh-CN"/>
              </w:rPr>
              <w:t>有限公司工艺流程图</w:t>
            </w:r>
          </w:p>
          <w:p w14:paraId="5EB7BA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2C3547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主要来源于清洗钻具、套管时产生的废机油，暂存于危废贮存库，委托有资质的单位进行处置。</w:t>
            </w:r>
          </w:p>
          <w:p w14:paraId="3494B3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（4）生活垃圾</w:t>
            </w:r>
          </w:p>
          <w:p w14:paraId="01FD2F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探井人员生活垃圾由生活垃圾桶收集，委托当地环卫部门清运处置。</w:t>
            </w:r>
          </w:p>
          <w:p w14:paraId="06272D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（5）废纯碱、膨润土包装袋</w:t>
            </w:r>
          </w:p>
          <w:p w14:paraId="334B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废纯碱、膨润土包装袋集中收集后交由物资回收公司进行回收再利用。</w:t>
            </w:r>
          </w:p>
          <w:p w14:paraId="19C28D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（6）废防渗布</w:t>
            </w:r>
          </w:p>
          <w:p w14:paraId="07584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废防渗膜</w:t>
            </w:r>
            <w:r>
              <w:rPr>
                <w:rFonts w:hint="eastAsia" w:ascii="Times New Roman" w:hAnsi="Times New Roman" w:eastAsia="宋体" w:cs="Times New Roman"/>
                <w:b w:val="0"/>
                <w:bCs w:val="0"/>
                <w:color w:val="auto"/>
                <w:sz w:val="24"/>
                <w:szCs w:val="24"/>
                <w:vertAlign w:val="baseline"/>
                <w:lang w:val="en-US" w:eastAsia="zh-CN"/>
              </w:rPr>
              <w:t>由</w:t>
            </w:r>
            <w:r>
              <w:rPr>
                <w:rFonts w:hint="default" w:ascii="Times New Roman" w:hAnsi="Times New Roman" w:eastAsia="宋体" w:cs="Times New Roman"/>
                <w:b w:val="0"/>
                <w:bCs w:val="0"/>
                <w:color w:val="auto"/>
                <w:sz w:val="24"/>
                <w:szCs w:val="24"/>
                <w:vertAlign w:val="baseline"/>
                <w:lang w:val="en-US" w:eastAsia="zh-CN"/>
              </w:rPr>
              <w:t>井场集中收集后，暂存于危废贮存库，委托有资质单位进行处置。</w:t>
            </w:r>
          </w:p>
          <w:p w14:paraId="22FC12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（7）放喷废液</w:t>
            </w:r>
          </w:p>
          <w:p w14:paraId="4B6A9E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放喷废液主要为随放喷气体带出的洗井废水及放喷燃烧冷凝水，收集后暂存于放喷收集罐内，工艺完成后，做回收处理（试气专门有回收车拉运）。</w:t>
            </w:r>
          </w:p>
          <w:p w14:paraId="00CFD5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危废贮存库贮存要求：</w:t>
            </w:r>
          </w:p>
          <w:p w14:paraId="16A700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为防止危险废物在场内临时存储过程中对环境产生污染影响，根据《危险废物贮存污染控制标准》（GB18597-2023）的相关内容，本次评价要求：</w:t>
            </w:r>
          </w:p>
          <w:p w14:paraId="29513E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按照危险废物贮存污染控制标准要求，废机油、沾染危险废物的废防渗膜采用专用的容器存放，并置于专用危废贮存库，防止风吹雨淋和日晒。危废贮存库设立危险废物警示标志，由专人进行管理，做好危险废物排放量及处置记录。</w:t>
            </w:r>
          </w:p>
          <w:p w14:paraId="6F82FF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②危废贮存库应设置围墙或其它防护栅栏。</w:t>
            </w:r>
          </w:p>
          <w:p w14:paraId="656E2C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③项目采用撬装式危废贮存库，防渗可满足《危险废物贮存污染控制标准》（GB18597-2023）的相关要求，防渗层渗透系数小于1×10</w:t>
            </w:r>
            <w:r>
              <w:rPr>
                <w:rFonts w:hint="default" w:ascii="Times New Roman" w:hAnsi="Times New Roman" w:eastAsia="宋体" w:cs="Times New Roman"/>
                <w:b w:val="0"/>
                <w:bCs w:val="0"/>
                <w:color w:val="auto"/>
                <w:sz w:val="24"/>
                <w:szCs w:val="24"/>
                <w:vertAlign w:val="superscript"/>
                <w:lang w:val="en-US" w:eastAsia="zh-CN"/>
              </w:rPr>
              <w:t>-10</w:t>
            </w:r>
            <w:r>
              <w:rPr>
                <w:rFonts w:hint="default" w:ascii="Times New Roman" w:hAnsi="Times New Roman" w:eastAsia="宋体" w:cs="Times New Roman"/>
                <w:b w:val="0"/>
                <w:bCs w:val="0"/>
                <w:color w:val="auto"/>
                <w:sz w:val="24"/>
                <w:szCs w:val="24"/>
                <w:vertAlign w:val="baseline"/>
                <w:lang w:val="en-US" w:eastAsia="zh-CN"/>
              </w:rPr>
              <w:t>cm/s。</w:t>
            </w:r>
          </w:p>
          <w:p w14:paraId="11D5A6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④对装有危废的容器进行定期检查，容器泄漏损坏时必须立即处理，并将危废装入完好容器内。</w:t>
            </w:r>
          </w:p>
          <w:p w14:paraId="781A6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⑤危险废物贮存过程中在下部设置防渗托盘，可有效防止危险废物泄漏至外界；</w:t>
            </w:r>
          </w:p>
          <w:p w14:paraId="1687DC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⑥危险废物的转移应遵从《危险废物转移管理办法》（生态环境部公安部交通运输部部令第23号）及其它有关规定的要求。评价要求企业在勘探结束后需立即委托资质单位接收、转移勘探期间产生的危险废物，不得私自转运至其他井场危废贮存库储存。</w:t>
            </w:r>
          </w:p>
          <w:p w14:paraId="6AF51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⑦危险废物转移建立台账，并且按照相关规定要求进行申报。固体废物规范运输的管理要求：</w:t>
            </w:r>
          </w:p>
          <w:p w14:paraId="27E85C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①合理规划固体废物运输路线，选择人员稀少的路线，并减少鸣笛，以减轻对周边居民的影响；</w:t>
            </w:r>
          </w:p>
          <w:p w14:paraId="688E6C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②项目产生的废弃岩屑、泥饼运输过程实施全程GPS定位及监控，严禁运输过程中随意掩埋、抛洒废弃钻井岩屑、泥饼；</w:t>
            </w:r>
          </w:p>
          <w:p w14:paraId="15A8CF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③项目选择防渗漏、防溢流的运输车辆进行固体废物的运输。</w:t>
            </w:r>
          </w:p>
          <w:p w14:paraId="005138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综上所述，在加强施工过程固体废物管理的前提下，固体废物环境影响可以得到有效控制和治理，环境影响较小。</w:t>
            </w:r>
          </w:p>
          <w:p w14:paraId="7E143F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七、土壤环境保护措施</w:t>
            </w:r>
          </w:p>
          <w:p w14:paraId="5C44C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项目施工过程中将产生施工垃圾、生活垃圾和污水，包括泥浆、废弃余料、施工人员的一次性餐具、饮料瓶等，若不及时收集或随意丢弃会使固废残留于土壤中，对井场附近土壤造成一定程度的污染。</w:t>
            </w:r>
          </w:p>
          <w:p w14:paraId="3B2908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因此，施工时必须对产生的固体废物实施严格管理措施，进行统一回收和处置，严禁就地固化掩埋、严禁随意堆放抛洒；洗井废水罐和压裂返排液罐储存区均应进行防渗处理，生产废水在井场内不落地、不外排，采取以上措施后，项目对周边土壤环境造成的影响较小。</w:t>
            </w:r>
          </w:p>
          <w:p w14:paraId="42649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八、风险防范措施</w:t>
            </w:r>
          </w:p>
          <w:p w14:paraId="4F12BB6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项目拟采取的风险防范措施如下：</w:t>
            </w:r>
          </w:p>
          <w:p w14:paraId="385F0CD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收集罐渗漏及废水外溢的防范措施</w:t>
            </w:r>
          </w:p>
          <w:p w14:paraId="0FEE4B5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①储罐设置应避开不良地质或岩土松散等地质结构不稳定的地方；</w:t>
            </w:r>
          </w:p>
          <w:p w14:paraId="690E92E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②储罐储存区均进行防渗处理；</w:t>
            </w:r>
          </w:p>
          <w:p w14:paraId="63402C0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③加强员工操作规范管理，尽量避免废水装车失误。装车过程若遇到废水泄漏，立即停止装车作业，减少废水泄漏量，并利用井场内的污水沟将泄漏废水收集至废水箱内，不外流。</w:t>
            </w:r>
          </w:p>
          <w:p w14:paraId="473810C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井喷事故风险防范措施</w:t>
            </w:r>
          </w:p>
          <w:p w14:paraId="65991FC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①钻井地质设计、工程设计和施工设计中应有井控和防有害气体的内容，并按标准要求提供相关资料。</w:t>
            </w:r>
          </w:p>
          <w:p w14:paraId="1A3770F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②在工程设计书中应有可操作性的安全（HSE）设计篇章。其安全（HSE）设计以国家有关法律、法规、国家标准、行业标准以及安全预评价报告和环境影响评价报告为设计依据。</w:t>
            </w:r>
          </w:p>
          <w:p w14:paraId="2564CCF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③设计书必须按照有关审批程序进行严格审批。钻井承包商在未收到设计书前禁止组织施工。</w:t>
            </w:r>
          </w:p>
          <w:p w14:paraId="113892B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应利用各种作业所获得直接或间接地层压力数据进行数理统计分析资料，划分出不同地层压力区带，与邻井可比地层压力进行分析对比，提供地层压力预测或监测曲线（值），并对漏失层段、浅层气分布情况、油气水显示和其他复杂情况进行预告。</w:t>
            </w:r>
          </w:p>
          <w:p w14:paraId="332FF88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⑤井场平面布置应按照《钻前工程及井场布置技术要求》（SY/T5466-2013）的规定进行设置，保证能满足井喷时人员和设备撤离的要求。</w:t>
            </w:r>
          </w:p>
          <w:p w14:paraId="53CF823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⑥钻至天然气层前100m，应将可能发生的危害、安全事项、撤离程序等告知3km范围内人员。</w:t>
            </w:r>
          </w:p>
          <w:p w14:paraId="2A55B98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⑦应在钻井周边地区设置广播设施、警示牌和风向标，使周边居民在第一时间得知井喷事故发生时逃离危险区域。</w:t>
            </w:r>
          </w:p>
          <w:p w14:paraId="1C846AA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井喷应急处理预案</w:t>
            </w:r>
          </w:p>
          <w:p w14:paraId="2FB698B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根据事态发展变化情况，事故现场抢险指挥部根据应急领导小组的指令并充分考虑专家和有关意见的基础上，依法采取紧急措施，并注意做好以下工作：</w:t>
            </w:r>
          </w:p>
          <w:p w14:paraId="3625C76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①井喷失控后严防着火和爆炸。应立即停钻机、切断井架、钻台、机泵房等处全部照明灯和用电设备的电源，熄灭一切火源，需要时打开专用探照灯，并组织警戒。</w:t>
            </w:r>
          </w:p>
          <w:p w14:paraId="5E0E608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②立即向当地政府报告，通知3km范围内的厂矿企业立刻进行沿反方向进行撤离，协助当地政府作好井口500m范围内居民的疏散工作。</w:t>
            </w:r>
          </w:p>
          <w:p w14:paraId="5B2150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③设置观察点，定时取样，监测大气中的天然气、H</w:t>
            </w:r>
            <w:r>
              <w:rPr>
                <w:rFonts w:hint="default" w:ascii="Times New Roman" w:hAnsi="Times New Roman" w:cs="Times New Roman"/>
                <w:color w:val="auto"/>
                <w:vertAlign w:val="subscript"/>
              </w:rPr>
              <w:t>2</w:t>
            </w:r>
            <w:r>
              <w:rPr>
                <w:rFonts w:hint="default" w:ascii="Times New Roman" w:hAnsi="Times New Roman" w:cs="Times New Roman"/>
                <w:color w:val="auto"/>
              </w:rPr>
              <w:t>S和CO含量，划分安全范围。</w:t>
            </w:r>
          </w:p>
          <w:p w14:paraId="267A0E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④迅速成立现场抢险领导小组，根据失控状况制定抢险方案，统一指挥、组织和协调抢险工作。抢险方案制订及实施，同时实施，防止出现次生环境事故。</w:t>
            </w:r>
          </w:p>
          <w:p w14:paraId="1A5AAFD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⑤继续监测污染区有毒有害气体的浓度，根据监测情况决定是否扩大撤离范围。</w:t>
            </w:r>
          </w:p>
          <w:p w14:paraId="45C687A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⑥当井喷失控时，应：a、关停生产设施</w:t>
            </w:r>
            <w:r>
              <w:rPr>
                <w:rFonts w:hint="default" w:ascii="Times New Roman" w:hAnsi="Times New Roman" w:cs="Times New Roman"/>
                <w:color w:val="auto"/>
                <w:lang w:eastAsia="zh-CN"/>
              </w:rPr>
              <w:t>；</w:t>
            </w:r>
            <w:r>
              <w:rPr>
                <w:rFonts w:hint="default" w:ascii="Times New Roman" w:hAnsi="Times New Roman" w:cs="Times New Roman"/>
                <w:color w:val="auto"/>
              </w:rPr>
              <w:t>b、请求援助。</w:t>
            </w:r>
          </w:p>
          <w:p w14:paraId="29ED6F4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⑦井喷发生后，及时安排消防车、救护车、医护人员到现场救援。</w:t>
            </w:r>
          </w:p>
          <w:p w14:paraId="23CCA0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⑧在事故处理结束后，确认作业现场及其周边环境安全的情况与和地方政府商定撤离群众的返回时间。</w:t>
            </w:r>
          </w:p>
          <w:p w14:paraId="5521B74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综合以上分析，本工程的环境风险措施切实可行。在落实各种风险防范措施的前提下，其发生事故的概率低，环境危害较小，环境风险达到可以接受水平。</w:t>
            </w:r>
          </w:p>
          <w:p w14:paraId="585304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九、弃井封井措施及生态恢复措施</w:t>
            </w:r>
          </w:p>
          <w:p w14:paraId="3F0653F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若为临时封井，除预留转成生产井所需的面积外，对其余临时占地覆土并恢复为原有植被和生态景观，使区域生态景观和谐一致；若为永久封井，对整个施工区域覆土并恢复为原有植被和生态景观，使区域生态景观和谐一致。</w:t>
            </w:r>
          </w:p>
          <w:p w14:paraId="251245B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（2）气井测试完毕后，拆除</w:t>
            </w:r>
            <w:r>
              <w:rPr>
                <w:rFonts w:hint="default" w:ascii="Times New Roman" w:hAnsi="Times New Roman" w:eastAsia="宋体" w:cs="Times New Roman"/>
                <w:color w:val="auto"/>
                <w:lang w:eastAsia="zh-CN"/>
              </w:rPr>
              <w:t>放喷池</w:t>
            </w:r>
            <w:r>
              <w:rPr>
                <w:rFonts w:hint="default" w:ascii="Times New Roman" w:hAnsi="Times New Roman" w:cs="Times New Roman"/>
                <w:color w:val="auto"/>
              </w:rPr>
              <w:t>周围的砖墙，并进行回收。清除放喷测试留下的痕迹，再用探井场地建设时的表层土进行覆盖，然后进行植被恢复。</w:t>
            </w:r>
          </w:p>
          <w:p w14:paraId="0B14930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（3）拆除所有临时占地基础（设备及地面硬化的砖瓦等）后将探井场地建设保留的耕植土摊铺覆盖于场面上，然后进行植被恢复。</w:t>
            </w:r>
          </w:p>
          <w:p w14:paraId="4C74A27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（4）为尽快恢复土地功能，可增施肥料，加强灌溉，以改良土壤结构及其理化性质，提高土壤的保肥保水能力，恢复土壤生产能力。</w:t>
            </w:r>
          </w:p>
          <w:p w14:paraId="67FB7DA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具体恢复措施如下：</w:t>
            </w:r>
          </w:p>
          <w:p w14:paraId="1A03A63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①植被恢复系数＞95%，林草覆盖率＞85%，复垦区单位面积产草量达到周边地区同等土地利用类型水平，具有生态稳定性和自我维持力</w:t>
            </w:r>
            <w:r>
              <w:rPr>
                <w:rFonts w:hint="default" w:ascii="Times New Roman" w:hAnsi="Times New Roman" w:eastAsia="宋体" w:cs="Times New Roman"/>
                <w:color w:val="auto"/>
                <w:lang w:eastAsia="zh-CN"/>
              </w:rPr>
              <w:t>。</w:t>
            </w:r>
          </w:p>
          <w:p w14:paraId="37BBF99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植被选用当地耐寒、保水固土能力强根系发达的物种，优先考虑灌木树种，其次为草本植物。本区域种植较成功的乔木树种有油松、龙抓槐、云杉、旱柳、榆树等；灌木树种有柠条、沙棘等；草本有冰草、沙打旺、沙嵩、黄蒿等。</w:t>
            </w:r>
          </w:p>
          <w:p w14:paraId="71622E0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③探井场地弃土弃渣边坡土地整治后，在外边坡采取植物防护措施，种植草灌混交林。可选择披碱草、柠条、紫花苜蓿、白三叶等，披碱草、紫花苜蓿、白三叶撒播量45kg/hm</w:t>
            </w:r>
            <w:r>
              <w:rPr>
                <w:rFonts w:hint="default" w:ascii="Times New Roman" w:hAnsi="Times New Roman" w:cs="Times New Roman"/>
                <w:color w:val="auto"/>
                <w:vertAlign w:val="superscript"/>
              </w:rPr>
              <w:t>2</w:t>
            </w:r>
            <w:r>
              <w:rPr>
                <w:rFonts w:hint="default" w:ascii="Times New Roman" w:hAnsi="Times New Roman" w:cs="Times New Roman"/>
                <w:color w:val="auto"/>
              </w:rPr>
              <w:t>，灌木株行距2×2m，行间种植三百叶。</w:t>
            </w:r>
          </w:p>
        </w:tc>
      </w:tr>
      <w:tr w14:paraId="6367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7E26CF2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运营期生态环境保护措施</w:t>
            </w:r>
          </w:p>
        </w:tc>
        <w:tc>
          <w:tcPr>
            <w:tcW w:w="8254" w:type="dxa"/>
            <w:vAlign w:val="center"/>
          </w:tcPr>
          <w:p w14:paraId="1F5066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5981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1A9F1BC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254" w:type="dxa"/>
            <w:vAlign w:val="center"/>
          </w:tcPr>
          <w:p w14:paraId="31B6E5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1、环境管理</w:t>
            </w:r>
          </w:p>
          <w:p w14:paraId="4BFBD25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（1）环境管理体系</w:t>
            </w:r>
          </w:p>
          <w:p w14:paraId="1231767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按HSE管理体系要求，中国石油天然气股份有限公司长庆油田分公司设质量安全环保科，设专职人员进行安全环保管理，对企业安全环保进行归档管理。项目在施工期制定安全环境管理制度，贯彻执行国家和地方各项环保方针、政策和法规。</w:t>
            </w:r>
          </w:p>
          <w:p w14:paraId="521219D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（2）要求根据《陕北油气田开采清洁文明井场验收标准》、《榆林市油（气）开采废弃物处置环保暂行管理办法》，建设单位应该在管理中严格按照以下要求执行：</w:t>
            </w:r>
          </w:p>
          <w:p w14:paraId="1D54B78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油（气）开发企业须在井场钻井作业前15日内，向当地环保局进行申报登记，申报登记内容包括废弃钻井泥浆、井下作业废水及其它污染物的产生量、去向及处理处置方式等，实际情况发生紧急重大改变的，必须在改变后3天内进行排污申报登记变更。</w:t>
            </w:r>
          </w:p>
          <w:p w14:paraId="51F7753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②油（气）井场要在钻井前配备废弃钻井泥浆岩屑地上移动式收集设施，对钻井过程中废弃钻井泥浆岩屑进行不落地收集，收集设施不得收集其它废弃物；未配备废弃钻井泥浆收集设施的井场不得钻井作业。</w:t>
            </w:r>
          </w:p>
          <w:p w14:paraId="137C4A8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③油（气）井场要在压裂及其它井下作业前配备废水地上收集罐，对压裂返排液及其它废水进行统一收集；未配备废水收集罐的井场不得开展相关作业。</w:t>
            </w:r>
          </w:p>
          <w:p w14:paraId="04CA054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油（气）开发企业要在油（气）井建设过程中建立气探井废弃钻井泥浆岩屑、压裂返排液及其它作业废水管理台帐，如实记录钻井泥浆及压裂液添加剂成分、用量及废弃钻井泥浆岩屑、压裂返排液及其它作业废水的产生量、循环利用量、去向及处理处置方式。</w:t>
            </w:r>
          </w:p>
          <w:p w14:paraId="18C8CDE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⑤废弃钻井泥浆岩屑须在油（气）井完井后3天内，由防渗漏、防抛洒、防扬尘的运输车辆统一运至油（气）开采废弃物集中处置场所处置；严禁废弃钻井泥浆岩屑井场处理、就地固化或随意抛洒、掩埋。</w:t>
            </w:r>
          </w:p>
          <w:p w14:paraId="1E617E8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⑥油（气）井下作业废水须在井下作业完成后3天内，洗井废水由专用收集罐临时收集贮存后委托</w:t>
            </w:r>
            <w:r>
              <w:rPr>
                <w:rFonts w:hint="default" w:ascii="Times New Roman" w:hAnsi="Times New Roman" w:cs="Times New Roman"/>
                <w:color w:val="auto"/>
                <w:lang w:val="en-US" w:eastAsia="zh-CN"/>
              </w:rPr>
              <w:t>陕西榆佳环保科技有限公司外运</w:t>
            </w:r>
            <w:r>
              <w:rPr>
                <w:rFonts w:hint="default" w:ascii="Times New Roman" w:hAnsi="Times New Roman" w:cs="Times New Roman"/>
                <w:color w:val="auto"/>
              </w:rPr>
              <w:t>处置；严禁井下作业废水排入废弃钻井泥浆岩屑收集设施或随意排放。</w:t>
            </w:r>
          </w:p>
          <w:p w14:paraId="3A67FB03">
            <w:pPr>
              <w:pStyle w:val="26"/>
              <w:bidi w:val="0"/>
              <w:rPr>
                <w:rFonts w:hint="default" w:ascii="Times New Roman" w:hAnsi="Times New Roman" w:cs="Times New Roman"/>
                <w:color w:val="auto"/>
              </w:rPr>
            </w:pPr>
            <w:r>
              <w:rPr>
                <w:rFonts w:hint="default" w:ascii="Times New Roman" w:hAnsi="Times New Roman" w:cs="Times New Roman"/>
                <w:color w:val="auto"/>
              </w:rPr>
              <w:t>⑦废弃钻井泥浆岩屑和井下作业废水转移前须向市级环保部门申领《榆林市油（气）开采废弃物转移联单》，运输过程实施全程GPS定位及监控；严禁运输过程中随意掩埋、抛洒废弃钻井泥浆岩屑和井下作业废水。</w:t>
            </w:r>
          </w:p>
          <w:p w14:paraId="1CBA57C2">
            <w:pPr>
              <w:pStyle w:val="26"/>
              <w:bidi w:val="0"/>
              <w:rPr>
                <w:rFonts w:hint="default" w:ascii="Times New Roman" w:hAnsi="Times New Roman" w:cs="Times New Roman"/>
                <w:color w:val="auto"/>
              </w:rPr>
            </w:pPr>
            <w:r>
              <w:rPr>
                <w:rFonts w:hint="default" w:ascii="Times New Roman" w:hAnsi="Times New Roman" w:cs="Times New Roman"/>
                <w:color w:val="auto"/>
              </w:rPr>
              <w:t>⑧油（气）开采废弃物集中处置项目选址要避开重点生态功能区、环境敏感区和限制开发区，要选择清洁生产、高效环保的处理工艺，要完成建设项目环境影响评价审批，通过环保设施竣工验收，取得相关手续，具备收集、处置能力。</w:t>
            </w:r>
          </w:p>
          <w:p w14:paraId="39B9E8E0">
            <w:pPr>
              <w:pStyle w:val="26"/>
              <w:bidi w:val="0"/>
              <w:rPr>
                <w:rFonts w:hint="default" w:ascii="Times New Roman" w:hAnsi="Times New Roman" w:cs="Times New Roman"/>
                <w:color w:val="auto"/>
              </w:rPr>
            </w:pPr>
            <w:r>
              <w:rPr>
                <w:rFonts w:hint="default" w:ascii="Times New Roman" w:hAnsi="Times New Roman" w:cs="Times New Roman"/>
                <w:color w:val="auto"/>
              </w:rPr>
              <w:t>⑨未取得相关资质的单位或者个人，禁止从事油（气）开采废弃物的收集、运输和处置活动。</w:t>
            </w:r>
          </w:p>
          <w:p w14:paraId="317FB307">
            <w:pPr>
              <w:pStyle w:val="26"/>
              <w:bidi w:val="0"/>
              <w:rPr>
                <w:rFonts w:hint="default" w:ascii="Times New Roman" w:hAnsi="Times New Roman" w:cs="Times New Roman"/>
                <w:color w:val="auto"/>
              </w:rPr>
            </w:pPr>
            <w:r>
              <w:rPr>
                <w:rFonts w:hint="default" w:ascii="Times New Roman" w:hAnsi="Times New Roman" w:cs="Times New Roman"/>
                <w:color w:val="auto"/>
              </w:rPr>
              <w:t>⑩井场四周必须修建挡水墙，大门或通行处应设有砖石拱形挡水设施，保证场外雨水不进场，场内雨水不出场。</w:t>
            </w:r>
          </w:p>
          <w:p w14:paraId="35944E66">
            <w:pPr>
              <w:pStyle w:val="26"/>
              <w:bidi w:val="0"/>
              <w:rPr>
                <w:rFonts w:hint="default" w:ascii="Times New Roman" w:hAnsi="Times New Roman" w:cs="Times New Roman"/>
                <w:color w:val="auto"/>
              </w:rPr>
            </w:pPr>
            <w:r>
              <w:rPr>
                <w:rFonts w:hint="default" w:ascii="Times New Roman" w:hAnsi="Times New Roman" w:cs="Times New Roman"/>
                <w:color w:val="auto"/>
              </w:rPr>
              <w:t>⑪井场要平整清洁，建有雨水收集池。雨水收集池应参照当地最大暴雨量设计容积（最大暴雨量×井场面积）。</w:t>
            </w:r>
          </w:p>
          <w:p w14:paraId="30C6DFA3">
            <w:pPr>
              <w:pStyle w:val="26"/>
              <w:bidi w:val="0"/>
              <w:rPr>
                <w:rFonts w:hint="default" w:ascii="Times New Roman" w:hAnsi="Times New Roman" w:cs="Times New Roman"/>
                <w:color w:val="auto"/>
              </w:rPr>
            </w:pPr>
            <w:r>
              <w:rPr>
                <w:rFonts w:hint="default" w:ascii="Times New Roman" w:hAnsi="Times New Roman" w:cs="Times New Roman"/>
                <w:color w:val="auto"/>
              </w:rPr>
              <w:t>⑫井场必须设置垃圾桶，不得将含油污泥等危废混入，垃圾应及时清运，分类定点处理。</w:t>
            </w:r>
          </w:p>
          <w:p w14:paraId="544EED56">
            <w:pPr>
              <w:pStyle w:val="26"/>
              <w:bidi w:val="0"/>
              <w:rPr>
                <w:rFonts w:hint="default" w:ascii="Times New Roman" w:hAnsi="Times New Roman" w:cs="Times New Roman"/>
                <w:color w:val="auto"/>
              </w:rPr>
            </w:pPr>
            <w:r>
              <w:rPr>
                <w:rFonts w:hint="default" w:ascii="Times New Roman" w:hAnsi="Times New Roman" w:cs="Times New Roman"/>
                <w:color w:val="auto"/>
              </w:rPr>
              <w:t>⑬井场的道路两侧和围墙内外宜绿化区域应实现林草覆盖，有效覆盖面积不低于98</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1D0A6A00">
            <w:pPr>
              <w:pStyle w:val="26"/>
              <w:bidi w:val="0"/>
              <w:rPr>
                <w:rFonts w:hint="default" w:ascii="Times New Roman" w:hAnsi="Times New Roman" w:cs="Times New Roman"/>
                <w:color w:val="auto"/>
              </w:rPr>
            </w:pPr>
            <w:r>
              <w:rPr>
                <w:rFonts w:hint="default" w:ascii="Times New Roman" w:hAnsi="Times New Roman" w:cs="Times New Roman"/>
                <w:color w:val="auto"/>
              </w:rPr>
              <w:t>⑭修路和开挖井场造成植被破坏或地表裸露的，必须采取有效的修复措施，所有生态措施应在井场投运半年内完成。</w:t>
            </w:r>
          </w:p>
          <w:p w14:paraId="30FA62E1">
            <w:pPr>
              <w:pStyle w:val="26"/>
              <w:bidi w:val="0"/>
              <w:rPr>
                <w:rFonts w:hint="default" w:ascii="Times New Roman" w:hAnsi="Times New Roman" w:cs="Times New Roman"/>
                <w:color w:val="auto"/>
              </w:rPr>
            </w:pPr>
            <w:r>
              <w:rPr>
                <w:rFonts w:hint="default" w:ascii="Times New Roman" w:hAnsi="Times New Roman" w:cs="Times New Roman"/>
                <w:color w:val="auto"/>
              </w:rPr>
              <w:t>⑮关闭油（气）井应封堵油（气）层、封闭井口，并同步实施井场复垦还田或植树种草工程措施。</w:t>
            </w:r>
          </w:p>
          <w:p w14:paraId="385DA9E0">
            <w:pPr>
              <w:pStyle w:val="26"/>
              <w:bidi w:val="0"/>
              <w:rPr>
                <w:rFonts w:hint="default" w:ascii="Times New Roman" w:hAnsi="Times New Roman" w:cs="Times New Roman"/>
                <w:color w:val="auto"/>
              </w:rPr>
            </w:pPr>
            <w:r>
              <w:rPr>
                <w:rFonts w:hint="default" w:ascii="Times New Roman" w:hAnsi="Times New Roman" w:cs="Times New Roman"/>
                <w:color w:val="auto"/>
              </w:rPr>
              <w:t>⑯井场应做到清洁卫生，无跑、冒、滴、漏现象，场外无油污、无垃圾，杜绝污染物乱堆乱放。</w:t>
            </w:r>
          </w:p>
          <w:p w14:paraId="6C4EF0C5">
            <w:pPr>
              <w:pStyle w:val="26"/>
              <w:bidi w:val="0"/>
              <w:rPr>
                <w:rFonts w:hint="default" w:ascii="Times New Roman" w:hAnsi="Times New Roman" w:cs="Times New Roman"/>
                <w:color w:val="auto"/>
              </w:rPr>
            </w:pPr>
            <w:r>
              <w:rPr>
                <w:rFonts w:hint="default" w:ascii="Times New Roman" w:hAnsi="Times New Roman" w:cs="Times New Roman"/>
                <w:color w:val="auto"/>
              </w:rPr>
              <w:t>⑰按照环境事故应急预案，要对井场操作人员进行应急培训，并储备相应抢险应急物资。</w:t>
            </w:r>
          </w:p>
          <w:p w14:paraId="64BB1215">
            <w:pPr>
              <w:pStyle w:val="26"/>
              <w:bidi w:val="0"/>
              <w:rPr>
                <w:rFonts w:hint="default" w:ascii="Times New Roman" w:hAnsi="Times New Roman" w:cs="Times New Roman"/>
                <w:color w:val="auto"/>
              </w:rPr>
            </w:pPr>
            <w:r>
              <w:rPr>
                <w:rFonts w:hint="default" w:ascii="Times New Roman" w:hAnsi="Times New Roman" w:cs="Times New Roman"/>
                <w:color w:val="auto"/>
              </w:rPr>
              <w:t>⑱井场实行动态管理。县级环保部门负责日常监督管理，市级环保部门负责验收并颁发统一制式的清洁文明井场牌匾。出现达不到本标准情况的，由市级环保部门收回牌匾。</w:t>
            </w:r>
          </w:p>
          <w:p w14:paraId="7EF58C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HAnsi"/>
                <w:color w:val="auto"/>
                <w:kern w:val="0"/>
                <w:sz w:val="24"/>
                <w:szCs w:val="21"/>
                <w:lang w:val="en-US" w:eastAsia="en-US" w:bidi="ar-SA"/>
              </w:rPr>
            </w:pPr>
            <w:r>
              <w:rPr>
                <w:rFonts w:hint="default" w:ascii="Times New Roman" w:hAnsi="Times New Roman" w:cs="Times New Roman" w:eastAsiaTheme="minorHAnsi"/>
                <w:color w:val="auto"/>
                <w:kern w:val="0"/>
                <w:sz w:val="24"/>
                <w:szCs w:val="21"/>
                <w:lang w:val="en-US" w:eastAsia="en-US" w:bidi="ar-SA"/>
              </w:rPr>
              <w:t>⑲不得调整井口坐标，确保钻井井口距居民住宅距离大于100m，加强施工机械噪声管理，保证不影响周边居民生活。</w:t>
            </w:r>
          </w:p>
          <w:p w14:paraId="3CD117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default" w:ascii="Times New Roman" w:hAnsi="Times New Roman" w:cs="Times New Roman" w:eastAsiaTheme="minorHAnsi"/>
                <w:color w:val="auto"/>
                <w:kern w:val="0"/>
                <w:sz w:val="24"/>
                <w:szCs w:val="21"/>
                <w:lang w:val="en-US" w:eastAsia="zh-CN" w:bidi="ar-SA"/>
              </w:rPr>
            </w:pPr>
            <w:r>
              <w:rPr>
                <w:rFonts w:hint="eastAsia" w:ascii="Times New Roman" w:hAnsi="Times New Roman" w:cs="Times New Roman"/>
                <w:color w:val="auto"/>
                <w:lang w:val="en-US" w:eastAsia="zh-CN"/>
              </w:rPr>
              <w:t>（3）探井井场生态恢复后续按照《建设项目竣工环境保护验收技术规范 生态影响类》（HJ/T394-2007）、《建设项目竣工环境保护验收技术规范 石油天然气开采》（HJ612-2011）等相关规范开展竣工环境保护验收。</w:t>
            </w:r>
          </w:p>
        </w:tc>
      </w:tr>
      <w:tr w14:paraId="23D7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1CE74F3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环保投资</w:t>
            </w:r>
          </w:p>
        </w:tc>
        <w:tc>
          <w:tcPr>
            <w:tcW w:w="8254" w:type="dxa"/>
            <w:vAlign w:val="top"/>
          </w:tcPr>
          <w:p w14:paraId="6B9207E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本项目总投资500万元，其中环保投资</w:t>
            </w:r>
            <w:r>
              <w:rPr>
                <w:rFonts w:hint="eastAsia" w:ascii="Times New Roman" w:hAnsi="Times New Roman" w:eastAsia="宋体" w:cs="Times New Roman"/>
                <w:b w:val="0"/>
                <w:bCs w:val="0"/>
                <w:color w:val="auto"/>
                <w:sz w:val="24"/>
                <w:szCs w:val="24"/>
                <w:highlight w:val="none"/>
                <w:vertAlign w:val="baseline"/>
                <w:lang w:val="en-US" w:eastAsia="zh-CN"/>
              </w:rPr>
              <w:t>47.3</w:t>
            </w:r>
            <w:r>
              <w:rPr>
                <w:rFonts w:hint="default" w:ascii="Times New Roman" w:hAnsi="Times New Roman" w:eastAsia="宋体" w:cs="Times New Roman"/>
                <w:b w:val="0"/>
                <w:bCs w:val="0"/>
                <w:color w:val="auto"/>
                <w:sz w:val="24"/>
                <w:szCs w:val="24"/>
                <w:highlight w:val="none"/>
                <w:vertAlign w:val="baseline"/>
                <w:lang w:val="en-US" w:eastAsia="zh-CN"/>
              </w:rPr>
              <w:t>万元，占总投资的</w:t>
            </w:r>
            <w:r>
              <w:rPr>
                <w:rFonts w:hint="eastAsia" w:ascii="Times New Roman" w:hAnsi="Times New Roman" w:eastAsia="宋体" w:cs="Times New Roman"/>
                <w:b w:val="0"/>
                <w:bCs w:val="0"/>
                <w:color w:val="auto"/>
                <w:sz w:val="24"/>
                <w:szCs w:val="24"/>
                <w:highlight w:val="none"/>
                <w:vertAlign w:val="baseline"/>
                <w:lang w:val="en-US" w:eastAsia="zh-CN"/>
              </w:rPr>
              <w:t>9.5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w:t>
            </w:r>
          </w:p>
          <w:p w14:paraId="3D68DF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本项目主要环保投资一览表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1"/>
              <w:gridCol w:w="1279"/>
              <w:gridCol w:w="3883"/>
              <w:gridCol w:w="1270"/>
              <w:gridCol w:w="1586"/>
            </w:tblGrid>
            <w:tr w14:paraId="5723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0052F0EB">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w:t>
                  </w:r>
                </w:p>
              </w:tc>
              <w:tc>
                <w:tcPr>
                  <w:tcW w:w="3883" w:type="dxa"/>
                  <w:vAlign w:val="center"/>
                </w:tcPr>
                <w:p w14:paraId="17B0BF5B">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治理措施</w:t>
                  </w:r>
                </w:p>
              </w:tc>
              <w:tc>
                <w:tcPr>
                  <w:tcW w:w="1270" w:type="dxa"/>
                  <w:vAlign w:val="center"/>
                </w:tcPr>
                <w:p w14:paraId="43E16EF9">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w:t>
                  </w:r>
                </w:p>
              </w:tc>
              <w:tc>
                <w:tcPr>
                  <w:tcW w:w="1586" w:type="dxa"/>
                  <w:vAlign w:val="center"/>
                </w:tcPr>
                <w:p w14:paraId="03FF959D">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费用（万元）</w:t>
                  </w:r>
                </w:p>
              </w:tc>
            </w:tr>
            <w:tr w14:paraId="7248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restart"/>
                  <w:vAlign w:val="center"/>
                </w:tcPr>
                <w:p w14:paraId="221EC95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3883" w:type="dxa"/>
                  <w:vAlign w:val="center"/>
                </w:tcPr>
                <w:p w14:paraId="3BA3BC3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洒水设备、设置挡板、车辆运输遮盖苫布</w:t>
                  </w:r>
                </w:p>
              </w:tc>
              <w:tc>
                <w:tcPr>
                  <w:tcW w:w="1270" w:type="dxa"/>
                  <w:vAlign w:val="center"/>
                </w:tcPr>
                <w:p w14:paraId="2681415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86" w:type="dxa"/>
                  <w:vAlign w:val="center"/>
                </w:tcPr>
                <w:p w14:paraId="1DD0C8D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14:paraId="27CF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continue"/>
                  <w:vAlign w:val="center"/>
                </w:tcPr>
                <w:p w14:paraId="5D1A2B94">
                  <w:pPr>
                    <w:pStyle w:val="27"/>
                    <w:bidi w:val="0"/>
                    <w:jc w:val="center"/>
                    <w:rPr>
                      <w:rFonts w:hint="default" w:ascii="Times New Roman" w:hAnsi="Times New Roman" w:cs="Times New Roman"/>
                      <w:color w:val="auto"/>
                      <w:sz w:val="21"/>
                      <w:szCs w:val="21"/>
                    </w:rPr>
                  </w:pPr>
                </w:p>
              </w:tc>
              <w:tc>
                <w:tcPr>
                  <w:tcW w:w="3883" w:type="dxa"/>
                  <w:vAlign w:val="center"/>
                </w:tcPr>
                <w:p w14:paraId="3A5AC745">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放空设施</w:t>
                  </w:r>
                </w:p>
              </w:tc>
              <w:tc>
                <w:tcPr>
                  <w:tcW w:w="1270" w:type="dxa"/>
                  <w:vAlign w:val="center"/>
                </w:tcPr>
                <w:p w14:paraId="33A04AE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1套</w:t>
                  </w:r>
                </w:p>
              </w:tc>
              <w:tc>
                <w:tcPr>
                  <w:tcW w:w="1586" w:type="dxa"/>
                  <w:vMerge w:val="restart"/>
                  <w:vAlign w:val="center"/>
                </w:tcPr>
                <w:p w14:paraId="0C8A849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计入主体工程</w:t>
                  </w:r>
                </w:p>
              </w:tc>
            </w:tr>
            <w:tr w14:paraId="1332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continue"/>
                  <w:vAlign w:val="center"/>
                </w:tcPr>
                <w:p w14:paraId="621C51CB">
                  <w:pPr>
                    <w:pStyle w:val="27"/>
                    <w:bidi w:val="0"/>
                    <w:jc w:val="center"/>
                    <w:rPr>
                      <w:rFonts w:hint="default" w:ascii="Times New Roman" w:hAnsi="Times New Roman" w:cs="Times New Roman"/>
                      <w:color w:val="auto"/>
                      <w:sz w:val="21"/>
                      <w:szCs w:val="21"/>
                    </w:rPr>
                  </w:pPr>
                </w:p>
              </w:tc>
              <w:tc>
                <w:tcPr>
                  <w:tcW w:w="3883" w:type="dxa"/>
                  <w:vAlign w:val="center"/>
                </w:tcPr>
                <w:p w14:paraId="1E19337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放喷池</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1270" w:type="dxa"/>
                  <w:vAlign w:val="center"/>
                </w:tcPr>
                <w:p w14:paraId="178E93A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1座</w:t>
                  </w:r>
                </w:p>
              </w:tc>
              <w:tc>
                <w:tcPr>
                  <w:tcW w:w="1586" w:type="dxa"/>
                  <w:vMerge w:val="continue"/>
                  <w:vAlign w:val="center"/>
                </w:tcPr>
                <w:p w14:paraId="4754ECAE">
                  <w:pPr>
                    <w:pStyle w:val="27"/>
                    <w:bidi w:val="0"/>
                    <w:jc w:val="center"/>
                    <w:rPr>
                      <w:rFonts w:hint="default" w:ascii="Times New Roman" w:hAnsi="Times New Roman" w:cs="Times New Roman"/>
                      <w:color w:val="auto"/>
                      <w:sz w:val="21"/>
                      <w:szCs w:val="21"/>
                    </w:rPr>
                  </w:pPr>
                </w:p>
              </w:tc>
            </w:tr>
            <w:tr w14:paraId="6D9E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restart"/>
                  <w:vAlign w:val="center"/>
                </w:tcPr>
                <w:p w14:paraId="6470C2A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279" w:type="dxa"/>
                  <w:vAlign w:val="center"/>
                </w:tcPr>
                <w:p w14:paraId="2D2148D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洗井废水</w:t>
                  </w:r>
                </w:p>
              </w:tc>
              <w:tc>
                <w:tcPr>
                  <w:tcW w:w="3883" w:type="dxa"/>
                  <w:vAlign w:val="center"/>
                </w:tcPr>
                <w:p w14:paraId="64FD19F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70" w:type="dxa"/>
                  <w:vAlign w:val="center"/>
                </w:tcPr>
                <w:p w14:paraId="1AF38F87">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1个</w:t>
                  </w:r>
                </w:p>
              </w:tc>
              <w:tc>
                <w:tcPr>
                  <w:tcW w:w="1586" w:type="dxa"/>
                  <w:vAlign w:val="center"/>
                </w:tcPr>
                <w:p w14:paraId="439F9B18">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14:paraId="1533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0BDBDC3C">
                  <w:pPr>
                    <w:pStyle w:val="27"/>
                    <w:bidi w:val="0"/>
                    <w:jc w:val="center"/>
                    <w:rPr>
                      <w:rFonts w:hint="default" w:ascii="Times New Roman" w:hAnsi="Times New Roman" w:cs="Times New Roman"/>
                      <w:color w:val="auto"/>
                      <w:sz w:val="21"/>
                      <w:szCs w:val="21"/>
                    </w:rPr>
                  </w:pPr>
                </w:p>
              </w:tc>
              <w:tc>
                <w:tcPr>
                  <w:tcW w:w="1279" w:type="dxa"/>
                  <w:vAlign w:val="center"/>
                </w:tcPr>
                <w:p w14:paraId="56FC3758">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压裂返排液</w:t>
                  </w:r>
                </w:p>
              </w:tc>
              <w:tc>
                <w:tcPr>
                  <w:tcW w:w="3883" w:type="dxa"/>
                  <w:vAlign w:val="center"/>
                </w:tcPr>
                <w:p w14:paraId="1979CD0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70" w:type="dxa"/>
                  <w:vAlign w:val="center"/>
                </w:tcPr>
                <w:p w14:paraId="0545582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3个</w:t>
                  </w:r>
                </w:p>
              </w:tc>
              <w:tc>
                <w:tcPr>
                  <w:tcW w:w="1586" w:type="dxa"/>
                  <w:vAlign w:val="center"/>
                </w:tcPr>
                <w:p w14:paraId="61D1E09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r>
            <w:tr w14:paraId="0D7E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02CECBE7">
                  <w:pPr>
                    <w:pStyle w:val="27"/>
                    <w:bidi w:val="0"/>
                    <w:jc w:val="center"/>
                    <w:rPr>
                      <w:rFonts w:hint="default" w:ascii="Times New Roman" w:hAnsi="Times New Roman" w:cs="Times New Roman"/>
                      <w:color w:val="auto"/>
                      <w:sz w:val="21"/>
                      <w:szCs w:val="21"/>
                    </w:rPr>
                  </w:pPr>
                </w:p>
              </w:tc>
              <w:tc>
                <w:tcPr>
                  <w:tcW w:w="1279" w:type="dxa"/>
                  <w:vMerge w:val="restart"/>
                  <w:vAlign w:val="center"/>
                </w:tcPr>
                <w:p w14:paraId="20BCD23D">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3883" w:type="dxa"/>
                  <w:vAlign w:val="center"/>
                </w:tcPr>
                <w:p w14:paraId="06F6AEB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移动式</w:t>
                  </w:r>
                  <w:r>
                    <w:rPr>
                      <w:rFonts w:hint="default" w:ascii="Times New Roman" w:hAnsi="Times New Roman" w:cs="Times New Roman"/>
                      <w:color w:val="auto"/>
                      <w:sz w:val="21"/>
                      <w:szCs w:val="21"/>
                      <w:lang w:val="en-US" w:eastAsia="zh-CN"/>
                    </w:rPr>
                    <w:t>卫生</w:t>
                  </w:r>
                  <w:r>
                    <w:rPr>
                      <w:rFonts w:hint="default" w:ascii="Times New Roman" w:hAnsi="Times New Roman" w:cs="Times New Roman"/>
                      <w:color w:val="auto"/>
                      <w:sz w:val="21"/>
                      <w:szCs w:val="21"/>
                    </w:rPr>
                    <w:t>旱厕</w:t>
                  </w:r>
                </w:p>
              </w:tc>
              <w:tc>
                <w:tcPr>
                  <w:tcW w:w="1270" w:type="dxa"/>
                  <w:vAlign w:val="center"/>
                </w:tcPr>
                <w:p w14:paraId="2A65FD9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1个</w:t>
                  </w:r>
                </w:p>
              </w:tc>
              <w:tc>
                <w:tcPr>
                  <w:tcW w:w="1586" w:type="dxa"/>
                  <w:vAlign w:val="center"/>
                </w:tcPr>
                <w:p w14:paraId="235DDFE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2D02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2BFC0566">
                  <w:pPr>
                    <w:pStyle w:val="27"/>
                    <w:bidi w:val="0"/>
                    <w:jc w:val="center"/>
                    <w:rPr>
                      <w:rFonts w:hint="default" w:ascii="Times New Roman" w:hAnsi="Times New Roman" w:cs="Times New Roman"/>
                      <w:color w:val="auto"/>
                      <w:sz w:val="21"/>
                      <w:szCs w:val="21"/>
                    </w:rPr>
                  </w:pPr>
                </w:p>
              </w:tc>
              <w:tc>
                <w:tcPr>
                  <w:tcW w:w="1279" w:type="dxa"/>
                  <w:vMerge w:val="continue"/>
                  <w:vAlign w:val="center"/>
                </w:tcPr>
                <w:p w14:paraId="12671FB1">
                  <w:pPr>
                    <w:pStyle w:val="27"/>
                    <w:bidi w:val="0"/>
                    <w:jc w:val="center"/>
                    <w:rPr>
                      <w:rFonts w:hint="default" w:ascii="Times New Roman" w:hAnsi="Times New Roman" w:cs="Times New Roman"/>
                      <w:color w:val="auto"/>
                      <w:sz w:val="21"/>
                      <w:szCs w:val="21"/>
                    </w:rPr>
                  </w:pPr>
                </w:p>
              </w:tc>
              <w:tc>
                <w:tcPr>
                  <w:tcW w:w="3883" w:type="dxa"/>
                  <w:vAlign w:val="center"/>
                </w:tcPr>
                <w:p w14:paraId="68926D1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沉淀罐1座（15m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c>
                <w:tcPr>
                  <w:tcW w:w="1270" w:type="dxa"/>
                  <w:vAlign w:val="center"/>
                </w:tcPr>
                <w:p w14:paraId="60B4113B">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1座</w:t>
                  </w:r>
                </w:p>
              </w:tc>
              <w:tc>
                <w:tcPr>
                  <w:tcW w:w="1586" w:type="dxa"/>
                  <w:vAlign w:val="center"/>
                </w:tcPr>
                <w:p w14:paraId="5CA42AD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146D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jc w:val="center"/>
              </w:trPr>
              <w:tc>
                <w:tcPr>
                  <w:tcW w:w="621" w:type="dxa"/>
                  <w:vMerge w:val="restart"/>
                  <w:vAlign w:val="center"/>
                </w:tcPr>
                <w:p w14:paraId="446521B7">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279" w:type="dxa"/>
                  <w:vAlign w:val="center"/>
                </w:tcPr>
                <w:p w14:paraId="35D21927">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钻井设备</w:t>
                  </w:r>
                </w:p>
              </w:tc>
              <w:tc>
                <w:tcPr>
                  <w:tcW w:w="3883" w:type="dxa"/>
                  <w:vAlign w:val="center"/>
                </w:tcPr>
                <w:p w14:paraId="4EC21B05">
                  <w:pPr>
                    <w:pStyle w:val="27"/>
                    <w:bidi w:val="0"/>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基础减</w:t>
                  </w:r>
                  <w:r>
                    <w:rPr>
                      <w:rFonts w:hint="default" w:ascii="Times New Roman" w:hAnsi="Times New Roman" w:cs="Times New Roman"/>
                      <w:color w:val="auto"/>
                      <w:sz w:val="21"/>
                      <w:szCs w:val="21"/>
                      <w:highlight w:val="none"/>
                      <w:lang w:val="en-US" w:eastAsia="zh-CN"/>
                    </w:rPr>
                    <w:t>振</w:t>
                  </w:r>
                </w:p>
              </w:tc>
              <w:tc>
                <w:tcPr>
                  <w:tcW w:w="1270" w:type="dxa"/>
                  <w:vAlign w:val="center"/>
                </w:tcPr>
                <w:p w14:paraId="4A64CC78">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w:t>
                  </w:r>
                </w:p>
              </w:tc>
              <w:tc>
                <w:tcPr>
                  <w:tcW w:w="1586" w:type="dxa"/>
                  <w:vAlign w:val="center"/>
                </w:tcPr>
                <w:p w14:paraId="48604601">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0.6</w:t>
                  </w:r>
                </w:p>
              </w:tc>
            </w:tr>
            <w:tr w14:paraId="09C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38DADCDE">
                  <w:pPr>
                    <w:pStyle w:val="27"/>
                    <w:bidi w:val="0"/>
                    <w:jc w:val="center"/>
                    <w:rPr>
                      <w:rFonts w:hint="default" w:ascii="Times New Roman" w:hAnsi="Times New Roman" w:cs="Times New Roman"/>
                      <w:color w:val="auto"/>
                      <w:sz w:val="21"/>
                      <w:szCs w:val="21"/>
                    </w:rPr>
                  </w:pPr>
                </w:p>
              </w:tc>
              <w:tc>
                <w:tcPr>
                  <w:tcW w:w="1279" w:type="dxa"/>
                  <w:vAlign w:val="center"/>
                </w:tcPr>
                <w:p w14:paraId="03B97A6D">
                  <w:pPr>
                    <w:pStyle w:val="27"/>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压裂车</w:t>
                  </w:r>
                </w:p>
              </w:tc>
              <w:tc>
                <w:tcPr>
                  <w:tcW w:w="3883" w:type="dxa"/>
                  <w:vAlign w:val="center"/>
                </w:tcPr>
                <w:p w14:paraId="07684D96">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设置隔声</w:t>
                  </w:r>
                  <w:r>
                    <w:rPr>
                      <w:rFonts w:hint="default" w:ascii="Times New Roman" w:hAnsi="Times New Roman" w:cs="Times New Roman"/>
                      <w:color w:val="auto"/>
                      <w:sz w:val="21"/>
                      <w:szCs w:val="21"/>
                      <w:highlight w:val="none"/>
                      <w:lang w:val="en-US" w:eastAsia="zh-CN"/>
                    </w:rPr>
                    <w:t>设备</w:t>
                  </w:r>
                  <w:r>
                    <w:rPr>
                      <w:rFonts w:hint="default" w:ascii="Times New Roman" w:hAnsi="Times New Roman" w:cs="Times New Roman"/>
                      <w:color w:val="auto"/>
                      <w:sz w:val="21"/>
                      <w:szCs w:val="21"/>
                      <w:highlight w:val="none"/>
                    </w:rPr>
                    <w:t>，仅在白天运行</w:t>
                  </w:r>
                </w:p>
              </w:tc>
              <w:tc>
                <w:tcPr>
                  <w:tcW w:w="1270" w:type="dxa"/>
                  <w:vAlign w:val="center"/>
                </w:tcPr>
                <w:p w14:paraId="237AA5F3">
                  <w:pPr>
                    <w:pStyle w:val="27"/>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w:t>
                  </w:r>
                </w:p>
              </w:tc>
              <w:tc>
                <w:tcPr>
                  <w:tcW w:w="1586" w:type="dxa"/>
                  <w:vAlign w:val="center"/>
                </w:tcPr>
                <w:p w14:paraId="0CF03BA9">
                  <w:pPr>
                    <w:pStyle w:val="27"/>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0.5</w:t>
                  </w:r>
                </w:p>
              </w:tc>
            </w:tr>
            <w:tr w14:paraId="0394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1682BA35">
                  <w:pPr>
                    <w:pStyle w:val="27"/>
                    <w:bidi w:val="0"/>
                    <w:jc w:val="center"/>
                    <w:rPr>
                      <w:rFonts w:hint="default" w:ascii="Times New Roman" w:hAnsi="Times New Roman" w:cs="Times New Roman"/>
                      <w:color w:val="auto"/>
                      <w:sz w:val="21"/>
                      <w:szCs w:val="21"/>
                    </w:rPr>
                  </w:pPr>
                </w:p>
              </w:tc>
              <w:tc>
                <w:tcPr>
                  <w:tcW w:w="1279" w:type="dxa"/>
                  <w:vAlign w:val="center"/>
                </w:tcPr>
                <w:p w14:paraId="2AF1CA80">
                  <w:pPr>
                    <w:pStyle w:val="27"/>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钻井工作区</w:t>
                  </w:r>
                </w:p>
              </w:tc>
              <w:tc>
                <w:tcPr>
                  <w:tcW w:w="3883" w:type="dxa"/>
                  <w:vAlign w:val="center"/>
                </w:tcPr>
                <w:p w14:paraId="0F3A7AC1">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设置隔声墙</w:t>
                  </w:r>
                </w:p>
              </w:tc>
              <w:tc>
                <w:tcPr>
                  <w:tcW w:w="1270" w:type="dxa"/>
                  <w:vAlign w:val="center"/>
                </w:tcPr>
                <w:p w14:paraId="79AD08AE">
                  <w:pPr>
                    <w:pStyle w:val="27"/>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w:t>
                  </w:r>
                </w:p>
              </w:tc>
              <w:tc>
                <w:tcPr>
                  <w:tcW w:w="1586" w:type="dxa"/>
                  <w:vAlign w:val="center"/>
                </w:tcPr>
                <w:p w14:paraId="1966246D">
                  <w:pPr>
                    <w:pStyle w:val="27"/>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1</w:t>
                  </w:r>
                </w:p>
              </w:tc>
            </w:tr>
            <w:tr w14:paraId="6E3E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restart"/>
                  <w:vAlign w:val="center"/>
                </w:tcPr>
                <w:p w14:paraId="115FCB6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1279" w:type="dxa"/>
                  <w:shd w:val="clear" w:color="auto" w:fill="auto"/>
                  <w:vAlign w:val="center"/>
                </w:tcPr>
                <w:p w14:paraId="5B9FA2C0">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危险废物</w:t>
                  </w:r>
                </w:p>
              </w:tc>
              <w:tc>
                <w:tcPr>
                  <w:tcW w:w="3883" w:type="dxa"/>
                  <w:shd w:val="clear" w:color="auto" w:fill="auto"/>
                  <w:vAlign w:val="center"/>
                </w:tcPr>
                <w:p w14:paraId="0990FD20">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撬装</w:t>
                  </w:r>
                  <w:r>
                    <w:rPr>
                      <w:rFonts w:hint="default" w:ascii="Times New Roman" w:hAnsi="Times New Roman" w:cs="Times New Roman"/>
                      <w:color w:val="auto"/>
                      <w:sz w:val="21"/>
                      <w:szCs w:val="21"/>
                    </w:rPr>
                    <w:t>危废</w:t>
                  </w:r>
                  <w:r>
                    <w:rPr>
                      <w:rFonts w:hint="default" w:ascii="Times New Roman" w:hAnsi="Times New Roman" w:cs="Times New Roman"/>
                      <w:color w:val="auto"/>
                      <w:sz w:val="21"/>
                      <w:szCs w:val="21"/>
                      <w:lang w:val="en-US" w:eastAsia="zh-CN"/>
                    </w:rPr>
                    <w:t>贮存库</w:t>
                  </w:r>
                </w:p>
              </w:tc>
              <w:tc>
                <w:tcPr>
                  <w:tcW w:w="1270" w:type="dxa"/>
                  <w:shd w:val="clear" w:color="auto" w:fill="auto"/>
                  <w:vAlign w:val="center"/>
                </w:tcPr>
                <w:p w14:paraId="610BC854">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1个</w:t>
                  </w:r>
                </w:p>
              </w:tc>
              <w:tc>
                <w:tcPr>
                  <w:tcW w:w="1586" w:type="dxa"/>
                  <w:shd w:val="clear" w:color="auto" w:fill="auto"/>
                  <w:vAlign w:val="center"/>
                </w:tcPr>
                <w:p w14:paraId="152275B2">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2.0</w:t>
                  </w:r>
                </w:p>
              </w:tc>
            </w:tr>
            <w:tr w14:paraId="6BEB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29D13E97">
                  <w:pPr>
                    <w:pStyle w:val="27"/>
                    <w:bidi w:val="0"/>
                    <w:jc w:val="center"/>
                    <w:rPr>
                      <w:rFonts w:hint="default" w:ascii="Times New Roman" w:hAnsi="Times New Roman" w:cs="Times New Roman"/>
                      <w:color w:val="auto"/>
                      <w:sz w:val="21"/>
                      <w:szCs w:val="21"/>
                    </w:rPr>
                  </w:pPr>
                </w:p>
              </w:tc>
              <w:tc>
                <w:tcPr>
                  <w:tcW w:w="1279" w:type="dxa"/>
                  <w:shd w:val="clear" w:color="auto" w:fill="auto"/>
                  <w:vAlign w:val="center"/>
                </w:tcPr>
                <w:p w14:paraId="039B128C">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生活垃圾</w:t>
                  </w:r>
                </w:p>
              </w:tc>
              <w:tc>
                <w:tcPr>
                  <w:tcW w:w="3883" w:type="dxa"/>
                  <w:shd w:val="clear" w:color="auto" w:fill="auto"/>
                  <w:vAlign w:val="center"/>
                </w:tcPr>
                <w:p w14:paraId="01C79B20">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经垃圾桶集中收集后由</w:t>
                  </w:r>
                  <w:r>
                    <w:rPr>
                      <w:rFonts w:hint="default" w:ascii="Times New Roman" w:hAnsi="Times New Roman" w:cs="Times New Roman"/>
                      <w:color w:val="auto"/>
                      <w:sz w:val="21"/>
                      <w:szCs w:val="21"/>
                      <w:lang w:val="en-US" w:eastAsia="zh-CN"/>
                    </w:rPr>
                    <w:t>交由</w:t>
                  </w:r>
                  <w:r>
                    <w:rPr>
                      <w:rFonts w:hint="default" w:ascii="Times New Roman" w:hAnsi="Times New Roman" w:cs="Times New Roman"/>
                      <w:color w:val="auto"/>
                      <w:sz w:val="21"/>
                      <w:szCs w:val="21"/>
                    </w:rPr>
                    <w:t>当地环卫部门集中处置。</w:t>
                  </w:r>
                </w:p>
              </w:tc>
              <w:tc>
                <w:tcPr>
                  <w:tcW w:w="1270" w:type="dxa"/>
                  <w:shd w:val="clear" w:color="auto" w:fill="auto"/>
                  <w:vAlign w:val="center"/>
                </w:tcPr>
                <w:p w14:paraId="3A01C654">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若干</w:t>
                  </w:r>
                </w:p>
              </w:tc>
              <w:tc>
                <w:tcPr>
                  <w:tcW w:w="1586" w:type="dxa"/>
                  <w:shd w:val="clear" w:color="auto" w:fill="auto"/>
                  <w:vAlign w:val="center"/>
                </w:tcPr>
                <w:p w14:paraId="1D6554A8">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0.2</w:t>
                  </w:r>
                </w:p>
              </w:tc>
            </w:tr>
            <w:tr w14:paraId="0CE7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321232A8">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w:t>
                  </w:r>
                </w:p>
              </w:tc>
              <w:tc>
                <w:tcPr>
                  <w:tcW w:w="3883" w:type="dxa"/>
                  <w:vAlign w:val="center"/>
                </w:tcPr>
                <w:p w14:paraId="1FE92709">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钻井工作区、泥浆不落地系统区、钻井液材料房、储罐区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撬装式</w:t>
                  </w:r>
                  <w:r>
                    <w:rPr>
                      <w:rFonts w:hint="default" w:ascii="Times New Roman" w:hAnsi="Times New Roman" w:cs="Times New Roman"/>
                      <w:color w:val="auto"/>
                      <w:sz w:val="21"/>
                      <w:szCs w:val="21"/>
                      <w:lang w:eastAsia="zh-CN"/>
                    </w:rPr>
                    <w:t>危废贮存库</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放喷池</w:t>
                  </w:r>
                  <w:r>
                    <w:rPr>
                      <w:rFonts w:hint="default" w:ascii="Times New Roman" w:hAnsi="Times New Roman" w:cs="Times New Roman"/>
                      <w:color w:val="auto"/>
                      <w:sz w:val="21"/>
                      <w:szCs w:val="21"/>
                    </w:rPr>
                    <w:t>进行重点防渗处理</w:t>
                  </w:r>
                </w:p>
              </w:tc>
              <w:tc>
                <w:tcPr>
                  <w:tcW w:w="1270" w:type="dxa"/>
                  <w:vAlign w:val="center"/>
                </w:tcPr>
                <w:p w14:paraId="07E175E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86" w:type="dxa"/>
                  <w:vAlign w:val="center"/>
                </w:tcPr>
                <w:p w14:paraId="2022171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16.0</w:t>
                  </w:r>
                </w:p>
              </w:tc>
            </w:tr>
            <w:tr w14:paraId="369D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102CF3C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w:t>
                  </w:r>
                </w:p>
              </w:tc>
              <w:tc>
                <w:tcPr>
                  <w:tcW w:w="3883" w:type="dxa"/>
                  <w:vAlign w:val="center"/>
                </w:tcPr>
                <w:p w14:paraId="585996D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风险防范措施</w:t>
                  </w:r>
                </w:p>
              </w:tc>
              <w:tc>
                <w:tcPr>
                  <w:tcW w:w="1270" w:type="dxa"/>
                  <w:vAlign w:val="center"/>
                </w:tcPr>
                <w:p w14:paraId="2F98F66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86" w:type="dxa"/>
                  <w:vAlign w:val="center"/>
                </w:tcPr>
                <w:p w14:paraId="3C64B87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r w14:paraId="22AB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1138991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临时占地生态恢复</w:t>
                  </w:r>
                </w:p>
              </w:tc>
              <w:tc>
                <w:tcPr>
                  <w:tcW w:w="3883" w:type="dxa"/>
                  <w:vAlign w:val="center"/>
                </w:tcPr>
                <w:p w14:paraId="16DEA0A6">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覆土平整、恢复原有使用功能</w:t>
                  </w:r>
                </w:p>
              </w:tc>
              <w:tc>
                <w:tcPr>
                  <w:tcW w:w="1270" w:type="dxa"/>
                  <w:vAlign w:val="center"/>
                </w:tcPr>
                <w:p w14:paraId="19EDACD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14346.99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1586" w:type="dxa"/>
                  <w:vAlign w:val="center"/>
                </w:tcPr>
                <w:p w14:paraId="773D0BD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r>
            <w:tr w14:paraId="4B25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53" w:type="dxa"/>
                  <w:gridSpan w:val="4"/>
                  <w:vAlign w:val="center"/>
                </w:tcPr>
                <w:p w14:paraId="50069AD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586" w:type="dxa"/>
                  <w:vAlign w:val="center"/>
                </w:tcPr>
                <w:p w14:paraId="5399937A">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47.3</w:t>
                  </w:r>
                </w:p>
              </w:tc>
            </w:tr>
          </w:tbl>
          <w:p w14:paraId="36D3C4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5B864BE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27E1E9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0CCBC8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6FFE49C4">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bl>
    <w:p w14:paraId="34C3A67D">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1397534">
      <w:pPr>
        <w:numPr>
          <w:ilvl w:val="0"/>
          <w:numId w:val="5"/>
        </w:numPr>
        <w:ind w:left="0" w:leftChars="0" w:firstLine="0" w:firstLineChars="0"/>
        <w:jc w:val="center"/>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生态环境保护措施监督检查清单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782"/>
        <w:gridCol w:w="1738"/>
        <w:gridCol w:w="862"/>
        <w:gridCol w:w="642"/>
      </w:tblGrid>
      <w:tr w14:paraId="5309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4C65FB7A">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3810</wp:posOffset>
                      </wp:positionV>
                      <wp:extent cx="793115" cy="588645"/>
                      <wp:effectExtent l="3810" t="5080" r="22225" b="15875"/>
                      <wp:wrapNone/>
                      <wp:docPr id="4" name="直接连接符 4"/>
                      <wp:cNvGraphicFramePr/>
                      <a:graphic xmlns:a="http://schemas.openxmlformats.org/drawingml/2006/main">
                        <a:graphicData uri="http://schemas.microsoft.com/office/word/2010/wordprocessingShape">
                          <wps:wsp>
                            <wps:cNvCnPr/>
                            <wps:spPr>
                              <a:xfrm>
                                <a:off x="831215" y="1315720"/>
                                <a:ext cx="793115" cy="5886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3pt;height:46.35pt;width:62.45pt;z-index:251660288;mso-width-relative:page;mso-height-relative:page;" filled="f" stroked="t" coordsize="21600,21600" o:gfxdata="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OdeHNYAAAAHAQAADwAAAAAAAAABACAAAAAiAAAAZHJzL2Rvd25yZXYueG1sUEsBAhQA&#10;FAAAAAgAh07iQC7zlXz0AQAAwQMAAA4AAAAAAAAAAQAgAAAAJQEAAGRycy9lMm9Eb2MueG1sUEsF&#10;BgAAAAAGAAYAWQEAAIs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内容</w:t>
            </w:r>
          </w:p>
          <w:p w14:paraId="60F70179">
            <w:pPr>
              <w:numPr>
                <w:ilvl w:val="0"/>
                <w:numId w:val="0"/>
              </w:numPr>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要素</w:t>
            </w:r>
          </w:p>
        </w:tc>
        <w:tc>
          <w:tcPr>
            <w:tcW w:w="6520" w:type="dxa"/>
            <w:gridSpan w:val="2"/>
            <w:vAlign w:val="center"/>
          </w:tcPr>
          <w:p w14:paraId="2579FD1C">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施工期</w:t>
            </w:r>
          </w:p>
        </w:tc>
        <w:tc>
          <w:tcPr>
            <w:tcW w:w="1504" w:type="dxa"/>
            <w:gridSpan w:val="2"/>
            <w:vAlign w:val="center"/>
          </w:tcPr>
          <w:p w14:paraId="4007CB4F">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营运期</w:t>
            </w:r>
          </w:p>
        </w:tc>
      </w:tr>
      <w:tr w14:paraId="0860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1A6B81C1">
            <w:pPr>
              <w:numPr>
                <w:ilvl w:val="0"/>
                <w:numId w:val="0"/>
              </w:numPr>
              <w:jc w:val="center"/>
              <w:rPr>
                <w:rFonts w:hint="default" w:ascii="Times New Roman" w:hAnsi="Times New Roman" w:eastAsia="宋体" w:cs="Times New Roman"/>
                <w:b/>
                <w:bCs/>
                <w:color w:val="auto"/>
                <w:sz w:val="21"/>
                <w:szCs w:val="21"/>
                <w:vertAlign w:val="baseline"/>
                <w:lang w:val="en-US" w:eastAsia="zh-CN"/>
              </w:rPr>
            </w:pPr>
          </w:p>
        </w:tc>
        <w:tc>
          <w:tcPr>
            <w:tcW w:w="4782" w:type="dxa"/>
            <w:vAlign w:val="center"/>
          </w:tcPr>
          <w:p w14:paraId="1892E8EF">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1738" w:type="dxa"/>
            <w:vAlign w:val="center"/>
          </w:tcPr>
          <w:p w14:paraId="0C5C98C8">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c>
          <w:tcPr>
            <w:tcW w:w="862" w:type="dxa"/>
            <w:vAlign w:val="center"/>
          </w:tcPr>
          <w:p w14:paraId="260CC4CD">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642" w:type="dxa"/>
            <w:vAlign w:val="center"/>
          </w:tcPr>
          <w:p w14:paraId="71ED9E4D">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r>
      <w:tr w14:paraId="5024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4B9A112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陆生生态</w:t>
            </w:r>
          </w:p>
        </w:tc>
        <w:tc>
          <w:tcPr>
            <w:tcW w:w="4782" w:type="dxa"/>
            <w:vAlign w:val="center"/>
          </w:tcPr>
          <w:p w14:paraId="2F2A5D51">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施工期：</w:t>
            </w:r>
          </w:p>
          <w:p w14:paraId="736B5A92">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合理布置井场及钻井设备，减少井场占地面积；合理安排施工时间；禁止废水、废弃泥浆、岩屑以及其他废物流失和乱排放；完井后回收各种废料；施工结束后，除生产井所需的面积外，对其余占地覆土恢复植被种植。</w:t>
            </w:r>
          </w:p>
          <w:p w14:paraId="172C0387">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封井期：拆除场地地面设施，进行井场清理，草地恢复为草地，林地恢复为林地，并辅以草地搭配，园地种植原有果树</w:t>
            </w:r>
            <w:r>
              <w:rPr>
                <w:rFonts w:hint="eastAsia" w:ascii="Times New Roman" w:hAnsi="Times New Roman" w:eastAsia="宋体" w:cs="Times New Roman"/>
                <w:color w:val="auto"/>
                <w:sz w:val="21"/>
                <w:szCs w:val="24"/>
                <w:lang w:eastAsia="zh-CN"/>
              </w:rPr>
              <w:t>，耕地交由农户进行复垦</w:t>
            </w:r>
            <w:r>
              <w:rPr>
                <w:rFonts w:hint="default" w:ascii="Times New Roman" w:hAnsi="Times New Roman" w:eastAsia="宋体" w:cs="Times New Roman"/>
                <w:color w:val="auto"/>
                <w:sz w:val="21"/>
                <w:szCs w:val="24"/>
              </w:rPr>
              <w:t>。</w:t>
            </w:r>
          </w:p>
        </w:tc>
        <w:tc>
          <w:tcPr>
            <w:tcW w:w="1738" w:type="dxa"/>
            <w:vAlign w:val="center"/>
          </w:tcPr>
          <w:p w14:paraId="0AEBC7B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生态环境质量不降低</w:t>
            </w:r>
          </w:p>
        </w:tc>
        <w:tc>
          <w:tcPr>
            <w:tcW w:w="862" w:type="dxa"/>
            <w:vAlign w:val="center"/>
          </w:tcPr>
          <w:p w14:paraId="631251C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96D61E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597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AF611D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水生生态</w:t>
            </w:r>
          </w:p>
        </w:tc>
        <w:tc>
          <w:tcPr>
            <w:tcW w:w="4782" w:type="dxa"/>
            <w:vAlign w:val="center"/>
          </w:tcPr>
          <w:p w14:paraId="11A5596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00CFDC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32FC487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BD6D26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788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7C00F3D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地表水环境</w:t>
            </w:r>
          </w:p>
        </w:tc>
        <w:tc>
          <w:tcPr>
            <w:tcW w:w="4782" w:type="dxa"/>
            <w:vAlign w:val="center"/>
          </w:tcPr>
          <w:p w14:paraId="2E4AB75C">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钻井废水：项目钻井废水经泥浆水循环系统处理后优先作为钻井液配水回用，钻井结束后，</w:t>
            </w:r>
            <w:r>
              <w:rPr>
                <w:rFonts w:hint="eastAsia" w:ascii="宋体" w:hAnsi="宋体" w:eastAsia="宋体" w:cs="宋体"/>
                <w:color w:val="auto"/>
                <w:sz w:val="21"/>
                <w:szCs w:val="21"/>
              </w:rPr>
              <w:t>不能回用的钻井废水委托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restart"/>
            <w:vAlign w:val="center"/>
          </w:tcPr>
          <w:p w14:paraId="5377A21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废水妥善处置，不外排</w:t>
            </w:r>
          </w:p>
        </w:tc>
        <w:tc>
          <w:tcPr>
            <w:tcW w:w="862" w:type="dxa"/>
            <w:vAlign w:val="center"/>
          </w:tcPr>
          <w:p w14:paraId="5AB0CBD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B9F133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D3B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664B577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6B11C685">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洗井废水：由专用收集罐临时收集</w:t>
            </w:r>
            <w:r>
              <w:rPr>
                <w:rFonts w:hint="default" w:ascii="Times New Roman" w:hAnsi="Times New Roman" w:eastAsia="宋体" w:cs="Times New Roman"/>
                <w:color w:val="auto"/>
                <w:sz w:val="21"/>
                <w:szCs w:val="24"/>
                <w:lang w:eastAsia="zh-CN"/>
              </w:rPr>
              <w:t>，</w:t>
            </w:r>
            <w:r>
              <w:rPr>
                <w:rFonts w:hint="default" w:ascii="Times New Roman" w:hAnsi="Times New Roman" w:eastAsia="宋体" w:cs="Times New Roman"/>
                <w:color w:val="auto"/>
                <w:sz w:val="21"/>
                <w:szCs w:val="24"/>
              </w:rPr>
              <w:t>钻井结束后，</w:t>
            </w:r>
            <w:r>
              <w:rPr>
                <w:rFonts w:hint="eastAsia" w:ascii="宋体" w:hAnsi="宋体" w:eastAsia="宋体" w:cs="宋体"/>
                <w:color w:val="auto"/>
                <w:sz w:val="21"/>
                <w:szCs w:val="21"/>
              </w:rPr>
              <w:t>不能回用的钻井废水委托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continue"/>
            <w:vAlign w:val="center"/>
          </w:tcPr>
          <w:p w14:paraId="2E35F0A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64FF78E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C55747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34C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43BDE2D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388F0C6F">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压裂返排液：本项目压裂返排液临时收集贮存于专用收集罐，钻井结束后剩余压裂返排液用专用收集罐收集，</w:t>
            </w:r>
            <w:r>
              <w:rPr>
                <w:rFonts w:hint="eastAsia" w:ascii="宋体" w:hAnsi="宋体" w:eastAsia="宋体" w:cs="宋体"/>
                <w:color w:val="auto"/>
                <w:sz w:val="21"/>
                <w:szCs w:val="21"/>
              </w:rPr>
              <w:t>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continue"/>
            <w:vAlign w:val="center"/>
          </w:tcPr>
          <w:p w14:paraId="01DA576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7C105A1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4FF71CC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5ED5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4D62DBA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359AB868">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生活污水：场区设移动式防渗</w:t>
            </w:r>
            <w:r>
              <w:rPr>
                <w:rFonts w:hint="eastAsia" w:ascii="Times New Roman" w:hAnsi="Times New Roman" w:eastAsia="宋体" w:cs="Times New Roman"/>
                <w:color w:val="auto"/>
                <w:sz w:val="21"/>
                <w:szCs w:val="24"/>
                <w:lang w:val="en-US" w:eastAsia="zh-CN"/>
              </w:rPr>
              <w:t>卫生</w:t>
            </w:r>
            <w:r>
              <w:rPr>
                <w:rFonts w:hint="default" w:ascii="Times New Roman" w:hAnsi="Times New Roman" w:eastAsia="宋体" w:cs="Times New Roman"/>
                <w:color w:val="auto"/>
                <w:sz w:val="21"/>
                <w:szCs w:val="24"/>
              </w:rPr>
              <w:t>旱厕，定期清掏用作周边农田堆肥。</w:t>
            </w:r>
          </w:p>
        </w:tc>
        <w:tc>
          <w:tcPr>
            <w:tcW w:w="1738" w:type="dxa"/>
            <w:vMerge w:val="continue"/>
            <w:vAlign w:val="center"/>
          </w:tcPr>
          <w:p w14:paraId="30B00D1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949AA6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E09776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57D7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D2EE5C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地下水及土壤环境</w:t>
            </w:r>
          </w:p>
        </w:tc>
        <w:tc>
          <w:tcPr>
            <w:tcW w:w="4782" w:type="dxa"/>
            <w:vAlign w:val="center"/>
          </w:tcPr>
          <w:p w14:paraId="0935DBC1">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重点防渗区防渗层的防渗性能不应低于6.0m厚渗透系数为1.0×10</w:t>
            </w:r>
            <w:r>
              <w:rPr>
                <w:rFonts w:hint="default" w:ascii="Times New Roman" w:hAnsi="Times New Roman" w:eastAsia="宋体" w:cs="Times New Roman"/>
                <w:color w:val="auto"/>
                <w:sz w:val="21"/>
                <w:szCs w:val="24"/>
                <w:vertAlign w:val="superscript"/>
              </w:rPr>
              <w:t>-7</w:t>
            </w:r>
            <w:r>
              <w:rPr>
                <w:rFonts w:hint="default" w:ascii="Times New Roman" w:hAnsi="Times New Roman" w:eastAsia="宋体" w:cs="Times New Roman"/>
                <w:color w:val="auto"/>
                <w:sz w:val="21"/>
                <w:szCs w:val="24"/>
              </w:rPr>
              <w:t>cm/s的黏土层的防渗性能。采用撬装式危废贮存库，防渗满足至少1m厚黏土层（渗透系数不大于10</w:t>
            </w:r>
            <w:r>
              <w:rPr>
                <w:rFonts w:hint="default" w:ascii="Times New Roman" w:hAnsi="Times New Roman" w:eastAsia="宋体" w:cs="Times New Roman"/>
                <w:color w:val="auto"/>
                <w:sz w:val="21"/>
                <w:szCs w:val="24"/>
                <w:vertAlign w:val="superscript"/>
              </w:rPr>
              <w:t>-7</w:t>
            </w:r>
            <w:r>
              <w:rPr>
                <w:rFonts w:hint="default" w:ascii="Times New Roman" w:hAnsi="Times New Roman" w:eastAsia="宋体" w:cs="Times New Roman"/>
                <w:color w:val="auto"/>
                <w:sz w:val="21"/>
                <w:szCs w:val="24"/>
              </w:rPr>
              <w:t>cm/s）的防渗层，或至少2mm厚高密度聚乙烯膜等人工防渗材料（渗透系数不大于10</w:t>
            </w:r>
            <w:r>
              <w:rPr>
                <w:rFonts w:hint="default" w:ascii="Times New Roman" w:hAnsi="Times New Roman" w:eastAsia="宋体" w:cs="Times New Roman"/>
                <w:color w:val="auto"/>
                <w:sz w:val="21"/>
                <w:szCs w:val="24"/>
                <w:vertAlign w:val="superscript"/>
              </w:rPr>
              <w:t>-10</w:t>
            </w:r>
            <w:r>
              <w:rPr>
                <w:rFonts w:hint="default" w:ascii="Times New Roman" w:hAnsi="Times New Roman" w:eastAsia="宋体" w:cs="Times New Roman"/>
                <w:color w:val="auto"/>
                <w:sz w:val="21"/>
                <w:szCs w:val="24"/>
              </w:rPr>
              <w:t>cm/s），或其他防渗性能等效的材料。</w:t>
            </w:r>
            <w:r>
              <w:rPr>
                <w:rFonts w:hint="eastAsia" w:ascii="Times New Roman" w:hAnsi="Times New Roman" w:eastAsia="宋体" w:cs="Times New Roman"/>
                <w:color w:val="auto"/>
                <w:sz w:val="21"/>
                <w:szCs w:val="24"/>
                <w:lang w:val="en-US" w:eastAsia="zh-CN"/>
              </w:rPr>
              <w:t>一般防渗区防渗层的防渗性能不应低于1.5m厚渗透系数为1.0×10</w:t>
            </w:r>
            <w:r>
              <w:rPr>
                <w:rFonts w:hint="eastAsia" w:ascii="Times New Roman" w:hAnsi="Times New Roman" w:eastAsia="宋体" w:cs="Times New Roman"/>
                <w:color w:val="auto"/>
                <w:sz w:val="21"/>
                <w:szCs w:val="24"/>
                <w:vertAlign w:val="superscript"/>
                <w:lang w:val="en-US" w:eastAsia="zh-CN"/>
              </w:rPr>
              <w:t>-7</w:t>
            </w:r>
            <w:r>
              <w:rPr>
                <w:rFonts w:hint="eastAsia" w:ascii="Times New Roman" w:hAnsi="Times New Roman" w:eastAsia="宋体" w:cs="Times New Roman"/>
                <w:color w:val="auto"/>
                <w:sz w:val="21"/>
                <w:szCs w:val="24"/>
                <w:lang w:val="en-US" w:eastAsia="zh-CN"/>
              </w:rPr>
              <w:t>cm/s的黏土层的防渗性能。</w:t>
            </w:r>
          </w:p>
        </w:tc>
        <w:tc>
          <w:tcPr>
            <w:tcW w:w="1738" w:type="dxa"/>
            <w:vAlign w:val="center"/>
          </w:tcPr>
          <w:p w14:paraId="2DF24536">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施工现场无遗留废水、固体废物等可能对地下水及土壤环境造成影响的污染物；污染物均得到妥善处置</w:t>
            </w:r>
          </w:p>
        </w:tc>
        <w:tc>
          <w:tcPr>
            <w:tcW w:w="862" w:type="dxa"/>
            <w:vAlign w:val="center"/>
          </w:tcPr>
          <w:p w14:paraId="40C8EF5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48E8AC4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2B9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761F2E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声环境</w:t>
            </w:r>
          </w:p>
        </w:tc>
        <w:tc>
          <w:tcPr>
            <w:tcW w:w="4782" w:type="dxa"/>
            <w:vAlign w:val="center"/>
          </w:tcPr>
          <w:p w14:paraId="28803235">
            <w:pPr>
              <w:spacing w:beforeLines="0" w:afterLines="0"/>
              <w:jc w:val="left"/>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采用符合国家规定的设备；严格控制高噪声设备运行时间段，加强施工管理；泥浆泵加衬弹性垫料，管理和作业过程中平稳操作，避免特种作业时产生非正常的噪声</w:t>
            </w:r>
            <w:r>
              <w:rPr>
                <w:rFonts w:hint="eastAsia" w:ascii="Times New Roman" w:hAnsi="Times New Roman" w:eastAsia="宋体" w:cs="Times New Roman"/>
                <w:color w:val="auto"/>
                <w:sz w:val="21"/>
                <w:szCs w:val="24"/>
                <w:lang w:eastAsia="zh-CN"/>
              </w:rPr>
              <w:t>，</w:t>
            </w:r>
            <w:r>
              <w:rPr>
                <w:rFonts w:hint="eastAsia" w:ascii="Times New Roman" w:hAnsi="Times New Roman" w:eastAsia="宋体" w:cs="Times New Roman"/>
                <w:color w:val="auto"/>
                <w:sz w:val="21"/>
                <w:szCs w:val="24"/>
                <w:lang w:val="en-US" w:eastAsia="zh-CN"/>
              </w:rPr>
              <w:t>压裂车设置隔声设备，仅在白天运行</w:t>
            </w:r>
            <w:r>
              <w:rPr>
                <w:rFonts w:hint="default" w:ascii="Times New Roman" w:hAnsi="Times New Roman" w:eastAsia="宋体" w:cs="Times New Roman"/>
                <w:color w:val="auto"/>
                <w:sz w:val="21"/>
                <w:szCs w:val="24"/>
              </w:rPr>
              <w:t>等</w:t>
            </w:r>
          </w:p>
        </w:tc>
        <w:tc>
          <w:tcPr>
            <w:tcW w:w="1738" w:type="dxa"/>
            <w:vAlign w:val="center"/>
          </w:tcPr>
          <w:p w14:paraId="53875BD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满足《建筑施工场界环境噪声排放标准》（</w:t>
            </w:r>
            <w:r>
              <w:rPr>
                <w:rFonts w:hint="default" w:ascii="Times New Roman" w:hAnsi="Times New Roman" w:eastAsia="TimesNewRomanPSMT" w:cs="Times New Roman"/>
                <w:color w:val="auto"/>
                <w:sz w:val="21"/>
                <w:szCs w:val="24"/>
              </w:rPr>
              <w:t>GB12523-2011</w:t>
            </w:r>
            <w:r>
              <w:rPr>
                <w:rFonts w:hint="default" w:ascii="Times New Roman" w:hAnsi="Times New Roman" w:eastAsia="宋体" w:cs="Times New Roman"/>
                <w:color w:val="auto"/>
                <w:sz w:val="21"/>
                <w:szCs w:val="24"/>
              </w:rPr>
              <w:t>）中限值要求</w:t>
            </w:r>
          </w:p>
        </w:tc>
        <w:tc>
          <w:tcPr>
            <w:tcW w:w="862" w:type="dxa"/>
            <w:vAlign w:val="center"/>
          </w:tcPr>
          <w:p w14:paraId="7BD42A8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6B945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68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C3E992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振动</w:t>
            </w:r>
          </w:p>
        </w:tc>
        <w:tc>
          <w:tcPr>
            <w:tcW w:w="4782" w:type="dxa"/>
            <w:vAlign w:val="center"/>
          </w:tcPr>
          <w:p w14:paraId="7DFD36C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09A919A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5579B30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34753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5159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0176A9E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大气环境</w:t>
            </w:r>
          </w:p>
        </w:tc>
        <w:tc>
          <w:tcPr>
            <w:tcW w:w="4782" w:type="dxa"/>
            <w:vAlign w:val="center"/>
          </w:tcPr>
          <w:p w14:paraId="7733524A">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施工扬尘：施工场地围挡、物料堆放覆盖、洒水降尘、土方开挖湿法作业；利用现有道路运输；重污染天气严禁开挖等作业；禁止就地焚烧固体废弃物等。</w:t>
            </w:r>
          </w:p>
        </w:tc>
        <w:tc>
          <w:tcPr>
            <w:tcW w:w="1738" w:type="dxa"/>
            <w:vAlign w:val="center"/>
          </w:tcPr>
          <w:p w14:paraId="0EA8A5EA">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达到《施工场界扬尘排放限值》（</w:t>
            </w:r>
            <w:r>
              <w:rPr>
                <w:rFonts w:hint="default" w:ascii="Times New Roman" w:hAnsi="Times New Roman" w:eastAsia="TimesNewRomanPSMT" w:cs="Times New Roman"/>
                <w:color w:val="auto"/>
                <w:sz w:val="21"/>
                <w:szCs w:val="24"/>
              </w:rPr>
              <w:t>DB61/1078-2017</w:t>
            </w:r>
            <w:r>
              <w:rPr>
                <w:rFonts w:hint="default" w:ascii="Times New Roman" w:hAnsi="Times New Roman" w:eastAsia="宋体" w:cs="Times New Roman"/>
                <w:color w:val="auto"/>
                <w:sz w:val="21"/>
                <w:szCs w:val="24"/>
              </w:rPr>
              <w:t>）的相关要求</w:t>
            </w:r>
          </w:p>
        </w:tc>
        <w:tc>
          <w:tcPr>
            <w:tcW w:w="862" w:type="dxa"/>
            <w:vAlign w:val="center"/>
          </w:tcPr>
          <w:p w14:paraId="5CD1EFC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8BE694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85F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4C358EF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32A6D5EE">
            <w:pPr>
              <w:spacing w:beforeLines="0" w:afterLines="0"/>
              <w:jc w:val="left"/>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事故放喷废气：事故放喷时间持续较短，且通过专用的放喷管线将天然气引至</w:t>
            </w:r>
            <w:r>
              <w:rPr>
                <w:rFonts w:hint="eastAsia" w:ascii="Times New Roman" w:hAnsi="Times New Roman" w:eastAsia="宋体" w:cs="Times New Roman"/>
                <w:color w:val="auto"/>
                <w:sz w:val="21"/>
                <w:szCs w:val="24"/>
                <w:lang w:eastAsia="zh-CN"/>
              </w:rPr>
              <w:t>放喷池</w:t>
            </w:r>
            <w:r>
              <w:rPr>
                <w:rFonts w:hint="default" w:ascii="Times New Roman" w:hAnsi="Times New Roman" w:eastAsia="宋体" w:cs="Times New Roman"/>
                <w:color w:val="auto"/>
                <w:sz w:val="21"/>
                <w:szCs w:val="24"/>
              </w:rPr>
              <w:t>进行点火放喷，事故放喷时间段属临时排放，放喷完毕，影响很快消除</w:t>
            </w:r>
            <w:r>
              <w:rPr>
                <w:rFonts w:hint="eastAsia" w:ascii="Times New Roman" w:hAnsi="Times New Roman" w:eastAsia="宋体" w:cs="Times New Roman"/>
                <w:color w:val="auto"/>
                <w:sz w:val="21"/>
                <w:szCs w:val="24"/>
                <w:lang w:eastAsia="zh-CN"/>
              </w:rPr>
              <w:t>。</w:t>
            </w:r>
          </w:p>
        </w:tc>
        <w:tc>
          <w:tcPr>
            <w:tcW w:w="1738" w:type="dxa"/>
            <w:vAlign w:val="center"/>
          </w:tcPr>
          <w:p w14:paraId="4FEF7D5A">
            <w:pPr>
              <w:spacing w:beforeLines="0" w:afterLine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《大气污染物综合排放标准》（</w:t>
            </w:r>
            <w:r>
              <w:rPr>
                <w:rFonts w:hint="default" w:ascii="Times New Roman" w:hAnsi="Times New Roman" w:eastAsia="TimesNewRomanPSMT" w:cs="Times New Roman"/>
                <w:color w:val="auto"/>
                <w:sz w:val="21"/>
                <w:szCs w:val="24"/>
              </w:rPr>
              <w:t>GB16297-1996</w:t>
            </w:r>
            <w:r>
              <w:rPr>
                <w:rFonts w:hint="default" w:ascii="Times New Roman" w:hAnsi="Times New Roman" w:eastAsia="宋体" w:cs="Times New Roman"/>
                <w:color w:val="auto"/>
                <w:sz w:val="21"/>
                <w:szCs w:val="24"/>
              </w:rPr>
              <w:t>）二级标准</w:t>
            </w:r>
          </w:p>
        </w:tc>
        <w:tc>
          <w:tcPr>
            <w:tcW w:w="862" w:type="dxa"/>
            <w:vAlign w:val="center"/>
          </w:tcPr>
          <w:p w14:paraId="13AA977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557707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1DA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11556F7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4782" w:type="dxa"/>
            <w:vAlign w:val="center"/>
          </w:tcPr>
          <w:p w14:paraId="3904540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4"/>
                <w:lang w:val="en-US" w:eastAsia="zh-CN"/>
              </w:rPr>
              <w:t>泥饼</w:t>
            </w:r>
            <w:r>
              <w:rPr>
                <w:rFonts w:hint="default" w:ascii="Times New Roman" w:hAnsi="Times New Roman" w:eastAsia="宋体" w:cs="Times New Roman"/>
                <w:color w:val="auto"/>
                <w:sz w:val="21"/>
                <w:szCs w:val="24"/>
              </w:rPr>
              <w:t>、岩屑：</w:t>
            </w:r>
            <w:r>
              <w:rPr>
                <w:rFonts w:hint="eastAsia" w:ascii="Times New Roman" w:hAnsi="Times New Roman" w:eastAsia="宋体" w:cs="宋体"/>
                <w:color w:val="auto"/>
                <w:sz w:val="21"/>
                <w:szCs w:val="21"/>
              </w:rPr>
              <w:t>由移动式收集罐统一收集，</w:t>
            </w:r>
            <w:r>
              <w:rPr>
                <w:rFonts w:hint="default" w:ascii="Times New Roman" w:hAnsi="Times New Roman" w:cs="Times New Roman"/>
                <w:color w:val="auto"/>
                <w:sz w:val="21"/>
                <w:szCs w:val="21"/>
                <w:lang w:val="en-US" w:eastAsia="zh-CN"/>
              </w:rPr>
              <w:t>委托</w:t>
            </w:r>
            <w:r>
              <w:rPr>
                <w:rFonts w:hint="default" w:ascii="Times New Roman" w:hAnsi="Times New Roman" w:eastAsia="宋体" w:cs="Times New Roman"/>
                <w:color w:val="auto"/>
                <w:sz w:val="21"/>
                <w:szCs w:val="21"/>
                <w:lang w:eastAsia="zh-CN"/>
              </w:rPr>
              <w:t>陕西德禾鑫盛环保科技有限公司</w:t>
            </w:r>
            <w:r>
              <w:rPr>
                <w:rFonts w:hint="default" w:ascii="Times New Roman" w:hAnsi="Times New Roman" w:cs="Times New Roman"/>
                <w:color w:val="auto"/>
                <w:sz w:val="21"/>
                <w:szCs w:val="21"/>
                <w:lang w:val="en-US" w:eastAsia="zh-CN"/>
              </w:rPr>
              <w:t>外运处置</w:t>
            </w:r>
            <w:r>
              <w:rPr>
                <w:rFonts w:hint="eastAsia" w:ascii="Times New Roman" w:hAnsi="Times New Roman" w:cs="Times New Roman"/>
                <w:color w:val="auto"/>
                <w:sz w:val="21"/>
                <w:szCs w:val="21"/>
                <w:lang w:val="en-US" w:eastAsia="zh-CN"/>
              </w:rPr>
              <w:t>。</w:t>
            </w:r>
          </w:p>
        </w:tc>
        <w:tc>
          <w:tcPr>
            <w:tcW w:w="1738" w:type="dxa"/>
            <w:vMerge w:val="restart"/>
            <w:vAlign w:val="center"/>
          </w:tcPr>
          <w:p w14:paraId="71088A2A">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合理妥善处置；施工现场无遗留固体废弃物</w:t>
            </w:r>
          </w:p>
        </w:tc>
        <w:tc>
          <w:tcPr>
            <w:tcW w:w="862" w:type="dxa"/>
            <w:vAlign w:val="center"/>
          </w:tcPr>
          <w:p w14:paraId="739B7C5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4F8F89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535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1ED9EE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63FBDAA">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废机油：暂存于</w:t>
            </w:r>
            <w:r>
              <w:rPr>
                <w:rFonts w:hint="eastAsia" w:ascii="Times New Roman" w:hAnsi="Times New Roman" w:eastAsia="宋体" w:cs="Times New Roman"/>
                <w:color w:val="auto"/>
                <w:sz w:val="21"/>
                <w:szCs w:val="24"/>
                <w:lang w:eastAsia="zh-CN"/>
              </w:rPr>
              <w:t>危废贮存库</w:t>
            </w:r>
            <w:r>
              <w:rPr>
                <w:rFonts w:hint="default" w:ascii="Times New Roman" w:hAnsi="Times New Roman" w:eastAsia="宋体" w:cs="Times New Roman"/>
                <w:color w:val="auto"/>
                <w:sz w:val="21"/>
                <w:szCs w:val="24"/>
              </w:rPr>
              <w:t>，委托有资质单位处置。</w:t>
            </w:r>
          </w:p>
        </w:tc>
        <w:tc>
          <w:tcPr>
            <w:tcW w:w="1738" w:type="dxa"/>
            <w:vMerge w:val="continue"/>
            <w:vAlign w:val="center"/>
          </w:tcPr>
          <w:p w14:paraId="5E838EE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47EEE19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024109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B7C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72280E5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5788B8BB">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废防渗膜：暂存于</w:t>
            </w:r>
            <w:r>
              <w:rPr>
                <w:rFonts w:hint="eastAsia" w:ascii="Times New Roman" w:hAnsi="Times New Roman" w:eastAsia="宋体" w:cs="Times New Roman"/>
                <w:color w:val="auto"/>
                <w:sz w:val="21"/>
                <w:szCs w:val="24"/>
                <w:lang w:eastAsia="zh-CN"/>
              </w:rPr>
              <w:t>危废贮存库</w:t>
            </w:r>
            <w:r>
              <w:rPr>
                <w:rFonts w:hint="default" w:ascii="Times New Roman" w:hAnsi="Times New Roman" w:eastAsia="宋体" w:cs="Times New Roman"/>
                <w:color w:val="auto"/>
                <w:sz w:val="21"/>
                <w:szCs w:val="24"/>
              </w:rPr>
              <w:t>，委托有资质单位处置。</w:t>
            </w:r>
          </w:p>
        </w:tc>
        <w:tc>
          <w:tcPr>
            <w:tcW w:w="1738" w:type="dxa"/>
            <w:vMerge w:val="continue"/>
            <w:vAlign w:val="center"/>
          </w:tcPr>
          <w:p w14:paraId="7291140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488F00A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642" w:type="dxa"/>
            <w:vAlign w:val="center"/>
          </w:tcPr>
          <w:p w14:paraId="31E2888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r>
      <w:tr w14:paraId="4AD2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3EF1CD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5E37926C">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生活垃圾：集中收集，委托当地环卫部门清运处置</w:t>
            </w:r>
          </w:p>
        </w:tc>
        <w:tc>
          <w:tcPr>
            <w:tcW w:w="1738" w:type="dxa"/>
            <w:vMerge w:val="continue"/>
            <w:vAlign w:val="center"/>
          </w:tcPr>
          <w:p w14:paraId="70640B8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44528B3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7559F3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DB6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A3928B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1D658FA9">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废包装袋：</w:t>
            </w:r>
            <w:r>
              <w:rPr>
                <w:rFonts w:hint="default" w:ascii="Times New Roman" w:hAnsi="Times New Roman" w:eastAsia="宋体" w:cs="Times New Roman"/>
                <w:color w:val="auto"/>
                <w:sz w:val="21"/>
                <w:szCs w:val="24"/>
              </w:rPr>
              <w:t>集中收集后交由物资回收公司回收处置</w:t>
            </w:r>
          </w:p>
        </w:tc>
        <w:tc>
          <w:tcPr>
            <w:tcW w:w="1738" w:type="dxa"/>
            <w:vMerge w:val="continue"/>
            <w:vAlign w:val="center"/>
          </w:tcPr>
          <w:p w14:paraId="4EA05EC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7C77458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09BEAF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C38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5034FFF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电磁环境</w:t>
            </w:r>
          </w:p>
        </w:tc>
        <w:tc>
          <w:tcPr>
            <w:tcW w:w="4782" w:type="dxa"/>
            <w:vAlign w:val="center"/>
          </w:tcPr>
          <w:p w14:paraId="25EE65E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12502B1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011BACE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9E5E24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524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5DE07F8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w:t>
            </w:r>
          </w:p>
        </w:tc>
        <w:tc>
          <w:tcPr>
            <w:tcW w:w="4782" w:type="dxa"/>
            <w:vAlign w:val="center"/>
          </w:tcPr>
          <w:p w14:paraId="6CBC1BA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井口安装防喷器和控制装置，定期检查与维护；对废水罐区、泥浆不落地装置区、原辅料存放区、危废</w:t>
            </w:r>
            <w:r>
              <w:rPr>
                <w:rFonts w:hint="eastAsia" w:ascii="Times New Roman" w:hAnsi="Times New Roman" w:eastAsia="宋体" w:cs="Times New Roman"/>
                <w:color w:val="auto"/>
                <w:sz w:val="21"/>
                <w:szCs w:val="24"/>
                <w:lang w:val="en-US" w:eastAsia="zh-CN"/>
              </w:rPr>
              <w:t>贮存库</w:t>
            </w:r>
            <w:r>
              <w:rPr>
                <w:rFonts w:hint="default" w:ascii="Times New Roman" w:hAnsi="Times New Roman" w:eastAsia="宋体" w:cs="Times New Roman"/>
                <w:color w:val="auto"/>
                <w:sz w:val="21"/>
                <w:szCs w:val="24"/>
              </w:rPr>
              <w:t>进行重点防渗处理，并定期巡查。</w:t>
            </w:r>
          </w:p>
        </w:tc>
        <w:tc>
          <w:tcPr>
            <w:tcW w:w="1738" w:type="dxa"/>
            <w:vAlign w:val="center"/>
          </w:tcPr>
          <w:p w14:paraId="594623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环境风险可控</w:t>
            </w:r>
          </w:p>
        </w:tc>
        <w:tc>
          <w:tcPr>
            <w:tcW w:w="862" w:type="dxa"/>
            <w:vAlign w:val="center"/>
          </w:tcPr>
          <w:p w14:paraId="79E4BD4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A804D2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8DB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41E28E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环境监测</w:t>
            </w:r>
          </w:p>
        </w:tc>
        <w:tc>
          <w:tcPr>
            <w:tcW w:w="4782" w:type="dxa"/>
            <w:vAlign w:val="center"/>
          </w:tcPr>
          <w:p w14:paraId="3CF355A8">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根据监测计划进行监测</w:t>
            </w:r>
          </w:p>
        </w:tc>
        <w:tc>
          <w:tcPr>
            <w:tcW w:w="1738" w:type="dxa"/>
            <w:vAlign w:val="center"/>
          </w:tcPr>
          <w:p w14:paraId="282D813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满足相关标准要求</w:t>
            </w:r>
          </w:p>
        </w:tc>
        <w:tc>
          <w:tcPr>
            <w:tcW w:w="862" w:type="dxa"/>
            <w:vAlign w:val="center"/>
          </w:tcPr>
          <w:p w14:paraId="30295C0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2D85C7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4FF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67D725F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4782" w:type="dxa"/>
            <w:vAlign w:val="center"/>
          </w:tcPr>
          <w:p w14:paraId="1F392E14">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加强施工管理，合理利用场地，严格控制施工范围，尽可能减少临时占地，严格执行《石油天然气钻井井控技术规范》，加强安全管理措施等。</w:t>
            </w:r>
          </w:p>
        </w:tc>
        <w:tc>
          <w:tcPr>
            <w:tcW w:w="1738" w:type="dxa"/>
            <w:vAlign w:val="center"/>
          </w:tcPr>
          <w:p w14:paraId="6EEE67B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388240E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473E5F2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14:paraId="7BF75B8B">
      <w:pPr>
        <w:numPr>
          <w:ilvl w:val="0"/>
          <w:numId w:val="0"/>
        </w:numPr>
        <w:ind w:leftChars="0"/>
        <w:jc w:val="both"/>
        <w:rPr>
          <w:rFonts w:hint="default" w:ascii="Times New Roman" w:hAnsi="Times New Roman" w:eastAsia="黑体" w:cs="Times New Roman"/>
          <w:b w:val="0"/>
          <w:bCs w:val="0"/>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2A8A1B6A">
      <w:pPr>
        <w:numPr>
          <w:ilvl w:val="0"/>
          <w:numId w:val="5"/>
        </w:numPr>
        <w:ind w:left="0" w:leftChars="0" w:firstLine="0" w:firstLineChars="0"/>
        <w:jc w:val="center"/>
        <w:outlineLvl w:val="0"/>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结论</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75A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14:paraId="445583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color w:val="auto"/>
                <w:sz w:val="24"/>
                <w:szCs w:val="24"/>
              </w:rPr>
              <w:t>本项目</w:t>
            </w:r>
            <w:r>
              <w:rPr>
                <w:rFonts w:hint="eastAsia" w:ascii="Times New Roman" w:hAnsi="Times New Roman" w:eastAsia="宋体" w:cs="Times New Roman"/>
                <w:color w:val="auto"/>
                <w:sz w:val="24"/>
                <w:szCs w:val="24"/>
                <w:lang w:val="en-US" w:eastAsia="zh-CN"/>
              </w:rPr>
              <w:t>米107-2M井</w:t>
            </w:r>
            <w:r>
              <w:rPr>
                <w:rFonts w:hint="eastAsia"/>
                <w:color w:val="auto"/>
                <w:sz w:val="24"/>
                <w:szCs w:val="24"/>
              </w:rPr>
              <w:t>建设符合国家产业政策和相关法规、技术规范、政策要求，选址合理，项目建设环境影响主要集中在施工期，在严格执行本评价提出的各项污染防治措施、生态保护措施和风险防范措施后，项目建设对环境影响较小。从环境保护角度</w:t>
            </w:r>
            <w:r>
              <w:rPr>
                <w:rFonts w:hint="eastAsia"/>
                <w:color w:val="auto"/>
                <w:sz w:val="24"/>
                <w:szCs w:val="24"/>
                <w:lang w:val="en-US" w:eastAsia="zh-CN"/>
              </w:rPr>
              <w:t>分析</w:t>
            </w:r>
            <w:r>
              <w:rPr>
                <w:rFonts w:hint="eastAsia"/>
                <w:color w:val="auto"/>
                <w:sz w:val="24"/>
                <w:szCs w:val="24"/>
              </w:rPr>
              <w:t>，项目建设环境影响可行</w:t>
            </w:r>
            <w:r>
              <w:rPr>
                <w:rFonts w:hint="eastAsia"/>
                <w:color w:val="auto"/>
                <w:sz w:val="24"/>
                <w:szCs w:val="24"/>
                <w:lang w:eastAsia="zh-CN"/>
              </w:rPr>
              <w:t>。</w:t>
            </w:r>
          </w:p>
          <w:p w14:paraId="06578C4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F79C39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3CC66715">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36A748A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47F759F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3D43DDC8">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00E91D5">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5117AF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553CD28">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4E8E57E">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DCDBA23">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7BC1B8C1">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8A295A7">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46C2E71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E7982A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ACCBED8">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661CD7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tc>
      </w:tr>
    </w:tbl>
    <w:p w14:paraId="14CB74AB">
      <w:pPr>
        <w:numPr>
          <w:ilvl w:val="0"/>
          <w:numId w:val="0"/>
        </w:numPr>
        <w:ind w:leftChars="0"/>
        <w:jc w:val="both"/>
        <w:rPr>
          <w:rFonts w:hint="default" w:ascii="Times New Roman" w:hAnsi="Times New Roman" w:eastAsia="黑体" w:cs="Times New Roman"/>
          <w:b w:val="0"/>
          <w:bCs w:val="0"/>
          <w:color w:val="auto"/>
          <w:sz w:val="28"/>
          <w:szCs w:val="28"/>
          <w:lang w:val="en-US" w:eastAsia="zh-CN"/>
        </w:rPr>
      </w:pPr>
    </w:p>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C03CB">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F09EE">
                          <w:pPr>
                            <w:pStyle w:val="1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7F09EE">
                    <w:pPr>
                      <w:pStyle w:val="1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CFF8B"/>
    <w:multiLevelType w:val="multilevel"/>
    <w:tmpl w:val="8D4CFF8B"/>
    <w:lvl w:ilvl="0" w:tentative="0">
      <w:start w:val="1"/>
      <w:numFmt w:val="decimal"/>
      <w:pStyle w:val="3"/>
      <w:lvlText w:val="%1."/>
      <w:lvlJc w:val="left"/>
      <w:pPr>
        <w:ind w:left="0" w:leftChars="0" w:firstLine="0" w:firstLineChars="0"/>
      </w:pPr>
      <w:rPr>
        <w:rFonts w:hint="default"/>
      </w:rPr>
    </w:lvl>
    <w:lvl w:ilvl="1" w:tentative="0">
      <w:start w:val="1"/>
      <w:numFmt w:val="decimal"/>
      <w:lvlText w:val="%1.%2."/>
      <w:lvlJc w:val="left"/>
      <w:pPr>
        <w:ind w:left="0" w:leftChars="0" w:firstLine="0" w:firstLineChars="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DB9B55F"/>
    <w:multiLevelType w:val="singleLevel"/>
    <w:tmpl w:val="ADB9B55F"/>
    <w:lvl w:ilvl="0" w:tentative="0">
      <w:start w:val="5"/>
      <w:numFmt w:val="chineseCounting"/>
      <w:suff w:val="nothing"/>
      <w:lvlText w:val="%1、"/>
      <w:lvlJc w:val="left"/>
      <w:rPr>
        <w:rFonts w:hint="eastAsia"/>
      </w:rPr>
    </w:lvl>
  </w:abstractNum>
  <w:abstractNum w:abstractNumId="2">
    <w:nsid w:val="B41C1ECA"/>
    <w:multiLevelType w:val="singleLevel"/>
    <w:tmpl w:val="B41C1ECA"/>
    <w:lvl w:ilvl="0" w:tentative="0">
      <w:start w:val="2"/>
      <w:numFmt w:val="chineseCounting"/>
      <w:suff w:val="nothing"/>
      <w:lvlText w:val="%1、"/>
      <w:lvlJc w:val="left"/>
      <w:rPr>
        <w:rFonts w:hint="eastAsia"/>
      </w:rPr>
    </w:lvl>
  </w:abstractNum>
  <w:abstractNum w:abstractNumId="3">
    <w:nsid w:val="D67EFA1A"/>
    <w:multiLevelType w:val="singleLevel"/>
    <w:tmpl w:val="D67EFA1A"/>
    <w:lvl w:ilvl="0" w:tentative="0">
      <w:start w:val="2"/>
      <w:numFmt w:val="decimal"/>
      <w:suff w:val="nothing"/>
      <w:lvlText w:val="%1、"/>
      <w:lvlJc w:val="left"/>
    </w:lvl>
  </w:abstractNum>
  <w:abstractNum w:abstractNumId="4">
    <w:nsid w:val="32149D62"/>
    <w:multiLevelType w:val="singleLevel"/>
    <w:tmpl w:val="32149D62"/>
    <w:lvl w:ilvl="0" w:tentative="0">
      <w:start w:val="1"/>
      <w:numFmt w:val="chineseCounting"/>
      <w:suff w:val="nothing"/>
      <w:lvlText w:val="%1、"/>
      <w:lvlJc w:val="left"/>
      <w:rPr>
        <w:rFonts w:hint="eastAsia"/>
      </w:rPr>
    </w:lvl>
  </w:abstractNum>
  <w:abstractNum w:abstractNumId="5">
    <w:nsid w:val="49C5845D"/>
    <w:multiLevelType w:val="singleLevel"/>
    <w:tmpl w:val="49C5845D"/>
    <w:lvl w:ilvl="0" w:tentative="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5MmMwMmM4NTkzZGZiNGQ2Mzg5Njg5ODEwNzA3NjIifQ=="/>
  </w:docVars>
  <w:rsids>
    <w:rsidRoot w:val="00172A27"/>
    <w:rsid w:val="00043144"/>
    <w:rsid w:val="00092EBB"/>
    <w:rsid w:val="00134CA1"/>
    <w:rsid w:val="002F1B1B"/>
    <w:rsid w:val="00375761"/>
    <w:rsid w:val="003F501A"/>
    <w:rsid w:val="00572D19"/>
    <w:rsid w:val="00602B4B"/>
    <w:rsid w:val="00B2494E"/>
    <w:rsid w:val="010A5E21"/>
    <w:rsid w:val="01A3073B"/>
    <w:rsid w:val="01D447AC"/>
    <w:rsid w:val="01D95F0B"/>
    <w:rsid w:val="01DE1773"/>
    <w:rsid w:val="01DF79C5"/>
    <w:rsid w:val="01E22DDE"/>
    <w:rsid w:val="020E3E06"/>
    <w:rsid w:val="02581525"/>
    <w:rsid w:val="02614F6E"/>
    <w:rsid w:val="02826665"/>
    <w:rsid w:val="028678D9"/>
    <w:rsid w:val="02E04B4E"/>
    <w:rsid w:val="035D1030"/>
    <w:rsid w:val="038426E0"/>
    <w:rsid w:val="03AB1F6C"/>
    <w:rsid w:val="03DD6B69"/>
    <w:rsid w:val="0415210F"/>
    <w:rsid w:val="041A27E7"/>
    <w:rsid w:val="04537B74"/>
    <w:rsid w:val="04700DA8"/>
    <w:rsid w:val="048702B8"/>
    <w:rsid w:val="04BF4964"/>
    <w:rsid w:val="04D20BB8"/>
    <w:rsid w:val="04DB1875"/>
    <w:rsid w:val="05062889"/>
    <w:rsid w:val="05232E4B"/>
    <w:rsid w:val="0526590B"/>
    <w:rsid w:val="05B057E0"/>
    <w:rsid w:val="05FC1A05"/>
    <w:rsid w:val="06F3181D"/>
    <w:rsid w:val="07267C17"/>
    <w:rsid w:val="0731167A"/>
    <w:rsid w:val="074D53D1"/>
    <w:rsid w:val="07660849"/>
    <w:rsid w:val="07A11004"/>
    <w:rsid w:val="07BE4341"/>
    <w:rsid w:val="0870441F"/>
    <w:rsid w:val="089C3A04"/>
    <w:rsid w:val="08A74FB5"/>
    <w:rsid w:val="08E5101B"/>
    <w:rsid w:val="09242161"/>
    <w:rsid w:val="092C7268"/>
    <w:rsid w:val="09320F56"/>
    <w:rsid w:val="094440FD"/>
    <w:rsid w:val="09624856"/>
    <w:rsid w:val="09905A49"/>
    <w:rsid w:val="099C2118"/>
    <w:rsid w:val="09A3577C"/>
    <w:rsid w:val="09C01FBF"/>
    <w:rsid w:val="09DB5D55"/>
    <w:rsid w:val="09EF63D8"/>
    <w:rsid w:val="0A066E85"/>
    <w:rsid w:val="0A1E6D54"/>
    <w:rsid w:val="0A893CE7"/>
    <w:rsid w:val="0ABB6AF5"/>
    <w:rsid w:val="0ACE6829"/>
    <w:rsid w:val="0AEC0E4A"/>
    <w:rsid w:val="0B0F29CF"/>
    <w:rsid w:val="0BBF295F"/>
    <w:rsid w:val="0BCA3494"/>
    <w:rsid w:val="0BEF4CF1"/>
    <w:rsid w:val="0BFA514F"/>
    <w:rsid w:val="0C082597"/>
    <w:rsid w:val="0C4A6383"/>
    <w:rsid w:val="0C5C08A5"/>
    <w:rsid w:val="0CD6140D"/>
    <w:rsid w:val="0CEE4F60"/>
    <w:rsid w:val="0CEF0CD8"/>
    <w:rsid w:val="0CF956E8"/>
    <w:rsid w:val="0D0B60CC"/>
    <w:rsid w:val="0D8D5BB1"/>
    <w:rsid w:val="0DBD4F8B"/>
    <w:rsid w:val="0E172295"/>
    <w:rsid w:val="0E2B79A6"/>
    <w:rsid w:val="0E43752E"/>
    <w:rsid w:val="0E451CEB"/>
    <w:rsid w:val="0E63372C"/>
    <w:rsid w:val="0E7865DE"/>
    <w:rsid w:val="0E932B7A"/>
    <w:rsid w:val="0EB26C85"/>
    <w:rsid w:val="0ED05027"/>
    <w:rsid w:val="0EFC384A"/>
    <w:rsid w:val="0F2D0C1B"/>
    <w:rsid w:val="0F2F4DC0"/>
    <w:rsid w:val="0F854B2C"/>
    <w:rsid w:val="0FEA7E71"/>
    <w:rsid w:val="10060813"/>
    <w:rsid w:val="10381F19"/>
    <w:rsid w:val="103F3D25"/>
    <w:rsid w:val="10671F91"/>
    <w:rsid w:val="1068018E"/>
    <w:rsid w:val="108654B0"/>
    <w:rsid w:val="10B261D8"/>
    <w:rsid w:val="10C761F4"/>
    <w:rsid w:val="10CF355A"/>
    <w:rsid w:val="10FA30BF"/>
    <w:rsid w:val="11241AA9"/>
    <w:rsid w:val="114352F5"/>
    <w:rsid w:val="115E388D"/>
    <w:rsid w:val="11601843"/>
    <w:rsid w:val="11651F8A"/>
    <w:rsid w:val="11A20BBD"/>
    <w:rsid w:val="11CD2F93"/>
    <w:rsid w:val="11CD4DA7"/>
    <w:rsid w:val="11D84E02"/>
    <w:rsid w:val="11E626AA"/>
    <w:rsid w:val="11E962A5"/>
    <w:rsid w:val="12181708"/>
    <w:rsid w:val="12543AB7"/>
    <w:rsid w:val="125F420A"/>
    <w:rsid w:val="126C2EB5"/>
    <w:rsid w:val="129828AF"/>
    <w:rsid w:val="1299085F"/>
    <w:rsid w:val="12D20041"/>
    <w:rsid w:val="131F6668"/>
    <w:rsid w:val="13315BA7"/>
    <w:rsid w:val="133B52FA"/>
    <w:rsid w:val="13682F98"/>
    <w:rsid w:val="136E0C91"/>
    <w:rsid w:val="137E0650"/>
    <w:rsid w:val="138E6AC1"/>
    <w:rsid w:val="13A4281C"/>
    <w:rsid w:val="14047949"/>
    <w:rsid w:val="14125FD5"/>
    <w:rsid w:val="146A5321"/>
    <w:rsid w:val="14956E0E"/>
    <w:rsid w:val="14DE1D5E"/>
    <w:rsid w:val="150552B3"/>
    <w:rsid w:val="15431BC1"/>
    <w:rsid w:val="15671D54"/>
    <w:rsid w:val="15813FCC"/>
    <w:rsid w:val="15A84DC1"/>
    <w:rsid w:val="15B30AF5"/>
    <w:rsid w:val="161825EB"/>
    <w:rsid w:val="16445BF1"/>
    <w:rsid w:val="167B3E39"/>
    <w:rsid w:val="169E4A2C"/>
    <w:rsid w:val="16E567E2"/>
    <w:rsid w:val="17057A40"/>
    <w:rsid w:val="172B7CD0"/>
    <w:rsid w:val="1743234C"/>
    <w:rsid w:val="176756C6"/>
    <w:rsid w:val="17782D5C"/>
    <w:rsid w:val="178216B2"/>
    <w:rsid w:val="1796061F"/>
    <w:rsid w:val="17F03118"/>
    <w:rsid w:val="18360A65"/>
    <w:rsid w:val="18581A85"/>
    <w:rsid w:val="187F0C03"/>
    <w:rsid w:val="18824A80"/>
    <w:rsid w:val="18D3065E"/>
    <w:rsid w:val="18DC68E2"/>
    <w:rsid w:val="190B3E8D"/>
    <w:rsid w:val="1931216F"/>
    <w:rsid w:val="19404DB1"/>
    <w:rsid w:val="19553F54"/>
    <w:rsid w:val="19793F15"/>
    <w:rsid w:val="198B05F8"/>
    <w:rsid w:val="199540DD"/>
    <w:rsid w:val="19AC41D9"/>
    <w:rsid w:val="19FB0CBC"/>
    <w:rsid w:val="1A1E6F2F"/>
    <w:rsid w:val="1A595101"/>
    <w:rsid w:val="1A9B129F"/>
    <w:rsid w:val="1A9C1DB8"/>
    <w:rsid w:val="1AA650CC"/>
    <w:rsid w:val="1ACB13C2"/>
    <w:rsid w:val="1AD55433"/>
    <w:rsid w:val="1B0F6F0E"/>
    <w:rsid w:val="1B3D07E3"/>
    <w:rsid w:val="1B423DEB"/>
    <w:rsid w:val="1B556117"/>
    <w:rsid w:val="1B841906"/>
    <w:rsid w:val="1B9F3E55"/>
    <w:rsid w:val="1BA63824"/>
    <w:rsid w:val="1C0A6B05"/>
    <w:rsid w:val="1C8F582E"/>
    <w:rsid w:val="1CE343B6"/>
    <w:rsid w:val="1CE968F4"/>
    <w:rsid w:val="1D0504A8"/>
    <w:rsid w:val="1D5F1C7A"/>
    <w:rsid w:val="1D663750"/>
    <w:rsid w:val="1DC064A5"/>
    <w:rsid w:val="1E05210A"/>
    <w:rsid w:val="1E462618"/>
    <w:rsid w:val="1E4B4B5A"/>
    <w:rsid w:val="1E592267"/>
    <w:rsid w:val="1E5954C9"/>
    <w:rsid w:val="1E7B6870"/>
    <w:rsid w:val="1E7D6144"/>
    <w:rsid w:val="1E7E2986"/>
    <w:rsid w:val="1EAE7AE7"/>
    <w:rsid w:val="1EC27FFB"/>
    <w:rsid w:val="1EEB116D"/>
    <w:rsid w:val="1EF34658"/>
    <w:rsid w:val="1F35288E"/>
    <w:rsid w:val="1F3D1A29"/>
    <w:rsid w:val="1F5419C7"/>
    <w:rsid w:val="1FDF021C"/>
    <w:rsid w:val="1FEC0668"/>
    <w:rsid w:val="20062169"/>
    <w:rsid w:val="20146634"/>
    <w:rsid w:val="201C498C"/>
    <w:rsid w:val="20564E9E"/>
    <w:rsid w:val="207B17CE"/>
    <w:rsid w:val="208C7332"/>
    <w:rsid w:val="209F0117"/>
    <w:rsid w:val="20B35E4D"/>
    <w:rsid w:val="20B83EBF"/>
    <w:rsid w:val="20DF664B"/>
    <w:rsid w:val="214A345C"/>
    <w:rsid w:val="215E42F1"/>
    <w:rsid w:val="21D73DBD"/>
    <w:rsid w:val="21ED2421"/>
    <w:rsid w:val="222955AF"/>
    <w:rsid w:val="22745AB0"/>
    <w:rsid w:val="23A076DF"/>
    <w:rsid w:val="23B13BC3"/>
    <w:rsid w:val="23DC309A"/>
    <w:rsid w:val="23E57D95"/>
    <w:rsid w:val="23ED5B1A"/>
    <w:rsid w:val="23F55033"/>
    <w:rsid w:val="240F3CE2"/>
    <w:rsid w:val="24E707BB"/>
    <w:rsid w:val="25070584"/>
    <w:rsid w:val="253515B7"/>
    <w:rsid w:val="254E0DAA"/>
    <w:rsid w:val="254F664B"/>
    <w:rsid w:val="25641E0C"/>
    <w:rsid w:val="25B105DA"/>
    <w:rsid w:val="25EA16C0"/>
    <w:rsid w:val="25F55158"/>
    <w:rsid w:val="2648502F"/>
    <w:rsid w:val="265E419A"/>
    <w:rsid w:val="269600FD"/>
    <w:rsid w:val="26C62652"/>
    <w:rsid w:val="26CD10A1"/>
    <w:rsid w:val="26E03714"/>
    <w:rsid w:val="270F224B"/>
    <w:rsid w:val="271E423C"/>
    <w:rsid w:val="27225ADA"/>
    <w:rsid w:val="2733555C"/>
    <w:rsid w:val="279604CC"/>
    <w:rsid w:val="27C57658"/>
    <w:rsid w:val="27EC0DA0"/>
    <w:rsid w:val="27F0239C"/>
    <w:rsid w:val="28397580"/>
    <w:rsid w:val="28C11F57"/>
    <w:rsid w:val="28D64960"/>
    <w:rsid w:val="29011EFD"/>
    <w:rsid w:val="29A912A2"/>
    <w:rsid w:val="29AB24C9"/>
    <w:rsid w:val="29F1513C"/>
    <w:rsid w:val="2A02081F"/>
    <w:rsid w:val="2A052684"/>
    <w:rsid w:val="2A345FCF"/>
    <w:rsid w:val="2A482B93"/>
    <w:rsid w:val="2A511B4B"/>
    <w:rsid w:val="2A5E1E5B"/>
    <w:rsid w:val="2A691C72"/>
    <w:rsid w:val="2A6F5ED7"/>
    <w:rsid w:val="2A8D770F"/>
    <w:rsid w:val="2A8F792B"/>
    <w:rsid w:val="2A954815"/>
    <w:rsid w:val="2A9A62D0"/>
    <w:rsid w:val="2AE65071"/>
    <w:rsid w:val="2AEA3F30"/>
    <w:rsid w:val="2B361B54"/>
    <w:rsid w:val="2B9C58CC"/>
    <w:rsid w:val="2BDB26FC"/>
    <w:rsid w:val="2C1B50BA"/>
    <w:rsid w:val="2C267E1B"/>
    <w:rsid w:val="2C271DE5"/>
    <w:rsid w:val="2C405C3B"/>
    <w:rsid w:val="2C605832"/>
    <w:rsid w:val="2C7E7C57"/>
    <w:rsid w:val="2C966C4C"/>
    <w:rsid w:val="2CD877B3"/>
    <w:rsid w:val="2D6014DB"/>
    <w:rsid w:val="2D774C44"/>
    <w:rsid w:val="2D9B0395"/>
    <w:rsid w:val="2DDE001A"/>
    <w:rsid w:val="2DE74CEC"/>
    <w:rsid w:val="2DEE2BBA"/>
    <w:rsid w:val="2E151F39"/>
    <w:rsid w:val="2E401A6D"/>
    <w:rsid w:val="2E5C3FC8"/>
    <w:rsid w:val="2E8406A8"/>
    <w:rsid w:val="2E857DAE"/>
    <w:rsid w:val="2E8B21B7"/>
    <w:rsid w:val="2EA414CB"/>
    <w:rsid w:val="2F3E6E64"/>
    <w:rsid w:val="2F656EAC"/>
    <w:rsid w:val="2F8826C5"/>
    <w:rsid w:val="300B5141"/>
    <w:rsid w:val="30113716"/>
    <w:rsid w:val="30185CCC"/>
    <w:rsid w:val="305D3D24"/>
    <w:rsid w:val="307444A9"/>
    <w:rsid w:val="30ED5CF7"/>
    <w:rsid w:val="313F64AB"/>
    <w:rsid w:val="317B4712"/>
    <w:rsid w:val="32143544"/>
    <w:rsid w:val="321700C7"/>
    <w:rsid w:val="32214117"/>
    <w:rsid w:val="32292413"/>
    <w:rsid w:val="323A53D2"/>
    <w:rsid w:val="327F0285"/>
    <w:rsid w:val="32BB6DE3"/>
    <w:rsid w:val="32F06942"/>
    <w:rsid w:val="32F20272"/>
    <w:rsid w:val="331A5A33"/>
    <w:rsid w:val="33487BF2"/>
    <w:rsid w:val="33923A1C"/>
    <w:rsid w:val="33D60378"/>
    <w:rsid w:val="34000F51"/>
    <w:rsid w:val="346159EE"/>
    <w:rsid w:val="347F2794"/>
    <w:rsid w:val="34845BAE"/>
    <w:rsid w:val="3499449E"/>
    <w:rsid w:val="34A55C73"/>
    <w:rsid w:val="34B00BC9"/>
    <w:rsid w:val="34E41A9A"/>
    <w:rsid w:val="35101668"/>
    <w:rsid w:val="352252DB"/>
    <w:rsid w:val="3529097C"/>
    <w:rsid w:val="356E45E1"/>
    <w:rsid w:val="35A1427C"/>
    <w:rsid w:val="35FB43A4"/>
    <w:rsid w:val="362353CB"/>
    <w:rsid w:val="36595491"/>
    <w:rsid w:val="36C26992"/>
    <w:rsid w:val="36C71EEE"/>
    <w:rsid w:val="36CD549D"/>
    <w:rsid w:val="37047FD7"/>
    <w:rsid w:val="374377DC"/>
    <w:rsid w:val="37753A04"/>
    <w:rsid w:val="38145A61"/>
    <w:rsid w:val="38363C89"/>
    <w:rsid w:val="3846063F"/>
    <w:rsid w:val="3882287D"/>
    <w:rsid w:val="388365F5"/>
    <w:rsid w:val="38A500E9"/>
    <w:rsid w:val="38D806EF"/>
    <w:rsid w:val="39507C97"/>
    <w:rsid w:val="397C551E"/>
    <w:rsid w:val="39A72365"/>
    <w:rsid w:val="39BD352D"/>
    <w:rsid w:val="39D5388B"/>
    <w:rsid w:val="39D94971"/>
    <w:rsid w:val="39DB7D7F"/>
    <w:rsid w:val="39DD37AA"/>
    <w:rsid w:val="3A4309FB"/>
    <w:rsid w:val="3A775CE5"/>
    <w:rsid w:val="3A9D6DC0"/>
    <w:rsid w:val="3AA4715B"/>
    <w:rsid w:val="3ABB2076"/>
    <w:rsid w:val="3AD3639A"/>
    <w:rsid w:val="3B043A1D"/>
    <w:rsid w:val="3B1B01D6"/>
    <w:rsid w:val="3B1F0857"/>
    <w:rsid w:val="3BC44F5A"/>
    <w:rsid w:val="3C255B30"/>
    <w:rsid w:val="3CAA4150"/>
    <w:rsid w:val="3CB723D8"/>
    <w:rsid w:val="3CBC69B6"/>
    <w:rsid w:val="3D284BCC"/>
    <w:rsid w:val="3D451A2C"/>
    <w:rsid w:val="3D912B7A"/>
    <w:rsid w:val="3D9A694F"/>
    <w:rsid w:val="3DAC214A"/>
    <w:rsid w:val="3DBE5CC4"/>
    <w:rsid w:val="3DC2371B"/>
    <w:rsid w:val="3DE53B3C"/>
    <w:rsid w:val="3E235B37"/>
    <w:rsid w:val="3EDD4187"/>
    <w:rsid w:val="3EF86514"/>
    <w:rsid w:val="3F1178F7"/>
    <w:rsid w:val="3F1764D3"/>
    <w:rsid w:val="3F2023A0"/>
    <w:rsid w:val="3F2635C5"/>
    <w:rsid w:val="3F37564D"/>
    <w:rsid w:val="3F5058B2"/>
    <w:rsid w:val="3F604F9A"/>
    <w:rsid w:val="3F7878E8"/>
    <w:rsid w:val="400E37AE"/>
    <w:rsid w:val="404A19F5"/>
    <w:rsid w:val="40764075"/>
    <w:rsid w:val="409C7882"/>
    <w:rsid w:val="40B82BB4"/>
    <w:rsid w:val="40C44826"/>
    <w:rsid w:val="40FA31CC"/>
    <w:rsid w:val="410B53D9"/>
    <w:rsid w:val="410F0A26"/>
    <w:rsid w:val="41410A2A"/>
    <w:rsid w:val="41685D81"/>
    <w:rsid w:val="41782A6F"/>
    <w:rsid w:val="41A10E89"/>
    <w:rsid w:val="424961B9"/>
    <w:rsid w:val="428B4A24"/>
    <w:rsid w:val="42AE48D0"/>
    <w:rsid w:val="42B45D29"/>
    <w:rsid w:val="42D43D52"/>
    <w:rsid w:val="431D0E84"/>
    <w:rsid w:val="434075BC"/>
    <w:rsid w:val="43525542"/>
    <w:rsid w:val="43741014"/>
    <w:rsid w:val="448D39DC"/>
    <w:rsid w:val="448E6EA4"/>
    <w:rsid w:val="44A41DCD"/>
    <w:rsid w:val="45AA2AAB"/>
    <w:rsid w:val="45B92F84"/>
    <w:rsid w:val="45CF30C1"/>
    <w:rsid w:val="45D71911"/>
    <w:rsid w:val="464024FD"/>
    <w:rsid w:val="464A1051"/>
    <w:rsid w:val="46913FB4"/>
    <w:rsid w:val="46BD7176"/>
    <w:rsid w:val="46E91AAF"/>
    <w:rsid w:val="47457D8C"/>
    <w:rsid w:val="475A6773"/>
    <w:rsid w:val="47610BE9"/>
    <w:rsid w:val="476E0C93"/>
    <w:rsid w:val="47863A0C"/>
    <w:rsid w:val="47AA76FA"/>
    <w:rsid w:val="47DA3D23"/>
    <w:rsid w:val="47F0441B"/>
    <w:rsid w:val="482C6361"/>
    <w:rsid w:val="486A02C1"/>
    <w:rsid w:val="48BD3414"/>
    <w:rsid w:val="4913307D"/>
    <w:rsid w:val="4941408E"/>
    <w:rsid w:val="49A168DB"/>
    <w:rsid w:val="49D3294A"/>
    <w:rsid w:val="49FB57ED"/>
    <w:rsid w:val="4A4A68A0"/>
    <w:rsid w:val="4A861BA1"/>
    <w:rsid w:val="4AC8202F"/>
    <w:rsid w:val="4AE728CC"/>
    <w:rsid w:val="4B541F5E"/>
    <w:rsid w:val="4B6E46BF"/>
    <w:rsid w:val="4BAF5421"/>
    <w:rsid w:val="4BBC5A62"/>
    <w:rsid w:val="4BDF4311"/>
    <w:rsid w:val="4C115F9A"/>
    <w:rsid w:val="4C332772"/>
    <w:rsid w:val="4C360AAB"/>
    <w:rsid w:val="4C3954F1"/>
    <w:rsid w:val="4C6251AB"/>
    <w:rsid w:val="4CA63DE7"/>
    <w:rsid w:val="4D255CF3"/>
    <w:rsid w:val="4D667331"/>
    <w:rsid w:val="4DA42E3E"/>
    <w:rsid w:val="4DE4323A"/>
    <w:rsid w:val="4E54245B"/>
    <w:rsid w:val="4E58415F"/>
    <w:rsid w:val="4E6401DA"/>
    <w:rsid w:val="4E6A373F"/>
    <w:rsid w:val="4E8011B5"/>
    <w:rsid w:val="4E9A3978"/>
    <w:rsid w:val="4EA40A4D"/>
    <w:rsid w:val="4EAF1A9A"/>
    <w:rsid w:val="4EAF7CCE"/>
    <w:rsid w:val="4EB40496"/>
    <w:rsid w:val="4EB8324C"/>
    <w:rsid w:val="4F07644B"/>
    <w:rsid w:val="4F2204BE"/>
    <w:rsid w:val="4F25055F"/>
    <w:rsid w:val="4F3514BA"/>
    <w:rsid w:val="4F391364"/>
    <w:rsid w:val="4F43297E"/>
    <w:rsid w:val="4F6861C3"/>
    <w:rsid w:val="4F9B0C94"/>
    <w:rsid w:val="4FEE2326"/>
    <w:rsid w:val="4FFB1216"/>
    <w:rsid w:val="50172112"/>
    <w:rsid w:val="50175B49"/>
    <w:rsid w:val="50380588"/>
    <w:rsid w:val="50493828"/>
    <w:rsid w:val="50533B81"/>
    <w:rsid w:val="506A2822"/>
    <w:rsid w:val="50704A7B"/>
    <w:rsid w:val="50AB6AEF"/>
    <w:rsid w:val="50B25A3B"/>
    <w:rsid w:val="50BD2FFF"/>
    <w:rsid w:val="50E41866"/>
    <w:rsid w:val="511240A5"/>
    <w:rsid w:val="514659CF"/>
    <w:rsid w:val="514F6893"/>
    <w:rsid w:val="518710FF"/>
    <w:rsid w:val="519B0E02"/>
    <w:rsid w:val="519E06A1"/>
    <w:rsid w:val="51A80D1E"/>
    <w:rsid w:val="51C16D78"/>
    <w:rsid w:val="51D830B6"/>
    <w:rsid w:val="51DB4B16"/>
    <w:rsid w:val="51FE3331"/>
    <w:rsid w:val="521265C8"/>
    <w:rsid w:val="52595FA5"/>
    <w:rsid w:val="5292555D"/>
    <w:rsid w:val="52BF7DD2"/>
    <w:rsid w:val="52CA29FF"/>
    <w:rsid w:val="52E73CF8"/>
    <w:rsid w:val="5334431C"/>
    <w:rsid w:val="535A3AA7"/>
    <w:rsid w:val="537E7066"/>
    <w:rsid w:val="53A476F3"/>
    <w:rsid w:val="53B316E5"/>
    <w:rsid w:val="53DC648E"/>
    <w:rsid w:val="542D4BC5"/>
    <w:rsid w:val="543371DD"/>
    <w:rsid w:val="54997F59"/>
    <w:rsid w:val="552853DB"/>
    <w:rsid w:val="552B6422"/>
    <w:rsid w:val="55376345"/>
    <w:rsid w:val="556E7FB9"/>
    <w:rsid w:val="55940074"/>
    <w:rsid w:val="55AA2F74"/>
    <w:rsid w:val="55E25FA8"/>
    <w:rsid w:val="55FC6467"/>
    <w:rsid w:val="562D0980"/>
    <w:rsid w:val="563867C7"/>
    <w:rsid w:val="566A5A2D"/>
    <w:rsid w:val="56916930"/>
    <w:rsid w:val="56C87B9D"/>
    <w:rsid w:val="56D614D3"/>
    <w:rsid w:val="56E25212"/>
    <w:rsid w:val="572A43B4"/>
    <w:rsid w:val="576877D5"/>
    <w:rsid w:val="580B4EAD"/>
    <w:rsid w:val="583B5BA2"/>
    <w:rsid w:val="58737694"/>
    <w:rsid w:val="58CB1451"/>
    <w:rsid w:val="58FF717A"/>
    <w:rsid w:val="594F68E5"/>
    <w:rsid w:val="59611F42"/>
    <w:rsid w:val="597050CF"/>
    <w:rsid w:val="59BE107D"/>
    <w:rsid w:val="59F2723C"/>
    <w:rsid w:val="5A36150B"/>
    <w:rsid w:val="5A473648"/>
    <w:rsid w:val="5A53372E"/>
    <w:rsid w:val="5AB81440"/>
    <w:rsid w:val="5AE34FA5"/>
    <w:rsid w:val="5AE526A7"/>
    <w:rsid w:val="5AF54CD9"/>
    <w:rsid w:val="5B0D2022"/>
    <w:rsid w:val="5B364623"/>
    <w:rsid w:val="5B8B17A8"/>
    <w:rsid w:val="5B9444F1"/>
    <w:rsid w:val="5BB95B5E"/>
    <w:rsid w:val="5BCA3C15"/>
    <w:rsid w:val="5BCF72D8"/>
    <w:rsid w:val="5C0954DC"/>
    <w:rsid w:val="5C0D17CD"/>
    <w:rsid w:val="5C2421EB"/>
    <w:rsid w:val="5C2A57D9"/>
    <w:rsid w:val="5C4F4449"/>
    <w:rsid w:val="5C9C18B0"/>
    <w:rsid w:val="5CE036A8"/>
    <w:rsid w:val="5D0C00B7"/>
    <w:rsid w:val="5D6552D7"/>
    <w:rsid w:val="5D700646"/>
    <w:rsid w:val="5D8521D0"/>
    <w:rsid w:val="5DE64CEC"/>
    <w:rsid w:val="5DED63F8"/>
    <w:rsid w:val="5E1143DE"/>
    <w:rsid w:val="5E8C2DFB"/>
    <w:rsid w:val="5EA26F25"/>
    <w:rsid w:val="5EC864F1"/>
    <w:rsid w:val="5ED52E57"/>
    <w:rsid w:val="5EFA3FC9"/>
    <w:rsid w:val="5FCA6734"/>
    <w:rsid w:val="6062696C"/>
    <w:rsid w:val="606D70BF"/>
    <w:rsid w:val="60740E57"/>
    <w:rsid w:val="60A615E0"/>
    <w:rsid w:val="60A90780"/>
    <w:rsid w:val="60BB42CE"/>
    <w:rsid w:val="611121CE"/>
    <w:rsid w:val="61491BEA"/>
    <w:rsid w:val="61B84B09"/>
    <w:rsid w:val="61C62F2B"/>
    <w:rsid w:val="61D70CB9"/>
    <w:rsid w:val="61F950AE"/>
    <w:rsid w:val="621912AD"/>
    <w:rsid w:val="62821EAC"/>
    <w:rsid w:val="628B0322"/>
    <w:rsid w:val="62B7514A"/>
    <w:rsid w:val="6300246C"/>
    <w:rsid w:val="63295B91"/>
    <w:rsid w:val="63765686"/>
    <w:rsid w:val="63CD05A1"/>
    <w:rsid w:val="645D4D4B"/>
    <w:rsid w:val="64822C81"/>
    <w:rsid w:val="64887F33"/>
    <w:rsid w:val="64BD54F9"/>
    <w:rsid w:val="64CD212B"/>
    <w:rsid w:val="64DA1718"/>
    <w:rsid w:val="64E97B01"/>
    <w:rsid w:val="64F86911"/>
    <w:rsid w:val="64FF0C2E"/>
    <w:rsid w:val="65314AB8"/>
    <w:rsid w:val="65381E0A"/>
    <w:rsid w:val="655E28EA"/>
    <w:rsid w:val="657C76E0"/>
    <w:rsid w:val="66065162"/>
    <w:rsid w:val="669E314D"/>
    <w:rsid w:val="66A52748"/>
    <w:rsid w:val="66AF21DF"/>
    <w:rsid w:val="66B477F6"/>
    <w:rsid w:val="66C15430"/>
    <w:rsid w:val="66EB229D"/>
    <w:rsid w:val="6743677C"/>
    <w:rsid w:val="676A497C"/>
    <w:rsid w:val="676D4A96"/>
    <w:rsid w:val="6796339F"/>
    <w:rsid w:val="67D773AA"/>
    <w:rsid w:val="67DB0406"/>
    <w:rsid w:val="67ED05CE"/>
    <w:rsid w:val="68347A57"/>
    <w:rsid w:val="68420E31"/>
    <w:rsid w:val="684456FD"/>
    <w:rsid w:val="6848547F"/>
    <w:rsid w:val="68514AA8"/>
    <w:rsid w:val="686C1664"/>
    <w:rsid w:val="68774A8F"/>
    <w:rsid w:val="68C40C08"/>
    <w:rsid w:val="6918360E"/>
    <w:rsid w:val="692F13B6"/>
    <w:rsid w:val="697E40EB"/>
    <w:rsid w:val="69B11D61"/>
    <w:rsid w:val="69B639DD"/>
    <w:rsid w:val="69F2113C"/>
    <w:rsid w:val="69FF37E1"/>
    <w:rsid w:val="6A222CC8"/>
    <w:rsid w:val="6A4D3488"/>
    <w:rsid w:val="6A6B3F3A"/>
    <w:rsid w:val="6A88590A"/>
    <w:rsid w:val="6A9626B2"/>
    <w:rsid w:val="6A9E4A45"/>
    <w:rsid w:val="6AA302AD"/>
    <w:rsid w:val="6AC00F7E"/>
    <w:rsid w:val="6AF879B8"/>
    <w:rsid w:val="6B39476E"/>
    <w:rsid w:val="6C240F7A"/>
    <w:rsid w:val="6C2450AC"/>
    <w:rsid w:val="6CAC17A2"/>
    <w:rsid w:val="6CBF080E"/>
    <w:rsid w:val="6CE4167D"/>
    <w:rsid w:val="6CF41513"/>
    <w:rsid w:val="6CF72753"/>
    <w:rsid w:val="6D073968"/>
    <w:rsid w:val="6D3A4588"/>
    <w:rsid w:val="6D413DAD"/>
    <w:rsid w:val="6DB307CD"/>
    <w:rsid w:val="6DC522E8"/>
    <w:rsid w:val="6E1D3ED3"/>
    <w:rsid w:val="6E425E28"/>
    <w:rsid w:val="6E427DDD"/>
    <w:rsid w:val="6E587601"/>
    <w:rsid w:val="6E5E3D24"/>
    <w:rsid w:val="6E5E7061"/>
    <w:rsid w:val="6E682450"/>
    <w:rsid w:val="6E7066F8"/>
    <w:rsid w:val="6E7E6481"/>
    <w:rsid w:val="6E8757F0"/>
    <w:rsid w:val="6E8D72AA"/>
    <w:rsid w:val="6E954194"/>
    <w:rsid w:val="6ED90CF5"/>
    <w:rsid w:val="6F5A18B5"/>
    <w:rsid w:val="6F7F55DA"/>
    <w:rsid w:val="6F860F33"/>
    <w:rsid w:val="6FBB1E58"/>
    <w:rsid w:val="6FC1497A"/>
    <w:rsid w:val="6FC36F6D"/>
    <w:rsid w:val="701A7094"/>
    <w:rsid w:val="70877D29"/>
    <w:rsid w:val="70DA7DFF"/>
    <w:rsid w:val="70F0197B"/>
    <w:rsid w:val="70F8713D"/>
    <w:rsid w:val="71020628"/>
    <w:rsid w:val="71252A22"/>
    <w:rsid w:val="71775577"/>
    <w:rsid w:val="718D136F"/>
    <w:rsid w:val="71A17B27"/>
    <w:rsid w:val="71AA10A9"/>
    <w:rsid w:val="71AE08A7"/>
    <w:rsid w:val="71B0505E"/>
    <w:rsid w:val="71B1326B"/>
    <w:rsid w:val="720862FD"/>
    <w:rsid w:val="72823C75"/>
    <w:rsid w:val="72997E6D"/>
    <w:rsid w:val="72B00718"/>
    <w:rsid w:val="72F83160"/>
    <w:rsid w:val="733F6699"/>
    <w:rsid w:val="7352461E"/>
    <w:rsid w:val="73CF42D2"/>
    <w:rsid w:val="73D44D08"/>
    <w:rsid w:val="73E572F6"/>
    <w:rsid w:val="73F32558"/>
    <w:rsid w:val="742449DF"/>
    <w:rsid w:val="7443040B"/>
    <w:rsid w:val="74492275"/>
    <w:rsid w:val="745B3E94"/>
    <w:rsid w:val="749B3DA3"/>
    <w:rsid w:val="74C3483E"/>
    <w:rsid w:val="74D60C7C"/>
    <w:rsid w:val="74E966B4"/>
    <w:rsid w:val="7507768A"/>
    <w:rsid w:val="753524B9"/>
    <w:rsid w:val="75485450"/>
    <w:rsid w:val="755521A4"/>
    <w:rsid w:val="75611EFA"/>
    <w:rsid w:val="758C2194"/>
    <w:rsid w:val="75C512CB"/>
    <w:rsid w:val="75D852DD"/>
    <w:rsid w:val="75E56494"/>
    <w:rsid w:val="76081961"/>
    <w:rsid w:val="7679100F"/>
    <w:rsid w:val="76946CFC"/>
    <w:rsid w:val="76C17E2E"/>
    <w:rsid w:val="76DB2B7D"/>
    <w:rsid w:val="76E063E5"/>
    <w:rsid w:val="76FE4A58"/>
    <w:rsid w:val="773B17F4"/>
    <w:rsid w:val="77493F8A"/>
    <w:rsid w:val="774E658F"/>
    <w:rsid w:val="774E700A"/>
    <w:rsid w:val="779276DF"/>
    <w:rsid w:val="77A659F1"/>
    <w:rsid w:val="77B61D38"/>
    <w:rsid w:val="77DA4BE2"/>
    <w:rsid w:val="77F3781A"/>
    <w:rsid w:val="781A6709"/>
    <w:rsid w:val="781C344D"/>
    <w:rsid w:val="7850367D"/>
    <w:rsid w:val="791215C2"/>
    <w:rsid w:val="79364E32"/>
    <w:rsid w:val="7943519B"/>
    <w:rsid w:val="79BC4EE7"/>
    <w:rsid w:val="7A2158DD"/>
    <w:rsid w:val="7A4C7830"/>
    <w:rsid w:val="7A7074F4"/>
    <w:rsid w:val="7A766BBA"/>
    <w:rsid w:val="7A8F6158"/>
    <w:rsid w:val="7A965D01"/>
    <w:rsid w:val="7AA04C0E"/>
    <w:rsid w:val="7B2F1969"/>
    <w:rsid w:val="7B821819"/>
    <w:rsid w:val="7BF36B62"/>
    <w:rsid w:val="7BFA2B3D"/>
    <w:rsid w:val="7C3E6547"/>
    <w:rsid w:val="7C6548D1"/>
    <w:rsid w:val="7C6D794E"/>
    <w:rsid w:val="7C817D22"/>
    <w:rsid w:val="7CCA2315"/>
    <w:rsid w:val="7CEE1B8E"/>
    <w:rsid w:val="7CF84488"/>
    <w:rsid w:val="7CF908DC"/>
    <w:rsid w:val="7D3D3869"/>
    <w:rsid w:val="7D884954"/>
    <w:rsid w:val="7D897CCE"/>
    <w:rsid w:val="7D936057"/>
    <w:rsid w:val="7DBC7980"/>
    <w:rsid w:val="7DEA0449"/>
    <w:rsid w:val="7E01102C"/>
    <w:rsid w:val="7E162C72"/>
    <w:rsid w:val="7E1C14EA"/>
    <w:rsid w:val="7E636813"/>
    <w:rsid w:val="7E6A1542"/>
    <w:rsid w:val="7E75443A"/>
    <w:rsid w:val="7E8152D9"/>
    <w:rsid w:val="7EC30AC6"/>
    <w:rsid w:val="7EC860DC"/>
    <w:rsid w:val="7ED72E9F"/>
    <w:rsid w:val="7EDF22C0"/>
    <w:rsid w:val="7EEA6053"/>
    <w:rsid w:val="7EFB6FE1"/>
    <w:rsid w:val="7F231565"/>
    <w:rsid w:val="7F323556"/>
    <w:rsid w:val="7F397D8A"/>
    <w:rsid w:val="7F911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unhideWhenUsed/>
    <w:qFormat/>
    <w:uiPriority w:val="99"/>
    <w:pPr>
      <w:keepNext/>
      <w:overflowPunct w:val="0"/>
      <w:snapToGrid w:val="0"/>
      <w:spacing w:before="120" w:after="160" w:line="259" w:lineRule="auto"/>
      <w:ind w:left="432" w:hanging="432"/>
      <w:outlineLvl w:val="0"/>
    </w:pPr>
    <w:rPr>
      <w:rFonts w:hint="eastAsia"/>
      <w:b/>
      <w:color w:val="000000"/>
      <w:kern w:val="44"/>
      <w:sz w:val="30"/>
      <w:szCs w:val="24"/>
    </w:rPr>
  </w:style>
  <w:style w:type="paragraph" w:styleId="3">
    <w:name w:val="heading 2"/>
    <w:basedOn w:val="1"/>
    <w:next w:val="1"/>
    <w:semiHidden/>
    <w:unhideWhenUsed/>
    <w:qFormat/>
    <w:uiPriority w:val="0"/>
    <w:pPr>
      <w:numPr>
        <w:ilvl w:val="0"/>
        <w:numId w:val="1"/>
      </w:numPr>
      <w:spacing w:beforeAutospacing="1" w:after="0" w:afterAutospacing="1"/>
      <w:ind w:firstLine="0" w:firstLineChars="0"/>
      <w:jc w:val="left"/>
      <w:outlineLvl w:val="1"/>
    </w:pPr>
    <w:rPr>
      <w:rFonts w:hint="eastAsia" w:ascii="Times New Roman" w:hAnsi="Times New Roman" w:eastAsia="宋体" w:cs="宋体"/>
      <w:b/>
      <w:bCs/>
      <w:sz w:val="30"/>
      <w:szCs w:val="36"/>
      <w:lang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rPr>
      <w:szCs w:val="20"/>
    </w:rPr>
  </w:style>
  <w:style w:type="paragraph" w:styleId="5">
    <w:name w:val="Body Text First Indent 2"/>
    <w:basedOn w:val="6"/>
    <w:next w:val="7"/>
    <w:unhideWhenUsed/>
    <w:qFormat/>
    <w:uiPriority w:val="0"/>
    <w:pPr>
      <w:widowControl/>
      <w:spacing w:before="60" w:line="240" w:lineRule="auto"/>
      <w:ind w:firstLine="420"/>
    </w:pPr>
    <w:rPr>
      <w:rFonts w:ascii="宋体" w:hAnsi="宋体" w:eastAsia="宋体"/>
      <w:color w:val="000000"/>
      <w:szCs w:val="24"/>
    </w:rPr>
  </w:style>
  <w:style w:type="paragraph" w:styleId="6">
    <w:name w:val="Body Text Indent"/>
    <w:basedOn w:val="1"/>
    <w:qFormat/>
    <w:uiPriority w:val="0"/>
    <w:pPr>
      <w:spacing w:line="360" w:lineRule="auto"/>
      <w:ind w:firstLine="480"/>
    </w:pPr>
    <w:rPr>
      <w:sz w:val="24"/>
    </w:rPr>
  </w:style>
  <w:style w:type="paragraph" w:styleId="7">
    <w:name w:val="Body Text First Indent"/>
    <w:basedOn w:val="8"/>
    <w:next w:val="9"/>
    <w:qFormat/>
    <w:uiPriority w:val="0"/>
    <w:pPr>
      <w:ind w:firstLine="420" w:firstLineChars="100"/>
    </w:p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table of figures"/>
    <w:basedOn w:val="1"/>
    <w:next w:val="1"/>
    <w:unhideWhenUsed/>
    <w:qFormat/>
    <w:uiPriority w:val="99"/>
  </w:style>
  <w:style w:type="paragraph" w:styleId="10">
    <w:name w:val="caption"/>
    <w:basedOn w:val="1"/>
    <w:next w:val="1"/>
    <w:unhideWhenUsed/>
    <w:qFormat/>
    <w:uiPriority w:val="0"/>
    <w:pPr>
      <w:jc w:val="center"/>
    </w:pPr>
    <w:rPr>
      <w:b/>
      <w:sz w:val="24"/>
    </w:rPr>
  </w:style>
  <w:style w:type="paragraph" w:styleId="11">
    <w:name w:val="annotation text"/>
    <w:basedOn w:val="1"/>
    <w:qFormat/>
    <w:uiPriority w:val="0"/>
    <w:pPr>
      <w:jc w:val="left"/>
    </w:pPr>
  </w:style>
  <w:style w:type="paragraph" w:styleId="12">
    <w:name w:val="Plain Text"/>
    <w:basedOn w:val="1"/>
    <w:next w:val="13"/>
    <w:qFormat/>
    <w:uiPriority w:val="0"/>
    <w:rPr>
      <w:rFonts w:ascii="宋体" w:hAnsi="Courier New" w:cs="Courier New"/>
      <w:sz w:val="21"/>
      <w:szCs w:val="21"/>
    </w:rPr>
  </w:style>
  <w:style w:type="paragraph" w:styleId="13">
    <w:name w:val="toc 9"/>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Body Text Indent 2"/>
    <w:basedOn w:val="1"/>
    <w:next w:val="5"/>
    <w:qFormat/>
    <w:uiPriority w:val="0"/>
    <w:pPr>
      <w:spacing w:after="120" w:afterLines="0" w:line="480" w:lineRule="auto"/>
      <w:ind w:left="420" w:leftChars="200"/>
    </w:pPr>
    <w:rPr>
      <w:sz w:val="21"/>
      <w:szCs w:val="24"/>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List"/>
    <w:basedOn w:val="1"/>
    <w:qFormat/>
    <w:uiPriority w:val="0"/>
    <w:pPr>
      <w:ind w:left="420" w:hanging="420"/>
    </w:pPr>
    <w:rPr>
      <w:rFonts w:ascii="宋体"/>
      <w:b/>
      <w:snapToGrid w:val="0"/>
      <w:kern w:val="0"/>
      <w:sz w:val="44"/>
    </w:rPr>
  </w:style>
  <w:style w:type="paragraph" w:styleId="18">
    <w:name w:val="Body Text 2"/>
    <w:basedOn w:val="1"/>
    <w:next w:val="1"/>
    <w:unhideWhenUsed/>
    <w:qFormat/>
    <w:uiPriority w:val="99"/>
    <w:pPr>
      <w:spacing w:after="120" w:afterLines="0" w:afterAutospacing="0" w:line="480" w:lineRule="auto"/>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表格"/>
    <w:basedOn w:val="17"/>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3">
    <w:name w:val="Default"/>
    <w:basedOn w:val="24"/>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
    <w:name w:val="纯文本1"/>
    <w:basedOn w:val="1"/>
    <w:qFormat/>
    <w:uiPriority w:val="0"/>
    <w:pPr>
      <w:autoSpaceDE w:val="0"/>
      <w:autoSpaceDN w:val="0"/>
      <w:adjustRightInd w:val="0"/>
      <w:textAlignment w:val="baseline"/>
    </w:pPr>
    <w:rPr>
      <w:rFonts w:ascii="Courier New" w:hAnsi="Courier New"/>
      <w:sz w:val="15"/>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报告正文"/>
    <w:basedOn w:val="1"/>
    <w:qFormat/>
    <w:uiPriority w:val="0"/>
    <w:pPr>
      <w:adjustRightInd w:val="0"/>
      <w:snapToGrid w:val="0"/>
      <w:spacing w:line="360" w:lineRule="auto"/>
      <w:ind w:firstLine="720" w:firstLineChars="200"/>
      <w:jc w:val="both"/>
    </w:pPr>
    <w:rPr>
      <w:rFonts w:cs="宋体"/>
      <w:kern w:val="0"/>
      <w:sz w:val="24"/>
      <w:szCs w:val="21"/>
    </w:rPr>
  </w:style>
  <w:style w:type="paragraph" w:customStyle="1" w:styleId="27">
    <w:name w:val="表格文字"/>
    <w:basedOn w:val="1"/>
    <w:qFormat/>
    <w:uiPriority w:val="0"/>
    <w:pPr>
      <w:adjustRightInd w:val="0"/>
      <w:snapToGrid w:val="0"/>
      <w:spacing w:line="240" w:lineRule="auto"/>
      <w:ind w:firstLine="0" w:firstLineChars="0"/>
      <w:jc w:val="center"/>
      <w:textAlignment w:val="center"/>
    </w:pPr>
    <w:rPr>
      <w:rFonts w:ascii="Times New Roman" w:hAnsi="Times New Roman" w:eastAsia="宋体" w:cs="宋体"/>
      <w:kern w:val="0"/>
      <w:szCs w:val="21"/>
    </w:rPr>
  </w:style>
  <w:style w:type="paragraph" w:customStyle="1" w:styleId="28">
    <w:name w:val="表格内容"/>
    <w:basedOn w:val="1"/>
    <w:qFormat/>
    <w:uiPriority w:val="0"/>
    <w:pPr>
      <w:adjustRightInd w:val="0"/>
      <w:snapToGrid w:val="0"/>
      <w:spacing w:line="240" w:lineRule="auto"/>
      <w:ind w:firstLine="0" w:firstLineChars="0"/>
      <w:jc w:val="center"/>
    </w:pPr>
    <w:rPr>
      <w:sz w:val="21"/>
    </w:rPr>
  </w:style>
  <w:style w:type="table" w:customStyle="1" w:styleId="29">
    <w:name w:val="网格型1"/>
    <w:basedOn w:val="19"/>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正文格式"/>
    <w:basedOn w:val="1"/>
    <w:qFormat/>
    <w:uiPriority w:val="0"/>
    <w:pPr>
      <w:spacing w:line="360" w:lineRule="auto"/>
      <w:ind w:firstLine="482"/>
    </w:pPr>
    <w:rPr>
      <w:rFonts w:ascii="宋体" w:cs="宋体"/>
      <w:color w:val="000000"/>
      <w:sz w:val="24"/>
      <w:lang w:bidi="ar-SA"/>
    </w:rPr>
  </w:style>
  <w:style w:type="character" w:customStyle="1" w:styleId="31">
    <w:name w:val="font31"/>
    <w:basedOn w:val="21"/>
    <w:qFormat/>
    <w:uiPriority w:val="0"/>
    <w:rPr>
      <w:rFonts w:ascii="宋体" w:hAnsi="宋体" w:eastAsia="宋体" w:cs="宋体"/>
      <w:color w:val="000000"/>
      <w:sz w:val="14"/>
      <w:szCs w:val="14"/>
      <w:u w:val="none"/>
    </w:rPr>
  </w:style>
  <w:style w:type="character" w:customStyle="1" w:styleId="32">
    <w:name w:val="font21"/>
    <w:basedOn w:val="21"/>
    <w:qFormat/>
    <w:uiPriority w:val="0"/>
    <w:rPr>
      <w:rFonts w:ascii="宋体" w:hAnsi="宋体" w:eastAsia="宋体" w:cs="宋体"/>
      <w:color w:val="000096"/>
      <w:sz w:val="14"/>
      <w:szCs w:val="14"/>
      <w:u w:val="none"/>
    </w:rPr>
  </w:style>
  <w:style w:type="character" w:customStyle="1" w:styleId="33">
    <w:name w:val="font41"/>
    <w:basedOn w:val="21"/>
    <w:qFormat/>
    <w:uiPriority w:val="0"/>
    <w:rPr>
      <w:rFonts w:ascii="宋体" w:hAnsi="宋体" w:eastAsia="宋体" w:cs="宋体"/>
      <w:color w:val="000000"/>
      <w:sz w:val="18"/>
      <w:szCs w:val="18"/>
      <w:u w:val="none"/>
    </w:rPr>
  </w:style>
  <w:style w:type="paragraph" w:customStyle="1" w:styleId="34">
    <w:name w:val="表格正文"/>
    <w:basedOn w:val="1"/>
    <w:qFormat/>
    <w:uiPriority w:val="0"/>
    <w:pPr>
      <w:adjustRightInd w:val="0"/>
      <w:snapToGrid w:val="0"/>
      <w:spacing w:line="360" w:lineRule="auto"/>
      <w:ind w:firstLine="200" w:firstLineChars="200"/>
      <w:jc w:val="center"/>
    </w:pPr>
    <w:rPr>
      <w:sz w:val="24"/>
      <w:szCs w:val="24"/>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emf"/><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19969</Words>
  <Characters>20748</Characters>
  <Lines>0</Lines>
  <Paragraphs>0</Paragraphs>
  <TotalTime>124</TotalTime>
  <ScaleCrop>false</ScaleCrop>
  <LinksUpToDate>false</LinksUpToDate>
  <CharactersWithSpaces>20879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2024-06-24T06:35:00Z</dcterms:created>
  <dc:creator>甜梦中大白兔粘牙</dc:creator>
  <cp:lastModifiedBy></cp:lastModifiedBy>
  <dcterms:modified xsi:type="dcterms:W3CDTF">2025-07-08T09:21:40Z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A74359E18C1B4A2A8605E620EA2FA2D5_13</vt:lpwstr>
  </property>
  <property fmtid="{D5CDD505-2E9C-101B-9397-08002B2CF9AE}" pid="4" name="KSOTemplateDocerSaveRecord">
    <vt:lpwstr>eyJoZGlkIjoiNTViYTIzYzc1OTcyMmJhNjQzNTdiMjdiNWU0MGE3YzciLCJ1c2VySWQiOiIyNjYyMzg4NTcifQ==</vt:lpwstr>
  </property>
</Properties>
</file>