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03869">
      <w:pPr>
        <w:ind w:firstLine="720"/>
        <w:rPr>
          <w:rFonts w:ascii="仿宋_GB2312" w:hAnsi="仿宋_GB2312" w:eastAsia="仿宋_GB2312" w:cs="仿宋_GB2312"/>
          <w:color w:val="auto"/>
          <w:sz w:val="36"/>
          <w:szCs w:val="36"/>
        </w:rPr>
      </w:pPr>
      <w:bookmarkStart w:id="5" w:name="_GoBack"/>
    </w:p>
    <w:p w14:paraId="21054A30">
      <w:pPr>
        <w:ind w:firstLine="720"/>
        <w:rPr>
          <w:rFonts w:ascii="仿宋_GB2312" w:hAnsi="仿宋_GB2312" w:eastAsia="仿宋_GB2312" w:cs="仿宋_GB2312"/>
          <w:color w:val="auto"/>
          <w:sz w:val="36"/>
          <w:szCs w:val="36"/>
        </w:rPr>
      </w:pPr>
    </w:p>
    <w:p w14:paraId="01C65549">
      <w:pPr>
        <w:ind w:firstLine="720"/>
        <w:rPr>
          <w:rFonts w:ascii="仿宋_GB2312" w:hAnsi="仿宋_GB2312" w:eastAsia="仿宋_GB2312" w:cs="仿宋_GB2312"/>
          <w:color w:val="auto"/>
          <w:sz w:val="36"/>
          <w:szCs w:val="36"/>
        </w:rPr>
      </w:pPr>
    </w:p>
    <w:p w14:paraId="2BB71F87">
      <w:pPr>
        <w:ind w:firstLine="0" w:firstLineChars="0"/>
        <w:jc w:val="center"/>
        <w:outlineLvl w:val="0"/>
        <w:rPr>
          <w:rFonts w:ascii="仿宋" w:hAnsi="仿宋" w:eastAsia="仿宋" w:cs="仿宋"/>
          <w:b/>
          <w:bCs/>
          <w:color w:val="auto"/>
          <w:sz w:val="72"/>
          <w:szCs w:val="72"/>
        </w:rPr>
      </w:pPr>
      <w:r>
        <w:rPr>
          <w:rFonts w:hint="eastAsia" w:ascii="方正小标宋_GBK" w:eastAsia="方正小标宋_GBK"/>
          <w:b/>
          <w:bCs/>
          <w:color w:val="auto"/>
          <w:sz w:val="72"/>
          <w:szCs w:val="72"/>
        </w:rPr>
        <w:t>建设项目环境影响报告表</w:t>
      </w:r>
    </w:p>
    <w:p w14:paraId="68E8DCC3">
      <w:pPr>
        <w:ind w:firstLine="0" w:firstLineChars="0"/>
        <w:jc w:val="center"/>
        <w:rPr>
          <w:rFonts w:eastAsia="仿宋"/>
          <w:color w:val="auto"/>
          <w:sz w:val="52"/>
          <w:szCs w:val="52"/>
        </w:rPr>
      </w:pPr>
      <w:r>
        <w:rPr>
          <w:rFonts w:hint="eastAsia" w:ascii="楷体_GB2312" w:eastAsia="楷体_GB2312"/>
          <w:color w:val="auto"/>
          <w:sz w:val="44"/>
        </w:rPr>
        <w:t>（污染影响类）</w:t>
      </w:r>
    </w:p>
    <w:p w14:paraId="4462CD0E">
      <w:pPr>
        <w:ind w:firstLine="480"/>
        <w:rPr>
          <w:color w:val="auto"/>
        </w:rPr>
      </w:pPr>
    </w:p>
    <w:p w14:paraId="6B4D4491">
      <w:pPr>
        <w:ind w:firstLine="480"/>
        <w:rPr>
          <w:color w:val="auto"/>
        </w:rPr>
      </w:pPr>
    </w:p>
    <w:p w14:paraId="292FF6AA">
      <w:pPr>
        <w:ind w:firstLine="480"/>
        <w:rPr>
          <w:color w:val="auto"/>
        </w:rPr>
      </w:pPr>
    </w:p>
    <w:p w14:paraId="390BFCFC">
      <w:pPr>
        <w:ind w:firstLine="480"/>
        <w:rPr>
          <w:color w:val="auto"/>
        </w:rPr>
      </w:pPr>
    </w:p>
    <w:p w14:paraId="12CC0B7B">
      <w:pPr>
        <w:ind w:firstLine="480"/>
        <w:rPr>
          <w:color w:val="auto"/>
        </w:rPr>
      </w:pPr>
    </w:p>
    <w:p w14:paraId="1172063B">
      <w:pPr>
        <w:ind w:firstLine="480"/>
        <w:rPr>
          <w:color w:val="auto"/>
        </w:rPr>
      </w:pPr>
    </w:p>
    <w:p w14:paraId="4CC23818">
      <w:pPr>
        <w:ind w:firstLine="480"/>
        <w:rPr>
          <w:color w:val="auto"/>
        </w:rPr>
      </w:pPr>
    </w:p>
    <w:p w14:paraId="07C7FBE4">
      <w:pPr>
        <w:ind w:firstLine="480"/>
        <w:rPr>
          <w:color w:val="auto"/>
        </w:rPr>
      </w:pPr>
    </w:p>
    <w:p w14:paraId="5EC9359E">
      <w:pPr>
        <w:ind w:firstLine="480"/>
        <w:rPr>
          <w:color w:val="auto"/>
        </w:rPr>
      </w:pPr>
    </w:p>
    <w:p w14:paraId="78368D85">
      <w:pPr>
        <w:ind w:firstLine="0" w:firstLineChars="0"/>
        <w:rPr>
          <w:color w:val="auto"/>
        </w:rPr>
      </w:pPr>
    </w:p>
    <w:p w14:paraId="79D3B1C4">
      <w:pPr>
        <w:ind w:left="620" w:firstLine="640"/>
        <w:rPr>
          <w:rFonts w:hint="default" w:ascii="仿宋_GB2312" w:eastAsia="仿宋_GB2312"/>
          <w:color w:val="auto"/>
          <w:sz w:val="32"/>
          <w:lang w:val="en-US"/>
        </w:rPr>
      </w:pPr>
      <w:r>
        <w:rPr>
          <w:rFonts w:hint="eastAsia" w:ascii="仿宋_GB2312" w:eastAsia="仿宋_GB2312"/>
          <w:color w:val="auto"/>
          <w:sz w:val="32"/>
        </w:rPr>
        <w:t>项目名称：</w:t>
      </w:r>
      <w:r>
        <w:rPr>
          <w:rFonts w:hint="eastAsia" w:ascii="仿宋_GB2312" w:eastAsia="仿宋_GB2312"/>
          <w:color w:val="auto"/>
          <w:sz w:val="32"/>
          <w:u w:val="single"/>
          <w:lang w:val="en-US" w:eastAsia="zh-CN"/>
        </w:rPr>
        <w:t xml:space="preserve">  </w:t>
      </w:r>
      <w:r>
        <w:rPr>
          <w:rFonts w:hint="eastAsia" w:ascii="仿宋" w:hAnsi="仿宋" w:eastAsia="仿宋" w:cs="仿宋"/>
          <w:snapToGrid w:val="0"/>
          <w:color w:val="auto"/>
          <w:spacing w:val="-28"/>
          <w:kern w:val="0"/>
          <w:sz w:val="36"/>
          <w:szCs w:val="36"/>
          <w:u w:val="single"/>
          <w:lang w:val="en-US" w:eastAsia="zh-CN" w:bidi="ar"/>
        </w:rPr>
        <w:t xml:space="preserve">镁基轻量化新材料及汽车零部件深加工项目  </w:t>
      </w:r>
    </w:p>
    <w:p w14:paraId="16D69B65">
      <w:pPr>
        <w:ind w:left="620" w:firstLine="640"/>
        <w:rPr>
          <w:rFonts w:ascii="仿宋_GB2312" w:eastAsia="仿宋_GB2312"/>
          <w:color w:val="auto"/>
          <w:sz w:val="32"/>
        </w:rPr>
      </w:pPr>
      <w:r>
        <w:rPr>
          <w:rFonts w:hint="eastAsia" w:ascii="仿宋_GB2312" w:eastAsia="仿宋_GB2312"/>
          <w:color w:val="auto"/>
          <w:sz w:val="32"/>
        </w:rPr>
        <w:t>建设单位（盖章）：</w:t>
      </w:r>
      <w:r>
        <w:rPr>
          <w:rFonts w:hint="eastAsia" w:ascii="仿宋" w:hAnsi="仿宋" w:eastAsia="仿宋" w:cs="仿宋"/>
          <w:snapToGrid w:val="0"/>
          <w:color w:val="auto"/>
          <w:spacing w:val="-6"/>
          <w:kern w:val="0"/>
          <w:sz w:val="36"/>
          <w:szCs w:val="36"/>
          <w:u w:val="single"/>
          <w:lang w:val="en-US" w:eastAsia="zh-CN" w:bidi="ar"/>
        </w:rPr>
        <w:t>嘉镁新材料科技（榆林）有限公司</w:t>
      </w:r>
    </w:p>
    <w:p w14:paraId="2F76B5C3">
      <w:pPr>
        <w:ind w:left="620" w:firstLine="640"/>
        <w:rPr>
          <w:rFonts w:ascii="仿宋_GB2312" w:eastAsia="仿宋_GB2312"/>
          <w:color w:val="auto"/>
          <w:sz w:val="32"/>
        </w:rPr>
      </w:pPr>
      <w:r>
        <w:rPr>
          <w:rFonts w:hint="eastAsia" w:ascii="仿宋_GB2312" w:eastAsia="仿宋_GB2312"/>
          <w:color w:val="auto"/>
          <w:sz w:val="32"/>
        </w:rPr>
        <w:t>编制日期：</w:t>
      </w:r>
      <w:r>
        <w:rPr>
          <w:rFonts w:hint="eastAsia" w:ascii="仿宋_GB2312" w:eastAsia="仿宋_GB2312"/>
          <w:color w:val="auto"/>
          <w:sz w:val="32"/>
          <w:u w:val="single"/>
        </w:rPr>
        <w:t xml:space="preserve">       </w:t>
      </w:r>
      <w:r>
        <w:rPr>
          <w:rFonts w:hint="default" w:ascii="Times New Roman" w:hAnsi="Times New Roman" w:eastAsia="仿宋_GB2312" w:cs="Times New Roman"/>
          <w:color w:val="auto"/>
          <w:sz w:val="32"/>
          <w:u w:val="single"/>
        </w:rPr>
        <w:t xml:space="preserve"> 202</w:t>
      </w:r>
      <w:r>
        <w:rPr>
          <w:rFonts w:hint="default" w:ascii="Times New Roman" w:hAnsi="Times New Roman" w:eastAsia="仿宋_GB2312" w:cs="Times New Roman"/>
          <w:color w:val="auto"/>
          <w:sz w:val="32"/>
          <w:u w:val="single"/>
          <w:lang w:val="en-US" w:eastAsia="zh-CN"/>
        </w:rPr>
        <w:t>5</w:t>
      </w:r>
      <w:r>
        <w:rPr>
          <w:rFonts w:hint="default" w:ascii="Times New Roman" w:hAnsi="Times New Roman" w:eastAsia="仿宋_GB2312" w:cs="Times New Roman"/>
          <w:color w:val="auto"/>
          <w:sz w:val="32"/>
          <w:u w:val="single"/>
        </w:rPr>
        <w:t>年</w:t>
      </w:r>
      <w:r>
        <w:rPr>
          <w:rFonts w:hint="eastAsia" w:eastAsia="仿宋_GB2312" w:cs="Times New Roman"/>
          <w:color w:val="auto"/>
          <w:sz w:val="32"/>
          <w:u w:val="single"/>
          <w:lang w:val="en-US" w:eastAsia="zh-CN"/>
        </w:rPr>
        <w:t>7</w:t>
      </w:r>
      <w:r>
        <w:rPr>
          <w:rFonts w:hint="default" w:ascii="Times New Roman" w:hAnsi="Times New Roman" w:eastAsia="仿宋_GB2312" w:cs="Times New Roman"/>
          <w:color w:val="auto"/>
          <w:sz w:val="32"/>
          <w:u w:val="single"/>
        </w:rPr>
        <w:t xml:space="preserve">月  </w:t>
      </w:r>
      <w:r>
        <w:rPr>
          <w:rFonts w:hint="eastAsia" w:ascii="仿宋_GB2312" w:eastAsia="仿宋_GB2312"/>
          <w:color w:val="auto"/>
          <w:sz w:val="32"/>
          <w:u w:val="single"/>
        </w:rPr>
        <w:t xml:space="preserve">                </w:t>
      </w:r>
    </w:p>
    <w:p w14:paraId="3658BA34">
      <w:pPr>
        <w:ind w:firstLine="480"/>
        <w:rPr>
          <w:color w:val="auto"/>
        </w:rPr>
      </w:pPr>
      <w:bookmarkStart w:id="0" w:name="_Hlk57884087"/>
    </w:p>
    <w:p w14:paraId="6CE16A52">
      <w:pPr>
        <w:ind w:firstLine="480"/>
        <w:rPr>
          <w:color w:val="auto"/>
        </w:rPr>
      </w:pPr>
    </w:p>
    <w:p w14:paraId="5B19B8BA">
      <w:pPr>
        <w:ind w:firstLine="480"/>
        <w:rPr>
          <w:color w:val="auto"/>
        </w:rPr>
      </w:pPr>
    </w:p>
    <w:bookmarkEnd w:id="0"/>
    <w:p w14:paraId="7DBC3DF1">
      <w:pPr>
        <w:adjustRightInd w:val="0"/>
        <w:snapToGrid w:val="0"/>
        <w:ind w:firstLine="0" w:firstLineChars="0"/>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3250F9EC">
      <w:pPr>
        <w:adjustRightInd w:val="0"/>
        <w:snapToGrid w:val="0"/>
        <w:ind w:firstLine="720"/>
        <w:jc w:val="center"/>
        <w:rPr>
          <w:rFonts w:ascii="楷体_GB2312" w:eastAsia="楷体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531" w:right="1304" w:bottom="1531" w:left="1304" w:header="851" w:footer="1077" w:gutter="0"/>
          <w:pgBorders>
            <w:top w:val="none" w:sz="0" w:space="0"/>
            <w:left w:val="none" w:sz="0" w:space="0"/>
            <w:bottom w:val="none" w:sz="0" w:space="0"/>
            <w:right w:val="none" w:sz="0" w:space="0"/>
          </w:pgBorders>
          <w:pgNumType w:start="3"/>
          <w:cols w:space="720" w:num="1"/>
          <w:docGrid w:linePitch="312" w:charSpace="0"/>
        </w:sectPr>
      </w:pPr>
    </w:p>
    <w:p w14:paraId="5CC7D2F4">
      <w:pPr>
        <w:pStyle w:val="7"/>
        <w:numPr>
          <w:ilvl w:val="0"/>
          <w:numId w:val="0"/>
        </w:numPr>
        <w:ind w:left="425" w:leftChars="0" w:firstLine="0" w:firstLineChars="0"/>
        <w:rPr>
          <w:color w:val="auto"/>
        </w:rPr>
      </w:pPr>
      <w:bookmarkStart w:id="1" w:name="_Toc15288"/>
      <w:bookmarkStart w:id="2" w:name="_Toc4943"/>
      <w:r>
        <w:rPr>
          <w:rFonts w:hint="eastAsia" w:ascii="Times New Roman" w:hAnsi="Times New Roman" w:eastAsia="黑体"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1</w:t>
      </w:r>
      <w:r>
        <w:rPr>
          <w:rFonts w:hint="eastAsia"/>
          <w:color w:val="auto"/>
        </w:rPr>
        <w:t>一、建设项目基本情况</w:t>
      </w:r>
      <w:bookmarkEnd w:id="1"/>
      <w:bookmarkEnd w:id="2"/>
    </w:p>
    <w:tbl>
      <w:tblPr>
        <w:tblStyle w:val="24"/>
        <w:tblW w:w="495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35"/>
        <w:gridCol w:w="3502"/>
        <w:gridCol w:w="1153"/>
        <w:gridCol w:w="3358"/>
      </w:tblGrid>
      <w:tr w14:paraId="78DE4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668" w:type="pct"/>
            <w:tcMar>
              <w:top w:w="16" w:type="dxa"/>
              <w:left w:w="16" w:type="dxa"/>
              <w:right w:w="16" w:type="dxa"/>
            </w:tcMar>
            <w:vAlign w:val="center"/>
          </w:tcPr>
          <w:p w14:paraId="35B15631">
            <w:pPr>
              <w:adjustRightInd w:val="0"/>
              <w:snapToGrid w:val="0"/>
              <w:spacing w:line="276" w:lineRule="auto"/>
              <w:ind w:firstLine="0" w:firstLineChars="0"/>
              <w:jc w:val="center"/>
              <w:rPr>
                <w:color w:val="auto"/>
              </w:rPr>
            </w:pPr>
            <w:r>
              <w:rPr>
                <w:color w:val="auto"/>
              </w:rPr>
              <w:t>建设项目</w:t>
            </w:r>
          </w:p>
          <w:p w14:paraId="345983B4">
            <w:pPr>
              <w:adjustRightInd w:val="0"/>
              <w:snapToGrid w:val="0"/>
              <w:spacing w:line="276" w:lineRule="auto"/>
              <w:ind w:firstLine="0" w:firstLineChars="0"/>
              <w:jc w:val="center"/>
              <w:rPr>
                <w:color w:val="auto"/>
              </w:rPr>
            </w:pPr>
            <w:r>
              <w:rPr>
                <w:color w:val="auto"/>
              </w:rPr>
              <w:t>名称</w:t>
            </w:r>
          </w:p>
        </w:tc>
        <w:tc>
          <w:tcPr>
            <w:tcW w:w="4331" w:type="pct"/>
            <w:gridSpan w:val="3"/>
            <w:vAlign w:val="center"/>
          </w:tcPr>
          <w:p w14:paraId="09962E5D">
            <w:pPr>
              <w:keepNext w:val="0"/>
              <w:keepLines w:val="0"/>
              <w:widowControl/>
              <w:suppressLineNumbers w:val="0"/>
              <w:ind w:firstLine="480" w:firstLineChars="200"/>
              <w:jc w:val="center"/>
              <w:rPr>
                <w:color w:val="auto"/>
                <w:highlight w:val="none"/>
              </w:rPr>
            </w:pPr>
            <w:r>
              <w:rPr>
                <w:rFonts w:hint="default" w:ascii="Times New Roman" w:hAnsi="Times New Roman" w:eastAsia="宋体" w:cs="Times New Roman"/>
                <w:snapToGrid w:val="0"/>
                <w:color w:val="auto"/>
                <w:kern w:val="0"/>
                <w:sz w:val="24"/>
                <w:szCs w:val="24"/>
                <w:highlight w:val="none"/>
                <w:lang w:val="en-US" w:eastAsia="zh-CN" w:bidi="ar"/>
              </w:rPr>
              <w:t>镁基轻量化新材料及汽车零部件深加工项目</w:t>
            </w:r>
          </w:p>
        </w:tc>
      </w:tr>
      <w:tr w14:paraId="6B433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668" w:type="pct"/>
            <w:tcMar>
              <w:top w:w="16" w:type="dxa"/>
              <w:left w:w="16" w:type="dxa"/>
              <w:right w:w="16" w:type="dxa"/>
            </w:tcMar>
            <w:vAlign w:val="center"/>
          </w:tcPr>
          <w:p w14:paraId="2A3FB0E9">
            <w:pPr>
              <w:spacing w:line="276" w:lineRule="auto"/>
              <w:ind w:firstLine="0" w:firstLineChars="0"/>
              <w:jc w:val="center"/>
              <w:rPr>
                <w:color w:val="auto"/>
              </w:rPr>
            </w:pPr>
            <w:r>
              <w:rPr>
                <w:color w:val="auto"/>
              </w:rPr>
              <w:t>项目代码</w:t>
            </w:r>
          </w:p>
        </w:tc>
        <w:tc>
          <w:tcPr>
            <w:tcW w:w="4331" w:type="pct"/>
            <w:gridSpan w:val="3"/>
            <w:vAlign w:val="center"/>
          </w:tcPr>
          <w:p w14:paraId="09F0239E">
            <w:pPr>
              <w:keepNext w:val="0"/>
              <w:keepLines w:val="0"/>
              <w:widowControl/>
              <w:suppressLineNumbers w:val="0"/>
              <w:ind w:firstLine="480" w:firstLineChars="200"/>
              <w:jc w:val="center"/>
              <w:rPr>
                <w:color w:val="auto"/>
                <w:highlight w:val="none"/>
              </w:rPr>
            </w:pPr>
            <w:r>
              <w:rPr>
                <w:rFonts w:hint="default" w:ascii="Times New Roman" w:hAnsi="Times New Roman" w:eastAsia="宋体" w:cs="Times New Roman"/>
                <w:snapToGrid w:val="0"/>
                <w:color w:val="auto"/>
                <w:kern w:val="0"/>
                <w:sz w:val="24"/>
                <w:szCs w:val="24"/>
                <w:highlight w:val="none"/>
                <w:lang w:val="en-US" w:eastAsia="zh-CN" w:bidi="ar"/>
              </w:rPr>
              <w:t>2110-610802-04-01-691005</w:t>
            </w:r>
          </w:p>
        </w:tc>
      </w:tr>
      <w:tr w14:paraId="4C4F2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668" w:type="pct"/>
            <w:tcMar>
              <w:top w:w="16" w:type="dxa"/>
              <w:left w:w="16" w:type="dxa"/>
              <w:right w:w="16" w:type="dxa"/>
            </w:tcMar>
            <w:vAlign w:val="center"/>
          </w:tcPr>
          <w:p w14:paraId="31EB7B0B">
            <w:pPr>
              <w:spacing w:line="276" w:lineRule="auto"/>
              <w:ind w:firstLine="0" w:firstLineChars="0"/>
              <w:jc w:val="center"/>
              <w:rPr>
                <w:color w:val="auto"/>
              </w:rPr>
            </w:pPr>
            <w:r>
              <w:rPr>
                <w:color w:val="auto"/>
              </w:rPr>
              <w:t>建设单位</w:t>
            </w:r>
          </w:p>
          <w:p w14:paraId="4C7A4085">
            <w:pPr>
              <w:spacing w:line="276" w:lineRule="auto"/>
              <w:ind w:firstLine="0" w:firstLineChars="0"/>
              <w:jc w:val="center"/>
              <w:rPr>
                <w:color w:val="auto"/>
              </w:rPr>
            </w:pPr>
            <w:r>
              <w:rPr>
                <w:color w:val="auto"/>
              </w:rPr>
              <w:t>联系人</w:t>
            </w:r>
          </w:p>
        </w:tc>
        <w:tc>
          <w:tcPr>
            <w:tcW w:w="1893" w:type="pct"/>
            <w:vAlign w:val="center"/>
          </w:tcPr>
          <w:p w14:paraId="69BB4C6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ascii="宋体" w:hAnsi="宋体"/>
                <w:color w:val="auto"/>
              </w:rPr>
            </w:pPr>
            <w:r>
              <w:rPr>
                <w:rFonts w:hint="default" w:ascii="Times New Roman" w:hAnsi="Times New Roman" w:eastAsia="宋体" w:cs="Times New Roman"/>
                <w:snapToGrid w:val="0"/>
                <w:color w:val="auto"/>
                <w:kern w:val="0"/>
                <w:sz w:val="24"/>
                <w:szCs w:val="24"/>
                <w:lang w:val="en-US" w:eastAsia="zh-CN" w:bidi="ar"/>
              </w:rPr>
              <w:t>梁国军</w:t>
            </w:r>
          </w:p>
        </w:tc>
        <w:tc>
          <w:tcPr>
            <w:tcW w:w="623" w:type="pct"/>
            <w:vAlign w:val="center"/>
          </w:tcPr>
          <w:p w14:paraId="0118EC0F">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auto"/>
              <w:rPr>
                <w:color w:val="auto"/>
              </w:rPr>
            </w:pPr>
            <w:r>
              <w:rPr>
                <w:rFonts w:hint="default" w:ascii="Times New Roman" w:hAnsi="Times New Roman" w:eastAsia="宋体" w:cs="Times New Roman"/>
                <w:snapToGrid w:val="0"/>
                <w:color w:val="auto"/>
                <w:kern w:val="0"/>
                <w:sz w:val="24"/>
                <w:szCs w:val="24"/>
                <w:lang w:val="en-US" w:eastAsia="zh-CN" w:bidi="ar"/>
              </w:rPr>
              <w:t>联系方式</w:t>
            </w:r>
          </w:p>
        </w:tc>
        <w:tc>
          <w:tcPr>
            <w:tcW w:w="1813" w:type="pct"/>
            <w:vAlign w:val="center"/>
          </w:tcPr>
          <w:p w14:paraId="15712FE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color w:val="auto"/>
              </w:rPr>
            </w:pPr>
            <w:r>
              <w:rPr>
                <w:rFonts w:hint="default" w:ascii="Times New Roman" w:hAnsi="Times New Roman" w:eastAsia="宋体" w:cs="Times New Roman"/>
                <w:snapToGrid w:val="0"/>
                <w:color w:val="auto"/>
                <w:kern w:val="0"/>
                <w:sz w:val="24"/>
                <w:szCs w:val="24"/>
                <w:lang w:val="en-US" w:eastAsia="zh-CN" w:bidi="ar"/>
              </w:rPr>
              <w:t>18691215231</w:t>
            </w:r>
          </w:p>
        </w:tc>
      </w:tr>
      <w:tr w14:paraId="1D980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668" w:type="pct"/>
            <w:tcMar>
              <w:top w:w="16" w:type="dxa"/>
              <w:left w:w="16" w:type="dxa"/>
              <w:right w:w="16" w:type="dxa"/>
            </w:tcMar>
            <w:vAlign w:val="center"/>
          </w:tcPr>
          <w:p w14:paraId="79499C94">
            <w:pPr>
              <w:spacing w:line="276" w:lineRule="auto"/>
              <w:ind w:firstLine="0" w:firstLineChars="0"/>
              <w:jc w:val="center"/>
              <w:rPr>
                <w:color w:val="auto"/>
              </w:rPr>
            </w:pPr>
            <w:r>
              <w:rPr>
                <w:color w:val="auto"/>
              </w:rPr>
              <w:t>建设地点</w:t>
            </w:r>
          </w:p>
        </w:tc>
        <w:tc>
          <w:tcPr>
            <w:tcW w:w="4331" w:type="pct"/>
            <w:gridSpan w:val="3"/>
            <w:vAlign w:val="top"/>
          </w:tcPr>
          <w:p w14:paraId="2C05E6DE">
            <w:pPr>
              <w:keepNext w:val="0"/>
              <w:keepLines w:val="0"/>
              <w:widowControl/>
              <w:suppressLineNumbers w:val="0"/>
              <w:ind w:left="0" w:leftChars="0" w:firstLine="0" w:firstLineChars="0"/>
              <w:jc w:val="center"/>
              <w:rPr>
                <w:color w:val="auto"/>
              </w:rPr>
            </w:pPr>
            <w:r>
              <w:rPr>
                <w:rFonts w:hint="default" w:ascii="Times New Roman" w:hAnsi="Times New Roman" w:cs="Times New Roman" w:eastAsiaTheme="minorEastAsia"/>
                <w:color w:val="auto"/>
                <w:sz w:val="24"/>
                <w:szCs w:val="24"/>
              </w:rPr>
              <w:t>陕西省</w:t>
            </w:r>
            <w:r>
              <w:rPr>
                <w:rFonts w:hint="default" w:ascii="Times New Roman" w:hAnsi="Times New Roman" w:cs="Times New Roman" w:eastAsiaTheme="minorEastAsia"/>
                <w:color w:val="auto"/>
                <w:sz w:val="24"/>
                <w:szCs w:val="24"/>
                <w:lang w:val="en-US" w:eastAsia="zh-CN"/>
              </w:rPr>
              <w:t>榆林市佳县王家砭镇榆佳经济技术开发区能源大道扬州产业园标准化厂房一期</w:t>
            </w:r>
            <w:r>
              <w:rPr>
                <w:rFonts w:hint="default" w:ascii="Times New Roman" w:hAnsi="Times New Roman" w:eastAsia="宋体" w:cs="Times New Roman"/>
                <w:snapToGrid w:val="0"/>
                <w:color w:val="auto"/>
                <w:kern w:val="0"/>
                <w:sz w:val="24"/>
                <w:szCs w:val="24"/>
                <w:lang w:val="en-US" w:eastAsia="zh-CN" w:bidi="ar"/>
              </w:rPr>
              <w:t>（附图1）</w:t>
            </w:r>
          </w:p>
        </w:tc>
      </w:tr>
      <w:tr w14:paraId="0BA2C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668" w:type="pct"/>
            <w:tcMar>
              <w:top w:w="16" w:type="dxa"/>
              <w:left w:w="16" w:type="dxa"/>
              <w:right w:w="16" w:type="dxa"/>
            </w:tcMar>
            <w:vAlign w:val="center"/>
          </w:tcPr>
          <w:p w14:paraId="1E5A8BBE">
            <w:pPr>
              <w:adjustRightInd w:val="0"/>
              <w:snapToGrid w:val="0"/>
              <w:spacing w:line="276" w:lineRule="auto"/>
              <w:ind w:firstLine="0" w:firstLineChars="0"/>
              <w:jc w:val="center"/>
              <w:rPr>
                <w:color w:val="auto"/>
              </w:rPr>
            </w:pPr>
            <w:r>
              <w:rPr>
                <w:color w:val="auto"/>
              </w:rPr>
              <w:t>地理坐标</w:t>
            </w:r>
          </w:p>
        </w:tc>
        <w:tc>
          <w:tcPr>
            <w:tcW w:w="4331" w:type="pct"/>
            <w:gridSpan w:val="3"/>
            <w:vAlign w:val="top"/>
          </w:tcPr>
          <w:p w14:paraId="012F5734">
            <w:pPr>
              <w:keepNext w:val="0"/>
              <w:keepLines w:val="0"/>
              <w:widowControl/>
              <w:suppressLineNumbers w:val="0"/>
              <w:ind w:firstLine="480" w:firstLineChars="200"/>
              <w:jc w:val="center"/>
              <w:rPr>
                <w:color w:val="auto"/>
              </w:rPr>
            </w:pPr>
            <w:r>
              <w:rPr>
                <w:rFonts w:hint="default" w:ascii="Times New Roman" w:hAnsi="Times New Roman" w:eastAsia="宋体" w:cs="Times New Roman"/>
                <w:snapToGrid w:val="0"/>
                <w:color w:val="auto"/>
                <w:kern w:val="0"/>
                <w:sz w:val="24"/>
                <w:szCs w:val="24"/>
                <w:lang w:val="en-US" w:eastAsia="zh-CN" w:bidi="ar"/>
              </w:rPr>
              <w:t>38°16′28.5</w:t>
            </w:r>
            <w:r>
              <w:rPr>
                <w:rFonts w:hint="eastAsia" w:cs="Times New Roman"/>
                <w:snapToGrid w:val="0"/>
                <w:color w:val="auto"/>
                <w:kern w:val="0"/>
                <w:sz w:val="24"/>
                <w:szCs w:val="24"/>
                <w:lang w:val="en-US" w:eastAsia="zh-CN" w:bidi="ar"/>
              </w:rPr>
              <w:t>00</w:t>
            </w:r>
            <w:r>
              <w:rPr>
                <w:rFonts w:hint="default" w:ascii="Times New Roman" w:hAnsi="Times New Roman" w:eastAsia="宋体" w:cs="Times New Roman"/>
                <w:snapToGrid w:val="0"/>
                <w:color w:val="auto"/>
                <w:kern w:val="0"/>
                <w:sz w:val="24"/>
                <w:szCs w:val="24"/>
                <w:lang w:val="en-US" w:eastAsia="zh-CN" w:bidi="ar"/>
              </w:rPr>
              <w:t>″N，110°14′42</w:t>
            </w:r>
            <w:r>
              <w:rPr>
                <w:rFonts w:hint="eastAsia" w:cs="Times New Roman"/>
                <w:snapToGrid w:val="0"/>
                <w:color w:val="auto"/>
                <w:kern w:val="0"/>
                <w:sz w:val="24"/>
                <w:szCs w:val="24"/>
                <w:lang w:val="en-US" w:eastAsia="zh-CN" w:bidi="ar"/>
              </w:rPr>
              <w:t>0</w:t>
            </w:r>
            <w:r>
              <w:rPr>
                <w:rFonts w:hint="default" w:ascii="Times New Roman" w:hAnsi="Times New Roman" w:eastAsia="宋体" w:cs="Times New Roman"/>
                <w:snapToGrid w:val="0"/>
                <w:color w:val="auto"/>
                <w:kern w:val="0"/>
                <w:sz w:val="24"/>
                <w:szCs w:val="24"/>
                <w:lang w:val="en-US" w:eastAsia="zh-CN" w:bidi="ar"/>
              </w:rPr>
              <w:t>″E</w:t>
            </w:r>
          </w:p>
        </w:tc>
      </w:tr>
      <w:tr w14:paraId="14DFD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69" w:hRule="atLeast"/>
          <w:jc w:val="center"/>
        </w:trPr>
        <w:tc>
          <w:tcPr>
            <w:tcW w:w="668" w:type="pct"/>
            <w:tcMar>
              <w:top w:w="16" w:type="dxa"/>
              <w:left w:w="16" w:type="dxa"/>
              <w:right w:w="16" w:type="dxa"/>
            </w:tcMar>
            <w:vAlign w:val="center"/>
          </w:tcPr>
          <w:p w14:paraId="4D2381B4">
            <w:pPr>
              <w:adjustRightInd w:val="0"/>
              <w:snapToGrid w:val="0"/>
              <w:spacing w:line="276" w:lineRule="auto"/>
              <w:ind w:firstLine="0" w:firstLineChars="0"/>
              <w:jc w:val="center"/>
              <w:rPr>
                <w:color w:val="auto"/>
              </w:rPr>
            </w:pPr>
            <w:r>
              <w:rPr>
                <w:color w:val="auto"/>
              </w:rPr>
              <w:t>国民经济</w:t>
            </w:r>
          </w:p>
          <w:p w14:paraId="7DC4F1DA">
            <w:pPr>
              <w:adjustRightInd w:val="0"/>
              <w:snapToGrid w:val="0"/>
              <w:spacing w:line="276" w:lineRule="auto"/>
              <w:ind w:firstLine="0" w:firstLineChars="0"/>
              <w:jc w:val="center"/>
              <w:rPr>
                <w:color w:val="auto"/>
              </w:rPr>
            </w:pPr>
            <w:r>
              <w:rPr>
                <w:color w:val="auto"/>
              </w:rPr>
              <w:t>行业类别</w:t>
            </w:r>
          </w:p>
        </w:tc>
        <w:tc>
          <w:tcPr>
            <w:tcW w:w="1893" w:type="pct"/>
            <w:shd w:val="clear" w:color="auto" w:fill="auto"/>
            <w:vAlign w:val="center"/>
          </w:tcPr>
          <w:p w14:paraId="6E1C32BF">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eastAsia" w:ascii="Times New Roman" w:hAnsi="Times New Roman" w:eastAsia="宋体" w:cs="Times New Roman"/>
                <w:snapToGrid w:val="0"/>
                <w:color w:val="auto"/>
                <w:kern w:val="0"/>
                <w:sz w:val="24"/>
                <w:szCs w:val="24"/>
                <w:lang w:val="en-US" w:eastAsia="zh-CN" w:bidi="ar"/>
              </w:rPr>
              <w:t>3240 有色金属合金制造</w:t>
            </w:r>
          </w:p>
          <w:p w14:paraId="1ECA3C3A">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3392 有色金属铸造</w:t>
            </w:r>
          </w:p>
        </w:tc>
        <w:tc>
          <w:tcPr>
            <w:tcW w:w="623" w:type="pct"/>
            <w:shd w:val="clear" w:color="auto" w:fill="auto"/>
            <w:vAlign w:val="center"/>
          </w:tcPr>
          <w:p w14:paraId="0B7C803B">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建设项目</w:t>
            </w:r>
          </w:p>
          <w:p w14:paraId="76AB4F96">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行业类别</w:t>
            </w:r>
          </w:p>
        </w:tc>
        <w:tc>
          <w:tcPr>
            <w:tcW w:w="1813" w:type="pct"/>
            <w:shd w:val="clear" w:color="auto" w:fill="auto"/>
            <w:vAlign w:val="center"/>
          </w:tcPr>
          <w:p w14:paraId="66653F39">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eastAsia" w:ascii="Times New Roman" w:hAnsi="Times New Roman" w:eastAsia="宋体" w:cs="Times New Roman"/>
                <w:snapToGrid w:val="0"/>
                <w:color w:val="auto"/>
                <w:kern w:val="0"/>
                <w:sz w:val="24"/>
                <w:szCs w:val="24"/>
                <w:lang w:val="en-US" w:eastAsia="zh-CN" w:bidi="ar"/>
              </w:rPr>
              <w:t>二十九、有色金属冶炼和压延加工业32 64有色金属合金制造324</w:t>
            </w:r>
          </w:p>
          <w:p w14:paraId="4BE4C3D9">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三十、金属制品业33  68铸造及其他金属制品制造339</w:t>
            </w:r>
          </w:p>
        </w:tc>
      </w:tr>
      <w:tr w14:paraId="07038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68" w:type="pct"/>
            <w:tcMar>
              <w:top w:w="16" w:type="dxa"/>
              <w:left w:w="16" w:type="dxa"/>
              <w:right w:w="16" w:type="dxa"/>
            </w:tcMar>
            <w:vAlign w:val="center"/>
          </w:tcPr>
          <w:p w14:paraId="5CABD92F">
            <w:pPr>
              <w:adjustRightInd w:val="0"/>
              <w:snapToGrid w:val="0"/>
              <w:spacing w:line="276" w:lineRule="auto"/>
              <w:ind w:firstLine="0" w:firstLineChars="0"/>
              <w:jc w:val="center"/>
              <w:rPr>
                <w:color w:val="auto"/>
              </w:rPr>
            </w:pPr>
            <w:r>
              <w:rPr>
                <w:color w:val="auto"/>
              </w:rPr>
              <w:t>建设性质</w:t>
            </w:r>
          </w:p>
        </w:tc>
        <w:tc>
          <w:tcPr>
            <w:tcW w:w="1893" w:type="pct"/>
            <w:vAlign w:val="top"/>
          </w:tcPr>
          <w:p w14:paraId="1AF0E41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sym w:font="Wingdings 2" w:char="0052"/>
            </w:r>
            <w:r>
              <w:rPr>
                <w:rFonts w:hint="default" w:ascii="Times New Roman" w:hAnsi="Times New Roman" w:eastAsia="宋体" w:cs="Times New Roman"/>
                <w:snapToGrid w:val="0"/>
                <w:color w:val="auto"/>
                <w:kern w:val="0"/>
                <w:sz w:val="24"/>
                <w:szCs w:val="24"/>
                <w:lang w:val="en-US" w:eastAsia="zh-CN" w:bidi="ar"/>
              </w:rPr>
              <w:t>新建（迁建）</w:t>
            </w:r>
          </w:p>
          <w:p w14:paraId="03390E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sym w:font="Wingdings 2" w:char="00A3"/>
            </w:r>
            <w:r>
              <w:rPr>
                <w:rFonts w:hint="default" w:ascii="Times New Roman" w:hAnsi="Times New Roman" w:eastAsia="宋体" w:cs="Times New Roman"/>
                <w:snapToGrid w:val="0"/>
                <w:color w:val="auto"/>
                <w:kern w:val="0"/>
                <w:sz w:val="24"/>
                <w:szCs w:val="24"/>
                <w:lang w:val="en-US" w:eastAsia="zh-CN" w:bidi="ar"/>
              </w:rPr>
              <w:t>改建</w:t>
            </w:r>
          </w:p>
          <w:p w14:paraId="6659D98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sym w:font="Wingdings 2" w:char="00A3"/>
            </w:r>
            <w:r>
              <w:rPr>
                <w:rFonts w:hint="default" w:ascii="Times New Roman" w:hAnsi="Times New Roman" w:eastAsia="宋体" w:cs="Times New Roman"/>
                <w:snapToGrid w:val="0"/>
                <w:color w:val="auto"/>
                <w:kern w:val="0"/>
                <w:sz w:val="24"/>
                <w:szCs w:val="24"/>
                <w:lang w:val="en-US" w:eastAsia="zh-CN" w:bidi="ar"/>
              </w:rPr>
              <w:t>扩建</w:t>
            </w:r>
          </w:p>
          <w:p w14:paraId="5870E96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color w:val="auto"/>
              </w:rPr>
            </w:pPr>
            <w:r>
              <w:rPr>
                <w:rFonts w:hint="default" w:ascii="Times New Roman" w:hAnsi="Times New Roman" w:eastAsia="宋体" w:cs="Times New Roman"/>
                <w:snapToGrid w:val="0"/>
                <w:color w:val="auto"/>
                <w:kern w:val="0"/>
                <w:sz w:val="24"/>
                <w:szCs w:val="24"/>
                <w:lang w:val="en-US" w:eastAsia="zh-CN" w:bidi="ar"/>
              </w:rPr>
              <w:sym w:font="Wingdings 2" w:char="00A3"/>
            </w:r>
            <w:r>
              <w:rPr>
                <w:rFonts w:hint="default" w:ascii="Times New Roman" w:hAnsi="Times New Roman" w:eastAsia="宋体" w:cs="Times New Roman"/>
                <w:snapToGrid w:val="0"/>
                <w:color w:val="auto"/>
                <w:kern w:val="0"/>
                <w:sz w:val="24"/>
                <w:szCs w:val="24"/>
                <w:lang w:val="en-US" w:eastAsia="zh-CN" w:bidi="ar"/>
              </w:rPr>
              <w:t>技术改造</w:t>
            </w:r>
          </w:p>
        </w:tc>
        <w:tc>
          <w:tcPr>
            <w:tcW w:w="623" w:type="pct"/>
            <w:vAlign w:val="top"/>
          </w:tcPr>
          <w:p w14:paraId="0447E16B">
            <w:pPr>
              <w:keepNext w:val="0"/>
              <w:keepLines w:val="0"/>
              <w:widowControl/>
              <w:suppressLineNumbers w:val="0"/>
              <w:ind w:left="0" w:leftChars="0" w:firstLine="0" w:firstLineChars="0"/>
              <w:jc w:val="left"/>
              <w:rPr>
                <w:rFonts w:hint="default" w:ascii="Times New Roman" w:hAnsi="Times New Roman" w:cs="Times New Roman"/>
                <w:color w:val="auto"/>
              </w:rPr>
            </w:pPr>
            <w:r>
              <w:rPr>
                <w:rFonts w:hint="default" w:ascii="Times New Roman" w:hAnsi="Times New Roman" w:eastAsia="宋体" w:cs="Times New Roman"/>
                <w:snapToGrid w:val="0"/>
                <w:color w:val="auto"/>
                <w:kern w:val="0"/>
                <w:sz w:val="24"/>
                <w:szCs w:val="24"/>
                <w:lang w:val="en-US" w:eastAsia="zh-CN" w:bidi="ar"/>
              </w:rPr>
              <w:t>建设项目</w:t>
            </w:r>
          </w:p>
          <w:p w14:paraId="7BFA9C16">
            <w:pPr>
              <w:keepNext w:val="0"/>
              <w:keepLines w:val="0"/>
              <w:widowControl/>
              <w:suppressLineNumbers w:val="0"/>
              <w:ind w:left="0" w:leftChars="0" w:firstLine="0" w:firstLineChars="0"/>
              <w:jc w:val="left"/>
              <w:rPr>
                <w:color w:val="auto"/>
              </w:rPr>
            </w:pPr>
            <w:r>
              <w:rPr>
                <w:rFonts w:hint="default" w:ascii="Times New Roman" w:hAnsi="Times New Roman" w:eastAsia="宋体" w:cs="Times New Roman"/>
                <w:snapToGrid w:val="0"/>
                <w:color w:val="auto"/>
                <w:kern w:val="0"/>
                <w:sz w:val="24"/>
                <w:szCs w:val="24"/>
                <w:lang w:val="en-US" w:eastAsia="zh-CN" w:bidi="ar"/>
              </w:rPr>
              <w:t>申报情形</w:t>
            </w:r>
          </w:p>
        </w:tc>
        <w:tc>
          <w:tcPr>
            <w:tcW w:w="1813" w:type="pct"/>
            <w:vAlign w:val="top"/>
          </w:tcPr>
          <w:p w14:paraId="69DED5B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sym w:font="Wingdings 2" w:char="0052"/>
            </w:r>
            <w:r>
              <w:rPr>
                <w:rFonts w:hint="default" w:ascii="Times New Roman" w:hAnsi="Times New Roman" w:eastAsia="宋体" w:cs="Times New Roman"/>
                <w:snapToGrid w:val="0"/>
                <w:color w:val="auto"/>
                <w:kern w:val="0"/>
                <w:sz w:val="24"/>
                <w:szCs w:val="24"/>
                <w:lang w:val="en-US" w:eastAsia="zh-CN" w:bidi="ar"/>
              </w:rPr>
              <w:t>首次申报项目</w:t>
            </w:r>
          </w:p>
          <w:p w14:paraId="48C9111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sym w:font="Wingdings 2" w:char="00A3"/>
            </w:r>
            <w:r>
              <w:rPr>
                <w:rFonts w:hint="default" w:ascii="Times New Roman" w:hAnsi="Times New Roman" w:eastAsia="宋体" w:cs="Times New Roman"/>
                <w:snapToGrid w:val="0"/>
                <w:color w:val="auto"/>
                <w:kern w:val="0"/>
                <w:sz w:val="24"/>
                <w:szCs w:val="24"/>
                <w:lang w:val="en-US" w:eastAsia="zh-CN" w:bidi="ar"/>
              </w:rPr>
              <w:t>不予批准后再次申报项目</w:t>
            </w:r>
          </w:p>
          <w:p w14:paraId="29D212D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sym w:font="Wingdings 2" w:char="00A3"/>
            </w:r>
            <w:r>
              <w:rPr>
                <w:rFonts w:hint="default" w:ascii="Times New Roman" w:hAnsi="Times New Roman" w:eastAsia="宋体" w:cs="Times New Roman"/>
                <w:snapToGrid w:val="0"/>
                <w:color w:val="auto"/>
                <w:kern w:val="0"/>
                <w:sz w:val="24"/>
                <w:szCs w:val="24"/>
                <w:lang w:val="en-US" w:eastAsia="zh-CN" w:bidi="ar"/>
              </w:rPr>
              <w:t>超五年重新审核项目</w:t>
            </w:r>
          </w:p>
          <w:p w14:paraId="0815B9D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color w:val="auto"/>
              </w:rPr>
            </w:pPr>
            <w:r>
              <w:rPr>
                <w:rFonts w:hint="default" w:ascii="Times New Roman" w:hAnsi="Times New Roman" w:eastAsia="宋体" w:cs="Times New Roman"/>
                <w:snapToGrid w:val="0"/>
                <w:color w:val="auto"/>
                <w:kern w:val="0"/>
                <w:sz w:val="24"/>
                <w:szCs w:val="24"/>
                <w:lang w:val="en-US" w:eastAsia="zh-CN" w:bidi="ar"/>
              </w:rPr>
              <w:sym w:font="Wingdings 2" w:char="00A3"/>
            </w:r>
            <w:r>
              <w:rPr>
                <w:rFonts w:hint="default" w:ascii="Times New Roman" w:hAnsi="Times New Roman" w:eastAsia="宋体" w:cs="Times New Roman"/>
                <w:snapToGrid w:val="0"/>
                <w:color w:val="auto"/>
                <w:kern w:val="0"/>
                <w:sz w:val="24"/>
                <w:szCs w:val="24"/>
                <w:lang w:val="en-US" w:eastAsia="zh-CN" w:bidi="ar"/>
              </w:rPr>
              <w:t>重大变动重新报批项目</w:t>
            </w:r>
          </w:p>
        </w:tc>
      </w:tr>
      <w:tr w14:paraId="2D238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96" w:hRule="atLeast"/>
          <w:jc w:val="center"/>
        </w:trPr>
        <w:tc>
          <w:tcPr>
            <w:tcW w:w="668" w:type="pct"/>
            <w:tcMar>
              <w:top w:w="16" w:type="dxa"/>
              <w:left w:w="16" w:type="dxa"/>
              <w:right w:w="16" w:type="dxa"/>
            </w:tcMar>
            <w:vAlign w:val="center"/>
          </w:tcPr>
          <w:p w14:paraId="07A513A5">
            <w:pPr>
              <w:adjustRightInd w:val="0"/>
              <w:snapToGrid w:val="0"/>
              <w:spacing w:line="240" w:lineRule="auto"/>
              <w:ind w:firstLine="0" w:firstLineChars="0"/>
              <w:jc w:val="center"/>
              <w:rPr>
                <w:color w:val="auto"/>
              </w:rPr>
            </w:pPr>
            <w:r>
              <w:rPr>
                <w:color w:val="auto"/>
              </w:rPr>
              <w:t>项目审批（核准/备案）部门（选填）</w:t>
            </w:r>
          </w:p>
        </w:tc>
        <w:tc>
          <w:tcPr>
            <w:tcW w:w="1893" w:type="pct"/>
            <w:vAlign w:val="center"/>
          </w:tcPr>
          <w:p w14:paraId="262E7334">
            <w:pPr>
              <w:keepNext w:val="0"/>
              <w:keepLines w:val="0"/>
              <w:widowControl/>
              <w:suppressLineNumbers w:val="0"/>
              <w:spacing w:line="240" w:lineRule="auto"/>
              <w:ind w:left="0" w:leftChars="0" w:firstLine="0" w:firstLineChars="0"/>
              <w:jc w:val="center"/>
              <w:rPr>
                <w:color w:val="auto"/>
              </w:rPr>
            </w:pPr>
            <w:r>
              <w:rPr>
                <w:rFonts w:hint="default" w:ascii="Times New Roman" w:hAnsi="Times New Roman" w:eastAsia="宋体" w:cs="Times New Roman"/>
                <w:snapToGrid w:val="0"/>
                <w:color w:val="auto"/>
                <w:kern w:val="0"/>
                <w:sz w:val="24"/>
                <w:szCs w:val="24"/>
                <w:lang w:val="en-US" w:eastAsia="zh-CN" w:bidi="ar"/>
              </w:rPr>
              <w:t>榆林市行政审批服务局</w:t>
            </w:r>
          </w:p>
        </w:tc>
        <w:tc>
          <w:tcPr>
            <w:tcW w:w="623" w:type="pct"/>
            <w:vAlign w:val="top"/>
          </w:tcPr>
          <w:p w14:paraId="67AD1C21">
            <w:pPr>
              <w:keepNext w:val="0"/>
              <w:keepLines w:val="0"/>
              <w:widowControl/>
              <w:suppressLineNumbers w:val="0"/>
              <w:spacing w:line="240" w:lineRule="auto"/>
              <w:ind w:left="0" w:leftChars="0" w:firstLine="0" w:firstLineChars="0"/>
              <w:jc w:val="center"/>
              <w:rPr>
                <w:color w:val="auto"/>
              </w:rPr>
            </w:pPr>
            <w:r>
              <w:rPr>
                <w:rFonts w:hint="default" w:ascii="Times New Roman" w:hAnsi="Times New Roman" w:eastAsia="宋体" w:cs="Times New Roman"/>
                <w:snapToGrid w:val="0"/>
                <w:color w:val="auto"/>
                <w:kern w:val="0"/>
                <w:sz w:val="24"/>
                <w:szCs w:val="24"/>
                <w:lang w:val="en-US" w:eastAsia="zh-CN" w:bidi="ar"/>
              </w:rPr>
              <w:t>项目审批（核准/备案）文号（选填）</w:t>
            </w:r>
          </w:p>
        </w:tc>
        <w:tc>
          <w:tcPr>
            <w:tcW w:w="1813" w:type="pct"/>
            <w:vAlign w:val="center"/>
          </w:tcPr>
          <w:p w14:paraId="232EB30A">
            <w:pPr>
              <w:keepNext w:val="0"/>
              <w:keepLines w:val="0"/>
              <w:widowControl/>
              <w:suppressLineNumbers w:val="0"/>
              <w:ind w:left="0" w:leftChars="0" w:firstLine="0" w:firstLineChars="0"/>
              <w:jc w:val="center"/>
              <w:rPr>
                <w:color w:val="auto"/>
              </w:rPr>
            </w:pPr>
            <w:r>
              <w:rPr>
                <w:rFonts w:hint="default" w:ascii="Times New Roman" w:hAnsi="Times New Roman" w:eastAsia="宋体" w:cs="Times New Roman"/>
                <w:snapToGrid w:val="0"/>
                <w:color w:val="auto"/>
                <w:kern w:val="0"/>
                <w:sz w:val="24"/>
                <w:szCs w:val="24"/>
                <w:lang w:val="en-US" w:eastAsia="zh-CN" w:bidi="ar"/>
              </w:rPr>
              <w:t>/</w:t>
            </w:r>
          </w:p>
        </w:tc>
      </w:tr>
      <w:tr w14:paraId="1961A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668" w:type="pct"/>
            <w:tcMar>
              <w:top w:w="16" w:type="dxa"/>
              <w:left w:w="16" w:type="dxa"/>
              <w:right w:w="16" w:type="dxa"/>
            </w:tcMar>
            <w:vAlign w:val="center"/>
          </w:tcPr>
          <w:p w14:paraId="6040B15C">
            <w:pPr>
              <w:adjustRightInd w:val="0"/>
              <w:snapToGrid w:val="0"/>
              <w:spacing w:line="276" w:lineRule="auto"/>
              <w:ind w:firstLine="0" w:firstLineChars="0"/>
              <w:jc w:val="center"/>
              <w:rPr>
                <w:color w:val="auto"/>
              </w:rPr>
            </w:pPr>
            <w:r>
              <w:rPr>
                <w:color w:val="auto"/>
              </w:rPr>
              <w:t>总投资（万元）</w:t>
            </w:r>
          </w:p>
        </w:tc>
        <w:tc>
          <w:tcPr>
            <w:tcW w:w="1893" w:type="pct"/>
            <w:vAlign w:val="center"/>
          </w:tcPr>
          <w:p w14:paraId="033C3482">
            <w:pPr>
              <w:keepNext w:val="0"/>
              <w:keepLines w:val="0"/>
              <w:widowControl/>
              <w:suppressLineNumbers w:val="0"/>
              <w:spacing w:line="240" w:lineRule="auto"/>
              <w:ind w:firstLine="480" w:firstLineChars="200"/>
              <w:jc w:val="center"/>
              <w:rPr>
                <w:color w:val="auto"/>
                <w:highlight w:val="none"/>
              </w:rPr>
            </w:pPr>
            <w:r>
              <w:rPr>
                <w:rFonts w:hint="default" w:ascii="Times New Roman" w:hAnsi="Times New Roman" w:eastAsia="宋体" w:cs="Times New Roman"/>
                <w:snapToGrid w:val="0"/>
                <w:color w:val="auto"/>
                <w:kern w:val="0"/>
                <w:sz w:val="24"/>
                <w:szCs w:val="24"/>
                <w:highlight w:val="none"/>
                <w:lang w:val="en-US" w:eastAsia="zh-CN" w:bidi="ar"/>
              </w:rPr>
              <w:t>11000</w:t>
            </w:r>
          </w:p>
        </w:tc>
        <w:tc>
          <w:tcPr>
            <w:tcW w:w="623" w:type="pct"/>
            <w:tcMar>
              <w:top w:w="16" w:type="dxa"/>
              <w:left w:w="16" w:type="dxa"/>
              <w:right w:w="16" w:type="dxa"/>
            </w:tcMar>
            <w:vAlign w:val="center"/>
          </w:tcPr>
          <w:p w14:paraId="1AD9A861">
            <w:pPr>
              <w:keepNext w:val="0"/>
              <w:keepLines w:val="0"/>
              <w:widowControl/>
              <w:suppressLineNumbers w:val="0"/>
              <w:spacing w:line="240" w:lineRule="auto"/>
              <w:ind w:left="0" w:leftChars="0" w:firstLine="0" w:firstLineChars="0"/>
              <w:jc w:val="center"/>
              <w:rPr>
                <w:color w:val="auto"/>
                <w:highlight w:val="none"/>
              </w:rPr>
            </w:pPr>
            <w:r>
              <w:rPr>
                <w:rFonts w:hint="default" w:ascii="Times New Roman" w:hAnsi="Times New Roman" w:eastAsia="宋体" w:cs="Times New Roman"/>
                <w:snapToGrid w:val="0"/>
                <w:color w:val="auto"/>
                <w:kern w:val="0"/>
                <w:sz w:val="24"/>
                <w:szCs w:val="24"/>
                <w:highlight w:val="none"/>
                <w:lang w:val="en-US" w:eastAsia="zh-CN" w:bidi="ar"/>
              </w:rPr>
              <w:t>环保投资（万元）</w:t>
            </w:r>
          </w:p>
        </w:tc>
        <w:tc>
          <w:tcPr>
            <w:tcW w:w="1813" w:type="pct"/>
            <w:vAlign w:val="center"/>
          </w:tcPr>
          <w:p w14:paraId="23F0EAC6">
            <w:pPr>
              <w:keepNext w:val="0"/>
              <w:keepLines w:val="0"/>
              <w:widowControl/>
              <w:suppressLineNumbers w:val="0"/>
              <w:spacing w:line="240" w:lineRule="auto"/>
              <w:ind w:firstLine="480" w:firstLineChars="200"/>
              <w:jc w:val="center"/>
              <w:rPr>
                <w:rFonts w:hint="default"/>
                <w:color w:val="auto"/>
                <w:highlight w:val="none"/>
                <w:lang w:val="en-US"/>
              </w:rPr>
            </w:pPr>
            <w:r>
              <w:rPr>
                <w:rFonts w:hint="eastAsia" w:cs="Times New Roman"/>
                <w:snapToGrid w:val="0"/>
                <w:color w:val="auto"/>
                <w:kern w:val="0"/>
                <w:sz w:val="24"/>
                <w:szCs w:val="24"/>
                <w:highlight w:val="none"/>
                <w:lang w:val="en-US" w:eastAsia="zh-CN" w:bidi="ar"/>
              </w:rPr>
              <w:t>410.5</w:t>
            </w:r>
          </w:p>
        </w:tc>
      </w:tr>
      <w:tr w14:paraId="6F405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668" w:type="pct"/>
            <w:tcMar>
              <w:top w:w="16" w:type="dxa"/>
              <w:left w:w="16" w:type="dxa"/>
              <w:right w:w="16" w:type="dxa"/>
            </w:tcMar>
            <w:vAlign w:val="center"/>
          </w:tcPr>
          <w:p w14:paraId="4A6EA186">
            <w:pPr>
              <w:adjustRightInd w:val="0"/>
              <w:snapToGrid w:val="0"/>
              <w:spacing w:line="276" w:lineRule="auto"/>
              <w:ind w:firstLine="0" w:firstLineChars="0"/>
              <w:jc w:val="center"/>
              <w:rPr>
                <w:color w:val="auto"/>
              </w:rPr>
            </w:pPr>
            <w:r>
              <w:rPr>
                <w:color w:val="auto"/>
              </w:rPr>
              <w:t>环保投资占比（%）</w:t>
            </w:r>
          </w:p>
        </w:tc>
        <w:tc>
          <w:tcPr>
            <w:tcW w:w="1893" w:type="pct"/>
            <w:vAlign w:val="center"/>
          </w:tcPr>
          <w:p w14:paraId="730AB2B6">
            <w:pPr>
              <w:keepNext w:val="0"/>
              <w:keepLines w:val="0"/>
              <w:widowControl/>
              <w:suppressLineNumbers w:val="0"/>
              <w:ind w:firstLine="480" w:firstLineChars="200"/>
              <w:jc w:val="center"/>
              <w:rPr>
                <w:rFonts w:hint="default"/>
                <w:color w:val="auto"/>
                <w:highlight w:val="none"/>
                <w:lang w:val="en-US"/>
              </w:rPr>
            </w:pPr>
            <w:r>
              <w:rPr>
                <w:rFonts w:hint="eastAsia" w:cs="Times New Roman"/>
                <w:snapToGrid w:val="0"/>
                <w:color w:val="auto"/>
                <w:kern w:val="0"/>
                <w:sz w:val="24"/>
                <w:szCs w:val="24"/>
                <w:highlight w:val="none"/>
                <w:lang w:val="en-US" w:eastAsia="zh-CN" w:bidi="ar"/>
              </w:rPr>
              <w:t>3.73</w:t>
            </w:r>
          </w:p>
        </w:tc>
        <w:tc>
          <w:tcPr>
            <w:tcW w:w="623" w:type="pct"/>
            <w:tcMar>
              <w:top w:w="16" w:type="dxa"/>
              <w:left w:w="16" w:type="dxa"/>
              <w:right w:w="16" w:type="dxa"/>
            </w:tcMar>
            <w:vAlign w:val="center"/>
          </w:tcPr>
          <w:p w14:paraId="16DFD032">
            <w:pPr>
              <w:keepNext w:val="0"/>
              <w:keepLines w:val="0"/>
              <w:widowControl/>
              <w:suppressLineNumbers w:val="0"/>
              <w:ind w:left="0" w:leftChars="0" w:firstLine="0" w:firstLineChars="0"/>
              <w:jc w:val="center"/>
              <w:rPr>
                <w:color w:val="auto"/>
                <w:highlight w:val="none"/>
              </w:rPr>
            </w:pPr>
            <w:r>
              <w:rPr>
                <w:rFonts w:hint="default" w:ascii="Times New Roman" w:hAnsi="Times New Roman" w:eastAsia="宋体" w:cs="Times New Roman"/>
                <w:snapToGrid w:val="0"/>
                <w:color w:val="auto"/>
                <w:kern w:val="0"/>
                <w:sz w:val="24"/>
                <w:szCs w:val="24"/>
                <w:highlight w:val="none"/>
                <w:lang w:val="en-US" w:eastAsia="zh-CN" w:bidi="ar"/>
              </w:rPr>
              <w:t>施工工期</w:t>
            </w:r>
          </w:p>
        </w:tc>
        <w:tc>
          <w:tcPr>
            <w:tcW w:w="1813" w:type="pct"/>
            <w:vAlign w:val="center"/>
          </w:tcPr>
          <w:p w14:paraId="23A613AE">
            <w:pPr>
              <w:keepNext w:val="0"/>
              <w:keepLines w:val="0"/>
              <w:widowControl/>
              <w:suppressLineNumbers w:val="0"/>
              <w:ind w:firstLine="480" w:firstLineChars="200"/>
              <w:jc w:val="center"/>
              <w:rPr>
                <w:color w:val="auto"/>
                <w:highlight w:val="none"/>
              </w:rPr>
            </w:pPr>
            <w:r>
              <w:rPr>
                <w:rFonts w:hint="default" w:ascii="Times New Roman" w:hAnsi="Times New Roman" w:eastAsia="宋体" w:cs="Times New Roman"/>
                <w:snapToGrid w:val="0"/>
                <w:color w:val="auto"/>
                <w:kern w:val="0"/>
                <w:sz w:val="24"/>
                <w:szCs w:val="24"/>
                <w:highlight w:val="none"/>
                <w:lang w:val="en-US" w:eastAsia="zh-CN" w:bidi="ar"/>
              </w:rPr>
              <w:t>1个月</w:t>
            </w:r>
          </w:p>
        </w:tc>
      </w:tr>
      <w:tr w14:paraId="2645B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8" w:type="pct"/>
            <w:tcMar>
              <w:top w:w="16" w:type="dxa"/>
              <w:left w:w="16" w:type="dxa"/>
              <w:right w:w="16" w:type="dxa"/>
            </w:tcMar>
            <w:vAlign w:val="center"/>
          </w:tcPr>
          <w:p w14:paraId="082E0438">
            <w:pPr>
              <w:adjustRightInd w:val="0"/>
              <w:snapToGrid w:val="0"/>
              <w:spacing w:line="276" w:lineRule="auto"/>
              <w:ind w:firstLine="0" w:firstLineChars="0"/>
              <w:jc w:val="center"/>
              <w:rPr>
                <w:color w:val="auto"/>
              </w:rPr>
            </w:pPr>
            <w:r>
              <w:rPr>
                <w:color w:val="auto"/>
              </w:rPr>
              <w:t>是否开工建设</w:t>
            </w:r>
          </w:p>
        </w:tc>
        <w:tc>
          <w:tcPr>
            <w:tcW w:w="1893" w:type="pct"/>
            <w:vAlign w:val="top"/>
          </w:tcPr>
          <w:p w14:paraId="5D0663E5">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sym w:font="Wingdings 2" w:char="0052"/>
            </w:r>
            <w:r>
              <w:rPr>
                <w:rFonts w:hint="default" w:ascii="Times New Roman" w:hAnsi="Times New Roman" w:eastAsia="宋体" w:cs="Times New Roman"/>
                <w:snapToGrid w:val="0"/>
                <w:color w:val="auto"/>
                <w:kern w:val="0"/>
                <w:sz w:val="24"/>
                <w:szCs w:val="24"/>
                <w:lang w:val="en-US" w:eastAsia="zh-CN" w:bidi="ar"/>
              </w:rPr>
              <w:t>否</w:t>
            </w:r>
          </w:p>
          <w:p w14:paraId="720FD5D2">
            <w:pPr>
              <w:keepNext w:val="0"/>
              <w:keepLines w:val="0"/>
              <w:pageBreakBefore w:val="0"/>
              <w:widowControl/>
              <w:suppressLineNumbers w:val="0"/>
              <w:shd w:val="clea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color w:val="auto"/>
              </w:rPr>
            </w:pPr>
            <w:r>
              <w:rPr>
                <w:rFonts w:hint="default" w:ascii="Times New Roman" w:hAnsi="Times New Roman" w:eastAsia="宋体" w:cs="Times New Roman"/>
                <w:snapToGrid w:val="0"/>
                <w:color w:val="auto"/>
                <w:kern w:val="0"/>
                <w:sz w:val="24"/>
                <w:szCs w:val="24"/>
                <w:lang w:val="en-US" w:eastAsia="zh-CN" w:bidi="ar"/>
              </w:rPr>
              <w:sym w:font="Wingdings 2" w:char="00A3"/>
            </w:r>
            <w:r>
              <w:rPr>
                <w:rFonts w:hint="default" w:ascii="Times New Roman" w:hAnsi="Times New Roman" w:eastAsia="宋体" w:cs="Times New Roman"/>
                <w:snapToGrid w:val="0"/>
                <w:color w:val="auto"/>
                <w:kern w:val="0"/>
                <w:sz w:val="24"/>
                <w:szCs w:val="24"/>
                <w:lang w:val="en-US" w:eastAsia="zh-CN" w:bidi="ar"/>
              </w:rPr>
              <w:t>是</w:t>
            </w:r>
          </w:p>
        </w:tc>
        <w:tc>
          <w:tcPr>
            <w:tcW w:w="623" w:type="pct"/>
            <w:tcMar>
              <w:top w:w="16" w:type="dxa"/>
              <w:left w:w="16" w:type="dxa"/>
              <w:right w:w="16" w:type="dxa"/>
            </w:tcMar>
            <w:vAlign w:val="top"/>
          </w:tcPr>
          <w:p w14:paraId="36D2D4FD">
            <w:pPr>
              <w:keepNext w:val="0"/>
              <w:keepLines w:val="0"/>
              <w:widowControl/>
              <w:suppressLineNumbers w:val="0"/>
              <w:spacing w:line="240" w:lineRule="auto"/>
              <w:ind w:left="0" w:leftChars="0" w:firstLine="0" w:firstLineChars="0"/>
              <w:jc w:val="center"/>
              <w:rPr>
                <w:color w:val="auto"/>
              </w:rPr>
            </w:pPr>
            <w:r>
              <w:rPr>
                <w:rFonts w:hint="default" w:ascii="Times New Roman" w:hAnsi="Times New Roman" w:eastAsia="宋体" w:cs="Times New Roman"/>
                <w:snapToGrid w:val="0"/>
                <w:color w:val="auto"/>
                <w:kern w:val="0"/>
                <w:sz w:val="24"/>
                <w:szCs w:val="24"/>
                <w:lang w:val="en-US" w:eastAsia="zh-CN" w:bidi="ar"/>
              </w:rPr>
              <w:t>用地（用海）面积（</w:t>
            </w:r>
            <w:r>
              <w:rPr>
                <w:rFonts w:hint="eastAsia" w:ascii="Times New Roman" w:hAnsi="Times New Roman" w:cs="Times New Roman"/>
                <w:snapToGrid w:val="0"/>
                <w:color w:val="auto"/>
                <w:kern w:val="0"/>
                <w:sz w:val="24"/>
                <w:szCs w:val="24"/>
                <w:lang w:val="en-US" w:eastAsia="zh-CN" w:bidi="ar"/>
              </w:rPr>
              <w:t>m</w:t>
            </w:r>
            <w:r>
              <w:rPr>
                <w:rFonts w:hint="eastAsia" w:ascii="Times New Roman" w:hAnsi="Times New Roman" w:cs="Times New Roman"/>
                <w:snapToGrid w:val="0"/>
                <w:color w:val="auto"/>
                <w:kern w:val="0"/>
                <w:sz w:val="24"/>
                <w:szCs w:val="24"/>
                <w:vertAlign w:val="superscript"/>
                <w:lang w:val="en-US" w:eastAsia="zh-CN" w:bidi="ar"/>
              </w:rPr>
              <w:t>2</w:t>
            </w:r>
            <w:r>
              <w:rPr>
                <w:rFonts w:hint="default" w:ascii="Times New Roman" w:hAnsi="Times New Roman" w:eastAsia="宋体" w:cs="Times New Roman"/>
                <w:snapToGrid w:val="0"/>
                <w:color w:val="auto"/>
                <w:kern w:val="0"/>
                <w:sz w:val="24"/>
                <w:szCs w:val="24"/>
                <w:lang w:val="en-US" w:eastAsia="zh-CN" w:bidi="ar"/>
              </w:rPr>
              <w:t>）</w:t>
            </w:r>
          </w:p>
        </w:tc>
        <w:tc>
          <w:tcPr>
            <w:tcW w:w="1813" w:type="pct"/>
            <w:vAlign w:val="center"/>
          </w:tcPr>
          <w:p w14:paraId="2DAF5E0F">
            <w:pPr>
              <w:keepNext w:val="0"/>
              <w:keepLines w:val="0"/>
              <w:widowControl/>
              <w:suppressLineNumbers w:val="0"/>
              <w:spacing w:line="240" w:lineRule="auto"/>
              <w:ind w:firstLine="480" w:firstLineChars="200"/>
              <w:jc w:val="center"/>
              <w:rPr>
                <w:rFonts w:hint="default"/>
                <w:color w:val="auto"/>
                <w:lang w:val="en-US"/>
              </w:rPr>
            </w:pPr>
            <w:r>
              <w:rPr>
                <w:rFonts w:hint="eastAsia" w:ascii="Times New Roman" w:hAnsi="Times New Roman" w:eastAsia="宋体" w:cs="Times New Roman"/>
                <w:snapToGrid w:val="0"/>
                <w:color w:val="auto"/>
                <w:kern w:val="0"/>
                <w:sz w:val="24"/>
                <w:szCs w:val="24"/>
                <w:lang w:val="en-US" w:eastAsia="zh-CN" w:bidi="ar"/>
              </w:rPr>
              <w:t>25982</w:t>
            </w:r>
          </w:p>
        </w:tc>
      </w:tr>
      <w:tr w14:paraId="57C29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vAlign w:val="center"/>
          </w:tcPr>
          <w:p w14:paraId="5653ECBE">
            <w:pPr>
              <w:spacing w:line="276" w:lineRule="auto"/>
              <w:ind w:firstLine="0" w:firstLineChars="0"/>
              <w:jc w:val="center"/>
              <w:rPr>
                <w:color w:val="auto"/>
              </w:rPr>
            </w:pPr>
            <w:r>
              <w:rPr>
                <w:color w:val="auto"/>
              </w:rPr>
              <w:t>专项评价设置情况</w:t>
            </w:r>
          </w:p>
        </w:tc>
        <w:tc>
          <w:tcPr>
            <w:tcW w:w="4331" w:type="pct"/>
            <w:gridSpan w:val="3"/>
            <w:vAlign w:val="center"/>
          </w:tcPr>
          <w:p w14:paraId="379B1B78">
            <w:pPr>
              <w:keepNext w:val="0"/>
              <w:keepLines w:val="0"/>
              <w:widowControl/>
              <w:suppressLineNumbers w:val="0"/>
              <w:ind w:firstLine="480" w:firstLineChars="200"/>
              <w:jc w:val="center"/>
              <w:rPr>
                <w:color w:val="auto"/>
              </w:rPr>
            </w:pPr>
            <w:r>
              <w:rPr>
                <w:rFonts w:hint="default" w:ascii="Times New Roman" w:hAnsi="Times New Roman" w:eastAsia="宋体" w:cs="Times New Roman"/>
                <w:snapToGrid w:val="0"/>
                <w:color w:val="auto"/>
                <w:kern w:val="0"/>
                <w:sz w:val="24"/>
                <w:szCs w:val="24"/>
                <w:lang w:val="en-US" w:eastAsia="zh-CN" w:bidi="ar"/>
              </w:rPr>
              <w:t>无</w:t>
            </w:r>
          </w:p>
        </w:tc>
      </w:tr>
      <w:tr w14:paraId="45FEB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vAlign w:val="center"/>
          </w:tcPr>
          <w:p w14:paraId="101A2F0D">
            <w:pPr>
              <w:autoSpaceDE w:val="0"/>
              <w:autoSpaceDN w:val="0"/>
              <w:spacing w:line="276" w:lineRule="auto"/>
              <w:ind w:firstLine="0" w:firstLineChars="0"/>
              <w:jc w:val="center"/>
              <w:rPr>
                <w:color w:val="auto"/>
                <w:kern w:val="0"/>
              </w:rPr>
            </w:pPr>
            <w:r>
              <w:rPr>
                <w:color w:val="auto"/>
              </w:rPr>
              <w:t>规划情况</w:t>
            </w:r>
          </w:p>
        </w:tc>
        <w:tc>
          <w:tcPr>
            <w:tcW w:w="4331" w:type="pct"/>
            <w:gridSpan w:val="3"/>
            <w:vAlign w:val="top"/>
          </w:tcPr>
          <w:p w14:paraId="73BA6DFF">
            <w:pPr>
              <w:keepNext w:val="0"/>
              <w:keepLines w:val="0"/>
              <w:widowControl/>
              <w:suppressLineNumbers w:val="0"/>
              <w:ind w:left="0" w:leftChars="0" w:firstLine="0" w:firstLineChars="0"/>
              <w:jc w:val="left"/>
              <w:rPr>
                <w:rFonts w:hint="default" w:ascii="Times New Roman" w:hAnsi="Times New Roman" w:eastAsia="宋体" w:cs="Times New Roman"/>
                <w:color w:val="auto"/>
                <w:sz w:val="24"/>
                <w:szCs w:val="24"/>
              </w:rPr>
            </w:pPr>
            <w:r>
              <w:rPr>
                <w:rFonts w:hint="eastAsia" w:cs="Times New Roman" w:eastAsiaTheme="minorEastAsia"/>
                <w:color w:val="auto"/>
                <w:sz w:val="24"/>
                <w:szCs w:val="24"/>
                <w:lang w:val="en-US" w:eastAsia="zh-CN"/>
              </w:rPr>
              <w:t>本项目所在的</w:t>
            </w:r>
            <w:r>
              <w:rPr>
                <w:rFonts w:hint="default" w:ascii="Times New Roman" w:hAnsi="Times New Roman" w:cs="Times New Roman" w:eastAsiaTheme="minorEastAsia"/>
                <w:color w:val="auto"/>
                <w:sz w:val="24"/>
                <w:szCs w:val="24"/>
                <w:lang w:val="en-US" w:eastAsia="zh-CN"/>
              </w:rPr>
              <w:t>榆佳经济技术开发区</w:t>
            </w:r>
            <w:r>
              <w:rPr>
                <w:rFonts w:hint="eastAsia" w:cs="Times New Roman" w:eastAsiaTheme="minorEastAsia"/>
                <w:color w:val="auto"/>
                <w:sz w:val="24"/>
                <w:szCs w:val="24"/>
                <w:lang w:val="en-US" w:eastAsia="zh-CN"/>
              </w:rPr>
              <w:t>原名榆佳产业新区，现行有效的规划情况如下：</w:t>
            </w:r>
          </w:p>
          <w:p w14:paraId="1661F48B">
            <w:pPr>
              <w:keepNext w:val="0"/>
              <w:keepLines w:val="0"/>
              <w:widowControl/>
              <w:suppressLineNumbers w:val="0"/>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规划名称：榆佳产业新区总体规划</w:t>
            </w:r>
          </w:p>
          <w:p w14:paraId="3398C5E7">
            <w:pPr>
              <w:keepNext w:val="0"/>
              <w:keepLines w:val="0"/>
              <w:widowControl/>
              <w:suppressLineNumbers w:val="0"/>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审批机关：榆林市发展和改革委员会</w:t>
            </w:r>
          </w:p>
          <w:p w14:paraId="37EDECA9">
            <w:pPr>
              <w:keepNext w:val="0"/>
              <w:keepLines w:val="0"/>
              <w:widowControl/>
              <w:suppressLineNumbers w:val="0"/>
              <w:ind w:left="0" w:leftChars="0" w:firstLine="0" w:firstLineChars="0"/>
              <w:jc w:val="left"/>
              <w:rPr>
                <w:color w:val="auto"/>
                <w:kern w:val="0"/>
                <w:lang w:bidi="ar"/>
              </w:rPr>
            </w:pPr>
            <w:r>
              <w:rPr>
                <w:rFonts w:hint="default" w:ascii="Times New Roman" w:hAnsi="Times New Roman" w:eastAsia="宋体" w:cs="Times New Roman"/>
                <w:color w:val="auto"/>
                <w:sz w:val="24"/>
                <w:szCs w:val="24"/>
              </w:rPr>
              <w:t>审批文件名称及文号：《关于</w:t>
            </w:r>
            <w:r>
              <w:rPr>
                <w:rFonts w:hint="default" w:ascii="Times New Roman" w:hAnsi="Times New Roman" w:eastAsia="宋体" w:cs="Times New Roman"/>
                <w:color w:val="auto"/>
                <w:sz w:val="24"/>
                <w:szCs w:val="24"/>
                <w:lang w:val="en-US" w:eastAsia="zh-CN"/>
              </w:rPr>
              <w:t>&lt;</w:t>
            </w:r>
            <w:r>
              <w:rPr>
                <w:rFonts w:hint="default" w:ascii="Times New Roman" w:hAnsi="Times New Roman" w:eastAsia="宋体" w:cs="Times New Roman"/>
                <w:color w:val="auto"/>
                <w:sz w:val="24"/>
                <w:szCs w:val="24"/>
              </w:rPr>
              <w:t>榆佳产业新区总体规划</w:t>
            </w:r>
            <w:r>
              <w:rPr>
                <w:rFonts w:hint="default" w:ascii="Times New Roman" w:hAnsi="Times New Roman" w:eastAsia="宋体" w:cs="Times New Roman"/>
                <w:color w:val="auto"/>
                <w:sz w:val="24"/>
                <w:szCs w:val="24"/>
                <w:lang w:val="en-US" w:eastAsia="zh-CN"/>
              </w:rPr>
              <w:t>&gt;</w:t>
            </w:r>
            <w:r>
              <w:rPr>
                <w:rFonts w:hint="default" w:ascii="Times New Roman" w:hAnsi="Times New Roman" w:eastAsia="宋体" w:cs="Times New Roman"/>
                <w:color w:val="auto"/>
                <w:sz w:val="24"/>
                <w:szCs w:val="24"/>
              </w:rPr>
              <w:t>的批复》</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榆政发改发[2012]936号</w:t>
            </w:r>
            <w:r>
              <w:rPr>
                <w:rFonts w:hint="default" w:ascii="Times New Roman" w:hAnsi="Times New Roman" w:eastAsia="宋体" w:cs="Times New Roman"/>
                <w:color w:val="auto"/>
                <w:sz w:val="24"/>
                <w:szCs w:val="24"/>
                <w:lang w:val="en-US" w:eastAsia="zh-CN"/>
              </w:rPr>
              <w:t>)</w:t>
            </w:r>
          </w:p>
        </w:tc>
      </w:tr>
      <w:tr w14:paraId="0FFF0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vAlign w:val="center"/>
          </w:tcPr>
          <w:p w14:paraId="18CF0843">
            <w:pPr>
              <w:adjustRightInd w:val="0"/>
              <w:snapToGrid w:val="0"/>
              <w:spacing w:line="276" w:lineRule="auto"/>
              <w:ind w:firstLine="0" w:firstLineChars="0"/>
              <w:jc w:val="center"/>
              <w:rPr>
                <w:color w:val="auto"/>
              </w:rPr>
            </w:pPr>
            <w:r>
              <w:rPr>
                <w:color w:val="auto"/>
              </w:rPr>
              <w:t>规划环境影响评价情况</w:t>
            </w:r>
          </w:p>
        </w:tc>
        <w:tc>
          <w:tcPr>
            <w:tcW w:w="4331" w:type="pct"/>
            <w:gridSpan w:val="3"/>
            <w:vAlign w:val="top"/>
          </w:tcPr>
          <w:p w14:paraId="50D25DFC">
            <w:pPr>
              <w:keepNext w:val="0"/>
              <w:keepLines w:val="0"/>
              <w:widowControl/>
              <w:suppressLineNumbers w:val="0"/>
              <w:ind w:left="0" w:leftChars="0" w:firstLine="0" w:firstLineChars="0"/>
              <w:jc w:val="left"/>
              <w:rPr>
                <w:rFonts w:hint="default" w:ascii="Times New Roman" w:hAnsi="Times New Roman" w:eastAsia="宋体" w:cs="Times New Roman"/>
                <w:color w:val="auto"/>
                <w:sz w:val="24"/>
                <w:szCs w:val="24"/>
              </w:rPr>
            </w:pPr>
            <w:r>
              <w:rPr>
                <w:rFonts w:hint="eastAsia" w:cs="Times New Roman" w:eastAsiaTheme="minorEastAsia"/>
                <w:color w:val="auto"/>
                <w:sz w:val="24"/>
                <w:szCs w:val="24"/>
                <w:lang w:val="en-US" w:eastAsia="zh-CN"/>
              </w:rPr>
              <w:t>本项目所在的</w:t>
            </w:r>
            <w:r>
              <w:rPr>
                <w:rFonts w:hint="default" w:ascii="Times New Roman" w:hAnsi="Times New Roman" w:cs="Times New Roman" w:eastAsiaTheme="minorEastAsia"/>
                <w:color w:val="auto"/>
                <w:sz w:val="24"/>
                <w:szCs w:val="24"/>
                <w:lang w:val="en-US" w:eastAsia="zh-CN"/>
              </w:rPr>
              <w:t>榆佳经济技术开发区</w:t>
            </w:r>
            <w:r>
              <w:rPr>
                <w:rFonts w:hint="eastAsia" w:cs="Times New Roman" w:eastAsiaTheme="minorEastAsia"/>
                <w:color w:val="auto"/>
                <w:sz w:val="24"/>
                <w:szCs w:val="24"/>
                <w:lang w:val="en-US" w:eastAsia="zh-CN"/>
              </w:rPr>
              <w:t>新的规划环评工作正在开展中，现行有效的规划环评情况如下：</w:t>
            </w:r>
          </w:p>
          <w:p w14:paraId="573AF4A4">
            <w:pPr>
              <w:keepNext w:val="0"/>
              <w:keepLines w:val="0"/>
              <w:widowControl/>
              <w:suppressLineNumbers w:val="0"/>
              <w:ind w:left="0" w:leftChars="0" w:firstLine="0" w:firstLineChars="0"/>
              <w:jc w:val="left"/>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rPr>
              <w:t>规划环境影响评价文件名称：</w:t>
            </w:r>
            <w:r>
              <w:rPr>
                <w:rFonts w:hint="default" w:ascii="Times New Roman" w:hAnsi="Times New Roman" w:eastAsia="宋体" w:cs="Times New Roman"/>
                <w:color w:val="auto"/>
                <w:spacing w:val="-6"/>
                <w:sz w:val="24"/>
                <w:szCs w:val="24"/>
                <w:lang w:val="en-US" w:eastAsia="zh-CN"/>
              </w:rPr>
              <w:t>榆佳产业新区总体规划环境影响报告书</w:t>
            </w:r>
          </w:p>
          <w:p w14:paraId="387BBD33">
            <w:pPr>
              <w:keepNext w:val="0"/>
              <w:keepLines w:val="0"/>
              <w:widowControl/>
              <w:suppressLineNumbers w:val="0"/>
              <w:ind w:left="0" w:leftChars="0"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召集审查机关：</w:t>
            </w:r>
            <w:r>
              <w:rPr>
                <w:rFonts w:hint="default" w:ascii="Times New Roman" w:hAnsi="Times New Roman" w:eastAsia="宋体" w:cs="Times New Roman"/>
                <w:color w:val="auto"/>
                <w:sz w:val="24"/>
                <w:szCs w:val="24"/>
                <w:lang w:val="en-US" w:eastAsia="zh-CN"/>
              </w:rPr>
              <w:t>榆林市环境保护</w:t>
            </w:r>
            <w:r>
              <w:rPr>
                <w:rFonts w:hint="default" w:ascii="Times New Roman" w:hAnsi="Times New Roman" w:eastAsia="宋体" w:cs="Times New Roman"/>
                <w:color w:val="auto"/>
                <w:sz w:val="24"/>
                <w:szCs w:val="24"/>
              </w:rPr>
              <w:t>局</w:t>
            </w:r>
          </w:p>
          <w:p w14:paraId="1436C1B3">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left"/>
              <w:textAlignment w:val="auto"/>
              <w:rPr>
                <w:color w:val="auto"/>
                <w:kern w:val="0"/>
              </w:rPr>
            </w:pPr>
            <w:r>
              <w:rPr>
                <w:rFonts w:hint="default" w:ascii="Times New Roman" w:hAnsi="Times New Roman" w:eastAsia="宋体" w:cs="Times New Roman"/>
                <w:color w:val="auto"/>
                <w:sz w:val="24"/>
                <w:szCs w:val="24"/>
              </w:rPr>
              <w:t>审查文件名称及文号：《</w:t>
            </w:r>
            <w:r>
              <w:rPr>
                <w:rFonts w:hint="default" w:ascii="Times New Roman" w:hAnsi="Times New Roman" w:eastAsia="宋体" w:cs="Times New Roman"/>
                <w:color w:val="auto"/>
                <w:sz w:val="24"/>
                <w:szCs w:val="24"/>
                <w:lang w:val="en-US" w:eastAsia="zh-CN"/>
              </w:rPr>
              <w:t>榆林市环境保护</w:t>
            </w:r>
            <w:r>
              <w:rPr>
                <w:rFonts w:hint="default" w:ascii="Times New Roman" w:hAnsi="Times New Roman" w:eastAsia="宋体" w:cs="Times New Roman"/>
                <w:color w:val="auto"/>
                <w:sz w:val="24"/>
                <w:szCs w:val="24"/>
              </w:rPr>
              <w:t>局关于</w:t>
            </w:r>
            <w:r>
              <w:rPr>
                <w:rFonts w:hint="default" w:ascii="Times New Roman" w:hAnsi="Times New Roman" w:eastAsia="宋体" w:cs="Times New Roman"/>
                <w:color w:val="auto"/>
                <w:sz w:val="24"/>
                <w:szCs w:val="24"/>
                <w:lang w:val="en-US" w:eastAsia="zh-CN"/>
              </w:rPr>
              <w:t>榆佳产业新区总体规划环境影响报告书审查意见的函</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榆政</w:t>
            </w:r>
            <w:r>
              <w:rPr>
                <w:rFonts w:hint="default" w:ascii="Times New Roman" w:hAnsi="Times New Roman" w:eastAsia="宋体" w:cs="Times New Roman"/>
                <w:color w:val="auto"/>
                <w:sz w:val="24"/>
                <w:szCs w:val="24"/>
              </w:rPr>
              <w:t>环函[20</w:t>
            </w:r>
            <w:r>
              <w:rPr>
                <w:rFonts w:hint="default"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号）</w:t>
            </w:r>
          </w:p>
        </w:tc>
      </w:tr>
      <w:tr w14:paraId="1B459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vAlign w:val="center"/>
          </w:tcPr>
          <w:p w14:paraId="7876B4C6">
            <w:pPr>
              <w:autoSpaceDE w:val="0"/>
              <w:autoSpaceDN w:val="0"/>
              <w:adjustRightInd w:val="0"/>
              <w:snapToGrid w:val="0"/>
              <w:spacing w:line="276" w:lineRule="auto"/>
              <w:ind w:firstLine="0" w:firstLineChars="0"/>
              <w:jc w:val="center"/>
              <w:rPr>
                <w:color w:val="auto"/>
                <w:kern w:val="0"/>
              </w:rPr>
            </w:pPr>
            <w:r>
              <w:rPr>
                <w:color w:val="auto"/>
                <w:kern w:val="0"/>
              </w:rPr>
              <w:t>规划及规划环境影响评价符合性分析</w:t>
            </w:r>
          </w:p>
        </w:tc>
        <w:tc>
          <w:tcPr>
            <w:tcW w:w="4331" w:type="pct"/>
            <w:gridSpan w:val="3"/>
            <w:vAlign w:val="top"/>
          </w:tcPr>
          <w:p w14:paraId="1840E54E">
            <w:pPr>
              <w:keepNext w:val="0"/>
              <w:keepLines w:val="0"/>
              <w:widowControl/>
              <w:suppressLineNumbers w:val="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rPr>
              <w:t>项目与相关规划及规划环评符合性分析见表1</w:t>
            </w:r>
            <w:r>
              <w:rPr>
                <w:rFonts w:hint="eastAsia"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与</w:t>
            </w:r>
            <w:r>
              <w:rPr>
                <w:rFonts w:hint="default" w:ascii="Times New Roman" w:hAnsi="Times New Roman" w:cs="Times New Roman" w:eastAsiaTheme="minorEastAsia"/>
                <w:color w:val="auto"/>
                <w:sz w:val="24"/>
                <w:szCs w:val="24"/>
                <w:lang w:val="en-US" w:eastAsia="zh-CN"/>
              </w:rPr>
              <w:t>榆佳经济技术开发区</w:t>
            </w:r>
            <w:r>
              <w:rPr>
                <w:rFonts w:hint="default" w:ascii="Times New Roman" w:hAnsi="Times New Roman" w:eastAsia="宋体" w:cs="Times New Roman"/>
                <w:color w:val="auto"/>
                <w:sz w:val="24"/>
                <w:szCs w:val="24"/>
              </w:rPr>
              <w:t>位置关系</w:t>
            </w:r>
            <w:r>
              <w:rPr>
                <w:rFonts w:hint="default" w:ascii="Times New Roman" w:hAnsi="Times New Roman" w:eastAsia="宋体" w:cs="Times New Roman"/>
                <w:color w:val="auto"/>
                <w:sz w:val="24"/>
                <w:szCs w:val="24"/>
                <w:highlight w:val="none"/>
              </w:rPr>
              <w:t>见附图2</w:t>
            </w:r>
            <w:r>
              <w:rPr>
                <w:rFonts w:hint="default" w:ascii="Times New Roman" w:hAnsi="Times New Roman" w:eastAsia="宋体" w:cs="Times New Roman"/>
                <w:color w:val="auto"/>
                <w:sz w:val="24"/>
                <w:szCs w:val="24"/>
                <w:highlight w:val="none"/>
                <w:lang w:eastAsia="zh-CN"/>
              </w:rPr>
              <w:t>。</w:t>
            </w:r>
          </w:p>
          <w:p w14:paraId="4E31B5CD">
            <w:pPr>
              <w:keepNext w:val="0"/>
              <w:keepLines w:val="0"/>
              <w:widowControl/>
              <w:suppressLineNumbers w:val="0"/>
              <w:spacing w:line="360" w:lineRule="auto"/>
              <w:ind w:left="0" w:leftChars="0" w:firstLine="0" w:firstLineChars="0"/>
              <w:jc w:val="center"/>
              <w:rPr>
                <w:rFonts w:hint="eastAsia" w:ascii="黑体" w:hAnsi="黑体" w:eastAsia="黑体" w:cs="黑体"/>
                <w:b w:val="0"/>
                <w:bCs w:val="0"/>
                <w:color w:val="auto"/>
                <w:sz w:val="24"/>
                <w:szCs w:val="24"/>
                <w:lang w:eastAsia="zh-CN"/>
              </w:rPr>
            </w:pPr>
            <w:r>
              <w:rPr>
                <w:rFonts w:hint="eastAsia" w:ascii="黑体" w:hAnsi="黑体" w:eastAsia="黑体" w:cs="黑体"/>
                <w:b w:val="0"/>
                <w:bCs w:val="0"/>
                <w:color w:val="auto"/>
                <w:sz w:val="24"/>
                <w:szCs w:val="24"/>
              </w:rPr>
              <w:t>表1</w:t>
            </w:r>
            <w:r>
              <w:rPr>
                <w:rFonts w:hint="eastAsia" w:ascii="黑体" w:hAnsi="黑体" w:eastAsia="黑体" w:cs="黑体"/>
                <w:b w:val="0"/>
                <w:bCs w:val="0"/>
                <w:color w:val="auto"/>
                <w:sz w:val="24"/>
                <w:szCs w:val="24"/>
                <w:lang w:val="en-US" w:eastAsia="zh-CN"/>
              </w:rPr>
              <w:t xml:space="preserve">-1  </w:t>
            </w:r>
            <w:r>
              <w:rPr>
                <w:rFonts w:hint="eastAsia" w:ascii="黑体" w:hAnsi="黑体" w:eastAsia="黑体" w:cs="黑体"/>
                <w:b w:val="0"/>
                <w:bCs w:val="0"/>
                <w:color w:val="auto"/>
                <w:sz w:val="24"/>
                <w:szCs w:val="24"/>
              </w:rPr>
              <w:t>项目与相关规划及规划环评符合性分析</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3227"/>
              <w:gridCol w:w="2430"/>
              <w:gridCol w:w="907"/>
            </w:tblGrid>
            <w:tr w14:paraId="4DA1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pct"/>
                </w:tcPr>
                <w:p w14:paraId="0EA1AD8B">
                  <w:pPr>
                    <w:keepNext w:val="0"/>
                    <w:keepLines w:val="0"/>
                    <w:widowControl/>
                    <w:suppressLineNumbers w:val="0"/>
                    <w:spacing w:line="360" w:lineRule="auto"/>
                    <w:ind w:left="0" w:leftChars="0" w:firstLine="210" w:firstLineChars="10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文件</w:t>
                  </w:r>
                </w:p>
              </w:tc>
              <w:tc>
                <w:tcPr>
                  <w:tcW w:w="2072" w:type="pct"/>
                </w:tcPr>
                <w:p w14:paraId="0C06571E">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相关要求</w:t>
                  </w:r>
                </w:p>
              </w:tc>
              <w:tc>
                <w:tcPr>
                  <w:tcW w:w="1560" w:type="pct"/>
                </w:tcPr>
                <w:p w14:paraId="03E79DFB">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本项目情况</w:t>
                  </w:r>
                </w:p>
              </w:tc>
              <w:tc>
                <w:tcPr>
                  <w:tcW w:w="582" w:type="pct"/>
                </w:tcPr>
                <w:p w14:paraId="29361D55">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符合性</w:t>
                  </w:r>
                </w:p>
              </w:tc>
            </w:tr>
            <w:tr w14:paraId="7053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Align w:val="center"/>
                </w:tcPr>
                <w:p w14:paraId="0BFF53DF">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榆佳产业新区总体规划</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2012年</w:t>
                  </w:r>
                  <w:r>
                    <w:rPr>
                      <w:rFonts w:hint="default" w:ascii="Times New Roman" w:hAnsi="Times New Roman" w:cs="Times New Roman"/>
                      <w:color w:val="auto"/>
                      <w:sz w:val="21"/>
                      <w:szCs w:val="21"/>
                      <w:lang w:eastAsia="zh-CN"/>
                    </w:rPr>
                    <w:t>）</w:t>
                  </w:r>
                </w:p>
              </w:tc>
              <w:tc>
                <w:tcPr>
                  <w:tcW w:w="2072" w:type="pct"/>
                </w:tcPr>
                <w:p w14:paraId="5DBD3862">
                  <w:pPr>
                    <w:keepNext w:val="0"/>
                    <w:keepLines w:val="0"/>
                    <w:widowControl/>
                    <w:suppressLineNumbers w:val="0"/>
                    <w:spacing w:line="360" w:lineRule="auto"/>
                    <w:ind w:left="0" w:leftChars="0" w:firstLine="0" w:firstLineChars="0"/>
                    <w:jc w:val="left"/>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围绕煤盐化工、光伏产业、先进制造业、特色农产品加工业及现代服务产业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努力打造西部重要的煤盐化工基地、全省能源化工创新高地、全市特色经济带动区和榆林中心城区的卫星产业新区</w:t>
                  </w:r>
                  <w:r>
                    <w:rPr>
                      <w:rFonts w:hint="eastAsia" w:ascii="Times New Roman" w:hAnsi="Times New Roman" w:cs="Times New Roman"/>
                      <w:color w:val="auto"/>
                      <w:sz w:val="21"/>
                      <w:szCs w:val="21"/>
                      <w:lang w:val="en-US" w:eastAsia="zh-CN"/>
                    </w:rPr>
                    <w:t>。</w:t>
                  </w:r>
                </w:p>
              </w:tc>
              <w:tc>
                <w:tcPr>
                  <w:tcW w:w="1560" w:type="pct"/>
                </w:tcPr>
                <w:p w14:paraId="6EFF924E">
                  <w:pPr>
                    <w:keepNext w:val="0"/>
                    <w:keepLines w:val="0"/>
                    <w:widowControl/>
                    <w:suppressLineNumbers w:val="0"/>
                    <w:spacing w:line="360" w:lineRule="auto"/>
                    <w:ind w:left="0" w:leftChars="0" w:firstLine="0" w:firstLineChars="0"/>
                    <w:jc w:val="left"/>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项目位于榆林市</w:t>
                  </w:r>
                  <w:r>
                    <w:rPr>
                      <w:rFonts w:hint="default" w:ascii="Times New Roman" w:hAnsi="Times New Roman" w:cs="Times New Roman" w:eastAsiaTheme="minorEastAsia"/>
                      <w:color w:val="auto"/>
                      <w:sz w:val="21"/>
                      <w:szCs w:val="21"/>
                      <w:lang w:val="en-US" w:eastAsia="zh-CN"/>
                    </w:rPr>
                    <w:t>榆佳经济技术开发区能源大道扬州产业园标准化厂房一期</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属于先进制造业，根据榆佳经济技术开发区关于本项目的入园批复（见附件），项目符合园区总体规划</w:t>
                  </w:r>
                  <w:r>
                    <w:rPr>
                      <w:rFonts w:hint="default" w:ascii="Times New Roman" w:hAnsi="Times New Roman" w:cs="Times New Roman"/>
                      <w:color w:val="auto"/>
                      <w:sz w:val="21"/>
                      <w:szCs w:val="21"/>
                      <w:lang w:eastAsia="zh-CN"/>
                    </w:rPr>
                    <w:t>。</w:t>
                  </w:r>
                </w:p>
              </w:tc>
              <w:tc>
                <w:tcPr>
                  <w:tcW w:w="582" w:type="pct"/>
                  <w:vAlign w:val="center"/>
                </w:tcPr>
                <w:p w14:paraId="5A1BDD2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55DE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restart"/>
                </w:tcPr>
                <w:p w14:paraId="2FFC782C">
                  <w:pPr>
                    <w:keepNext w:val="0"/>
                    <w:keepLines w:val="0"/>
                    <w:widowControl/>
                    <w:suppressLineNumbers w:val="0"/>
                    <w:spacing w:line="360" w:lineRule="auto"/>
                    <w:ind w:left="0" w:leftChars="0" w:firstLine="0" w:firstLineChars="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榆佳产业新区总体规划环境影响报告书</w:t>
                  </w:r>
                  <w:r>
                    <w:rPr>
                      <w:rFonts w:hint="eastAsia" w:ascii="Times New Roman" w:hAnsi="Times New Roman" w:eastAsia="宋体" w:cs="Times New Roman"/>
                      <w:color w:val="auto"/>
                      <w:sz w:val="21"/>
                      <w:szCs w:val="21"/>
                      <w:lang w:val="en-US" w:eastAsia="zh-CN"/>
                    </w:rPr>
                    <w:t>》及审查意见</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榆政</w:t>
                  </w:r>
                  <w:r>
                    <w:rPr>
                      <w:rFonts w:hint="default" w:ascii="Times New Roman" w:hAnsi="Times New Roman" w:eastAsia="宋体" w:cs="Times New Roman"/>
                      <w:color w:val="auto"/>
                      <w:sz w:val="21"/>
                      <w:szCs w:val="21"/>
                    </w:rPr>
                    <w:t>环函[20</w:t>
                  </w:r>
                  <w:r>
                    <w:rPr>
                      <w:rFonts w:hint="default"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87</w:t>
                  </w:r>
                  <w:r>
                    <w:rPr>
                      <w:rFonts w:hint="default" w:ascii="Times New Roman" w:hAnsi="Times New Roman" w:eastAsia="宋体" w:cs="Times New Roman"/>
                      <w:color w:val="auto"/>
                      <w:sz w:val="21"/>
                      <w:szCs w:val="21"/>
                    </w:rPr>
                    <w:t>号）</w:t>
                  </w:r>
                </w:p>
              </w:tc>
              <w:tc>
                <w:tcPr>
                  <w:tcW w:w="2072" w:type="pct"/>
                </w:tcPr>
                <w:p w14:paraId="1FE81343">
                  <w:pPr>
                    <w:keepNext w:val="0"/>
                    <w:keepLines w:val="0"/>
                    <w:widowControl/>
                    <w:suppressLineNumbers w:val="0"/>
                    <w:spacing w:line="360" w:lineRule="auto"/>
                    <w:ind w:left="0" w:leftChars="0" w:firstLine="0" w:firstLine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严把建设项目环境准入关，必须按清洁生产和循环经济的要求明确入区企业准入条件，各建设项目均要依据环境影响评价的结论决定是否允许入区。严格落实禁建区、限建区的开发性建设。</w:t>
                  </w:r>
                </w:p>
              </w:tc>
              <w:tc>
                <w:tcPr>
                  <w:tcW w:w="1560" w:type="pct"/>
                </w:tcPr>
                <w:p w14:paraId="7B918855">
                  <w:pPr>
                    <w:keepNext w:val="0"/>
                    <w:keepLines w:val="0"/>
                    <w:widowControl/>
                    <w:suppressLineNumbers w:val="0"/>
                    <w:spacing w:line="360" w:lineRule="auto"/>
                    <w:ind w:left="0" w:leftChars="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项目位于榆林市</w:t>
                  </w:r>
                  <w:r>
                    <w:rPr>
                      <w:rFonts w:hint="default" w:ascii="Times New Roman" w:hAnsi="Times New Roman" w:cs="Times New Roman" w:eastAsiaTheme="minorEastAsia"/>
                      <w:color w:val="auto"/>
                      <w:sz w:val="21"/>
                      <w:szCs w:val="21"/>
                      <w:lang w:val="en-US" w:eastAsia="zh-CN"/>
                    </w:rPr>
                    <w:t>榆佳经济技术开发区</w:t>
                  </w:r>
                  <w:r>
                    <w:rPr>
                      <w:rFonts w:hint="eastAsia" w:cs="Times New Roman" w:eastAsiaTheme="minorEastAsia"/>
                      <w:color w:val="auto"/>
                      <w:sz w:val="21"/>
                      <w:szCs w:val="21"/>
                      <w:lang w:val="en-US" w:eastAsia="zh-CN"/>
                    </w:rPr>
                    <w:t>，不属于</w:t>
                  </w:r>
                  <w:r>
                    <w:rPr>
                      <w:rFonts w:hint="eastAsia" w:cs="Times New Roman"/>
                      <w:color w:val="auto"/>
                      <w:sz w:val="21"/>
                      <w:szCs w:val="21"/>
                      <w:lang w:val="en-US" w:eastAsia="zh-CN"/>
                    </w:rPr>
                    <w:t>禁建区、限建区，项目生产中熔炼渣等一般固废综合利用，冷却水循环使用，体现了清洁生产、循环经济的理念。</w:t>
                  </w:r>
                </w:p>
              </w:tc>
              <w:tc>
                <w:tcPr>
                  <w:tcW w:w="582" w:type="pct"/>
                  <w:vAlign w:val="center"/>
                </w:tcPr>
                <w:p w14:paraId="14C58F4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59AF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tcPr>
                <w:p w14:paraId="1B9DE976">
                  <w:pPr>
                    <w:keepNext w:val="0"/>
                    <w:keepLines w:val="0"/>
                    <w:widowControl/>
                    <w:suppressLineNumbers w:val="0"/>
                    <w:spacing w:line="360" w:lineRule="auto"/>
                    <w:jc w:val="center"/>
                    <w:rPr>
                      <w:rFonts w:hint="default" w:ascii="Times New Roman" w:hAnsi="Times New Roman" w:eastAsia="宋体" w:cs="Times New Roman"/>
                      <w:color w:val="auto"/>
                      <w:sz w:val="21"/>
                      <w:szCs w:val="21"/>
                      <w:vertAlign w:val="baseline"/>
                      <w:lang w:eastAsia="zh-CN"/>
                    </w:rPr>
                  </w:pPr>
                </w:p>
              </w:tc>
              <w:tc>
                <w:tcPr>
                  <w:tcW w:w="2072" w:type="pct"/>
                </w:tcPr>
                <w:p w14:paraId="2B5C3ED6">
                  <w:pPr>
                    <w:keepNext w:val="0"/>
                    <w:keepLines w:val="0"/>
                    <w:widowControl/>
                    <w:suppressLineNumbers w:val="0"/>
                    <w:spacing w:line="360" w:lineRule="auto"/>
                    <w:ind w:left="0" w:leftChars="0" w:firstLine="0" w:firstLineChars="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新区在后续发展过程中不应再引进煤化工项目。</w:t>
                  </w:r>
                </w:p>
              </w:tc>
              <w:tc>
                <w:tcPr>
                  <w:tcW w:w="1560" w:type="pct"/>
                </w:tcPr>
                <w:p w14:paraId="00601FB1">
                  <w:pPr>
                    <w:keepNext w:val="0"/>
                    <w:keepLines w:val="0"/>
                    <w:widowControl/>
                    <w:suppressLineNumbers w:val="0"/>
                    <w:spacing w:line="360" w:lineRule="auto"/>
                    <w:ind w:left="0" w:leftChars="0" w:firstLine="0" w:firstLineChars="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本项目属于有色金属合金制造和有色金属铸造，不属于煤化工项目</w:t>
                  </w:r>
                  <w:r>
                    <w:rPr>
                      <w:rFonts w:hint="eastAsia" w:cs="Times New Roman"/>
                      <w:color w:val="auto"/>
                      <w:sz w:val="21"/>
                      <w:szCs w:val="21"/>
                      <w:vertAlign w:val="baseline"/>
                      <w:lang w:val="en-US" w:eastAsia="zh-CN"/>
                    </w:rPr>
                    <w:t>。</w:t>
                  </w:r>
                </w:p>
              </w:tc>
              <w:tc>
                <w:tcPr>
                  <w:tcW w:w="582" w:type="pct"/>
                  <w:vAlign w:val="center"/>
                </w:tcPr>
                <w:p w14:paraId="21D4E0A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70BA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tcPr>
                <w:p w14:paraId="5A4D92DC">
                  <w:pPr>
                    <w:keepNext w:val="0"/>
                    <w:keepLines w:val="0"/>
                    <w:widowControl/>
                    <w:suppressLineNumbers w:val="0"/>
                    <w:spacing w:line="360" w:lineRule="auto"/>
                    <w:jc w:val="center"/>
                    <w:rPr>
                      <w:rFonts w:hint="default" w:ascii="Times New Roman" w:hAnsi="Times New Roman" w:eastAsia="宋体" w:cs="Times New Roman"/>
                      <w:color w:val="auto"/>
                      <w:sz w:val="21"/>
                      <w:szCs w:val="21"/>
                      <w:vertAlign w:val="baseline"/>
                      <w:lang w:eastAsia="zh-CN"/>
                    </w:rPr>
                  </w:pPr>
                </w:p>
              </w:tc>
              <w:tc>
                <w:tcPr>
                  <w:tcW w:w="2072" w:type="pct"/>
                </w:tcPr>
                <w:p w14:paraId="53F835F8">
                  <w:pPr>
                    <w:keepNext w:val="0"/>
                    <w:keepLines w:val="0"/>
                    <w:widowControl/>
                    <w:suppressLineNumbers w:val="0"/>
                    <w:spacing w:line="360" w:lineRule="auto"/>
                    <w:ind w:left="0" w:leftChars="0" w:firstLine="0" w:firstLineChars="0"/>
                    <w:jc w:val="both"/>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一般工业固体废物应立足综合利用，不可回</w:t>
                  </w:r>
                  <w:r>
                    <w:rPr>
                      <w:rFonts w:hint="eastAsia" w:cs="Times New Roman"/>
                      <w:color w:val="auto"/>
                      <w:sz w:val="21"/>
                      <w:szCs w:val="21"/>
                      <w:highlight w:val="none"/>
                      <w:shd w:val="clear"/>
                      <w:lang w:val="en-US" w:eastAsia="zh-CN"/>
                    </w:rPr>
                    <w:t>收利用的部分送至排渣场，危险废物各企业应自行落实危废处置措施，临时储存场所要规范建设。生活垃圾定点收存，定期送往园区生活垃圾填埋场处置。</w:t>
                  </w:r>
                </w:p>
              </w:tc>
              <w:tc>
                <w:tcPr>
                  <w:tcW w:w="1560" w:type="pct"/>
                </w:tcPr>
                <w:p w14:paraId="6309E408">
                  <w:pPr>
                    <w:keepNext w:val="0"/>
                    <w:keepLines w:val="0"/>
                    <w:widowControl/>
                    <w:suppressLineNumbers w:val="0"/>
                    <w:spacing w:line="360" w:lineRule="auto"/>
                    <w:ind w:left="0" w:leftChars="0" w:firstLine="0" w:firstLineChars="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lang w:val="en-US" w:eastAsia="zh-CN"/>
                    </w:rPr>
                    <w:t>项目生产中熔炼渣等一般固废综合利用，危险废物交有资质单位处置，生活垃圾送垃圾填埋场处置。</w:t>
                  </w:r>
                </w:p>
              </w:tc>
              <w:tc>
                <w:tcPr>
                  <w:tcW w:w="582" w:type="pct"/>
                  <w:vAlign w:val="center"/>
                </w:tcPr>
                <w:p w14:paraId="15962F6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52FBA0D1">
            <w:pPr>
              <w:keepNext w:val="0"/>
              <w:keepLines w:val="0"/>
              <w:widowControl/>
              <w:suppressLineNumbers w:val="0"/>
              <w:spacing w:line="240" w:lineRule="auto"/>
              <w:ind w:left="0" w:leftChars="0" w:firstLine="0" w:firstLineChars="0"/>
              <w:jc w:val="both"/>
              <w:rPr>
                <w:color w:val="auto"/>
              </w:rPr>
            </w:pPr>
          </w:p>
        </w:tc>
      </w:tr>
      <w:tr w14:paraId="2AF0C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5" w:hRule="atLeast"/>
          <w:jc w:val="center"/>
        </w:trPr>
        <w:tc>
          <w:tcPr>
            <w:tcW w:w="668" w:type="pct"/>
            <w:vAlign w:val="center"/>
          </w:tcPr>
          <w:p w14:paraId="4EBF5760">
            <w:pPr>
              <w:autoSpaceDE w:val="0"/>
              <w:autoSpaceDN w:val="0"/>
              <w:adjustRightInd w:val="0"/>
              <w:snapToGrid w:val="0"/>
              <w:ind w:firstLine="0" w:firstLineChars="0"/>
              <w:jc w:val="center"/>
              <w:rPr>
                <w:b/>
                <w:bCs/>
                <w:color w:val="auto"/>
                <w:kern w:val="0"/>
              </w:rPr>
            </w:pPr>
            <w:r>
              <w:rPr>
                <w:b/>
                <w:bCs/>
                <w:color w:val="auto"/>
                <w:kern w:val="0"/>
              </w:rPr>
              <w:t>其他符合性分析</w:t>
            </w:r>
          </w:p>
        </w:tc>
        <w:tc>
          <w:tcPr>
            <w:tcW w:w="4331" w:type="pct"/>
            <w:gridSpan w:val="3"/>
            <w:vAlign w:val="center"/>
          </w:tcPr>
          <w:p w14:paraId="4D6834DB">
            <w:pPr>
              <w:pStyle w:val="8"/>
              <w:spacing w:after="120"/>
              <w:rPr>
                <w:color w:val="auto"/>
              </w:rPr>
            </w:pPr>
            <w:r>
              <w:rPr>
                <w:color w:val="auto"/>
              </w:rPr>
              <w:t>1</w:t>
            </w:r>
            <w:r>
              <w:rPr>
                <w:rFonts w:hint="eastAsia"/>
                <w:color w:val="auto"/>
              </w:rPr>
              <w:t>.</w:t>
            </w:r>
            <w:r>
              <w:rPr>
                <w:color w:val="auto"/>
              </w:rPr>
              <w:t>产业政策相符性分析</w:t>
            </w:r>
          </w:p>
          <w:p w14:paraId="0018A1BF">
            <w:pPr>
              <w:keepNext w:val="0"/>
              <w:keepLines w:val="0"/>
              <w:widowControl/>
              <w:suppressLineNumbers w:val="0"/>
              <w:jc w:val="left"/>
              <w:rPr>
                <w:rFonts w:hint="eastAsia" w:cs="Times New Roman"/>
                <w:snapToGrid w:val="0"/>
                <w:color w:val="auto"/>
                <w:kern w:val="0"/>
                <w:sz w:val="24"/>
                <w:szCs w:val="24"/>
                <w:lang w:val="en-US" w:eastAsia="zh-CN" w:bidi="ar"/>
              </w:rPr>
            </w:pPr>
            <w:r>
              <w:rPr>
                <w:rFonts w:hint="default" w:ascii="Times New Roman" w:hAnsi="Times New Roman" w:cs="Times New Roman"/>
                <w:color w:val="auto"/>
              </w:rPr>
              <w:t>本项目属于</w:t>
            </w:r>
            <w:r>
              <w:rPr>
                <w:rFonts w:hint="default" w:ascii="Times New Roman" w:hAnsi="Times New Roman" w:cs="Times New Roman"/>
                <w:color w:val="auto"/>
                <w:lang w:val="en-US" w:eastAsia="zh-CN"/>
              </w:rPr>
              <w:t>有色金属镁合金制造和有色金属镁铸造</w:t>
            </w:r>
            <w:r>
              <w:rPr>
                <w:rFonts w:hint="default" w:ascii="Times New Roman" w:hAnsi="Times New Roman" w:cs="Times New Roman"/>
                <w:color w:val="auto"/>
              </w:rPr>
              <w:t>项目，</w:t>
            </w:r>
            <w:r>
              <w:rPr>
                <w:rFonts w:hint="default" w:ascii="Times New Roman" w:hAnsi="Times New Roman" w:cs="Times New Roman"/>
                <w:color w:val="auto"/>
                <w:lang w:val="en-US" w:eastAsia="zh-CN"/>
              </w:rPr>
              <w:t>属于</w:t>
            </w:r>
            <w:r>
              <w:rPr>
                <w:rFonts w:hint="eastAsia" w:cs="Times New Roman"/>
                <w:color w:val="auto"/>
                <w:lang w:val="en-US" w:eastAsia="zh-CN"/>
              </w:rPr>
              <w:t>《产业结构调整指导目录（2024年本）》</w:t>
            </w:r>
            <w:r>
              <w:rPr>
                <w:rFonts w:hint="default" w:ascii="Times New Roman" w:hAnsi="Times New Roman" w:cs="Times New Roman"/>
                <w:color w:val="auto"/>
                <w:lang w:val="en-US" w:eastAsia="zh-CN"/>
              </w:rPr>
              <w:t>鼓励类“十六、汽车2.</w:t>
            </w:r>
            <w:r>
              <w:rPr>
                <w:rFonts w:hint="default" w:ascii="Times New Roman" w:hAnsi="Times New Roman" w:cs="Times New Roman"/>
                <w:b w:val="0"/>
                <w:bCs w:val="0"/>
                <w:color w:val="auto"/>
                <w:spacing w:val="4"/>
                <w:w w:val="100"/>
              </w:rPr>
              <w:t>轻量化材料应</w:t>
            </w:r>
            <w:r>
              <w:rPr>
                <w:rFonts w:hint="default" w:ascii="Times New Roman" w:hAnsi="Times New Roman" w:cs="Times New Roman"/>
                <w:b w:val="0"/>
                <w:bCs w:val="0"/>
                <w:color w:val="auto"/>
                <w:spacing w:val="2"/>
                <w:w w:val="100"/>
              </w:rPr>
              <w:t>用</w:t>
            </w:r>
            <w:r>
              <w:rPr>
                <w:rFonts w:hint="default" w:ascii="Times New Roman" w:hAnsi="Times New Roman" w:cs="Times New Roman"/>
                <w:b w:val="0"/>
                <w:bCs w:val="0"/>
                <w:color w:val="auto"/>
                <w:spacing w:val="4"/>
                <w:w w:val="100"/>
              </w:rPr>
              <w:t>：超高强度钢，高强韧低密度钢，</w:t>
            </w:r>
            <w:r>
              <w:rPr>
                <w:rFonts w:hint="default" w:ascii="Times New Roman" w:hAnsi="Times New Roman" w:eastAsia="PMingLiU" w:cs="Times New Roman"/>
                <w:b w:val="0"/>
                <w:bCs w:val="0"/>
                <w:color w:val="auto"/>
                <w:spacing w:val="-1"/>
                <w:w w:val="100"/>
              </w:rPr>
              <w:t>AD</w:t>
            </w:r>
            <w:r>
              <w:rPr>
                <w:rFonts w:hint="default" w:ascii="Times New Roman" w:hAnsi="Times New Roman" w:eastAsia="PMingLiU" w:cs="Times New Roman"/>
                <w:b w:val="0"/>
                <w:bCs w:val="0"/>
                <w:color w:val="auto"/>
                <w:spacing w:val="0"/>
                <w:w w:val="100"/>
              </w:rPr>
              <w:t>I</w:t>
            </w:r>
            <w:r>
              <w:rPr>
                <w:rFonts w:hint="default" w:ascii="Times New Roman" w:hAnsi="Times New Roman" w:cs="Times New Roman"/>
                <w:b w:val="0"/>
                <w:bCs w:val="0"/>
                <w:color w:val="auto"/>
                <w:spacing w:val="0"/>
                <w:w w:val="100"/>
              </w:rPr>
              <w:t>铸铁</w:t>
            </w:r>
            <w:r>
              <w:rPr>
                <w:rFonts w:hint="default" w:ascii="Times New Roman" w:hAnsi="Times New Roman" w:cs="Times New Roman"/>
                <w:b w:val="0"/>
                <w:bCs w:val="0"/>
                <w:color w:val="auto"/>
                <w:spacing w:val="-5"/>
                <w:w w:val="100"/>
              </w:rPr>
              <w:t>，</w:t>
            </w:r>
            <w:r>
              <w:rPr>
                <w:rFonts w:hint="default" w:ascii="Times New Roman" w:hAnsi="Times New Roman" w:cs="Times New Roman"/>
                <w:b w:val="0"/>
                <w:bCs w:val="0"/>
                <w:color w:val="auto"/>
                <w:spacing w:val="0"/>
                <w:w w:val="100"/>
              </w:rPr>
              <w:t>高强度铝合金</w:t>
            </w:r>
            <w:r>
              <w:rPr>
                <w:rFonts w:hint="default" w:ascii="Times New Roman" w:hAnsi="Times New Roman" w:cs="Times New Roman"/>
                <w:b w:val="0"/>
                <w:bCs w:val="0"/>
                <w:color w:val="auto"/>
                <w:spacing w:val="-5"/>
                <w:w w:val="100"/>
              </w:rPr>
              <w:t>、</w:t>
            </w:r>
            <w:r>
              <w:rPr>
                <w:rFonts w:hint="default" w:ascii="Times New Roman" w:hAnsi="Times New Roman" w:cs="Times New Roman"/>
                <w:b w:val="0"/>
                <w:bCs w:val="0"/>
                <w:color w:val="auto"/>
                <w:spacing w:val="0"/>
                <w:w w:val="100"/>
              </w:rPr>
              <w:t>镁合金</w:t>
            </w:r>
            <w:r>
              <w:rPr>
                <w:rFonts w:hint="default" w:ascii="Times New Roman" w:hAnsi="Times New Roman" w:cs="Times New Roman"/>
                <w:b w:val="0"/>
                <w:bCs w:val="0"/>
                <w:color w:val="auto"/>
                <w:spacing w:val="0"/>
                <w:w w:val="100"/>
                <w:lang w:eastAsia="zh-CN"/>
              </w:rPr>
              <w:t>”，</w:t>
            </w:r>
            <w:r>
              <w:rPr>
                <w:rFonts w:hint="default" w:ascii="Times New Roman" w:hAnsi="Times New Roman" w:eastAsia="宋体" w:cs="Times New Roman"/>
                <w:snapToGrid w:val="0"/>
                <w:color w:val="auto"/>
                <w:kern w:val="0"/>
                <w:sz w:val="24"/>
                <w:szCs w:val="24"/>
                <w:lang w:val="en-US" w:eastAsia="zh-CN" w:bidi="ar"/>
              </w:rPr>
              <w:t>不涉及限制类“七.有色金属6.新建、扩建镁冶炼项目”和“十一、机械33.</w:t>
            </w:r>
            <w:r>
              <w:rPr>
                <w:rFonts w:hint="default" w:ascii="Times New Roman" w:hAnsi="Times New Roman" w:cs="Times New Roman"/>
                <w:b w:val="0"/>
                <w:bCs w:val="0"/>
                <w:color w:val="auto"/>
                <w:spacing w:val="0"/>
                <w:w w:val="100"/>
                <w:highlight w:val="none"/>
              </w:rPr>
              <w:t>有色合金六氯乙烷</w:t>
            </w:r>
            <w:r>
              <w:rPr>
                <w:rFonts w:hint="eastAsia" w:cs="Times New Roman"/>
                <w:b w:val="0"/>
                <w:bCs w:val="0"/>
                <w:color w:val="auto"/>
                <w:spacing w:val="0"/>
                <w:w w:val="100"/>
                <w:highlight w:val="none"/>
                <w:lang w:eastAsia="zh-CN"/>
              </w:rPr>
              <w:t>熔炼</w:t>
            </w:r>
            <w:r>
              <w:rPr>
                <w:rFonts w:hint="default" w:ascii="Times New Roman" w:hAnsi="Times New Roman" w:cs="Times New Roman"/>
                <w:b w:val="0"/>
                <w:bCs w:val="0"/>
                <w:color w:val="auto"/>
                <w:spacing w:val="0"/>
                <w:w w:val="100"/>
                <w:highlight w:val="none"/>
              </w:rPr>
              <w:t>、镁合金</w:t>
            </w:r>
            <w:r>
              <w:rPr>
                <w:rFonts w:hint="default" w:ascii="Times New Roman" w:hAnsi="Times New Roman" w:eastAsia="PMingLiU" w:cs="Times New Roman"/>
                <w:b w:val="0"/>
                <w:bCs w:val="0"/>
                <w:color w:val="auto"/>
                <w:spacing w:val="0"/>
                <w:w w:val="100"/>
                <w:highlight w:val="none"/>
              </w:rPr>
              <w:t>S</w:t>
            </w:r>
            <w:r>
              <w:rPr>
                <w:rFonts w:hint="default" w:ascii="Times New Roman" w:hAnsi="Times New Roman" w:eastAsia="PMingLiU" w:cs="Times New Roman"/>
                <w:b w:val="0"/>
                <w:bCs w:val="0"/>
                <w:color w:val="auto"/>
                <w:spacing w:val="-2"/>
                <w:w w:val="100"/>
                <w:highlight w:val="none"/>
              </w:rPr>
              <w:t>F</w:t>
            </w:r>
            <w:r>
              <w:rPr>
                <w:rFonts w:hint="default" w:ascii="Times New Roman" w:hAnsi="Times New Roman" w:eastAsia="PMingLiU" w:cs="Times New Roman"/>
                <w:b w:val="0"/>
                <w:bCs w:val="0"/>
                <w:color w:val="auto"/>
                <w:spacing w:val="0"/>
                <w:w w:val="100"/>
                <w:highlight w:val="none"/>
              </w:rPr>
              <w:t>6</w:t>
            </w:r>
            <w:r>
              <w:rPr>
                <w:rFonts w:hint="default" w:ascii="Times New Roman" w:hAnsi="Times New Roman" w:cs="Times New Roman"/>
                <w:b w:val="0"/>
                <w:bCs w:val="0"/>
                <w:color w:val="auto"/>
                <w:spacing w:val="0"/>
                <w:w w:val="100"/>
                <w:highlight w:val="none"/>
              </w:rPr>
              <w:t>保护</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snapToGrid w:val="0"/>
                <w:color w:val="auto"/>
                <w:kern w:val="0"/>
                <w:sz w:val="24"/>
                <w:szCs w:val="24"/>
                <w:lang w:val="en-US" w:eastAsia="zh-CN" w:bidi="ar"/>
              </w:rPr>
              <w:t>不涉及淘汰类“一、落后生产设备</w:t>
            </w:r>
            <w:r>
              <w:rPr>
                <w:rFonts w:hint="default" w:ascii="Times New Roman" w:hAnsi="Times New Roman" w:eastAsia="PMingLiU" w:cs="Times New Roman"/>
                <w:b w:val="0"/>
                <w:bCs w:val="0"/>
                <w:color w:val="auto"/>
                <w:spacing w:val="0"/>
                <w:w w:val="100"/>
              </w:rPr>
              <w:t>2</w:t>
            </w:r>
            <w:r>
              <w:rPr>
                <w:rFonts w:hint="default" w:ascii="Times New Roman" w:hAnsi="Times New Roman" w:eastAsia="PMingLiU" w:cs="Times New Roman"/>
                <w:b w:val="0"/>
                <w:bCs w:val="0"/>
                <w:color w:val="auto"/>
                <w:spacing w:val="-2"/>
                <w:w w:val="100"/>
              </w:rPr>
              <w:t>1</w:t>
            </w:r>
            <w:r>
              <w:rPr>
                <w:rFonts w:hint="default" w:ascii="Times New Roman" w:hAnsi="Times New Roman" w:cs="Times New Roman"/>
                <w:b w:val="0"/>
                <w:bCs w:val="0"/>
                <w:color w:val="auto"/>
                <w:spacing w:val="0"/>
                <w:w w:val="100"/>
              </w:rPr>
              <w:t>．有效容积</w:t>
            </w:r>
            <w:r>
              <w:rPr>
                <w:rFonts w:hint="default" w:ascii="Times New Roman" w:hAnsi="Times New Roman" w:eastAsia="PMingLiU" w:cs="Times New Roman"/>
                <w:b w:val="0"/>
                <w:bCs w:val="0"/>
                <w:color w:val="auto"/>
                <w:spacing w:val="0"/>
                <w:w w:val="100"/>
              </w:rPr>
              <w:t>30</w:t>
            </w:r>
            <w:r>
              <w:rPr>
                <w:rFonts w:hint="default" w:ascii="Times New Roman" w:hAnsi="Times New Roman" w:cs="Times New Roman"/>
                <w:b w:val="0"/>
                <w:bCs w:val="0"/>
                <w:color w:val="auto"/>
                <w:spacing w:val="0"/>
                <w:w w:val="100"/>
              </w:rPr>
              <w:t>立方米及以下重烧镁砂竖窑</w:t>
            </w:r>
            <w:r>
              <w:rPr>
                <w:rFonts w:hint="default" w:ascii="Times New Roman" w:hAnsi="Times New Roman" w:eastAsia="宋体" w:cs="Times New Roman"/>
                <w:snapToGrid w:val="0"/>
                <w:color w:val="auto"/>
                <w:kern w:val="0"/>
                <w:sz w:val="24"/>
                <w:szCs w:val="24"/>
                <w:lang w:val="en-US" w:eastAsia="zh-CN" w:bidi="ar"/>
              </w:rPr>
              <w:t>”</w:t>
            </w:r>
            <w:r>
              <w:rPr>
                <w:rFonts w:hint="eastAsia" w:cs="Times New Roman"/>
                <w:snapToGrid w:val="0"/>
                <w:color w:val="auto"/>
                <w:kern w:val="0"/>
                <w:sz w:val="24"/>
                <w:szCs w:val="24"/>
                <w:lang w:val="en-US" w:eastAsia="zh-CN" w:bidi="ar"/>
              </w:rPr>
              <w:t>。</w:t>
            </w:r>
          </w:p>
          <w:p w14:paraId="5D2A5F8A">
            <w:pPr>
              <w:keepNext w:val="0"/>
              <w:keepLines w:val="0"/>
              <w:widowControl/>
              <w:suppressLineNumbers w:val="0"/>
              <w:ind w:left="0" w:leftChars="0" w:firstLine="480" w:firstLineChars="200"/>
              <w:jc w:val="left"/>
              <w:rPr>
                <w:rFonts w:hint="eastAsia" w:cs="Times New Roman"/>
                <w:snapToGrid w:val="0"/>
                <w:color w:val="auto"/>
                <w:kern w:val="0"/>
                <w:sz w:val="24"/>
                <w:szCs w:val="24"/>
                <w:lang w:val="en-US" w:eastAsia="zh-CN" w:bidi="ar"/>
              </w:rPr>
            </w:pPr>
            <w:r>
              <w:rPr>
                <w:rFonts w:hint="eastAsia" w:ascii="Times New Roman" w:hAnsi="Times New Roman" w:eastAsia="宋体" w:cs="Times New Roman"/>
                <w:snapToGrid w:val="0"/>
                <w:color w:val="auto"/>
                <w:kern w:val="0"/>
                <w:sz w:val="24"/>
                <w:szCs w:val="24"/>
                <w:lang w:val="en-US" w:eastAsia="zh-CN" w:bidi="ar"/>
              </w:rPr>
              <w:t>本项目单位属于港商合资经营，</w:t>
            </w:r>
            <w:r>
              <w:rPr>
                <w:rFonts w:hint="eastAsia" w:cs="Times New Roman"/>
                <w:snapToGrid w:val="0"/>
                <w:color w:val="auto"/>
                <w:kern w:val="0"/>
                <w:sz w:val="24"/>
                <w:szCs w:val="24"/>
                <w:lang w:val="en-US" w:eastAsia="zh-CN" w:bidi="ar"/>
              </w:rPr>
              <w:t>属于外商投资法律法规的管理范围，</w:t>
            </w:r>
            <w:r>
              <w:rPr>
                <w:rFonts w:hint="eastAsia" w:ascii="Times New Roman" w:hAnsi="Times New Roman" w:eastAsia="宋体" w:cs="Times New Roman"/>
                <w:snapToGrid w:val="0"/>
                <w:color w:val="auto"/>
                <w:kern w:val="0"/>
                <w:sz w:val="24"/>
                <w:szCs w:val="24"/>
                <w:lang w:val="en-US" w:eastAsia="zh-CN" w:bidi="ar"/>
              </w:rPr>
              <w:t>对照《外商投资准入特别管理措施（负面清单）（2024年版）</w:t>
            </w:r>
            <w:r>
              <w:rPr>
                <w:rFonts w:hint="eastAsia" w:cs="Times New Roman"/>
                <w:snapToGrid w:val="0"/>
                <w:color w:val="auto"/>
                <w:kern w:val="0"/>
                <w:sz w:val="24"/>
                <w:szCs w:val="24"/>
                <w:lang w:val="en-US" w:eastAsia="zh-CN" w:bidi="ar"/>
              </w:rPr>
              <w:t>》，不涉及该清单禁止或限制之列。</w:t>
            </w:r>
          </w:p>
          <w:p w14:paraId="6A49DD94">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snapToGrid w:val="0"/>
                <w:color w:val="auto"/>
                <w:kern w:val="0"/>
                <w:sz w:val="24"/>
                <w:szCs w:val="24"/>
                <w:lang w:val="en-US" w:eastAsia="zh-CN" w:bidi="ar"/>
              </w:rPr>
              <w:t>2025年</w:t>
            </w:r>
            <w:r>
              <w:rPr>
                <w:rFonts w:hint="eastAsia" w:cs="Times New Roman"/>
                <w:snapToGrid w:val="0"/>
                <w:color w:val="auto"/>
                <w:kern w:val="0"/>
                <w:sz w:val="24"/>
                <w:szCs w:val="24"/>
                <w:lang w:val="en-US" w:eastAsia="zh-CN" w:bidi="ar"/>
              </w:rPr>
              <w:t>6</w:t>
            </w:r>
            <w:r>
              <w:rPr>
                <w:rFonts w:hint="default" w:ascii="Times New Roman" w:hAnsi="Times New Roman" w:eastAsia="宋体" w:cs="Times New Roman"/>
                <w:snapToGrid w:val="0"/>
                <w:color w:val="auto"/>
                <w:kern w:val="0"/>
                <w:sz w:val="24"/>
                <w:szCs w:val="24"/>
                <w:lang w:val="en-US" w:eastAsia="zh-CN" w:bidi="ar"/>
              </w:rPr>
              <w:t>月</w:t>
            </w:r>
            <w:r>
              <w:rPr>
                <w:rFonts w:hint="eastAsia" w:cs="Times New Roman"/>
                <w:snapToGrid w:val="0"/>
                <w:color w:val="auto"/>
                <w:kern w:val="0"/>
                <w:sz w:val="24"/>
                <w:szCs w:val="24"/>
                <w:lang w:val="en-US" w:eastAsia="zh-CN" w:bidi="ar"/>
              </w:rPr>
              <w:t>20</w:t>
            </w:r>
            <w:r>
              <w:rPr>
                <w:rFonts w:hint="default" w:ascii="Times New Roman" w:hAnsi="Times New Roman" w:eastAsia="宋体" w:cs="Times New Roman"/>
                <w:snapToGrid w:val="0"/>
                <w:color w:val="auto"/>
                <w:kern w:val="0"/>
                <w:sz w:val="24"/>
                <w:szCs w:val="24"/>
                <w:lang w:val="en-US" w:eastAsia="zh-CN" w:bidi="ar"/>
              </w:rPr>
              <w:t>日，榆林市行政审批服务局出具了项目备案确认书，项目代码为2110-610802-04-01-691005。</w:t>
            </w:r>
          </w:p>
          <w:p w14:paraId="01C03DDB">
            <w:pPr>
              <w:ind w:firstLine="480"/>
              <w:rPr>
                <w:color w:val="auto"/>
              </w:rPr>
            </w:pPr>
            <w:r>
              <w:rPr>
                <w:color w:val="auto"/>
              </w:rPr>
              <w:t>因此，本项目符合国家产业政策以及地方相关法规。</w:t>
            </w:r>
          </w:p>
          <w:p w14:paraId="069FF788">
            <w:pPr>
              <w:pStyle w:val="8"/>
              <w:spacing w:after="120"/>
              <w:rPr>
                <w:color w:val="auto"/>
              </w:rPr>
            </w:pPr>
            <w:r>
              <w:rPr>
                <w:rFonts w:hint="eastAsia"/>
                <w:color w:val="auto"/>
              </w:rPr>
              <w:t>2.</w:t>
            </w:r>
            <w:r>
              <w:rPr>
                <w:color w:val="auto"/>
              </w:rPr>
              <w:t>项目与“三线一单”符合性分析</w:t>
            </w:r>
          </w:p>
          <w:p w14:paraId="438F6D07">
            <w:pPr>
              <w:keepNext w:val="0"/>
              <w:keepLines w:val="0"/>
              <w:widowControl/>
              <w:suppressLineNumbers w:val="0"/>
              <w:ind w:left="0" w:leftChars="0"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本项目与榆林市人民政府《关于印发榆林市“三线一单”生态环境分区管控方案的通知》(榆政发〔2021〕17号)符合性分析</w:t>
            </w:r>
            <w:r>
              <w:rPr>
                <w:rFonts w:hint="default" w:ascii="Times New Roman" w:hAnsi="Times New Roman" w:cs="Times New Roman"/>
                <w:color w:val="auto"/>
                <w:kern w:val="0"/>
                <w:sz w:val="24"/>
                <w:szCs w:val="24"/>
                <w:lang w:val="en-US" w:eastAsia="zh-CN" w:bidi="ar"/>
              </w:rPr>
              <w:t>如下:</w:t>
            </w:r>
            <w:r>
              <w:rPr>
                <w:rFonts w:hint="default" w:ascii="Times New Roman" w:hAnsi="Times New Roman" w:eastAsia="宋体" w:cs="Times New Roman"/>
                <w:color w:val="auto"/>
                <w:kern w:val="0"/>
                <w:sz w:val="24"/>
                <w:szCs w:val="24"/>
                <w:lang w:val="en-US" w:eastAsia="zh-CN" w:bidi="ar"/>
              </w:rPr>
              <w:t xml:space="preserve"> </w:t>
            </w:r>
          </w:p>
          <w:p w14:paraId="03234867">
            <w:pPr>
              <w:keepNext w:val="0"/>
              <w:keepLines w:val="0"/>
              <w:pageBreakBefore w:val="0"/>
              <w:widowControl/>
              <w:numPr>
                <w:ilvl w:val="0"/>
                <w:numId w:val="3"/>
              </w:numPr>
              <w:suppressLineNumbers w:val="0"/>
              <w:kinsoku/>
              <w:wordWrap/>
              <w:overflowPunct/>
              <w:topLinePunct w:val="0"/>
              <w:autoSpaceDE/>
              <w:autoSpaceDN/>
              <w:bidi w:val="0"/>
              <w:adjustRightInd w:val="0"/>
              <w:snapToGrid/>
              <w:ind w:left="0" w:leftChars="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一图 </w:t>
            </w:r>
          </w:p>
          <w:p w14:paraId="5FCF2898">
            <w:pPr>
              <w:keepNext w:val="0"/>
              <w:keepLines w:val="0"/>
              <w:widowControl/>
              <w:suppressLineNumbers w:val="0"/>
              <w:ind w:left="0" w:leftChars="0"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根据《榆林市“三线一单”生态环境分区管控实施方案》</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榆政发〔2021〕17号)，本项目属重点管控单元</w:t>
            </w:r>
            <w:r>
              <w:rPr>
                <w:rFonts w:hint="default" w:ascii="Times New Roman" w:hAnsi="Times New Roman" w:eastAsia="宋体" w:cs="Times New Roman"/>
                <w:color w:val="auto"/>
                <w:kern w:val="0"/>
                <w:sz w:val="24"/>
                <w:szCs w:val="24"/>
                <w:highlight w:val="none"/>
                <w:lang w:val="en-US" w:eastAsia="zh-CN" w:bidi="ar"/>
              </w:rPr>
              <w:t>(见附图</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w:t>
            </w:r>
          </w:p>
          <w:p w14:paraId="7ACFF9FC">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(2)一表 </w:t>
            </w:r>
          </w:p>
          <w:p w14:paraId="7F758EA2">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本项目建设范围涉及的生态环境管控单元准入符合性分析见下表。 </w:t>
            </w:r>
          </w:p>
          <w:p w14:paraId="5D69ACBC">
            <w:pPr>
              <w:pStyle w:val="2"/>
              <w:rPr>
                <w:rFonts w:hint="default" w:ascii="Times New Roman" w:hAnsi="Times New Roman" w:eastAsia="宋体" w:cs="Times New Roman"/>
                <w:color w:val="auto"/>
                <w:kern w:val="0"/>
                <w:sz w:val="24"/>
                <w:szCs w:val="24"/>
                <w:lang w:val="en-US" w:eastAsia="zh-CN" w:bidi="ar"/>
              </w:rPr>
            </w:pPr>
          </w:p>
          <w:p w14:paraId="7976A63E">
            <w:pPr>
              <w:rPr>
                <w:rFonts w:hint="default"/>
                <w:color w:val="auto"/>
              </w:rPr>
            </w:pPr>
          </w:p>
          <w:p w14:paraId="6095E6F8">
            <w:pPr>
              <w:keepNext w:val="0"/>
              <w:keepLines w:val="0"/>
              <w:widowControl/>
              <w:suppressLineNumbers w:val="0"/>
              <w:ind w:left="0" w:leftChars="0" w:firstLine="0" w:firstLineChars="0"/>
              <w:jc w:val="center"/>
              <w:rPr>
                <w:rFonts w:hint="eastAsia" w:ascii="黑体" w:hAnsi="黑体" w:eastAsia="黑体" w:cs="黑体"/>
                <w:b w:val="0"/>
                <w:bCs w:val="0"/>
                <w:color w:val="auto"/>
                <w:kern w:val="0"/>
                <w:sz w:val="24"/>
                <w:szCs w:val="24"/>
                <w:lang w:val="en-US" w:eastAsia="zh-CN" w:bidi="ar"/>
              </w:rPr>
            </w:pPr>
            <w:r>
              <w:rPr>
                <w:rFonts w:hint="eastAsia" w:ascii="黑体" w:hAnsi="黑体" w:eastAsia="黑体" w:cs="黑体"/>
                <w:b w:val="0"/>
                <w:bCs w:val="0"/>
                <w:color w:val="auto"/>
                <w:kern w:val="0"/>
                <w:sz w:val="24"/>
                <w:szCs w:val="24"/>
                <w:lang w:val="en-US" w:eastAsia="zh-CN" w:bidi="ar"/>
              </w:rPr>
              <w:t>表 1-2 项目与榆林“三线一单”管控方案符合性分析</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71"/>
              <w:gridCol w:w="458"/>
              <w:gridCol w:w="475"/>
              <w:gridCol w:w="637"/>
              <w:gridCol w:w="3494"/>
              <w:gridCol w:w="721"/>
              <w:gridCol w:w="1329"/>
              <w:gridCol w:w="396"/>
            </w:tblGrid>
            <w:tr w14:paraId="1E30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74" w:type="pct"/>
                  <w:tcBorders>
                    <w:bottom w:val="single" w:color="auto" w:sz="4" w:space="0"/>
                    <w:right w:val="single" w:color="auto" w:sz="4" w:space="0"/>
                  </w:tcBorders>
                  <w:vAlign w:val="center"/>
                </w:tcPr>
                <w:p w14:paraId="717E9253">
                  <w:pPr>
                    <w:pStyle w:val="40"/>
                    <w:spacing w:line="276" w:lineRule="auto"/>
                    <w:jc w:val="center"/>
                    <w:rPr>
                      <w:rFonts w:hint="eastAsia" w:eastAsia="宋体"/>
                      <w:b/>
                      <w:bCs/>
                      <w:color w:val="auto"/>
                      <w:kern w:val="0"/>
                      <w:lang w:eastAsia="zh-CN"/>
                    </w:rPr>
                  </w:pPr>
                  <w:r>
                    <w:rPr>
                      <w:rFonts w:hint="eastAsia" w:ascii="宋体" w:hAnsi="宋体"/>
                      <w:b/>
                      <w:bCs/>
                      <w:color w:val="auto"/>
                      <w:kern w:val="0"/>
                      <w:lang w:val="en-US" w:eastAsia="zh-CN"/>
                    </w:rPr>
                    <w:t>市县</w:t>
                  </w:r>
                </w:p>
              </w:tc>
              <w:tc>
                <w:tcPr>
                  <w:tcW w:w="294" w:type="pct"/>
                  <w:tcBorders>
                    <w:left w:val="single" w:color="auto" w:sz="4" w:space="0"/>
                    <w:bottom w:val="single" w:color="auto" w:sz="4" w:space="0"/>
                    <w:right w:val="single" w:color="auto" w:sz="4" w:space="0"/>
                  </w:tcBorders>
                  <w:vAlign w:val="center"/>
                </w:tcPr>
                <w:p w14:paraId="6B0FB574">
                  <w:pPr>
                    <w:pStyle w:val="40"/>
                    <w:spacing w:line="276" w:lineRule="auto"/>
                    <w:jc w:val="center"/>
                    <w:rPr>
                      <w:b/>
                      <w:bCs/>
                      <w:color w:val="auto"/>
                      <w:kern w:val="0"/>
                    </w:rPr>
                  </w:pPr>
                  <w:r>
                    <w:rPr>
                      <w:rFonts w:ascii="宋体" w:hAnsi="宋体"/>
                      <w:b/>
                      <w:bCs/>
                      <w:color w:val="auto"/>
                      <w:kern w:val="0"/>
                    </w:rPr>
                    <w:t>环境管控单元名称</w:t>
                  </w:r>
                </w:p>
              </w:tc>
              <w:tc>
                <w:tcPr>
                  <w:tcW w:w="305" w:type="pct"/>
                  <w:tcBorders>
                    <w:left w:val="single" w:color="auto" w:sz="4" w:space="0"/>
                    <w:bottom w:val="single" w:color="auto" w:sz="4" w:space="0"/>
                    <w:right w:val="single" w:color="auto" w:sz="4" w:space="0"/>
                  </w:tcBorders>
                  <w:vAlign w:val="center"/>
                </w:tcPr>
                <w:p w14:paraId="2E18E8ED">
                  <w:pPr>
                    <w:pStyle w:val="40"/>
                    <w:spacing w:line="276" w:lineRule="auto"/>
                    <w:jc w:val="center"/>
                    <w:rPr>
                      <w:b/>
                      <w:bCs/>
                      <w:color w:val="auto"/>
                      <w:kern w:val="0"/>
                    </w:rPr>
                  </w:pPr>
                  <w:r>
                    <w:rPr>
                      <w:rFonts w:ascii="宋体" w:hAnsi="宋体"/>
                      <w:b/>
                      <w:bCs/>
                      <w:color w:val="auto"/>
                      <w:kern w:val="0"/>
                    </w:rPr>
                    <w:t>单元要素属性</w:t>
                  </w:r>
                </w:p>
              </w:tc>
              <w:tc>
                <w:tcPr>
                  <w:tcW w:w="409" w:type="pct"/>
                  <w:tcBorders>
                    <w:left w:val="single" w:color="auto" w:sz="4" w:space="0"/>
                    <w:bottom w:val="single" w:color="auto" w:sz="4" w:space="0"/>
                    <w:right w:val="single" w:color="auto" w:sz="4" w:space="0"/>
                  </w:tcBorders>
                  <w:vAlign w:val="center"/>
                </w:tcPr>
                <w:p w14:paraId="34968BC0">
                  <w:pPr>
                    <w:pStyle w:val="40"/>
                    <w:spacing w:line="276" w:lineRule="auto"/>
                    <w:jc w:val="center"/>
                    <w:rPr>
                      <w:b/>
                      <w:bCs/>
                      <w:color w:val="auto"/>
                      <w:kern w:val="0"/>
                    </w:rPr>
                  </w:pPr>
                  <w:r>
                    <w:rPr>
                      <w:rFonts w:ascii="宋体" w:hAnsi="宋体"/>
                      <w:b/>
                      <w:bCs/>
                      <w:color w:val="auto"/>
                      <w:kern w:val="0"/>
                    </w:rPr>
                    <w:t>管控要求分类</w:t>
                  </w:r>
                </w:p>
              </w:tc>
              <w:tc>
                <w:tcPr>
                  <w:tcW w:w="2243" w:type="pct"/>
                  <w:tcBorders>
                    <w:left w:val="single" w:color="auto" w:sz="4" w:space="0"/>
                    <w:bottom w:val="single" w:color="auto" w:sz="4" w:space="0"/>
                    <w:right w:val="single" w:color="auto" w:sz="4" w:space="0"/>
                  </w:tcBorders>
                  <w:vAlign w:val="center"/>
                </w:tcPr>
                <w:p w14:paraId="1CA77EF3">
                  <w:pPr>
                    <w:pStyle w:val="40"/>
                    <w:spacing w:line="276" w:lineRule="auto"/>
                    <w:jc w:val="center"/>
                    <w:rPr>
                      <w:b/>
                      <w:bCs/>
                      <w:color w:val="auto"/>
                      <w:kern w:val="0"/>
                    </w:rPr>
                  </w:pPr>
                  <w:r>
                    <w:rPr>
                      <w:rFonts w:ascii="宋体" w:hAnsi="宋体"/>
                      <w:b/>
                      <w:bCs/>
                      <w:color w:val="auto"/>
                      <w:kern w:val="0"/>
                    </w:rPr>
                    <w:t>管控要求</w:t>
                  </w:r>
                </w:p>
              </w:tc>
              <w:tc>
                <w:tcPr>
                  <w:tcW w:w="463" w:type="pct"/>
                  <w:tcBorders>
                    <w:left w:val="single" w:color="auto" w:sz="4" w:space="0"/>
                    <w:bottom w:val="single" w:color="auto" w:sz="4" w:space="0"/>
                    <w:right w:val="single" w:color="auto" w:sz="4" w:space="0"/>
                  </w:tcBorders>
                  <w:vAlign w:val="center"/>
                </w:tcPr>
                <w:p w14:paraId="2CDF6133">
                  <w:pPr>
                    <w:pStyle w:val="40"/>
                    <w:spacing w:line="276" w:lineRule="auto"/>
                    <w:jc w:val="center"/>
                    <w:rPr>
                      <w:rFonts w:hint="eastAsia" w:ascii="宋体" w:hAnsi="宋体" w:eastAsia="宋体"/>
                      <w:b/>
                      <w:bCs/>
                      <w:color w:val="auto"/>
                      <w:kern w:val="0"/>
                      <w:lang w:eastAsia="zh-CN"/>
                    </w:rPr>
                  </w:pPr>
                  <w:r>
                    <w:rPr>
                      <w:rFonts w:hint="eastAsia" w:ascii="宋体" w:hAnsi="宋体"/>
                      <w:b/>
                      <w:bCs/>
                      <w:color w:val="auto"/>
                      <w:kern w:val="0"/>
                      <w:lang w:eastAsia="zh-CN"/>
                    </w:rPr>
                    <w:t>面积（</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2</w:t>
                  </w:r>
                  <w:r>
                    <w:rPr>
                      <w:rFonts w:hint="eastAsia" w:ascii="宋体" w:hAnsi="宋体"/>
                      <w:b/>
                      <w:bCs/>
                      <w:color w:val="auto"/>
                      <w:kern w:val="0"/>
                      <w:lang w:eastAsia="zh-CN"/>
                    </w:rPr>
                    <w:t>）</w:t>
                  </w:r>
                </w:p>
              </w:tc>
              <w:tc>
                <w:tcPr>
                  <w:tcW w:w="853" w:type="pct"/>
                  <w:tcBorders>
                    <w:left w:val="single" w:color="auto" w:sz="4" w:space="0"/>
                    <w:bottom w:val="single" w:color="auto" w:sz="4" w:space="0"/>
                    <w:right w:val="single" w:color="auto" w:sz="4" w:space="0"/>
                  </w:tcBorders>
                  <w:vAlign w:val="center"/>
                </w:tcPr>
                <w:p w14:paraId="601BCDDD">
                  <w:pPr>
                    <w:pStyle w:val="40"/>
                    <w:spacing w:line="276" w:lineRule="auto"/>
                    <w:jc w:val="center"/>
                    <w:rPr>
                      <w:b/>
                      <w:bCs/>
                      <w:color w:val="auto"/>
                      <w:kern w:val="0"/>
                    </w:rPr>
                  </w:pPr>
                  <w:r>
                    <w:rPr>
                      <w:rFonts w:ascii="宋体" w:hAnsi="宋体"/>
                      <w:b/>
                      <w:bCs/>
                      <w:color w:val="auto"/>
                      <w:kern w:val="0"/>
                    </w:rPr>
                    <w:t>本项目情况</w:t>
                  </w:r>
                </w:p>
              </w:tc>
              <w:tc>
                <w:tcPr>
                  <w:tcW w:w="254" w:type="pct"/>
                  <w:tcBorders>
                    <w:left w:val="single" w:color="auto" w:sz="4" w:space="0"/>
                    <w:bottom w:val="single" w:color="auto" w:sz="4" w:space="0"/>
                  </w:tcBorders>
                  <w:vAlign w:val="center"/>
                </w:tcPr>
                <w:p w14:paraId="4B8C5E8B">
                  <w:pPr>
                    <w:pStyle w:val="40"/>
                    <w:spacing w:line="276" w:lineRule="auto"/>
                    <w:jc w:val="center"/>
                    <w:rPr>
                      <w:b/>
                      <w:bCs/>
                      <w:color w:val="auto"/>
                      <w:kern w:val="0"/>
                    </w:rPr>
                  </w:pPr>
                  <w:r>
                    <w:rPr>
                      <w:rFonts w:ascii="宋体" w:hAnsi="宋体"/>
                      <w:b/>
                      <w:bCs/>
                      <w:color w:val="auto"/>
                      <w:kern w:val="0"/>
                    </w:rPr>
                    <w:t>符合性分析</w:t>
                  </w:r>
                </w:p>
              </w:tc>
            </w:tr>
            <w:tr w14:paraId="101C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4" w:hRule="atLeast"/>
                <w:jc w:val="center"/>
              </w:trPr>
              <w:tc>
                <w:tcPr>
                  <w:tcW w:w="174" w:type="pct"/>
                  <w:vMerge w:val="restart"/>
                  <w:tcBorders>
                    <w:top w:val="nil"/>
                    <w:bottom w:val="single" w:color="auto" w:sz="4" w:space="0"/>
                    <w:right w:val="single" w:color="auto" w:sz="4" w:space="0"/>
                  </w:tcBorders>
                  <w:vAlign w:val="center"/>
                </w:tcPr>
                <w:p w14:paraId="5F5F1A47">
                  <w:pPr>
                    <w:pStyle w:val="40"/>
                    <w:spacing w:line="276" w:lineRule="auto"/>
                    <w:jc w:val="center"/>
                    <w:rPr>
                      <w:rFonts w:hint="default" w:eastAsia="宋体"/>
                      <w:color w:val="auto"/>
                      <w:kern w:val="0"/>
                      <w:lang w:val="en-US" w:eastAsia="zh-CN"/>
                    </w:rPr>
                  </w:pPr>
                  <w:r>
                    <w:rPr>
                      <w:rFonts w:hint="eastAsia"/>
                      <w:color w:val="auto"/>
                      <w:kern w:val="0"/>
                      <w:lang w:val="en-US" w:eastAsia="zh-CN"/>
                    </w:rPr>
                    <w:t>榆林市佳县</w:t>
                  </w:r>
                </w:p>
              </w:tc>
              <w:tc>
                <w:tcPr>
                  <w:tcW w:w="294" w:type="pct"/>
                  <w:vMerge w:val="restart"/>
                  <w:tcBorders>
                    <w:top w:val="nil"/>
                    <w:left w:val="single" w:color="auto" w:sz="4" w:space="0"/>
                    <w:bottom w:val="single" w:color="auto" w:sz="4" w:space="0"/>
                    <w:right w:val="single" w:color="auto" w:sz="4" w:space="0"/>
                  </w:tcBorders>
                  <w:vAlign w:val="center"/>
                </w:tcPr>
                <w:p w14:paraId="45FAD068">
                  <w:pPr>
                    <w:pStyle w:val="40"/>
                    <w:spacing w:line="276" w:lineRule="auto"/>
                    <w:jc w:val="center"/>
                    <w:rPr>
                      <w:rFonts w:hint="default" w:eastAsia="宋体"/>
                      <w:color w:val="auto"/>
                      <w:kern w:val="0"/>
                      <w:lang w:val="en-US" w:eastAsia="zh-CN"/>
                    </w:rPr>
                  </w:pPr>
                  <w:r>
                    <w:rPr>
                      <w:rFonts w:hint="eastAsia"/>
                      <w:color w:val="auto"/>
                      <w:kern w:val="0"/>
                      <w:lang w:val="en-US" w:eastAsia="zh-CN"/>
                    </w:rPr>
                    <w:t>榆佳经济技术开发区</w:t>
                  </w:r>
                </w:p>
              </w:tc>
              <w:tc>
                <w:tcPr>
                  <w:tcW w:w="305" w:type="pct"/>
                  <w:vMerge w:val="restart"/>
                  <w:tcBorders>
                    <w:top w:val="nil"/>
                    <w:left w:val="single" w:color="auto" w:sz="4" w:space="0"/>
                    <w:bottom w:val="single" w:color="auto" w:sz="4" w:space="0"/>
                    <w:right w:val="single" w:color="auto" w:sz="4" w:space="0"/>
                  </w:tcBorders>
                  <w:vAlign w:val="center"/>
                </w:tcPr>
                <w:p w14:paraId="29BD8E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大 气 </w:t>
                  </w:r>
                </w:p>
                <w:p w14:paraId="10A87E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环 境 </w:t>
                  </w:r>
                </w:p>
                <w:p w14:paraId="2C0DAF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高 排 </w:t>
                  </w:r>
                </w:p>
                <w:p w14:paraId="2CBC61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放 重 </w:t>
                  </w:r>
                </w:p>
                <w:p w14:paraId="302984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点 管 </w:t>
                  </w:r>
                </w:p>
                <w:p w14:paraId="73A3C8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控区、 </w:t>
                  </w:r>
                </w:p>
                <w:p w14:paraId="0CD2B7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水 环 </w:t>
                  </w:r>
                </w:p>
                <w:p w14:paraId="26AAB3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境 工 </w:t>
                  </w:r>
                </w:p>
                <w:p w14:paraId="1B3F58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业 污 </w:t>
                  </w:r>
                </w:p>
                <w:p w14:paraId="35452E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染 重 </w:t>
                  </w:r>
                </w:p>
                <w:p w14:paraId="0CF3DF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点 管 </w:t>
                  </w:r>
                </w:p>
                <w:p w14:paraId="1373A9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控区、 </w:t>
                  </w:r>
                </w:p>
                <w:p w14:paraId="21B6EA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土 地 </w:t>
                  </w:r>
                </w:p>
                <w:p w14:paraId="7C7050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资 源 </w:t>
                  </w:r>
                </w:p>
                <w:p w14:paraId="3678EE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重 点 </w:t>
                  </w:r>
                </w:p>
                <w:p w14:paraId="731DA8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 xml:space="preserve">管 控 </w:t>
                  </w:r>
                </w:p>
                <w:p w14:paraId="65BFD1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snapToGrid w:val="0"/>
                      <w:color w:val="auto"/>
                      <w:spacing w:val="-20"/>
                      <w:sz w:val="21"/>
                      <w:szCs w:val="21"/>
                    </w:rPr>
                  </w:pPr>
                  <w:r>
                    <w:rPr>
                      <w:rFonts w:hint="eastAsia" w:ascii="宋体" w:hAnsi="宋体" w:eastAsia="宋体" w:cs="宋体"/>
                      <w:snapToGrid w:val="0"/>
                      <w:color w:val="auto"/>
                      <w:spacing w:val="-20"/>
                      <w:kern w:val="0"/>
                      <w:sz w:val="21"/>
                      <w:szCs w:val="21"/>
                      <w:lang w:val="en-US" w:eastAsia="zh-CN" w:bidi="ar"/>
                    </w:rPr>
                    <w:t>区、榆 佳 经 济 技 术 开 发区</w:t>
                  </w:r>
                </w:p>
                <w:p w14:paraId="53253D1C">
                  <w:pPr>
                    <w:pStyle w:val="40"/>
                    <w:spacing w:line="276" w:lineRule="auto"/>
                    <w:jc w:val="center"/>
                    <w:rPr>
                      <w:color w:val="auto"/>
                      <w:kern w:val="0"/>
                    </w:rPr>
                  </w:pPr>
                </w:p>
              </w:tc>
              <w:tc>
                <w:tcPr>
                  <w:tcW w:w="409" w:type="pct"/>
                  <w:tcBorders>
                    <w:top w:val="single" w:color="auto" w:sz="4" w:space="0"/>
                    <w:left w:val="single" w:color="auto" w:sz="4" w:space="0"/>
                    <w:bottom w:val="single" w:color="auto" w:sz="4" w:space="0"/>
                    <w:right w:val="single" w:color="auto" w:sz="4" w:space="0"/>
                  </w:tcBorders>
                  <w:vAlign w:val="center"/>
                </w:tcPr>
                <w:p w14:paraId="1EA2B2D7">
                  <w:pPr>
                    <w:pStyle w:val="40"/>
                    <w:spacing w:line="276" w:lineRule="auto"/>
                    <w:jc w:val="center"/>
                    <w:rPr>
                      <w:color w:val="auto"/>
                      <w:kern w:val="0"/>
                    </w:rPr>
                  </w:pPr>
                  <w:r>
                    <w:rPr>
                      <w:rFonts w:hint="eastAsia"/>
                      <w:color w:val="auto"/>
                      <w:kern w:val="0"/>
                    </w:rPr>
                    <w:t>空间布局约束</w:t>
                  </w:r>
                </w:p>
              </w:tc>
              <w:tc>
                <w:tcPr>
                  <w:tcW w:w="2243" w:type="pct"/>
                  <w:tcBorders>
                    <w:top w:val="single" w:color="auto" w:sz="4" w:space="0"/>
                    <w:left w:val="single" w:color="auto" w:sz="4" w:space="0"/>
                    <w:bottom w:val="single" w:color="auto" w:sz="4" w:space="0"/>
                    <w:right w:val="single" w:color="auto" w:sz="4" w:space="0"/>
                  </w:tcBorders>
                </w:tcPr>
                <w:p w14:paraId="3217AB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eastAsia" w:ascii="宋体" w:hAnsi="宋体" w:eastAsia="宋体" w:cs="宋体"/>
                      <w:color w:val="auto"/>
                      <w:kern w:val="0"/>
                      <w:sz w:val="21"/>
                      <w:szCs w:val="21"/>
                      <w:lang w:val="en-US" w:eastAsia="zh-CN" w:bidi="ar"/>
                    </w:rPr>
                    <w:t>大气环境高排放重点管控区：</w:t>
                  </w:r>
                  <w:r>
                    <w:rPr>
                      <w:rFonts w:ascii="Calibri" w:hAnsi="Calibri" w:eastAsia="宋体" w:cs="Calibri"/>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严格控</w:t>
                  </w:r>
                  <w:r>
                    <w:rPr>
                      <w:rFonts w:hint="default" w:ascii="Times New Roman" w:hAnsi="Times New Roman" w:eastAsia="宋体" w:cs="Times New Roman"/>
                      <w:color w:val="auto"/>
                      <w:kern w:val="0"/>
                      <w:sz w:val="21"/>
                      <w:szCs w:val="21"/>
                      <w:lang w:val="en-US" w:eastAsia="zh-CN" w:bidi="ar"/>
                    </w:rPr>
                    <w:t xml:space="preserve">制新增《陕西省“两高”项目管理暂行目录》行业项目（民生等项目除外，后续对“两高”范围国家如有新规定的，从其规定）。水环境工业污染重点管控区：1.充分考虑水环境承载能力和水资源开发利用效率，合理确定产业发展布局、结构和规模。 </w:t>
                  </w:r>
                </w:p>
                <w:p w14:paraId="2041D5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color w:val="auto"/>
                      <w:kern w:val="0"/>
                    </w:rPr>
                  </w:pPr>
                  <w:r>
                    <w:rPr>
                      <w:rFonts w:hint="default" w:ascii="Times New Roman" w:hAnsi="Times New Roman" w:eastAsia="宋体" w:cs="Times New Roman"/>
                      <w:color w:val="auto"/>
                      <w:kern w:val="0"/>
                      <w:sz w:val="21"/>
                      <w:szCs w:val="21"/>
                      <w:lang w:val="en-US" w:eastAsia="zh-CN" w:bidi="ar"/>
                    </w:rPr>
                    <w:t>榆佳经济技术开发区1.区域执行榆林市生态环境总体准入清单中“空间布局约束”准入要求。2.农用地优先保护区执行榆林市生态环境要素分区总体准入清单中“4.2 农用地优先保护区”准入要求。3.荒漠化沙化土地优先保护区执行榆林市生态环境要素分区总体准入清单中“4.4 荒漠化沙化土地优先保护区”准入要求。4.执行榆林市生态环境要素分区总体准入清单中“5.2 大气高排放重点管控区” 中“空间布局约束”要求。5.执行榆林市生态环境要素分区总体准入清单中“5.5 水环境工业污染重点管控区”中的“空间布局约束”准入要求。6.建设用地污染风险重点管控区执行榆林市生态环境要素分区总体准入清单中“5.8 建设用地污染风险重点管控区”中的“空间布局约束”准入要求。</w:t>
                  </w:r>
                </w:p>
              </w:tc>
              <w:tc>
                <w:tcPr>
                  <w:tcW w:w="463" w:type="pct"/>
                  <w:vMerge w:val="restart"/>
                  <w:tcBorders>
                    <w:top w:val="single" w:color="auto" w:sz="4" w:space="0"/>
                    <w:left w:val="single" w:color="auto" w:sz="4" w:space="0"/>
                    <w:right w:val="single" w:color="auto" w:sz="4" w:space="0"/>
                  </w:tcBorders>
                  <w:vAlign w:val="center"/>
                </w:tcPr>
                <w:p w14:paraId="66F009E5">
                  <w:pPr>
                    <w:pStyle w:val="40"/>
                    <w:spacing w:line="276" w:lineRule="auto"/>
                    <w:jc w:val="center"/>
                    <w:rPr>
                      <w:rFonts w:hint="default" w:eastAsia="宋体"/>
                      <w:color w:val="auto"/>
                      <w:kern w:val="0"/>
                      <w:lang w:val="en-US" w:eastAsia="zh-CN"/>
                    </w:rPr>
                  </w:pPr>
                  <w:r>
                    <w:rPr>
                      <w:rFonts w:hint="default" w:ascii="Times New Roman" w:hAnsi="Times New Roman" w:cs="Times New Roman"/>
                      <w:color w:val="auto"/>
                      <w:kern w:val="0"/>
                      <w:lang w:val="en-US" w:eastAsia="zh-CN"/>
                    </w:rPr>
                    <w:t>25982</w:t>
                  </w:r>
                </w:p>
              </w:tc>
              <w:tc>
                <w:tcPr>
                  <w:tcW w:w="853" w:type="pct"/>
                  <w:tcBorders>
                    <w:top w:val="single" w:color="auto" w:sz="4" w:space="0"/>
                    <w:left w:val="single" w:color="auto" w:sz="4" w:space="0"/>
                    <w:right w:val="single" w:color="auto" w:sz="4" w:space="0"/>
                  </w:tcBorders>
                  <w:vAlign w:val="center"/>
                </w:tcPr>
                <w:p w14:paraId="7C32CE51">
                  <w:pPr>
                    <w:pStyle w:val="40"/>
                    <w:spacing w:line="276" w:lineRule="auto"/>
                    <w:jc w:val="both"/>
                    <w:rPr>
                      <w:rFonts w:hint="default" w:eastAsia="宋体"/>
                      <w:color w:val="auto"/>
                      <w:kern w:val="0"/>
                      <w:lang w:val="en-US" w:eastAsia="zh-CN"/>
                    </w:rPr>
                  </w:pPr>
                  <w:r>
                    <w:rPr>
                      <w:rFonts w:hint="eastAsia"/>
                      <w:color w:val="auto"/>
                      <w:kern w:val="0"/>
                      <w:lang w:val="en-US" w:eastAsia="zh-CN"/>
                    </w:rPr>
                    <w:t>本项目不属于</w:t>
                  </w:r>
                  <w:r>
                    <w:rPr>
                      <w:rFonts w:hint="default" w:ascii="Times New Roman" w:hAnsi="Times New Roman" w:eastAsia="宋体" w:cs="Times New Roman"/>
                      <w:color w:val="auto"/>
                      <w:kern w:val="0"/>
                      <w:sz w:val="21"/>
                      <w:szCs w:val="21"/>
                      <w:lang w:val="en-US" w:eastAsia="zh-CN" w:bidi="ar"/>
                    </w:rPr>
                    <w:t>《陕西省“两高”项目管理暂行目录》行业项目</w:t>
                  </w:r>
                  <w:r>
                    <w:rPr>
                      <w:rFonts w:hint="eastAsia" w:ascii="Times New Roman" w:hAnsi="Times New Roman" w:eastAsia="宋体" w:cs="Times New Roman"/>
                      <w:color w:val="auto"/>
                      <w:kern w:val="0"/>
                      <w:sz w:val="21"/>
                      <w:szCs w:val="21"/>
                      <w:lang w:val="en-US" w:eastAsia="zh-CN" w:bidi="ar"/>
                    </w:rPr>
                    <w:t>；项目符合</w:t>
                  </w:r>
                  <w:r>
                    <w:rPr>
                      <w:rFonts w:hint="default" w:ascii="Times New Roman" w:hAnsi="Times New Roman" w:eastAsia="宋体" w:cs="Times New Roman"/>
                      <w:color w:val="auto"/>
                      <w:kern w:val="0"/>
                      <w:sz w:val="21"/>
                      <w:szCs w:val="21"/>
                      <w:lang w:val="en-US" w:eastAsia="zh-CN" w:bidi="ar"/>
                    </w:rPr>
                    <w:t>榆林市生态环境总体准入清单中“空间布局约束”准入要求</w:t>
                  </w:r>
                  <w:r>
                    <w:rPr>
                      <w:rFonts w:hint="eastAsia" w:ascii="Times New Roman" w:hAnsi="Times New Roman" w:eastAsia="宋体" w:cs="Times New Roman"/>
                      <w:color w:val="auto"/>
                      <w:kern w:val="0"/>
                      <w:sz w:val="21"/>
                      <w:szCs w:val="21"/>
                      <w:lang w:val="en-US" w:eastAsia="zh-CN" w:bidi="ar"/>
                    </w:rPr>
                    <w:t>，不涉及农用地、荒漠化区域。</w:t>
                  </w:r>
                </w:p>
              </w:tc>
              <w:tc>
                <w:tcPr>
                  <w:tcW w:w="254" w:type="pct"/>
                  <w:tcBorders>
                    <w:top w:val="single" w:color="auto" w:sz="4" w:space="0"/>
                    <w:left w:val="single" w:color="auto" w:sz="4" w:space="0"/>
                    <w:bottom w:val="single" w:color="auto" w:sz="4" w:space="0"/>
                  </w:tcBorders>
                  <w:vAlign w:val="center"/>
                </w:tcPr>
                <w:p w14:paraId="7C0452E8">
                  <w:pPr>
                    <w:pStyle w:val="40"/>
                    <w:spacing w:line="276" w:lineRule="auto"/>
                    <w:jc w:val="center"/>
                    <w:rPr>
                      <w:color w:val="auto"/>
                      <w:kern w:val="0"/>
                    </w:rPr>
                  </w:pPr>
                  <w:r>
                    <w:rPr>
                      <w:rFonts w:hint="eastAsia"/>
                      <w:color w:val="auto"/>
                      <w:kern w:val="0"/>
                    </w:rPr>
                    <w:t>符合</w:t>
                  </w:r>
                </w:p>
              </w:tc>
            </w:tr>
            <w:tr w14:paraId="26D5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65" w:hRule="atLeast"/>
                <w:jc w:val="center"/>
              </w:trPr>
              <w:tc>
                <w:tcPr>
                  <w:tcW w:w="174" w:type="pct"/>
                  <w:vMerge w:val="continue"/>
                  <w:tcBorders>
                    <w:top w:val="nil"/>
                    <w:bottom w:val="single" w:color="auto" w:sz="4" w:space="0"/>
                    <w:right w:val="single" w:color="auto" w:sz="4" w:space="0"/>
                  </w:tcBorders>
                  <w:vAlign w:val="center"/>
                </w:tcPr>
                <w:p w14:paraId="3AFDDE14">
                  <w:pPr>
                    <w:spacing w:line="276" w:lineRule="auto"/>
                    <w:ind w:firstLine="0" w:firstLineChars="0"/>
                    <w:rPr>
                      <w:color w:val="auto"/>
                      <w:kern w:val="0"/>
                      <w:sz w:val="21"/>
                      <w:szCs w:val="21"/>
                    </w:rPr>
                  </w:pPr>
                </w:p>
              </w:tc>
              <w:tc>
                <w:tcPr>
                  <w:tcW w:w="294" w:type="pct"/>
                  <w:vMerge w:val="continue"/>
                  <w:tcBorders>
                    <w:top w:val="nil"/>
                    <w:left w:val="single" w:color="auto" w:sz="4" w:space="0"/>
                    <w:bottom w:val="single" w:color="auto" w:sz="4" w:space="0"/>
                    <w:right w:val="single" w:color="auto" w:sz="4" w:space="0"/>
                  </w:tcBorders>
                  <w:vAlign w:val="center"/>
                </w:tcPr>
                <w:p w14:paraId="4C6C2AC1">
                  <w:pPr>
                    <w:spacing w:line="276" w:lineRule="auto"/>
                    <w:ind w:firstLine="0" w:firstLineChars="0"/>
                    <w:rPr>
                      <w:color w:val="auto"/>
                      <w:kern w:val="0"/>
                      <w:sz w:val="21"/>
                      <w:szCs w:val="21"/>
                    </w:rPr>
                  </w:pPr>
                </w:p>
              </w:tc>
              <w:tc>
                <w:tcPr>
                  <w:tcW w:w="305" w:type="pct"/>
                  <w:vMerge w:val="continue"/>
                  <w:tcBorders>
                    <w:top w:val="nil"/>
                    <w:left w:val="single" w:color="auto" w:sz="4" w:space="0"/>
                    <w:bottom w:val="single" w:color="auto" w:sz="4" w:space="0"/>
                    <w:right w:val="single" w:color="auto" w:sz="4" w:space="0"/>
                  </w:tcBorders>
                  <w:vAlign w:val="center"/>
                </w:tcPr>
                <w:p w14:paraId="74E79826">
                  <w:pPr>
                    <w:spacing w:line="276" w:lineRule="auto"/>
                    <w:ind w:firstLine="0" w:firstLineChars="0"/>
                    <w:rPr>
                      <w:color w:val="auto"/>
                      <w:kern w:val="0"/>
                      <w:sz w:val="21"/>
                      <w:szCs w:val="21"/>
                    </w:rPr>
                  </w:pPr>
                </w:p>
              </w:tc>
              <w:tc>
                <w:tcPr>
                  <w:tcW w:w="409" w:type="pct"/>
                  <w:tcBorders>
                    <w:top w:val="single" w:color="auto" w:sz="4" w:space="0"/>
                    <w:left w:val="single" w:color="auto" w:sz="4" w:space="0"/>
                    <w:bottom w:val="single" w:color="auto" w:sz="4" w:space="0"/>
                    <w:right w:val="single" w:color="auto" w:sz="4" w:space="0"/>
                  </w:tcBorders>
                  <w:vAlign w:val="center"/>
                </w:tcPr>
                <w:p w14:paraId="3CB8AC44">
                  <w:pPr>
                    <w:pStyle w:val="40"/>
                    <w:spacing w:line="276" w:lineRule="auto"/>
                    <w:jc w:val="center"/>
                    <w:rPr>
                      <w:color w:val="auto"/>
                      <w:kern w:val="0"/>
                    </w:rPr>
                  </w:pPr>
                  <w:r>
                    <w:rPr>
                      <w:rFonts w:hint="eastAsia"/>
                      <w:color w:val="auto"/>
                      <w:kern w:val="0"/>
                    </w:rPr>
                    <w:t>污染物排放管控</w:t>
                  </w:r>
                </w:p>
              </w:tc>
              <w:tc>
                <w:tcPr>
                  <w:tcW w:w="2243" w:type="pct"/>
                  <w:tcBorders>
                    <w:top w:val="single" w:color="auto" w:sz="4" w:space="0"/>
                    <w:left w:val="single" w:color="auto" w:sz="4" w:space="0"/>
                    <w:bottom w:val="single" w:color="auto" w:sz="4" w:space="0"/>
                    <w:right w:val="single" w:color="auto" w:sz="4" w:space="0"/>
                  </w:tcBorders>
                  <w:vAlign w:val="center"/>
                </w:tcPr>
                <w:p w14:paraId="29311DF7">
                  <w:pPr>
                    <w:keepNext w:val="0"/>
                    <w:keepLines w:val="0"/>
                    <w:widowControl/>
                    <w:suppressLineNumbers w:val="0"/>
                    <w:spacing w:line="240" w:lineRule="auto"/>
                    <w:ind w:left="0" w:leftChars="0" w:firstLine="0" w:firstLineChars="0"/>
                    <w:jc w:val="left"/>
                    <w:rPr>
                      <w:color w:val="auto"/>
                      <w:kern w:val="0"/>
                    </w:rPr>
                  </w:pPr>
                  <w:r>
                    <w:rPr>
                      <w:rFonts w:hint="default" w:ascii="Times New Roman" w:hAnsi="Times New Roman" w:eastAsia="宋体" w:cs="Times New Roman"/>
                      <w:color w:val="auto"/>
                      <w:kern w:val="0"/>
                      <w:sz w:val="21"/>
                      <w:szCs w:val="21"/>
                      <w:lang w:val="en-US" w:eastAsia="zh-CN" w:bidi="ar"/>
                    </w:rPr>
                    <w:t>大气环境高排放重点管控区：1.强化大气污染防治设施运行管理，全面提高污染治理能力。2.关注氮氧化物和挥发性有机物的一次排放。在电力、石化、煤化等行业，开展减污降碳协同治理。3.新建“两高”项目需要依据区域环境质量改善目标，制定配套区域污染物削减方案，采取有效的污染物区域削减措施，腾出足够的环境容量。大气污染防治重点区域内采取增加散煤清洁化治理，为工业腾出指标和容量等措施，不得使用高污染燃料作为煤炭减量替代措施。4.推进大气污染深度治理。推进玻璃、金属镁、冶炼等大气污染深度治理，加强自备燃煤机组污染治理设施运行管控，确保按照超低排放运行。严格控制焦化、煤化、水泥、金属冶炼等行业物料储存、输送及生产工艺过程中无组织排放。严禁VOCs 废气未经收集处理直接排放。水环境工业污染重点管控区：1.所有排污单位必须依法实现全面达标排放。集聚区内工业废水必须进行经预处理达到集中处理要求，方可进入污水集中处理设施。2.建设项目所在水环境单元或断面存在污染物超标的，相应污染因子实行等量或减量置换。3.严控高含盐废水排放。榆佳经济技术开发区 1.区域执行榆林市生态环境总体准入清单中“污染物排放管控”准入要求。2.区域执行榆林市生态环境要素分区总体准入清单中“5.2 大气高排放重点管控区”中的“污染物排放管控”准入要求。3.执行榆林市生态环境要素分区总体准入清单中“5.5 水环境工业污染重点管控区”中的“污染物排放管控”准入要求。4.建设用地污染风险重点管控区执行榆林市生态环境要素分区总体准入清单中“5.8 建设用地污染风险重点管控区”中的“污染物排放管控” 准入要求。</w:t>
                  </w:r>
                </w:p>
              </w:tc>
              <w:tc>
                <w:tcPr>
                  <w:tcW w:w="463" w:type="pct"/>
                  <w:vMerge w:val="continue"/>
                  <w:tcBorders>
                    <w:left w:val="single" w:color="auto" w:sz="4" w:space="0"/>
                    <w:right w:val="single" w:color="auto" w:sz="4" w:space="0"/>
                  </w:tcBorders>
                  <w:vAlign w:val="center"/>
                </w:tcPr>
                <w:p w14:paraId="4330B95D">
                  <w:pPr>
                    <w:pStyle w:val="40"/>
                    <w:spacing w:line="276" w:lineRule="auto"/>
                    <w:rPr>
                      <w:rFonts w:hint="eastAsia"/>
                      <w:color w:val="auto"/>
                      <w:kern w:val="0"/>
                    </w:rPr>
                  </w:pPr>
                </w:p>
              </w:tc>
              <w:tc>
                <w:tcPr>
                  <w:tcW w:w="853" w:type="pct"/>
                  <w:tcBorders>
                    <w:left w:val="single" w:color="auto" w:sz="4" w:space="0"/>
                    <w:right w:val="single" w:color="auto" w:sz="4" w:space="0"/>
                  </w:tcBorders>
                  <w:vAlign w:val="center"/>
                </w:tcPr>
                <w:p w14:paraId="11E922B6">
                  <w:pPr>
                    <w:pStyle w:val="40"/>
                    <w:spacing w:line="276" w:lineRule="auto"/>
                    <w:jc w:val="left"/>
                    <w:rPr>
                      <w:rFonts w:hint="default"/>
                      <w:color w:val="auto"/>
                      <w:kern w:val="0"/>
                      <w:lang w:val="en-US"/>
                    </w:rPr>
                  </w:pPr>
                  <w:r>
                    <w:rPr>
                      <w:rFonts w:hint="eastAsia" w:ascii="Times New Roman" w:hAnsi="Times New Roman" w:eastAsia="宋体" w:cs="Times New Roman"/>
                      <w:color w:val="auto"/>
                      <w:kern w:val="0"/>
                      <w:sz w:val="21"/>
                      <w:szCs w:val="21"/>
                      <w:lang w:val="en-US" w:eastAsia="zh-CN" w:bidi="ar"/>
                    </w:rPr>
                    <w:t>本项目熔炼、浇铸等废气采取布袋除尘</w:t>
                  </w:r>
                  <w:r>
                    <w:rPr>
                      <w:rFonts w:hint="eastAsia" w:ascii="Times New Roman" w:hAnsi="Times New Roman"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湿式脱硫</w:t>
                  </w:r>
                  <w:r>
                    <w:rPr>
                      <w:rFonts w:hint="eastAsia" w:ascii="Times New Roman" w:hAnsi="Times New Roman" w:eastAsia="宋体" w:cs="Times New Roman"/>
                      <w:color w:val="auto"/>
                      <w:kern w:val="0"/>
                      <w:sz w:val="21"/>
                      <w:szCs w:val="21"/>
                      <w:lang w:val="en-US" w:eastAsia="zh-CN" w:bidi="ar"/>
                    </w:rPr>
                    <w:t>等措施达标排放，</w:t>
                  </w:r>
                  <w:r>
                    <w:rPr>
                      <w:rFonts w:hint="eastAsia"/>
                      <w:color w:val="auto"/>
                      <w:kern w:val="0"/>
                      <w:lang w:val="en-US" w:eastAsia="zh-CN"/>
                    </w:rPr>
                    <w:t>不属于</w:t>
                  </w:r>
                  <w:r>
                    <w:rPr>
                      <w:rFonts w:hint="default" w:ascii="Times New Roman" w:hAnsi="Times New Roman" w:eastAsia="宋体" w:cs="Times New Roman"/>
                      <w:color w:val="auto"/>
                      <w:kern w:val="0"/>
                      <w:sz w:val="21"/>
                      <w:szCs w:val="21"/>
                      <w:lang w:val="en-US" w:eastAsia="zh-CN" w:bidi="ar"/>
                    </w:rPr>
                    <w:t>“两高”项目</w:t>
                  </w:r>
                  <w:r>
                    <w:rPr>
                      <w:rFonts w:hint="eastAsia" w:ascii="Times New Roman" w:hAnsi="Times New Roman" w:eastAsia="宋体" w:cs="Times New Roman"/>
                      <w:color w:val="auto"/>
                      <w:kern w:val="0"/>
                      <w:sz w:val="21"/>
                      <w:szCs w:val="21"/>
                      <w:lang w:val="en-US" w:eastAsia="zh-CN" w:bidi="ar"/>
                    </w:rPr>
                    <w:t>，熔炼炉、铸锭机等生产设备封闭（开口除外，设</w:t>
                  </w:r>
                  <w:r>
                    <w:rPr>
                      <w:rFonts w:hint="eastAsia" w:ascii="Times New Roman" w:hAnsi="Times New Roman" w:cs="Times New Roman"/>
                      <w:color w:val="auto"/>
                      <w:kern w:val="0"/>
                      <w:sz w:val="21"/>
                      <w:szCs w:val="21"/>
                      <w:lang w:val="en-US" w:eastAsia="zh-CN" w:bidi="ar"/>
                    </w:rPr>
                    <w:t>密闭</w:t>
                  </w:r>
                  <w:r>
                    <w:rPr>
                      <w:rFonts w:hint="eastAsia" w:ascii="Times New Roman" w:hAnsi="Times New Roman" w:eastAsia="宋体" w:cs="Times New Roman"/>
                      <w:color w:val="auto"/>
                      <w:kern w:val="0"/>
                      <w:sz w:val="21"/>
                      <w:szCs w:val="21"/>
                      <w:lang w:val="en-US" w:eastAsia="zh-CN" w:bidi="ar"/>
                    </w:rPr>
                    <w:t>集气罩收集），原辅料粉料封闭包装并置于厂房内；生产废水综合利用不外排，生活污水经化粪池预处理后排入园区污水处理厂。</w:t>
                  </w:r>
                </w:p>
              </w:tc>
              <w:tc>
                <w:tcPr>
                  <w:tcW w:w="254" w:type="pct"/>
                  <w:tcBorders>
                    <w:top w:val="single" w:color="auto" w:sz="4" w:space="0"/>
                    <w:left w:val="single" w:color="auto" w:sz="4" w:space="0"/>
                    <w:bottom w:val="single" w:color="auto" w:sz="4" w:space="0"/>
                  </w:tcBorders>
                  <w:vAlign w:val="center"/>
                </w:tcPr>
                <w:p w14:paraId="622B5FCC">
                  <w:pPr>
                    <w:pStyle w:val="40"/>
                    <w:spacing w:line="276" w:lineRule="auto"/>
                    <w:jc w:val="center"/>
                    <w:rPr>
                      <w:color w:val="auto"/>
                      <w:kern w:val="0"/>
                    </w:rPr>
                  </w:pPr>
                  <w:r>
                    <w:rPr>
                      <w:rFonts w:hint="eastAsia"/>
                      <w:color w:val="auto"/>
                      <w:kern w:val="0"/>
                    </w:rPr>
                    <w:t>符合</w:t>
                  </w:r>
                </w:p>
              </w:tc>
            </w:tr>
            <w:tr w14:paraId="2A0C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174" w:type="pct"/>
                  <w:vMerge w:val="continue"/>
                  <w:tcBorders>
                    <w:top w:val="nil"/>
                    <w:bottom w:val="single" w:color="auto" w:sz="4" w:space="0"/>
                    <w:right w:val="single" w:color="auto" w:sz="4" w:space="0"/>
                  </w:tcBorders>
                  <w:vAlign w:val="center"/>
                </w:tcPr>
                <w:p w14:paraId="4DC68E57">
                  <w:pPr>
                    <w:spacing w:line="276" w:lineRule="auto"/>
                    <w:ind w:firstLine="0" w:firstLineChars="0"/>
                    <w:rPr>
                      <w:color w:val="auto"/>
                      <w:kern w:val="0"/>
                      <w:sz w:val="21"/>
                      <w:szCs w:val="21"/>
                    </w:rPr>
                  </w:pPr>
                </w:p>
              </w:tc>
              <w:tc>
                <w:tcPr>
                  <w:tcW w:w="294" w:type="pct"/>
                  <w:vMerge w:val="continue"/>
                  <w:tcBorders>
                    <w:top w:val="nil"/>
                    <w:left w:val="single" w:color="auto" w:sz="4" w:space="0"/>
                    <w:bottom w:val="single" w:color="auto" w:sz="4" w:space="0"/>
                    <w:right w:val="single" w:color="auto" w:sz="4" w:space="0"/>
                  </w:tcBorders>
                  <w:vAlign w:val="center"/>
                </w:tcPr>
                <w:p w14:paraId="0412DBC3">
                  <w:pPr>
                    <w:spacing w:line="276" w:lineRule="auto"/>
                    <w:ind w:firstLine="0" w:firstLineChars="0"/>
                    <w:rPr>
                      <w:color w:val="auto"/>
                      <w:kern w:val="0"/>
                      <w:sz w:val="21"/>
                      <w:szCs w:val="21"/>
                    </w:rPr>
                  </w:pPr>
                </w:p>
              </w:tc>
              <w:tc>
                <w:tcPr>
                  <w:tcW w:w="305" w:type="pct"/>
                  <w:vMerge w:val="continue"/>
                  <w:tcBorders>
                    <w:top w:val="nil"/>
                    <w:left w:val="single" w:color="auto" w:sz="4" w:space="0"/>
                    <w:bottom w:val="single" w:color="auto" w:sz="4" w:space="0"/>
                    <w:right w:val="single" w:color="auto" w:sz="4" w:space="0"/>
                  </w:tcBorders>
                  <w:vAlign w:val="center"/>
                </w:tcPr>
                <w:p w14:paraId="210F8862">
                  <w:pPr>
                    <w:spacing w:line="276" w:lineRule="auto"/>
                    <w:ind w:firstLine="0" w:firstLineChars="0"/>
                    <w:rPr>
                      <w:color w:val="auto"/>
                      <w:kern w:val="0"/>
                      <w:sz w:val="21"/>
                      <w:szCs w:val="21"/>
                    </w:rPr>
                  </w:pPr>
                </w:p>
              </w:tc>
              <w:tc>
                <w:tcPr>
                  <w:tcW w:w="409" w:type="pct"/>
                  <w:tcBorders>
                    <w:top w:val="single" w:color="auto" w:sz="4" w:space="0"/>
                    <w:left w:val="single" w:color="auto" w:sz="4" w:space="0"/>
                    <w:bottom w:val="single" w:color="auto" w:sz="4" w:space="0"/>
                    <w:right w:val="single" w:color="auto" w:sz="4" w:space="0"/>
                  </w:tcBorders>
                  <w:vAlign w:val="center"/>
                </w:tcPr>
                <w:p w14:paraId="3437FA91">
                  <w:pPr>
                    <w:pStyle w:val="40"/>
                    <w:spacing w:line="276" w:lineRule="auto"/>
                    <w:jc w:val="center"/>
                    <w:rPr>
                      <w:color w:val="auto"/>
                      <w:kern w:val="0"/>
                    </w:rPr>
                  </w:pPr>
                  <w:r>
                    <w:rPr>
                      <w:rFonts w:hint="eastAsia"/>
                      <w:color w:val="auto"/>
                      <w:kern w:val="0"/>
                    </w:rPr>
                    <w:t>环境风险防控</w:t>
                  </w:r>
                </w:p>
              </w:tc>
              <w:tc>
                <w:tcPr>
                  <w:tcW w:w="2243" w:type="pct"/>
                  <w:tcBorders>
                    <w:top w:val="single" w:color="auto" w:sz="4" w:space="0"/>
                    <w:left w:val="single" w:color="auto" w:sz="4" w:space="0"/>
                    <w:bottom w:val="single" w:color="auto" w:sz="4" w:space="0"/>
                    <w:right w:val="single" w:color="auto" w:sz="4" w:space="0"/>
                  </w:tcBorders>
                  <w:vAlign w:val="center"/>
                </w:tcPr>
                <w:p w14:paraId="2D11A44C">
                  <w:pPr>
                    <w:keepNext w:val="0"/>
                    <w:keepLines w:val="0"/>
                    <w:widowControl/>
                    <w:suppressLineNumbers w:val="0"/>
                    <w:spacing w:line="240" w:lineRule="auto"/>
                    <w:ind w:left="0" w:leftChars="0" w:firstLine="0" w:firstLineChars="0"/>
                    <w:jc w:val="left"/>
                    <w:rPr>
                      <w:color w:val="auto"/>
                      <w:kern w:val="0"/>
                    </w:rPr>
                  </w:pPr>
                  <w:r>
                    <w:rPr>
                      <w:rFonts w:hint="eastAsia" w:ascii="Times New Roman" w:hAnsi="Times New Roman" w:eastAsia="宋体" w:cs="Times New Roman"/>
                      <w:color w:val="auto"/>
                      <w:kern w:val="0"/>
                      <w:sz w:val="21"/>
                      <w:szCs w:val="21"/>
                      <w:lang w:val="en-US" w:eastAsia="zh-CN" w:bidi="ar"/>
                    </w:rPr>
                    <w:t>水环境工业污染重点管控区：</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深入开展重点企业环境风险评估，摸清危险废物产生、贮存、利用和处置情况，推动突发环境事件应急预案编制与修编，严格新（改、扩）建生产有毒有害化学品项目的审批，强化工业园区环境风险管控。</w:t>
                  </w: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加强涉水涉重企业和危险化学品输运等环境风险源的系统治理，降低突发环境事故发生水平。榆佳经济技术开发区</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区域执行榆林市生态环境总体准入清单中的</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环境风险防控</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准入要求。</w:t>
                  </w: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区域执行榆林市生态环境要素分区总体准入清单中</w:t>
                  </w:r>
                  <w:r>
                    <w:rPr>
                      <w:rFonts w:hint="default" w:ascii="Times New Roman" w:hAnsi="Times New Roman" w:eastAsia="宋体" w:cs="Times New Roman"/>
                      <w:color w:val="auto"/>
                      <w:kern w:val="0"/>
                      <w:sz w:val="21"/>
                      <w:szCs w:val="21"/>
                      <w:lang w:val="en-US" w:eastAsia="zh-CN" w:bidi="ar"/>
                    </w:rPr>
                    <w:t xml:space="preserve">“5.5 </w:t>
                  </w:r>
                  <w:r>
                    <w:rPr>
                      <w:rFonts w:hint="eastAsia" w:ascii="Times New Roman" w:hAnsi="Times New Roman" w:eastAsia="宋体" w:cs="Times New Roman"/>
                      <w:color w:val="auto"/>
                      <w:kern w:val="0"/>
                      <w:sz w:val="21"/>
                      <w:szCs w:val="21"/>
                      <w:lang w:val="en-US" w:eastAsia="zh-CN" w:bidi="ar"/>
                    </w:rPr>
                    <w:t>水环境工业污染重点管控区</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中的</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环境风险防控</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准入要求。</w:t>
                  </w:r>
                </w:p>
              </w:tc>
              <w:tc>
                <w:tcPr>
                  <w:tcW w:w="463" w:type="pct"/>
                  <w:vMerge w:val="continue"/>
                  <w:tcBorders>
                    <w:left w:val="single" w:color="auto" w:sz="4" w:space="0"/>
                    <w:right w:val="single" w:color="auto" w:sz="4" w:space="0"/>
                  </w:tcBorders>
                  <w:vAlign w:val="center"/>
                </w:tcPr>
                <w:p w14:paraId="707B3FB3">
                  <w:pPr>
                    <w:pStyle w:val="40"/>
                    <w:spacing w:line="276" w:lineRule="auto"/>
                    <w:jc w:val="center"/>
                    <w:rPr>
                      <w:rFonts w:hint="eastAsia"/>
                      <w:color w:val="auto"/>
                      <w:kern w:val="0"/>
                    </w:rPr>
                  </w:pPr>
                </w:p>
              </w:tc>
              <w:tc>
                <w:tcPr>
                  <w:tcW w:w="853" w:type="pct"/>
                  <w:tcBorders>
                    <w:left w:val="single" w:color="auto" w:sz="4" w:space="0"/>
                    <w:right w:val="single" w:color="auto" w:sz="4" w:space="0"/>
                  </w:tcBorders>
                  <w:vAlign w:val="center"/>
                </w:tcPr>
                <w:p w14:paraId="78E2F091">
                  <w:pPr>
                    <w:pStyle w:val="40"/>
                    <w:spacing w:line="276" w:lineRule="auto"/>
                    <w:jc w:val="center"/>
                    <w:rPr>
                      <w:rFonts w:hint="default" w:ascii="Times New Roman" w:hAnsi="Times New Roman" w:eastAsia="宋体" w:cs="Times New Roman"/>
                      <w:color w:val="auto"/>
                      <w:kern w:val="0"/>
                      <w:sz w:val="21"/>
                      <w:szCs w:val="21"/>
                      <w:lang w:val="en-US" w:eastAsia="zh-CN" w:bidi="ar"/>
                    </w:rPr>
                  </w:pPr>
                  <w:r>
                    <w:rPr>
                      <w:rFonts w:hint="eastAsia"/>
                      <w:color w:val="auto"/>
                      <w:kern w:val="0"/>
                      <w:lang w:val="en-US" w:eastAsia="zh-CN"/>
                    </w:rPr>
                    <w:t>项目建成后编制</w:t>
                  </w:r>
                  <w:r>
                    <w:rPr>
                      <w:rFonts w:hint="eastAsia" w:ascii="Times New Roman" w:hAnsi="Times New Roman" w:eastAsia="宋体" w:cs="Times New Roman"/>
                      <w:color w:val="auto"/>
                      <w:kern w:val="0"/>
                      <w:sz w:val="21"/>
                      <w:szCs w:val="21"/>
                      <w:lang w:val="en-US" w:eastAsia="zh-CN" w:bidi="ar"/>
                    </w:rPr>
                    <w:t>突发环境事件应急预案并报生态环境主管部门备案，应急预案将危险废物、危险化学品等风险源纳入管控；</w:t>
                  </w:r>
                </w:p>
                <w:p w14:paraId="7CDB563B">
                  <w:pPr>
                    <w:pStyle w:val="40"/>
                    <w:spacing w:line="276" w:lineRule="auto"/>
                    <w:jc w:val="center"/>
                    <w:rPr>
                      <w:rFonts w:hint="default" w:eastAsia="宋体"/>
                      <w:color w:val="auto"/>
                      <w:kern w:val="0"/>
                      <w:lang w:val="en-US" w:eastAsia="zh-CN"/>
                    </w:rPr>
                  </w:pPr>
                  <w:r>
                    <w:rPr>
                      <w:rFonts w:hint="eastAsia" w:ascii="Times New Roman" w:hAnsi="Times New Roman" w:eastAsia="宋体" w:cs="Times New Roman"/>
                      <w:color w:val="auto"/>
                      <w:kern w:val="0"/>
                      <w:sz w:val="21"/>
                      <w:szCs w:val="21"/>
                      <w:lang w:val="en-US" w:eastAsia="zh-CN" w:bidi="ar"/>
                    </w:rPr>
                    <w:t>项目不生产有毒有害化学品，不涉及重金属和生产废水排放。</w:t>
                  </w:r>
                </w:p>
              </w:tc>
              <w:tc>
                <w:tcPr>
                  <w:tcW w:w="254" w:type="pct"/>
                  <w:tcBorders>
                    <w:top w:val="single" w:color="auto" w:sz="4" w:space="0"/>
                    <w:left w:val="single" w:color="auto" w:sz="4" w:space="0"/>
                    <w:bottom w:val="single" w:color="auto" w:sz="4" w:space="0"/>
                  </w:tcBorders>
                  <w:vAlign w:val="center"/>
                </w:tcPr>
                <w:p w14:paraId="539FC196">
                  <w:pPr>
                    <w:pStyle w:val="40"/>
                    <w:spacing w:line="276" w:lineRule="auto"/>
                    <w:jc w:val="center"/>
                    <w:rPr>
                      <w:color w:val="auto"/>
                      <w:kern w:val="0"/>
                    </w:rPr>
                  </w:pPr>
                  <w:r>
                    <w:rPr>
                      <w:rFonts w:hint="eastAsia"/>
                      <w:color w:val="auto"/>
                      <w:kern w:val="0"/>
                    </w:rPr>
                    <w:t>符合</w:t>
                  </w:r>
                </w:p>
              </w:tc>
            </w:tr>
            <w:tr w14:paraId="70C1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17" w:hRule="atLeast"/>
                <w:jc w:val="center"/>
              </w:trPr>
              <w:tc>
                <w:tcPr>
                  <w:tcW w:w="174" w:type="pct"/>
                  <w:vMerge w:val="continue"/>
                  <w:tcBorders>
                    <w:top w:val="nil"/>
                    <w:right w:val="single" w:color="auto" w:sz="4" w:space="0"/>
                  </w:tcBorders>
                  <w:vAlign w:val="center"/>
                </w:tcPr>
                <w:p w14:paraId="329784D9">
                  <w:pPr>
                    <w:spacing w:line="276" w:lineRule="auto"/>
                    <w:ind w:firstLine="0" w:firstLineChars="0"/>
                    <w:rPr>
                      <w:color w:val="auto"/>
                      <w:kern w:val="0"/>
                      <w:sz w:val="21"/>
                      <w:szCs w:val="21"/>
                    </w:rPr>
                  </w:pPr>
                </w:p>
              </w:tc>
              <w:tc>
                <w:tcPr>
                  <w:tcW w:w="294" w:type="pct"/>
                  <w:vMerge w:val="continue"/>
                  <w:tcBorders>
                    <w:top w:val="nil"/>
                    <w:left w:val="single" w:color="auto" w:sz="4" w:space="0"/>
                    <w:right w:val="single" w:color="auto" w:sz="4" w:space="0"/>
                  </w:tcBorders>
                  <w:vAlign w:val="center"/>
                </w:tcPr>
                <w:p w14:paraId="79DE6AC2">
                  <w:pPr>
                    <w:spacing w:line="276" w:lineRule="auto"/>
                    <w:ind w:firstLine="0" w:firstLineChars="0"/>
                    <w:rPr>
                      <w:color w:val="auto"/>
                      <w:kern w:val="0"/>
                      <w:sz w:val="21"/>
                      <w:szCs w:val="21"/>
                    </w:rPr>
                  </w:pPr>
                </w:p>
              </w:tc>
              <w:tc>
                <w:tcPr>
                  <w:tcW w:w="305" w:type="pct"/>
                  <w:vMerge w:val="continue"/>
                  <w:tcBorders>
                    <w:top w:val="nil"/>
                    <w:left w:val="single" w:color="auto" w:sz="4" w:space="0"/>
                    <w:right w:val="single" w:color="auto" w:sz="4" w:space="0"/>
                  </w:tcBorders>
                  <w:vAlign w:val="center"/>
                </w:tcPr>
                <w:p w14:paraId="1E134094">
                  <w:pPr>
                    <w:spacing w:line="276" w:lineRule="auto"/>
                    <w:ind w:firstLine="0" w:firstLineChars="0"/>
                    <w:rPr>
                      <w:color w:val="auto"/>
                      <w:kern w:val="0"/>
                      <w:sz w:val="21"/>
                      <w:szCs w:val="21"/>
                    </w:rPr>
                  </w:pPr>
                </w:p>
              </w:tc>
              <w:tc>
                <w:tcPr>
                  <w:tcW w:w="409" w:type="pct"/>
                  <w:tcBorders>
                    <w:top w:val="single" w:color="auto" w:sz="4" w:space="0"/>
                    <w:left w:val="single" w:color="auto" w:sz="4" w:space="0"/>
                    <w:right w:val="single" w:color="auto" w:sz="4" w:space="0"/>
                  </w:tcBorders>
                  <w:vAlign w:val="center"/>
                </w:tcPr>
                <w:p w14:paraId="4AFA3188">
                  <w:pPr>
                    <w:pStyle w:val="40"/>
                    <w:spacing w:line="276" w:lineRule="auto"/>
                    <w:jc w:val="center"/>
                    <w:rPr>
                      <w:color w:val="auto"/>
                      <w:kern w:val="0"/>
                    </w:rPr>
                  </w:pPr>
                  <w:r>
                    <w:rPr>
                      <w:rFonts w:hint="eastAsia"/>
                      <w:color w:val="auto"/>
                      <w:kern w:val="0"/>
                    </w:rPr>
                    <w:t>资源开发效率要求</w:t>
                  </w:r>
                </w:p>
              </w:tc>
              <w:tc>
                <w:tcPr>
                  <w:tcW w:w="2243" w:type="pct"/>
                  <w:tcBorders>
                    <w:top w:val="single" w:color="auto" w:sz="4" w:space="0"/>
                    <w:left w:val="single" w:color="auto" w:sz="4" w:space="0"/>
                    <w:right w:val="single" w:color="auto" w:sz="4" w:space="0"/>
                  </w:tcBorders>
                  <w:vAlign w:val="center"/>
                </w:tcPr>
                <w:p w14:paraId="60E2E308">
                  <w:pPr>
                    <w:keepNext w:val="0"/>
                    <w:keepLines w:val="0"/>
                    <w:widowControl/>
                    <w:suppressLineNumbers w:val="0"/>
                    <w:spacing w:line="240" w:lineRule="auto"/>
                    <w:ind w:left="0" w:leftChars="0" w:firstLine="0" w:firstLineChars="0"/>
                    <w:jc w:val="left"/>
                    <w:rPr>
                      <w:color w:val="auto"/>
                      <w:kern w:val="0"/>
                    </w:rPr>
                  </w:pPr>
                  <w:r>
                    <w:rPr>
                      <w:rFonts w:hint="eastAsia" w:ascii="Times New Roman" w:hAnsi="Times New Roman" w:eastAsia="宋体" w:cs="Times New Roman"/>
                      <w:color w:val="auto"/>
                      <w:kern w:val="0"/>
                      <w:sz w:val="21"/>
                      <w:szCs w:val="21"/>
                      <w:lang w:val="en-US" w:eastAsia="zh-CN" w:bidi="ar"/>
                    </w:rPr>
                    <w:t>水环境工业污染重点管控区：1.提高工业用水重复利用率，因地制宜推进区域再生水循环利用。土地资源重点管控区：</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 xml:space="preserve">严格用地准入管理。严格执行自然资源开发利用限制和禁止目录、建设用地定额标准和市场准入负面清单。榆佳经济技术开发区 </w:t>
                  </w:r>
                  <w:r>
                    <w:rPr>
                      <w:rFonts w:hint="default" w:ascii="Times New Roman" w:hAnsi="Times New Roman" w:eastAsia="宋体" w:cs="Times New Roman"/>
                      <w:color w:val="auto"/>
                      <w:kern w:val="0"/>
                      <w:sz w:val="21"/>
                      <w:szCs w:val="21"/>
                      <w:lang w:val="en-US" w:eastAsia="zh-CN" w:bidi="ar"/>
                    </w:rPr>
                    <w:t xml:space="preserve">1. </w:t>
                  </w:r>
                  <w:r>
                    <w:rPr>
                      <w:rFonts w:hint="eastAsia" w:ascii="Times New Roman" w:hAnsi="Times New Roman" w:eastAsia="宋体" w:cs="Times New Roman"/>
                      <w:color w:val="auto"/>
                      <w:kern w:val="0"/>
                      <w:sz w:val="21"/>
                      <w:szCs w:val="21"/>
                      <w:lang w:val="en-US" w:eastAsia="zh-CN" w:bidi="ar"/>
                    </w:rPr>
                    <w:t>区域执行榆林市生态环境总体准入清单中</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资源利用效率要求</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准入要 求。</w:t>
                  </w:r>
                  <w:r>
                    <w:rPr>
                      <w:rFonts w:hint="default"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土地资源重点管控区执行榆林市生态环境要素分区总体准入清单中</w:t>
                  </w:r>
                  <w:r>
                    <w:rPr>
                      <w:rFonts w:hint="default" w:ascii="Times New Roman" w:hAnsi="Times New Roman" w:eastAsia="宋体" w:cs="Times New Roman"/>
                      <w:color w:val="auto"/>
                      <w:kern w:val="0"/>
                      <w:sz w:val="21"/>
                      <w:szCs w:val="21"/>
                      <w:lang w:val="en-US" w:eastAsia="zh-CN" w:bidi="ar"/>
                    </w:rPr>
                    <w:t xml:space="preserve">“5.12 </w:t>
                  </w:r>
                  <w:r>
                    <w:rPr>
                      <w:rFonts w:hint="eastAsia" w:ascii="Times New Roman" w:hAnsi="Times New Roman" w:eastAsia="宋体" w:cs="Times New Roman"/>
                      <w:color w:val="auto"/>
                      <w:kern w:val="0"/>
                      <w:sz w:val="21"/>
                      <w:szCs w:val="21"/>
                      <w:lang w:val="en-US" w:eastAsia="zh-CN" w:bidi="ar"/>
                    </w:rPr>
                    <w:t>土地资源重点管控区</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中的</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资源利用效率要求</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准入要求。</w:t>
                  </w:r>
                </w:p>
              </w:tc>
              <w:tc>
                <w:tcPr>
                  <w:tcW w:w="463" w:type="pct"/>
                  <w:vMerge w:val="continue"/>
                  <w:tcBorders>
                    <w:left w:val="single" w:color="auto" w:sz="4" w:space="0"/>
                    <w:right w:val="single" w:color="auto" w:sz="4" w:space="0"/>
                  </w:tcBorders>
                  <w:vAlign w:val="center"/>
                </w:tcPr>
                <w:p w14:paraId="2267602D">
                  <w:pPr>
                    <w:pStyle w:val="40"/>
                    <w:spacing w:line="276" w:lineRule="auto"/>
                    <w:jc w:val="center"/>
                    <w:rPr>
                      <w:rFonts w:hint="eastAsia"/>
                      <w:color w:val="auto"/>
                      <w:kern w:val="0"/>
                    </w:rPr>
                  </w:pPr>
                </w:p>
              </w:tc>
              <w:tc>
                <w:tcPr>
                  <w:tcW w:w="853" w:type="pct"/>
                  <w:tcBorders>
                    <w:left w:val="single" w:color="auto" w:sz="4" w:space="0"/>
                    <w:right w:val="single" w:color="auto" w:sz="4" w:space="0"/>
                  </w:tcBorders>
                  <w:vAlign w:val="center"/>
                </w:tcPr>
                <w:p w14:paraId="4EA5BE71">
                  <w:pPr>
                    <w:pStyle w:val="40"/>
                    <w:spacing w:line="276" w:lineRule="auto"/>
                    <w:jc w:val="left"/>
                    <w:rPr>
                      <w:rFonts w:hint="default" w:eastAsia="宋体"/>
                      <w:color w:val="auto"/>
                      <w:kern w:val="0"/>
                      <w:lang w:val="en-US" w:eastAsia="zh-CN"/>
                    </w:rPr>
                  </w:pPr>
                  <w:r>
                    <w:rPr>
                      <w:rFonts w:hint="eastAsia"/>
                      <w:color w:val="auto"/>
                      <w:kern w:val="0"/>
                      <w:lang w:val="en-US" w:eastAsia="zh-CN"/>
                    </w:rPr>
                    <w:t>项目冷却用水、水浴除尘用水、</w:t>
                  </w:r>
                  <w:r>
                    <w:rPr>
                      <w:rFonts w:hint="eastAsia"/>
                      <w:color w:val="auto"/>
                      <w:kern w:val="0"/>
                      <w:lang w:val="en-US" w:eastAsia="zh-CN"/>
                    </w:rPr>
                    <w:t>脱硫用水循环使用</w:t>
                  </w:r>
                  <w:r>
                    <w:rPr>
                      <w:rFonts w:hint="eastAsia"/>
                      <w:color w:val="auto"/>
                      <w:kern w:val="0"/>
                      <w:lang w:val="en-US" w:eastAsia="zh-CN"/>
                    </w:rPr>
                    <w:t>，少量用于厂区道路洒水降尘；项目地处</w:t>
                  </w:r>
                  <w:r>
                    <w:rPr>
                      <w:rFonts w:hint="eastAsia" w:ascii="Times New Roman" w:hAnsi="Times New Roman" w:eastAsia="宋体" w:cs="Times New Roman"/>
                      <w:color w:val="auto"/>
                      <w:kern w:val="0"/>
                      <w:sz w:val="21"/>
                      <w:szCs w:val="21"/>
                      <w:lang w:val="en-US" w:eastAsia="zh-CN" w:bidi="ar"/>
                    </w:rPr>
                    <w:t>榆佳经济技术开发区，属于工业集中区，项目类别属于先进制造业。</w:t>
                  </w:r>
                </w:p>
              </w:tc>
              <w:tc>
                <w:tcPr>
                  <w:tcW w:w="254" w:type="pct"/>
                  <w:tcBorders>
                    <w:top w:val="single" w:color="auto" w:sz="4" w:space="0"/>
                    <w:left w:val="single" w:color="auto" w:sz="4" w:space="0"/>
                  </w:tcBorders>
                  <w:vAlign w:val="center"/>
                </w:tcPr>
                <w:p w14:paraId="276CA2E6">
                  <w:pPr>
                    <w:pStyle w:val="40"/>
                    <w:spacing w:line="276" w:lineRule="auto"/>
                    <w:jc w:val="center"/>
                    <w:rPr>
                      <w:color w:val="auto"/>
                      <w:kern w:val="0"/>
                    </w:rPr>
                  </w:pPr>
                  <w:r>
                    <w:rPr>
                      <w:rFonts w:hint="eastAsia"/>
                      <w:color w:val="auto"/>
                      <w:kern w:val="0"/>
                    </w:rPr>
                    <w:t>符合</w:t>
                  </w:r>
                </w:p>
              </w:tc>
            </w:tr>
          </w:tbl>
          <w:p w14:paraId="131BC490">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 xml:space="preserve">一说明 </w:t>
            </w:r>
          </w:p>
          <w:p w14:paraId="6108645D">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本项目与榆林市“三线一单”的符合性分析如下： </w:t>
            </w:r>
          </w:p>
          <w:p w14:paraId="75AD6F8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①生态保护红线 </w:t>
            </w:r>
          </w:p>
          <w:p w14:paraId="187EC3D8">
            <w:pPr>
              <w:keepNext w:val="0"/>
              <w:keepLines w:val="0"/>
              <w:widowControl/>
              <w:suppressLineNumbers w:val="0"/>
              <w:ind w:left="0" w:leftChars="0" w:firstLine="480" w:firstLineChars="200"/>
              <w:jc w:val="left"/>
              <w:rPr>
                <w:color w:val="auto"/>
              </w:rPr>
            </w:pPr>
            <w:r>
              <w:rPr>
                <w:rFonts w:hint="eastAsia" w:ascii="宋体" w:hAnsi="宋体" w:eastAsia="宋体" w:cs="宋体"/>
                <w:color w:val="auto"/>
                <w:kern w:val="0"/>
                <w:sz w:val="24"/>
                <w:szCs w:val="24"/>
                <w:lang w:val="en-US" w:eastAsia="zh-CN" w:bidi="ar"/>
              </w:rPr>
              <w:t>根据《榆林市投资项目选址“一张图”控制线检测报告》（</w:t>
            </w:r>
            <w:r>
              <w:rPr>
                <w:rFonts w:hint="default" w:ascii="Times New Roman" w:hAnsi="Times New Roman" w:eastAsia="宋体" w:cs="Times New Roman"/>
                <w:color w:val="auto"/>
                <w:kern w:val="0"/>
                <w:sz w:val="24"/>
                <w:szCs w:val="24"/>
                <w:lang w:val="en-US" w:eastAsia="zh-CN" w:bidi="ar"/>
              </w:rPr>
              <w:t>2025(</w:t>
            </w:r>
            <w:r>
              <w:rPr>
                <w:rFonts w:hint="eastAsia" w:cs="Times New Roman"/>
                <w:color w:val="auto"/>
                <w:kern w:val="0"/>
                <w:sz w:val="24"/>
                <w:szCs w:val="24"/>
                <w:lang w:val="en-US" w:eastAsia="zh-CN" w:bidi="ar"/>
              </w:rPr>
              <w:t>2566</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号），本项目不涉及生态保护红线。 </w:t>
            </w:r>
          </w:p>
          <w:p w14:paraId="2A436389">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②环境质量底线 </w:t>
            </w:r>
          </w:p>
          <w:p w14:paraId="1044388B">
            <w:pPr>
              <w:keepNext w:val="0"/>
              <w:keepLines w:val="0"/>
              <w:widowControl/>
              <w:suppressLineNumbers w:val="0"/>
              <w:spacing w:line="360" w:lineRule="auto"/>
              <w:jc w:val="left"/>
              <w:rPr>
                <w:color w:val="auto"/>
                <w:sz w:val="24"/>
                <w:szCs w:val="24"/>
              </w:rPr>
            </w:pPr>
            <w:r>
              <w:rPr>
                <w:rFonts w:hint="eastAsia" w:ascii="宋体" w:hAnsi="宋体" w:eastAsia="宋体" w:cs="宋体"/>
                <w:color w:val="auto"/>
                <w:kern w:val="0"/>
                <w:sz w:val="24"/>
                <w:szCs w:val="24"/>
                <w:lang w:val="en-US" w:eastAsia="zh-CN" w:bidi="ar"/>
              </w:rPr>
              <w:t>根据</w:t>
            </w:r>
            <w:r>
              <w:rPr>
                <w:color w:val="auto"/>
              </w:rPr>
              <w:t>陕西省生态环境厅办公室202</w:t>
            </w:r>
            <w:r>
              <w:rPr>
                <w:rFonts w:hint="eastAsia"/>
                <w:color w:val="auto"/>
                <w:lang w:val="en-US" w:eastAsia="zh-CN"/>
              </w:rPr>
              <w:t>5</w:t>
            </w:r>
            <w:r>
              <w:rPr>
                <w:color w:val="auto"/>
              </w:rPr>
              <w:t>年1月</w:t>
            </w:r>
            <w:r>
              <w:rPr>
                <w:rFonts w:hint="eastAsia"/>
                <w:color w:val="auto"/>
                <w:lang w:val="en-US" w:eastAsia="zh-CN"/>
              </w:rPr>
              <w:t>21</w:t>
            </w:r>
            <w:r>
              <w:rPr>
                <w:color w:val="auto"/>
              </w:rPr>
              <w:t>日发布的</w:t>
            </w:r>
            <w:r>
              <w:rPr>
                <w:rFonts w:hint="eastAsia"/>
                <w:color w:val="auto"/>
              </w:rPr>
              <w:t>《</w:t>
            </w:r>
            <w:r>
              <w:rPr>
                <w:color w:val="auto"/>
              </w:rPr>
              <w:t>202</w:t>
            </w:r>
            <w:r>
              <w:rPr>
                <w:rFonts w:hint="eastAsia"/>
                <w:color w:val="auto"/>
                <w:lang w:val="en-US" w:eastAsia="zh-CN"/>
              </w:rPr>
              <w:t>4</w:t>
            </w:r>
            <w:r>
              <w:rPr>
                <w:color w:val="auto"/>
              </w:rPr>
              <w:t>年</w:t>
            </w:r>
            <w:r>
              <w:rPr>
                <w:rFonts w:hint="eastAsia"/>
                <w:color w:val="auto"/>
              </w:rPr>
              <w:t>12月及</w:t>
            </w:r>
            <w:r>
              <w:rPr>
                <w:color w:val="auto"/>
              </w:rPr>
              <w:t>1~12月</w:t>
            </w:r>
            <w:r>
              <w:rPr>
                <w:rFonts w:hint="eastAsia"/>
                <w:color w:val="auto"/>
              </w:rPr>
              <w:t>全省环境</w:t>
            </w:r>
            <w:r>
              <w:rPr>
                <w:color w:val="auto"/>
              </w:rPr>
              <w:t>空气质量</w:t>
            </w:r>
            <w:r>
              <w:rPr>
                <w:rFonts w:hint="eastAsia"/>
                <w:color w:val="auto"/>
              </w:rPr>
              <w:t>状况》</w:t>
            </w:r>
            <w:r>
              <w:rPr>
                <w:rFonts w:hint="eastAsia" w:ascii="宋体" w:hAnsi="宋体" w:eastAsia="宋体" w:cs="宋体"/>
                <w:color w:val="auto"/>
                <w:kern w:val="0"/>
                <w:sz w:val="24"/>
                <w:szCs w:val="24"/>
                <w:lang w:val="en-US" w:eastAsia="zh-CN" w:bidi="ar"/>
              </w:rPr>
              <w:t>，佳县属于环境空气质量不达标区域；本项目运营期主要排放颗粒物、</w:t>
            </w:r>
            <w:r>
              <w:rPr>
                <w:rFonts w:hint="eastAsia" w:ascii="宋体" w:hAnsi="宋体" w:cs="宋体"/>
                <w:color w:val="auto"/>
                <w:kern w:val="0"/>
                <w:sz w:val="24"/>
                <w:szCs w:val="24"/>
                <w:lang w:val="en-US" w:eastAsia="zh-CN" w:bidi="ar"/>
              </w:rPr>
              <w:t>氮氧化物、二氧化硫、氟</w:t>
            </w:r>
            <w:r>
              <w:rPr>
                <w:rFonts w:hint="eastAsia" w:ascii="宋体" w:hAnsi="宋体" w:eastAsia="宋体" w:cs="宋体"/>
                <w:color w:val="auto"/>
                <w:kern w:val="0"/>
                <w:sz w:val="24"/>
                <w:szCs w:val="24"/>
                <w:lang w:val="en-US" w:eastAsia="zh-CN" w:bidi="ar"/>
              </w:rPr>
              <w:t>化物</w:t>
            </w:r>
            <w:r>
              <w:rPr>
                <w:rFonts w:hint="eastAsia" w:ascii="宋体" w:hAnsi="宋体" w:cs="宋体"/>
                <w:color w:val="auto"/>
                <w:kern w:val="0"/>
                <w:sz w:val="24"/>
                <w:szCs w:val="24"/>
                <w:lang w:val="en-US" w:eastAsia="zh-CN" w:bidi="ar"/>
              </w:rPr>
              <w:t>、氯化氢等污染物，</w:t>
            </w:r>
            <w:r>
              <w:rPr>
                <w:rFonts w:hint="eastAsia" w:ascii="宋体" w:hAnsi="宋体" w:eastAsia="宋体" w:cs="宋体"/>
                <w:color w:val="auto"/>
                <w:kern w:val="0"/>
                <w:sz w:val="24"/>
                <w:szCs w:val="24"/>
                <w:lang w:val="en-US" w:eastAsia="zh-CN" w:bidi="ar"/>
              </w:rPr>
              <w:t>在采取本环评提出的</w:t>
            </w:r>
            <w:r>
              <w:rPr>
                <w:rFonts w:hint="eastAsia" w:ascii="Times New Roman" w:hAnsi="Times New Roman" w:eastAsia="宋体" w:cs="Times New Roman"/>
                <w:color w:val="auto"/>
                <w:kern w:val="0"/>
                <w:sz w:val="24"/>
                <w:szCs w:val="24"/>
                <w:lang w:val="en-US" w:eastAsia="zh-CN" w:bidi="ar"/>
              </w:rPr>
              <w:t>布袋除尘</w:t>
            </w:r>
            <w:r>
              <w:rPr>
                <w:rFonts w:hint="eastAsia" w:cs="Times New Roman"/>
                <w:color w:val="auto"/>
                <w:kern w:val="0"/>
                <w:sz w:val="24"/>
                <w:szCs w:val="24"/>
                <w:lang w:val="en-US" w:eastAsia="zh-CN" w:bidi="ar"/>
              </w:rPr>
              <w:t>、湿式脱硫</w:t>
            </w:r>
            <w:r>
              <w:rPr>
                <w:rFonts w:hint="eastAsia" w:ascii="Times New Roman" w:hAnsi="Times New Roman" w:eastAsia="宋体" w:cs="Times New Roman"/>
                <w:color w:val="auto"/>
                <w:kern w:val="0"/>
                <w:sz w:val="24"/>
                <w:szCs w:val="24"/>
                <w:lang w:val="en-US" w:eastAsia="zh-CN" w:bidi="ar"/>
              </w:rPr>
              <w:t>等</w:t>
            </w:r>
            <w:r>
              <w:rPr>
                <w:rFonts w:hint="eastAsia" w:ascii="宋体" w:hAnsi="宋体" w:eastAsia="宋体" w:cs="宋体"/>
                <w:color w:val="auto"/>
                <w:kern w:val="0"/>
                <w:sz w:val="24"/>
                <w:szCs w:val="24"/>
                <w:lang w:val="en-US" w:eastAsia="zh-CN" w:bidi="ar"/>
              </w:rPr>
              <w:t>污染防治措施后</w:t>
            </w:r>
            <w:r>
              <w:rPr>
                <w:rFonts w:hint="eastAsia" w:ascii="宋体" w:hAnsi="宋体" w:cs="宋体"/>
                <w:color w:val="auto"/>
                <w:kern w:val="0"/>
                <w:sz w:val="24"/>
                <w:szCs w:val="24"/>
                <w:lang w:val="en-US" w:eastAsia="zh-CN" w:bidi="ar"/>
              </w:rPr>
              <w:t>能够达标排放</w:t>
            </w:r>
            <w:r>
              <w:rPr>
                <w:rFonts w:hint="eastAsia" w:ascii="宋体" w:hAnsi="宋体" w:eastAsia="宋体" w:cs="宋体"/>
                <w:color w:val="auto"/>
                <w:kern w:val="0"/>
                <w:sz w:val="24"/>
                <w:szCs w:val="24"/>
                <w:lang w:val="en-US" w:eastAsia="zh-CN" w:bidi="ar"/>
              </w:rPr>
              <w:t>，对周边的影响较小，不触及环境质量底线。项目建设符合环境质量底线要求。</w:t>
            </w:r>
          </w:p>
          <w:p w14:paraId="79195B17">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③资源利用上线 </w:t>
            </w:r>
          </w:p>
          <w:p w14:paraId="4E7F42E3">
            <w:pPr>
              <w:keepNext w:val="0"/>
              <w:keepLines w:val="0"/>
              <w:widowControl/>
              <w:suppressLineNumbers w:val="0"/>
              <w:ind w:left="0" w:leftChars="0" w:firstLine="480" w:firstLineChars="200"/>
              <w:jc w:val="left"/>
              <w:rPr>
                <w:color w:val="auto"/>
                <w:highlight w:val="none"/>
              </w:rPr>
            </w:pPr>
            <w:r>
              <w:rPr>
                <w:rFonts w:hint="eastAsia" w:ascii="宋体" w:hAnsi="宋体" w:eastAsia="宋体" w:cs="宋体"/>
                <w:color w:val="auto"/>
                <w:kern w:val="0"/>
                <w:sz w:val="24"/>
                <w:szCs w:val="24"/>
                <w:lang w:val="en-US" w:eastAsia="zh-CN" w:bidi="ar"/>
              </w:rPr>
              <w:t>本</w:t>
            </w:r>
            <w:r>
              <w:rPr>
                <w:rFonts w:hint="eastAsia"/>
                <w:color w:val="auto"/>
                <w:kern w:val="0"/>
                <w:lang w:val="en-US" w:eastAsia="zh-CN"/>
              </w:rPr>
              <w:t>项目</w:t>
            </w:r>
            <w:r>
              <w:rPr>
                <w:rFonts w:hint="eastAsia"/>
                <w:color w:val="auto"/>
                <w:kern w:val="0"/>
                <w:lang w:val="en-US" w:eastAsia="zh-CN"/>
              </w:rPr>
              <w:t>脱硫用水、</w:t>
            </w:r>
            <w:r>
              <w:rPr>
                <w:rFonts w:hint="eastAsia"/>
                <w:color w:val="auto"/>
                <w:kern w:val="0"/>
                <w:lang w:val="en-US" w:eastAsia="zh-CN"/>
              </w:rPr>
              <w:t>冷却用水、水浴除尘用水循环使用，少量用于厂区道路洒水降尘；项目所用能源主要利用恒生镁业公司副产荒煤气，以及少量</w:t>
            </w:r>
            <w:r>
              <w:rPr>
                <w:rFonts w:hint="eastAsia" w:ascii="宋体" w:hAnsi="宋体" w:eastAsia="宋体" w:cs="宋体"/>
                <w:color w:val="auto"/>
                <w:kern w:val="0"/>
                <w:sz w:val="24"/>
                <w:szCs w:val="24"/>
                <w:highlight w:val="none"/>
                <w:lang w:val="en-US" w:eastAsia="zh-CN" w:bidi="ar"/>
              </w:rPr>
              <w:t>天然气</w:t>
            </w:r>
            <w:r>
              <w:rPr>
                <w:rFonts w:hint="eastAsia" w:ascii="宋体" w:hAnsi="宋体" w:cs="宋体"/>
                <w:color w:val="auto"/>
                <w:kern w:val="0"/>
                <w:sz w:val="24"/>
                <w:szCs w:val="24"/>
                <w:highlight w:val="none"/>
                <w:lang w:val="en-US" w:eastAsia="zh-CN" w:bidi="ar"/>
              </w:rPr>
              <w:t>和电；</w:t>
            </w:r>
            <w:r>
              <w:rPr>
                <w:rFonts w:hint="eastAsia" w:ascii="宋体" w:hAnsi="宋体" w:eastAsia="宋体" w:cs="宋体"/>
                <w:color w:val="auto"/>
                <w:kern w:val="0"/>
                <w:sz w:val="24"/>
                <w:szCs w:val="24"/>
                <w:highlight w:val="none"/>
                <w:lang w:val="en-US" w:eastAsia="zh-CN" w:bidi="ar"/>
              </w:rPr>
              <w:t>项目运营过程中资源和能源</w:t>
            </w:r>
            <w:r>
              <w:rPr>
                <w:rFonts w:hint="eastAsia" w:ascii="宋体" w:hAnsi="宋体" w:cs="宋体"/>
                <w:color w:val="auto"/>
                <w:kern w:val="0"/>
                <w:sz w:val="24"/>
                <w:szCs w:val="24"/>
                <w:highlight w:val="none"/>
                <w:lang w:val="en-US" w:eastAsia="zh-CN" w:bidi="ar"/>
              </w:rPr>
              <w:t>部分实现再利用，资源利用合理</w:t>
            </w:r>
            <w:r>
              <w:rPr>
                <w:rFonts w:hint="eastAsia" w:ascii="宋体" w:hAnsi="宋体" w:eastAsia="宋体" w:cs="宋体"/>
                <w:color w:val="auto"/>
                <w:kern w:val="0"/>
                <w:sz w:val="24"/>
                <w:szCs w:val="24"/>
                <w:highlight w:val="none"/>
                <w:lang w:val="en-US" w:eastAsia="zh-CN" w:bidi="ar"/>
              </w:rPr>
              <w:t xml:space="preserve">，不触及资源利用上线。 </w:t>
            </w:r>
          </w:p>
          <w:p w14:paraId="3D73F24F">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④环境准入负面清单 </w:t>
            </w:r>
          </w:p>
          <w:p w14:paraId="405BCF7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经过与《市场准</w:t>
            </w:r>
            <w:r>
              <w:rPr>
                <w:rFonts w:hint="eastAsia" w:ascii="宋体" w:hAnsi="宋体" w:eastAsia="宋体" w:cs="宋体"/>
                <w:color w:val="auto"/>
                <w:kern w:val="0"/>
                <w:sz w:val="24"/>
                <w:szCs w:val="24"/>
                <w:highlight w:val="none"/>
                <w:lang w:val="en-US" w:eastAsia="zh-CN" w:bidi="ar"/>
              </w:rPr>
              <w:t>入负面清单</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年版</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 xml:space="preserve">、《陕西省国家重点生态功 </w:t>
            </w:r>
          </w:p>
          <w:p w14:paraId="2BBE625F">
            <w:pPr>
              <w:keepNext w:val="0"/>
              <w:keepLines w:val="0"/>
              <w:widowControl/>
              <w:suppressLineNumbers w:val="0"/>
              <w:ind w:left="0" w:leftChars="0" w:firstLine="0" w:firstLineChars="0"/>
              <w:jc w:val="left"/>
              <w:rPr>
                <w:color w:val="auto"/>
              </w:rPr>
            </w:pPr>
            <w:r>
              <w:rPr>
                <w:rFonts w:hint="eastAsia" w:ascii="宋体" w:hAnsi="宋体" w:eastAsia="宋体" w:cs="宋体"/>
                <w:color w:val="auto"/>
                <w:kern w:val="0"/>
                <w:sz w:val="24"/>
                <w:szCs w:val="24"/>
                <w:lang w:val="en-US" w:eastAsia="zh-CN" w:bidi="ar"/>
              </w:rPr>
              <w:t>能区产业准入负面清单》</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陕发改规划〔</w:t>
            </w:r>
            <w:r>
              <w:rPr>
                <w:rFonts w:hint="default" w:ascii="Times New Roman" w:hAnsi="Times New Roman" w:eastAsia="宋体" w:cs="Times New Roman"/>
                <w:color w:val="auto"/>
                <w:kern w:val="0"/>
                <w:sz w:val="24"/>
                <w:szCs w:val="24"/>
                <w:lang w:val="en-US" w:eastAsia="zh-CN" w:bidi="ar"/>
              </w:rPr>
              <w:t>2018</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213 </w:t>
            </w:r>
            <w:r>
              <w:rPr>
                <w:rFonts w:hint="eastAsia" w:ascii="宋体" w:hAnsi="宋体" w:eastAsia="宋体" w:cs="宋体"/>
                <w:color w:val="auto"/>
                <w:kern w:val="0"/>
                <w:sz w:val="24"/>
                <w:szCs w:val="24"/>
                <w:lang w:val="en-US" w:eastAsia="zh-CN" w:bidi="ar"/>
              </w:rPr>
              <w:t>号</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中佳县相关内容</w:t>
            </w:r>
            <w:r>
              <w:rPr>
                <w:rFonts w:hint="eastAsia" w:ascii="宋体" w:hAnsi="宋体" w:eastAsia="宋体" w:cs="宋体"/>
                <w:color w:val="auto"/>
                <w:kern w:val="0"/>
                <w:sz w:val="24"/>
                <w:szCs w:val="24"/>
                <w:lang w:val="en-US" w:eastAsia="zh-CN" w:bidi="ar"/>
              </w:rPr>
              <w:t xml:space="preserve">对照分析，本项目不在该负面清单中，符合环境准入要求。 </w:t>
            </w:r>
          </w:p>
          <w:p w14:paraId="0928516B">
            <w:pPr>
              <w:keepNext w:val="0"/>
              <w:keepLines w:val="0"/>
              <w:widowControl/>
              <w:suppressLineNumbers w:val="0"/>
              <w:jc w:val="left"/>
              <w:rPr>
                <w:color w:val="auto"/>
              </w:rPr>
            </w:pPr>
            <w:r>
              <w:rPr>
                <w:rFonts w:hint="default" w:ascii="Times New Roman" w:hAnsi="Times New Roman" w:eastAsia="宋体" w:cs="Times New Roman"/>
                <w:b/>
                <w:bCs/>
                <w:color w:val="auto"/>
                <w:kern w:val="0"/>
                <w:sz w:val="24"/>
                <w:szCs w:val="24"/>
                <w:lang w:val="en-US" w:eastAsia="zh-CN" w:bidi="ar"/>
              </w:rPr>
              <w:t>3</w:t>
            </w:r>
            <w:r>
              <w:rPr>
                <w:rFonts w:hint="eastAsia" w:ascii="宋体" w:hAnsi="宋体" w:eastAsia="宋体" w:cs="宋体"/>
                <w:b/>
                <w:bCs/>
                <w:color w:val="auto"/>
                <w:kern w:val="0"/>
                <w:sz w:val="24"/>
                <w:szCs w:val="24"/>
                <w:lang w:val="en-US" w:eastAsia="zh-CN" w:bidi="ar"/>
              </w:rPr>
              <w:t xml:space="preserve">、“多规合一”符合性分析 </w:t>
            </w:r>
          </w:p>
          <w:p w14:paraId="2C06BCF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根据榆林市人民政府办公室关于印发《榆林市“多规合一”工作管理办法的通知》（榆政发〔</w:t>
            </w:r>
            <w:r>
              <w:rPr>
                <w:rFonts w:hint="default" w:ascii="Times New Roman" w:hAnsi="Times New Roman" w:eastAsia="宋体" w:cs="Times New Roman"/>
                <w:color w:val="auto"/>
                <w:kern w:val="0"/>
                <w:sz w:val="24"/>
                <w:szCs w:val="24"/>
                <w:lang w:val="en-US" w:eastAsia="zh-CN" w:bidi="ar"/>
              </w:rPr>
              <w:t>2016</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40 </w:t>
            </w:r>
            <w:r>
              <w:rPr>
                <w:rFonts w:hint="eastAsia" w:ascii="宋体" w:hAnsi="宋体" w:eastAsia="宋体" w:cs="宋体"/>
                <w:color w:val="auto"/>
                <w:kern w:val="0"/>
                <w:sz w:val="24"/>
                <w:szCs w:val="24"/>
                <w:lang w:val="en-US" w:eastAsia="zh-CN" w:bidi="ar"/>
              </w:rPr>
              <w:t>号）中相关规定，项目</w:t>
            </w:r>
            <w:r>
              <w:rPr>
                <w:rFonts w:hint="eastAsia" w:ascii="宋体" w:hAnsi="宋体" w:cs="宋体"/>
                <w:color w:val="auto"/>
                <w:kern w:val="0"/>
                <w:sz w:val="24"/>
                <w:szCs w:val="24"/>
                <w:lang w:val="en-US" w:eastAsia="zh-CN" w:bidi="ar"/>
              </w:rPr>
              <w:t>已</w:t>
            </w:r>
            <w:r>
              <w:rPr>
                <w:rFonts w:hint="eastAsia" w:ascii="宋体" w:hAnsi="宋体" w:eastAsia="宋体" w:cs="宋体"/>
                <w:color w:val="auto"/>
                <w:kern w:val="0"/>
                <w:sz w:val="24"/>
                <w:szCs w:val="24"/>
                <w:lang w:val="en-US" w:eastAsia="zh-CN" w:bidi="ar"/>
              </w:rPr>
              <w:t>取得《榆林市投资建设项目选址“一张图”控制线检测报告》（编号：</w:t>
            </w:r>
            <w:r>
              <w:rPr>
                <w:rFonts w:hint="default" w:ascii="Times New Roman" w:hAnsi="Times New Roman" w:eastAsia="宋体" w:cs="Times New Roman"/>
                <w:color w:val="auto"/>
                <w:kern w:val="0"/>
                <w:sz w:val="24"/>
                <w:szCs w:val="24"/>
                <w:lang w:val="en-US" w:eastAsia="zh-CN" w:bidi="ar"/>
              </w:rPr>
              <w:t>2025</w:t>
            </w:r>
            <w:r>
              <w:rPr>
                <w:rFonts w:hint="eastAsia" w:ascii="宋体" w:hAnsi="宋体" w:eastAsia="宋体" w:cs="宋体"/>
                <w:color w:val="auto"/>
                <w:kern w:val="0"/>
                <w:sz w:val="24"/>
                <w:szCs w:val="24"/>
                <w:lang w:val="en-US" w:eastAsia="zh-CN" w:bidi="ar"/>
              </w:rPr>
              <w:t>（</w:t>
            </w:r>
            <w:r>
              <w:rPr>
                <w:rFonts w:hint="eastAsia" w:cs="Times New Roman"/>
                <w:color w:val="auto"/>
                <w:kern w:val="0"/>
                <w:sz w:val="24"/>
                <w:szCs w:val="24"/>
                <w:lang w:val="en-US" w:eastAsia="zh-CN" w:bidi="ar"/>
              </w:rPr>
              <w:t>2566</w:t>
            </w:r>
            <w:r>
              <w:rPr>
                <w:rFonts w:hint="eastAsia" w:ascii="宋体" w:hAnsi="宋体" w:eastAsia="宋体" w:cs="宋体"/>
                <w:color w:val="auto"/>
                <w:kern w:val="0"/>
                <w:sz w:val="24"/>
                <w:szCs w:val="24"/>
                <w:lang w:val="en-US" w:eastAsia="zh-CN" w:bidi="ar"/>
              </w:rPr>
              <w:t xml:space="preserve">号），见附件）。项目与榆林市“多规合一”控制线检测符合性见表 </w:t>
            </w:r>
            <w:r>
              <w:rPr>
                <w:rFonts w:hint="default" w:ascii="Times New Roman" w:hAnsi="Times New Roman" w:eastAsia="宋体" w:cs="Times New Roman"/>
                <w:color w:val="auto"/>
                <w:kern w:val="0"/>
                <w:sz w:val="24"/>
                <w:szCs w:val="24"/>
                <w:lang w:val="en-US" w:eastAsia="zh-CN" w:bidi="ar"/>
              </w:rPr>
              <w:t>1-3</w:t>
            </w:r>
            <w:r>
              <w:rPr>
                <w:rFonts w:hint="eastAsia" w:ascii="宋体" w:hAnsi="宋体" w:eastAsia="宋体" w:cs="宋体"/>
                <w:color w:val="auto"/>
                <w:kern w:val="0"/>
                <w:sz w:val="24"/>
                <w:szCs w:val="24"/>
                <w:lang w:val="en-US" w:eastAsia="zh-CN" w:bidi="ar"/>
              </w:rPr>
              <w:t xml:space="preserve">。 </w:t>
            </w:r>
          </w:p>
          <w:p w14:paraId="238E9052">
            <w:pPr>
              <w:keepNext w:val="0"/>
              <w:keepLines w:val="0"/>
              <w:widowControl/>
              <w:suppressLineNumbers w:val="0"/>
              <w:ind w:left="0" w:leftChars="0" w:firstLine="0" w:firstLineChars="0"/>
              <w:jc w:val="center"/>
              <w:rPr>
                <w:rFonts w:hint="eastAsia" w:ascii="黑体" w:hAnsi="黑体" w:eastAsia="黑体" w:cs="黑体"/>
                <w:b w:val="0"/>
                <w:bCs w:val="0"/>
                <w:color w:val="auto"/>
              </w:rPr>
            </w:pPr>
            <w:r>
              <w:rPr>
                <w:rFonts w:hint="eastAsia" w:ascii="黑体" w:hAnsi="黑体" w:eastAsia="黑体" w:cs="黑体"/>
                <w:b w:val="0"/>
                <w:bCs w:val="0"/>
                <w:color w:val="auto"/>
                <w:kern w:val="0"/>
                <w:sz w:val="24"/>
                <w:szCs w:val="24"/>
                <w:lang w:val="en-US" w:eastAsia="zh-CN" w:bidi="ar"/>
              </w:rPr>
              <w:t>表1-3 项目与榆林市“多规合一”符合性分析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595"/>
              <w:gridCol w:w="2596"/>
            </w:tblGrid>
            <w:tr w14:paraId="3490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596" w:type="dxa"/>
                  <w:vAlign w:val="center"/>
                </w:tcPr>
                <w:p w14:paraId="54C83700">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eastAsia="宋体" w:cs="宋体"/>
                      <w:b/>
                      <w:bCs/>
                      <w:color w:val="auto"/>
                      <w:kern w:val="0"/>
                      <w:sz w:val="21"/>
                      <w:szCs w:val="21"/>
                      <w:lang w:val="en-US" w:eastAsia="zh-CN" w:bidi="ar"/>
                    </w:rPr>
                    <w:t>控制线名称</w:t>
                  </w:r>
                </w:p>
              </w:tc>
              <w:tc>
                <w:tcPr>
                  <w:tcW w:w="2595" w:type="dxa"/>
                  <w:vAlign w:val="center"/>
                </w:tcPr>
                <w:p w14:paraId="028CEE5F">
                  <w:pPr>
                    <w:keepNext w:val="0"/>
                    <w:keepLines w:val="0"/>
                    <w:widowControl/>
                    <w:suppressLineNumbers w:val="0"/>
                    <w:ind w:left="0" w:leftChars="0" w:firstLine="0" w:firstLineChars="0"/>
                    <w:jc w:val="center"/>
                    <w:rPr>
                      <w:rFonts w:hint="default" w:ascii="宋体" w:hAnsi="宋体" w:eastAsia="宋体" w:cs="宋体"/>
                      <w:b/>
                      <w:bCs/>
                      <w:color w:val="auto"/>
                      <w:kern w:val="0"/>
                      <w:sz w:val="21"/>
                      <w:szCs w:val="21"/>
                      <w:vertAlign w:val="baseline"/>
                      <w:lang w:val="en-US" w:eastAsia="zh-CN" w:bidi="ar"/>
                    </w:rPr>
                  </w:pPr>
                  <w:r>
                    <w:rPr>
                      <w:rFonts w:hint="eastAsia" w:ascii="宋体" w:hAnsi="宋体" w:eastAsia="宋体" w:cs="宋体"/>
                      <w:b/>
                      <w:bCs/>
                      <w:color w:val="auto"/>
                      <w:kern w:val="0"/>
                      <w:sz w:val="21"/>
                      <w:szCs w:val="21"/>
                      <w:lang w:val="en-US" w:eastAsia="zh-CN" w:bidi="ar"/>
                    </w:rPr>
                    <w:t>检测结果</w:t>
                  </w:r>
                  <w:r>
                    <w:rPr>
                      <w:rFonts w:hint="eastAsia" w:ascii="宋体" w:hAnsi="宋体" w:cs="宋体"/>
                      <w:b/>
                      <w:bCs/>
                      <w:color w:val="auto"/>
                      <w:kern w:val="0"/>
                      <w:sz w:val="21"/>
                      <w:szCs w:val="21"/>
                      <w:lang w:val="en-US" w:eastAsia="zh-CN" w:bidi="ar"/>
                    </w:rPr>
                    <w:t>及意见</w:t>
                  </w:r>
                </w:p>
              </w:tc>
              <w:tc>
                <w:tcPr>
                  <w:tcW w:w="2596" w:type="dxa"/>
                  <w:vAlign w:val="center"/>
                </w:tcPr>
                <w:p w14:paraId="767A8593">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eastAsia="宋体" w:cs="宋体"/>
                      <w:b/>
                      <w:bCs/>
                      <w:color w:val="auto"/>
                      <w:kern w:val="0"/>
                      <w:sz w:val="21"/>
                      <w:szCs w:val="21"/>
                      <w:lang w:val="en-US" w:eastAsia="zh-CN" w:bidi="ar"/>
                    </w:rPr>
                    <w:t>符合性</w:t>
                  </w:r>
                </w:p>
              </w:tc>
            </w:tr>
            <w:tr w14:paraId="36EF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Align w:val="center"/>
                </w:tcPr>
                <w:p w14:paraId="24DDD90C">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color w:val="auto"/>
                      <w:sz w:val="21"/>
                      <w:szCs w:val="21"/>
                    </w:rPr>
                    <w:t>文物保护线分析</w:t>
                  </w:r>
                </w:p>
              </w:tc>
              <w:tc>
                <w:tcPr>
                  <w:tcW w:w="2595" w:type="dxa"/>
                  <w:vAlign w:val="center"/>
                </w:tcPr>
                <w:p w14:paraId="2E885F77">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不涉及</w:t>
                  </w:r>
                </w:p>
              </w:tc>
              <w:tc>
                <w:tcPr>
                  <w:tcW w:w="2596" w:type="dxa"/>
                  <w:vAlign w:val="center"/>
                </w:tcPr>
                <w:p w14:paraId="7674F9CD">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符合</w:t>
                  </w:r>
                </w:p>
              </w:tc>
            </w:tr>
            <w:tr w14:paraId="6475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96" w:type="dxa"/>
                  <w:vAlign w:val="center"/>
                </w:tcPr>
                <w:p w14:paraId="000C358D">
                  <w:pPr>
                    <w:keepNext w:val="0"/>
                    <w:keepLines w:val="0"/>
                    <w:widowControl/>
                    <w:suppressLineNumbers w:val="0"/>
                    <w:ind w:left="0" w:leftChars="0" w:firstLine="0" w:firstLineChars="0"/>
                    <w:jc w:val="center"/>
                    <w:rPr>
                      <w:rFonts w:hint="eastAsia"/>
                      <w:color w:val="auto"/>
                      <w:sz w:val="21"/>
                      <w:szCs w:val="21"/>
                    </w:rPr>
                  </w:pPr>
                  <w:r>
                    <w:rPr>
                      <w:rFonts w:hint="eastAsia"/>
                      <w:color w:val="auto"/>
                      <w:sz w:val="21"/>
                      <w:szCs w:val="21"/>
                    </w:rPr>
                    <w:t>生态保护红线分析</w:t>
                  </w:r>
                </w:p>
              </w:tc>
              <w:tc>
                <w:tcPr>
                  <w:tcW w:w="2595" w:type="dxa"/>
                  <w:vAlign w:val="center"/>
                </w:tcPr>
                <w:p w14:paraId="3C59EAC0">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不涉及</w:t>
                  </w:r>
                </w:p>
              </w:tc>
              <w:tc>
                <w:tcPr>
                  <w:tcW w:w="2596" w:type="dxa"/>
                  <w:vAlign w:val="center"/>
                </w:tcPr>
                <w:p w14:paraId="46EE29E7">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符合</w:t>
                  </w:r>
                </w:p>
              </w:tc>
            </w:tr>
            <w:tr w14:paraId="1869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Align w:val="center"/>
                </w:tcPr>
                <w:p w14:paraId="461ED887">
                  <w:pPr>
                    <w:keepNext w:val="0"/>
                    <w:keepLines w:val="0"/>
                    <w:widowControl/>
                    <w:suppressLineNumbers w:val="0"/>
                    <w:ind w:left="0" w:leftChars="0" w:firstLine="0" w:firstLineChars="0"/>
                    <w:jc w:val="center"/>
                    <w:rPr>
                      <w:rFonts w:hint="eastAsia"/>
                      <w:color w:val="auto"/>
                      <w:sz w:val="21"/>
                      <w:szCs w:val="21"/>
                    </w:rPr>
                  </w:pPr>
                  <w:r>
                    <w:rPr>
                      <w:rFonts w:hint="eastAsia"/>
                      <w:color w:val="auto"/>
                      <w:sz w:val="21"/>
                      <w:szCs w:val="21"/>
                    </w:rPr>
                    <w:t>永久基本农田分析</w:t>
                  </w:r>
                </w:p>
              </w:tc>
              <w:tc>
                <w:tcPr>
                  <w:tcW w:w="2595" w:type="dxa"/>
                  <w:vAlign w:val="center"/>
                </w:tcPr>
                <w:p w14:paraId="0EA17BF9">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不涉及</w:t>
                  </w:r>
                </w:p>
              </w:tc>
              <w:tc>
                <w:tcPr>
                  <w:tcW w:w="2596" w:type="dxa"/>
                  <w:vAlign w:val="center"/>
                </w:tcPr>
                <w:p w14:paraId="602E8A16">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符合</w:t>
                  </w:r>
                </w:p>
              </w:tc>
            </w:tr>
            <w:tr w14:paraId="0891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Align w:val="center"/>
                </w:tcPr>
                <w:p w14:paraId="00EB3D2D">
                  <w:pPr>
                    <w:keepNext w:val="0"/>
                    <w:keepLines w:val="0"/>
                    <w:widowControl/>
                    <w:suppressLineNumbers w:val="0"/>
                    <w:ind w:left="0" w:leftChars="0" w:firstLine="0" w:firstLineChars="0"/>
                    <w:jc w:val="center"/>
                    <w:rPr>
                      <w:rFonts w:hint="eastAsia"/>
                      <w:color w:val="auto"/>
                      <w:sz w:val="21"/>
                      <w:szCs w:val="21"/>
                    </w:rPr>
                  </w:pPr>
                  <w:r>
                    <w:rPr>
                      <w:rFonts w:hint="eastAsia"/>
                      <w:color w:val="auto"/>
                      <w:sz w:val="21"/>
                      <w:szCs w:val="21"/>
                    </w:rPr>
                    <w:t>电磁环境保护区分析</w:t>
                  </w:r>
                </w:p>
              </w:tc>
              <w:tc>
                <w:tcPr>
                  <w:tcW w:w="2595" w:type="dxa"/>
                  <w:vAlign w:val="center"/>
                </w:tcPr>
                <w:p w14:paraId="09EB24D5">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不涉及</w:t>
                  </w:r>
                </w:p>
              </w:tc>
              <w:tc>
                <w:tcPr>
                  <w:tcW w:w="2596" w:type="dxa"/>
                  <w:vAlign w:val="center"/>
                </w:tcPr>
                <w:p w14:paraId="6BD52CE7">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符合</w:t>
                  </w:r>
                </w:p>
              </w:tc>
            </w:tr>
            <w:tr w14:paraId="416C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Align w:val="center"/>
                </w:tcPr>
                <w:p w14:paraId="65CED2DF">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color w:val="auto"/>
                      <w:sz w:val="21"/>
                      <w:szCs w:val="21"/>
                    </w:rPr>
                    <w:t>土地利用现状分析</w:t>
                  </w:r>
                </w:p>
              </w:tc>
              <w:tc>
                <w:tcPr>
                  <w:tcW w:w="2595" w:type="dxa"/>
                  <w:vAlign w:val="center"/>
                </w:tcPr>
                <w:p w14:paraId="206A51EC">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占用</w:t>
                  </w:r>
                  <w:r>
                    <w:rPr>
                      <w:rFonts w:hint="eastAsia" w:cs="Times New Roman"/>
                      <w:b w:val="0"/>
                      <w:bCs w:val="0"/>
                      <w:color w:val="auto"/>
                      <w:kern w:val="0"/>
                      <w:sz w:val="21"/>
                      <w:szCs w:val="21"/>
                      <w:vertAlign w:val="baseline"/>
                      <w:lang w:val="en-US" w:eastAsia="zh-CN" w:bidi="ar"/>
                    </w:rPr>
                    <w:t>工业用</w:t>
                  </w:r>
                  <w:r>
                    <w:rPr>
                      <w:rFonts w:hint="default" w:ascii="Times New Roman" w:hAnsi="Times New Roman" w:cs="Times New Roman"/>
                      <w:b w:val="0"/>
                      <w:bCs w:val="0"/>
                      <w:color w:val="auto"/>
                      <w:kern w:val="0"/>
                      <w:sz w:val="21"/>
                      <w:szCs w:val="21"/>
                      <w:vertAlign w:val="baseline"/>
                      <w:lang w:val="en-US" w:eastAsia="zh-CN" w:bidi="ar"/>
                    </w:rPr>
                    <w:t>地2.</w:t>
                  </w:r>
                  <w:r>
                    <w:rPr>
                      <w:rFonts w:hint="eastAsia" w:cs="Times New Roman"/>
                      <w:b w:val="0"/>
                      <w:bCs w:val="0"/>
                      <w:color w:val="auto"/>
                      <w:kern w:val="0"/>
                      <w:sz w:val="21"/>
                      <w:szCs w:val="21"/>
                      <w:vertAlign w:val="baseline"/>
                      <w:lang w:val="en-US" w:eastAsia="zh-CN" w:bidi="ar"/>
                    </w:rPr>
                    <w:t>5982</w:t>
                  </w:r>
                  <w:r>
                    <w:rPr>
                      <w:rFonts w:hint="default" w:ascii="Times New Roman" w:hAnsi="Times New Roman" w:cs="Times New Roman"/>
                      <w:b w:val="0"/>
                      <w:bCs w:val="0"/>
                      <w:color w:val="auto"/>
                      <w:kern w:val="0"/>
                      <w:sz w:val="21"/>
                      <w:szCs w:val="21"/>
                      <w:vertAlign w:val="baseline"/>
                      <w:lang w:val="en-US" w:eastAsia="zh-CN" w:bidi="ar"/>
                    </w:rPr>
                    <w:t>hm</w:t>
                  </w:r>
                  <w:r>
                    <w:rPr>
                      <w:rFonts w:hint="default" w:ascii="Times New Roman" w:hAnsi="Times New Roman" w:cs="Times New Roman"/>
                      <w:b w:val="0"/>
                      <w:bCs w:val="0"/>
                      <w:color w:val="auto"/>
                      <w:kern w:val="0"/>
                      <w:sz w:val="21"/>
                      <w:szCs w:val="21"/>
                      <w:vertAlign w:val="superscript"/>
                      <w:lang w:val="en-US" w:eastAsia="zh-CN" w:bidi="ar"/>
                    </w:rPr>
                    <w:t>2</w:t>
                  </w:r>
                </w:p>
              </w:tc>
              <w:tc>
                <w:tcPr>
                  <w:tcW w:w="2596" w:type="dxa"/>
                  <w:vAlign w:val="center"/>
                </w:tcPr>
                <w:p w14:paraId="5EC7F4B8">
                  <w:pPr>
                    <w:keepNext w:val="0"/>
                    <w:keepLines w:val="0"/>
                    <w:widowControl/>
                    <w:suppressLineNumbers w:val="0"/>
                    <w:ind w:left="0" w:leftChars="0" w:firstLine="0" w:firstLineChars="0"/>
                    <w:jc w:val="center"/>
                    <w:rPr>
                      <w:rFonts w:hint="default" w:ascii="宋体" w:hAnsi="宋体" w:eastAsia="宋体" w:cs="宋体"/>
                      <w:b/>
                      <w:bCs/>
                      <w:color w:val="auto"/>
                      <w:kern w:val="0"/>
                      <w:sz w:val="21"/>
                      <w:szCs w:val="21"/>
                      <w:vertAlign w:val="baseline"/>
                      <w:lang w:val="en-US" w:eastAsia="zh-CN" w:bidi="ar"/>
                    </w:rPr>
                  </w:pPr>
                  <w:r>
                    <w:rPr>
                      <w:rFonts w:hint="eastAsia" w:ascii="Times New Roman" w:hAnsi="Times New Roman" w:cs="Times New Roman"/>
                      <w:b w:val="0"/>
                      <w:bCs w:val="0"/>
                      <w:color w:val="auto"/>
                      <w:kern w:val="0"/>
                      <w:sz w:val="21"/>
                      <w:szCs w:val="21"/>
                      <w:vertAlign w:val="baseline"/>
                      <w:lang w:val="en-US" w:eastAsia="zh-CN" w:bidi="ar"/>
                    </w:rPr>
                    <w:t>符合</w:t>
                  </w:r>
                </w:p>
              </w:tc>
            </w:tr>
            <w:tr w14:paraId="2623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Align w:val="center"/>
                </w:tcPr>
                <w:p w14:paraId="0641816C">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color w:val="auto"/>
                      <w:sz w:val="21"/>
                      <w:szCs w:val="21"/>
                    </w:rPr>
                    <w:t>林地规划分析</w:t>
                  </w:r>
                </w:p>
              </w:tc>
              <w:tc>
                <w:tcPr>
                  <w:tcW w:w="2595" w:type="dxa"/>
                  <w:vAlign w:val="center"/>
                </w:tcPr>
                <w:p w14:paraId="4CCFAD74">
                  <w:pPr>
                    <w:keepNext w:val="0"/>
                    <w:keepLines w:val="0"/>
                    <w:widowControl/>
                    <w:suppressLineNumbers w:val="0"/>
                    <w:ind w:left="0" w:leftChars="0" w:firstLine="0" w:firstLine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占用林地2.4867hm</w:t>
                  </w:r>
                  <w:r>
                    <w:rPr>
                      <w:rFonts w:hint="default" w:ascii="Times New Roman" w:hAnsi="Times New Roman" w:cs="Times New Roman"/>
                      <w:b w:val="0"/>
                      <w:bCs w:val="0"/>
                      <w:color w:val="auto"/>
                      <w:kern w:val="0"/>
                      <w:sz w:val="21"/>
                      <w:szCs w:val="21"/>
                      <w:vertAlign w:val="superscript"/>
                      <w:lang w:val="en-US" w:eastAsia="zh-CN" w:bidi="ar"/>
                    </w:rPr>
                    <w:t>2</w:t>
                  </w:r>
                </w:p>
              </w:tc>
              <w:tc>
                <w:tcPr>
                  <w:tcW w:w="2596" w:type="dxa"/>
                  <w:vAlign w:val="center"/>
                </w:tcPr>
                <w:p w14:paraId="5E1D6429">
                  <w:pPr>
                    <w:keepNext w:val="0"/>
                    <w:keepLines w:val="0"/>
                    <w:widowControl/>
                    <w:suppressLineNumbers w:val="0"/>
                    <w:ind w:left="0" w:leftChars="0" w:firstLine="0" w:firstLine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kern w:val="0"/>
                      <w:sz w:val="21"/>
                      <w:szCs w:val="21"/>
                      <w:vertAlign w:val="baseline"/>
                      <w:lang w:val="en-US" w:eastAsia="zh-CN" w:bidi="ar"/>
                    </w:rPr>
                    <w:t>符合</w:t>
                  </w:r>
                </w:p>
              </w:tc>
            </w:tr>
            <w:tr w14:paraId="505A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Align w:val="center"/>
                </w:tcPr>
                <w:p w14:paraId="5F1223C9">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color w:val="auto"/>
                      <w:sz w:val="21"/>
                      <w:szCs w:val="21"/>
                    </w:rPr>
                    <w:t>矿业权现</w:t>
                  </w:r>
                  <w:r>
                    <w:rPr>
                      <w:rFonts w:hint="eastAsia"/>
                      <w:color w:val="auto"/>
                      <w:sz w:val="21"/>
                      <w:szCs w:val="21"/>
                      <w:highlight w:val="none"/>
                    </w:rPr>
                    <w:t>状2023</w:t>
                  </w:r>
                  <w:r>
                    <w:rPr>
                      <w:rFonts w:hint="eastAsia"/>
                      <w:color w:val="auto"/>
                      <w:sz w:val="21"/>
                      <w:szCs w:val="21"/>
                    </w:rPr>
                    <w:t>分析</w:t>
                  </w:r>
                </w:p>
              </w:tc>
              <w:tc>
                <w:tcPr>
                  <w:tcW w:w="2595" w:type="dxa"/>
                  <w:vAlign w:val="center"/>
                </w:tcPr>
                <w:p w14:paraId="0AB8B08D">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不涉及</w:t>
                  </w:r>
                </w:p>
              </w:tc>
              <w:tc>
                <w:tcPr>
                  <w:tcW w:w="2596" w:type="dxa"/>
                  <w:vAlign w:val="center"/>
                </w:tcPr>
                <w:p w14:paraId="1F19B298">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符合</w:t>
                  </w:r>
                </w:p>
              </w:tc>
            </w:tr>
            <w:tr w14:paraId="08E1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6" w:type="dxa"/>
                  <w:vAlign w:val="center"/>
                </w:tcPr>
                <w:p w14:paraId="18F0518B">
                  <w:pPr>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vertAlign w:val="baseline"/>
                      <w:lang w:val="en-US" w:eastAsia="zh-CN" w:bidi="ar"/>
                    </w:rPr>
                  </w:pPr>
                  <w:r>
                    <w:rPr>
                      <w:rFonts w:hint="eastAsia"/>
                      <w:color w:val="auto"/>
                      <w:sz w:val="21"/>
                      <w:szCs w:val="21"/>
                    </w:rPr>
                    <w:t>榆阳机场净空区域分析</w:t>
                  </w:r>
                </w:p>
              </w:tc>
              <w:tc>
                <w:tcPr>
                  <w:tcW w:w="2595" w:type="dxa"/>
                  <w:vAlign w:val="center"/>
                </w:tcPr>
                <w:p w14:paraId="5E43D5B4">
                  <w:pPr>
                    <w:keepNext w:val="0"/>
                    <w:keepLines w:val="0"/>
                    <w:widowControl/>
                    <w:suppressLineNumbers w:val="0"/>
                    <w:ind w:left="0" w:leftChars="0" w:firstLine="0" w:firstLineChars="0"/>
                    <w:jc w:val="center"/>
                    <w:rPr>
                      <w:rFonts w:hint="default"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不涉及</w:t>
                  </w:r>
                </w:p>
              </w:tc>
              <w:tc>
                <w:tcPr>
                  <w:tcW w:w="2596" w:type="dxa"/>
                  <w:vAlign w:val="center"/>
                </w:tcPr>
                <w:p w14:paraId="1800C439">
                  <w:pPr>
                    <w:keepNext w:val="0"/>
                    <w:keepLines w:val="0"/>
                    <w:widowControl/>
                    <w:suppressLineNumbers w:val="0"/>
                    <w:ind w:left="0" w:leftChars="0" w:firstLine="0" w:firstLineChars="0"/>
                    <w:jc w:val="center"/>
                    <w:rPr>
                      <w:rFonts w:hint="default" w:ascii="宋体" w:hAnsi="宋体" w:eastAsia="宋体" w:cs="宋体"/>
                      <w:b/>
                      <w:bCs/>
                      <w:color w:val="auto"/>
                      <w:kern w:val="0"/>
                      <w:sz w:val="21"/>
                      <w:szCs w:val="21"/>
                      <w:vertAlign w:val="baseline"/>
                      <w:lang w:val="en-US" w:eastAsia="zh-CN" w:bidi="ar"/>
                    </w:rPr>
                  </w:pPr>
                  <w:r>
                    <w:rPr>
                      <w:rFonts w:hint="eastAsia" w:ascii="宋体" w:hAnsi="宋体" w:cs="宋体"/>
                      <w:b w:val="0"/>
                      <w:bCs w:val="0"/>
                      <w:color w:val="auto"/>
                      <w:kern w:val="0"/>
                      <w:sz w:val="21"/>
                      <w:szCs w:val="21"/>
                      <w:vertAlign w:val="baseline"/>
                      <w:lang w:val="en-US" w:eastAsia="zh-CN" w:bidi="ar"/>
                    </w:rPr>
                    <w:t>符合</w:t>
                  </w:r>
                </w:p>
              </w:tc>
            </w:tr>
          </w:tbl>
          <w:p w14:paraId="021C3A12">
            <w:pPr>
              <w:pStyle w:val="8"/>
              <w:spacing w:after="120"/>
              <w:rPr>
                <w:color w:val="auto"/>
              </w:rPr>
            </w:pPr>
            <w:r>
              <w:rPr>
                <w:color w:val="auto"/>
              </w:rPr>
              <w:t>4</w:t>
            </w:r>
            <w:r>
              <w:rPr>
                <w:rFonts w:hint="eastAsia"/>
                <w:color w:val="auto"/>
              </w:rPr>
              <w:t>.</w:t>
            </w:r>
            <w:r>
              <w:rPr>
                <w:color w:val="auto"/>
              </w:rPr>
              <w:t>与相关环保政策符合性分析</w:t>
            </w:r>
          </w:p>
          <w:p w14:paraId="608A5345">
            <w:pPr>
              <w:ind w:firstLine="480"/>
              <w:rPr>
                <w:color w:val="auto"/>
              </w:rPr>
            </w:pPr>
            <w:r>
              <w:rPr>
                <w:rFonts w:hint="eastAsia"/>
                <w:color w:val="auto"/>
              </w:rPr>
              <w:t>本项目与</w:t>
            </w:r>
            <w:r>
              <w:rPr>
                <w:rFonts w:hint="eastAsia"/>
                <w:color w:val="auto"/>
                <w:lang w:val="en-US" w:eastAsia="zh-CN"/>
              </w:rPr>
              <w:t>相关环保</w:t>
            </w:r>
            <w:r>
              <w:rPr>
                <w:rFonts w:hint="eastAsia"/>
                <w:color w:val="auto"/>
              </w:rPr>
              <w:t>政策文件的符合性分析见下表。</w:t>
            </w:r>
          </w:p>
          <w:p w14:paraId="3BB72A13">
            <w:pPr>
              <w:pStyle w:val="42"/>
              <w:numPr>
                <w:ilvl w:val="3"/>
                <w:numId w:val="0"/>
              </w:numPr>
              <w:ind w:left="0" w:leftChars="0" w:firstLine="0" w:firstLineChars="0"/>
              <w:rPr>
                <w:color w:val="auto"/>
              </w:rPr>
            </w:pPr>
            <w:r>
              <w:rPr>
                <w:rFonts w:hint="eastAsia" w:ascii="Times New Roman" w:hAnsi="Times New Roman" w:eastAsia="黑体" w:cs="Times New Roman"/>
                <w:color w:val="auto"/>
                <w:kern w:val="2"/>
                <w:sz w:val="24"/>
                <w:szCs w:val="24"/>
                <w:lang w:val="en-US" w:eastAsia="zh-CN" w:bidi="ar-SA"/>
              </w:rPr>
              <w:t>表1-</w:t>
            </w:r>
            <w:r>
              <w:rPr>
                <w:rFonts w:hint="eastAsia" w:cs="Times New Roman"/>
                <w:color w:val="auto"/>
                <w:kern w:val="2"/>
                <w:sz w:val="24"/>
                <w:szCs w:val="24"/>
                <w:lang w:val="en-US" w:eastAsia="zh-CN" w:bidi="ar-SA"/>
              </w:rPr>
              <w:t>4</w:t>
            </w:r>
            <w:r>
              <w:rPr>
                <w:rFonts w:hint="eastAsia" w:ascii="Times New Roman" w:hAnsi="Times New Roman" w:eastAsia="黑体" w:cs="Times New Roman"/>
                <w:color w:val="auto"/>
                <w:kern w:val="2"/>
                <w:sz w:val="24"/>
                <w:szCs w:val="24"/>
                <w:lang w:val="en-US" w:eastAsia="zh-CN" w:bidi="ar-SA"/>
              </w:rPr>
              <w:t xml:space="preserve"> </w:t>
            </w:r>
            <w:r>
              <w:rPr>
                <w:rFonts w:hint="eastAsia" w:cs="Times New Roman"/>
                <w:color w:val="auto"/>
                <w:kern w:val="2"/>
                <w:sz w:val="24"/>
                <w:szCs w:val="24"/>
                <w:lang w:val="en-US" w:eastAsia="zh-CN" w:bidi="ar-SA"/>
              </w:rPr>
              <w:t xml:space="preserve"> </w:t>
            </w:r>
            <w:r>
              <w:rPr>
                <w:color w:val="auto"/>
                <w:sz w:val="24"/>
                <w:szCs w:val="24"/>
              </w:rPr>
              <w:t>项目与相关政策的符合性分析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790"/>
              <w:gridCol w:w="3406"/>
              <w:gridCol w:w="1832"/>
              <w:gridCol w:w="759"/>
            </w:tblGrid>
            <w:tr w14:paraId="2708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Align w:val="center"/>
                </w:tcPr>
                <w:p w14:paraId="7F5BE530">
                  <w:pPr>
                    <w:pStyle w:val="39"/>
                    <w:rPr>
                      <w:color w:val="auto"/>
                      <w:sz w:val="21"/>
                      <w:szCs w:val="21"/>
                    </w:rPr>
                  </w:pPr>
                  <w:r>
                    <w:rPr>
                      <w:color w:val="auto"/>
                      <w:sz w:val="21"/>
                      <w:szCs w:val="21"/>
                    </w:rPr>
                    <w:t>名称</w:t>
                  </w:r>
                </w:p>
              </w:tc>
              <w:tc>
                <w:tcPr>
                  <w:tcW w:w="2186" w:type="pct"/>
                  <w:vAlign w:val="center"/>
                </w:tcPr>
                <w:p w14:paraId="4E49E719">
                  <w:pPr>
                    <w:pStyle w:val="39"/>
                    <w:rPr>
                      <w:color w:val="auto"/>
                      <w:sz w:val="21"/>
                      <w:szCs w:val="21"/>
                    </w:rPr>
                  </w:pPr>
                  <w:r>
                    <w:rPr>
                      <w:color w:val="auto"/>
                      <w:sz w:val="21"/>
                      <w:szCs w:val="21"/>
                    </w:rPr>
                    <w:t>要求</w:t>
                  </w:r>
                </w:p>
              </w:tc>
              <w:tc>
                <w:tcPr>
                  <w:tcW w:w="1176" w:type="pct"/>
                  <w:vAlign w:val="center"/>
                </w:tcPr>
                <w:p w14:paraId="039FB797">
                  <w:pPr>
                    <w:pStyle w:val="39"/>
                    <w:rPr>
                      <w:color w:val="auto"/>
                      <w:sz w:val="21"/>
                      <w:szCs w:val="21"/>
                    </w:rPr>
                  </w:pPr>
                  <w:r>
                    <w:rPr>
                      <w:color w:val="auto"/>
                      <w:sz w:val="21"/>
                      <w:szCs w:val="21"/>
                    </w:rPr>
                    <w:t>项目情况</w:t>
                  </w:r>
                </w:p>
              </w:tc>
              <w:tc>
                <w:tcPr>
                  <w:tcW w:w="487" w:type="pct"/>
                  <w:vAlign w:val="center"/>
                </w:tcPr>
                <w:p w14:paraId="25FB97D9">
                  <w:pPr>
                    <w:pStyle w:val="39"/>
                    <w:rPr>
                      <w:color w:val="auto"/>
                      <w:sz w:val="21"/>
                      <w:szCs w:val="21"/>
                    </w:rPr>
                  </w:pPr>
                  <w:r>
                    <w:rPr>
                      <w:color w:val="auto"/>
                      <w:sz w:val="21"/>
                      <w:szCs w:val="21"/>
                    </w:rPr>
                    <w:t>符合性</w:t>
                  </w:r>
                </w:p>
              </w:tc>
            </w:tr>
            <w:tr w14:paraId="4872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restart"/>
                  <w:vAlign w:val="center"/>
                </w:tcPr>
                <w:p w14:paraId="2E8A96CF">
                  <w:pPr>
                    <w:pStyle w:val="39"/>
                    <w:wordWrap w:val="0"/>
                    <w:jc w:val="both"/>
                    <w:rPr>
                      <w:color w:val="auto"/>
                      <w:sz w:val="21"/>
                      <w:szCs w:val="21"/>
                    </w:rPr>
                  </w:pPr>
                  <w:r>
                    <w:rPr>
                      <w:rFonts w:hint="eastAsia"/>
                      <w:color w:val="auto"/>
                      <w:sz w:val="21"/>
                      <w:szCs w:val="21"/>
                      <w:lang w:val="en-US" w:eastAsia="zh-CN"/>
                    </w:rPr>
                    <w:t>《工业炉窑大气污染综合治理方案》（环大气</w:t>
                  </w:r>
                  <w:r>
                    <w:rPr>
                      <w:rFonts w:hint="default"/>
                      <w:color w:val="auto"/>
                      <w:sz w:val="21"/>
                      <w:szCs w:val="21"/>
                      <w:lang w:val="en-US" w:eastAsia="zh-CN"/>
                    </w:rPr>
                    <w:t xml:space="preserve">[2019]56 </w:t>
                  </w:r>
                  <w:r>
                    <w:rPr>
                      <w:rFonts w:hint="eastAsia"/>
                      <w:color w:val="auto"/>
                      <w:sz w:val="21"/>
                      <w:szCs w:val="21"/>
                      <w:lang w:val="en-US" w:eastAsia="zh-CN"/>
                    </w:rPr>
                    <w:t>文）</w:t>
                  </w:r>
                </w:p>
              </w:tc>
              <w:tc>
                <w:tcPr>
                  <w:tcW w:w="2186" w:type="pct"/>
                  <w:vAlign w:val="center"/>
                </w:tcPr>
                <w:p w14:paraId="0ADA6E25">
                  <w:pPr>
                    <w:pStyle w:val="39"/>
                    <w:wordWrap w:val="0"/>
                    <w:jc w:val="both"/>
                    <w:rPr>
                      <w:color w:val="auto"/>
                      <w:sz w:val="21"/>
                      <w:szCs w:val="21"/>
                    </w:rPr>
                  </w:pPr>
                  <w:r>
                    <w:rPr>
                      <w:rFonts w:hint="eastAsia"/>
                      <w:color w:val="auto"/>
                      <w:sz w:val="21"/>
                      <w:szCs w:val="21"/>
                    </w:rPr>
                    <w:t>新建涉工业炉窑的建设项目，原则上要入园区，配套建设高效环保治理设施。</w:t>
                  </w:r>
                </w:p>
              </w:tc>
              <w:tc>
                <w:tcPr>
                  <w:tcW w:w="1176" w:type="pct"/>
                  <w:vAlign w:val="center"/>
                </w:tcPr>
                <w:p w14:paraId="2F38FE3F">
                  <w:pPr>
                    <w:pStyle w:val="39"/>
                    <w:jc w:val="left"/>
                    <w:rPr>
                      <w:rFonts w:hint="default"/>
                      <w:color w:val="auto"/>
                      <w:sz w:val="21"/>
                      <w:szCs w:val="21"/>
                      <w:lang w:val="en-US"/>
                    </w:rPr>
                  </w:pPr>
                  <w:r>
                    <w:rPr>
                      <w:rFonts w:hint="eastAsia"/>
                      <w:color w:val="auto"/>
                      <w:kern w:val="0"/>
                      <w:sz w:val="21"/>
                      <w:szCs w:val="21"/>
                      <w:lang w:val="en-US" w:eastAsia="zh-CN"/>
                    </w:rPr>
                    <w:t>项目地处</w:t>
                  </w:r>
                  <w:r>
                    <w:rPr>
                      <w:rFonts w:hint="eastAsia" w:ascii="Times New Roman" w:hAnsi="Times New Roman" w:eastAsia="宋体" w:cs="Times New Roman"/>
                      <w:color w:val="auto"/>
                      <w:kern w:val="0"/>
                      <w:sz w:val="21"/>
                      <w:szCs w:val="21"/>
                      <w:lang w:val="en-US" w:eastAsia="zh-CN" w:bidi="ar"/>
                    </w:rPr>
                    <w:t>榆佳经济技术开发区</w:t>
                  </w:r>
                  <w:r>
                    <w:rPr>
                      <w:rFonts w:hint="eastAsia" w:cs="Times New Roman"/>
                      <w:color w:val="auto"/>
                      <w:kern w:val="0"/>
                      <w:sz w:val="21"/>
                      <w:szCs w:val="21"/>
                      <w:lang w:val="en-US" w:eastAsia="zh-CN" w:bidi="ar"/>
                    </w:rPr>
                    <w:t>，属于工业园区；</w:t>
                  </w:r>
                  <w:r>
                    <w:rPr>
                      <w:rFonts w:hint="eastAsia" w:ascii="Times New Roman" w:hAnsi="Times New Roman" w:eastAsia="宋体" w:cs="Times New Roman"/>
                      <w:color w:val="auto"/>
                      <w:kern w:val="0"/>
                      <w:sz w:val="21"/>
                      <w:szCs w:val="21"/>
                      <w:lang w:val="en-US" w:eastAsia="zh-CN" w:bidi="ar"/>
                    </w:rPr>
                    <w:t>项目熔炼、浇铸等废气采取布袋除尘</w:t>
                  </w:r>
                  <w:r>
                    <w:rPr>
                      <w:rFonts w:hint="eastAsia" w:cs="Times New Roman"/>
                      <w:color w:val="auto"/>
                      <w:kern w:val="0"/>
                      <w:sz w:val="21"/>
                      <w:szCs w:val="21"/>
                      <w:lang w:val="en-US" w:eastAsia="zh-CN" w:bidi="ar"/>
                    </w:rPr>
                    <w:t>、湿式脱硫</w:t>
                  </w:r>
                  <w:r>
                    <w:rPr>
                      <w:rFonts w:hint="eastAsia" w:ascii="Times New Roman" w:hAnsi="Times New Roman" w:eastAsia="宋体" w:cs="Times New Roman"/>
                      <w:color w:val="auto"/>
                      <w:kern w:val="0"/>
                      <w:sz w:val="21"/>
                      <w:szCs w:val="21"/>
                      <w:lang w:val="en-US" w:eastAsia="zh-CN" w:bidi="ar"/>
                    </w:rPr>
                    <w:t>等措施达标排放</w:t>
                  </w:r>
                  <w:r>
                    <w:rPr>
                      <w:rFonts w:hint="eastAsia" w:cs="Times New Roman"/>
                      <w:color w:val="auto"/>
                      <w:kern w:val="0"/>
                      <w:sz w:val="21"/>
                      <w:szCs w:val="21"/>
                      <w:lang w:val="en-US" w:eastAsia="zh-CN" w:bidi="ar"/>
                    </w:rPr>
                    <w:t>。</w:t>
                  </w:r>
                </w:p>
              </w:tc>
              <w:tc>
                <w:tcPr>
                  <w:tcW w:w="487" w:type="pct"/>
                  <w:vAlign w:val="center"/>
                </w:tcPr>
                <w:p w14:paraId="5345F932">
                  <w:pPr>
                    <w:pStyle w:val="39"/>
                    <w:rPr>
                      <w:rFonts w:hint="eastAsia" w:eastAsia="宋体"/>
                      <w:color w:val="auto"/>
                      <w:sz w:val="21"/>
                      <w:szCs w:val="21"/>
                      <w:lang w:val="en-US" w:eastAsia="zh-CN"/>
                    </w:rPr>
                  </w:pPr>
                  <w:r>
                    <w:rPr>
                      <w:rFonts w:hint="eastAsia"/>
                      <w:color w:val="auto"/>
                      <w:sz w:val="21"/>
                      <w:szCs w:val="21"/>
                      <w:lang w:val="en-US" w:eastAsia="zh-CN"/>
                    </w:rPr>
                    <w:t>符合</w:t>
                  </w:r>
                </w:p>
              </w:tc>
            </w:tr>
            <w:tr w14:paraId="2698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continue"/>
                  <w:vAlign w:val="center"/>
                </w:tcPr>
                <w:p w14:paraId="409FCC4D">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2186" w:type="pct"/>
                  <w:vAlign w:val="center"/>
                </w:tcPr>
                <w:p w14:paraId="68EFA0F8">
                  <w:pPr>
                    <w:pStyle w:val="39"/>
                    <w:wordWrap w:val="0"/>
                    <w:jc w:val="both"/>
                    <w:rPr>
                      <w:color w:val="auto"/>
                      <w:sz w:val="21"/>
                      <w:szCs w:val="21"/>
                    </w:rPr>
                  </w:pPr>
                  <w:r>
                    <w:rPr>
                      <w:rFonts w:hint="eastAsia"/>
                      <w:color w:val="auto"/>
                      <w:sz w:val="21"/>
                      <w:szCs w:val="21"/>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1176" w:type="pct"/>
                  <w:vAlign w:val="center"/>
                </w:tcPr>
                <w:p w14:paraId="390880CB">
                  <w:pPr>
                    <w:pStyle w:val="39"/>
                    <w:jc w:val="left"/>
                    <w:rPr>
                      <w:rFonts w:hint="eastAsia" w:eastAsia="宋体"/>
                      <w:color w:val="auto"/>
                      <w:sz w:val="21"/>
                      <w:szCs w:val="21"/>
                      <w:lang w:val="en-US" w:eastAsia="zh-CN"/>
                    </w:rPr>
                  </w:pPr>
                  <w:r>
                    <w:rPr>
                      <w:rFonts w:hint="eastAsia"/>
                      <w:color w:val="auto"/>
                      <w:sz w:val="21"/>
                      <w:szCs w:val="21"/>
                    </w:rPr>
                    <w:t>本项目</w:t>
                  </w:r>
                  <w:r>
                    <w:rPr>
                      <w:rFonts w:hint="eastAsia"/>
                      <w:color w:val="auto"/>
                      <w:sz w:val="21"/>
                      <w:szCs w:val="21"/>
                      <w:lang w:val="en-US" w:eastAsia="zh-CN"/>
                    </w:rPr>
                    <w:t>主要耗能为</w:t>
                  </w:r>
                  <w:r>
                    <w:rPr>
                      <w:rFonts w:hint="eastAsia"/>
                      <w:color w:val="auto"/>
                      <w:kern w:val="0"/>
                      <w:sz w:val="21"/>
                      <w:szCs w:val="21"/>
                      <w:lang w:val="en-US" w:eastAsia="zh-CN"/>
                    </w:rPr>
                    <w:t>恒生镁业公司副产荒煤气，依托现有管网接入厂区，</w:t>
                  </w:r>
                  <w:r>
                    <w:rPr>
                      <w:rFonts w:hint="eastAsia"/>
                      <w:color w:val="auto"/>
                      <w:sz w:val="21"/>
                      <w:szCs w:val="21"/>
                      <w:lang w:val="en-US" w:eastAsia="zh-CN"/>
                    </w:rPr>
                    <w:t>属于可燃气体回收利用，少量使用天然气和电；不使用</w:t>
                  </w:r>
                  <w:r>
                    <w:rPr>
                      <w:rFonts w:hint="eastAsia"/>
                      <w:color w:val="auto"/>
                      <w:sz w:val="21"/>
                      <w:szCs w:val="21"/>
                    </w:rPr>
                    <w:t>煤、石油焦、渣油、重油等</w:t>
                  </w:r>
                  <w:r>
                    <w:rPr>
                      <w:rFonts w:hint="eastAsia"/>
                      <w:color w:val="auto"/>
                      <w:sz w:val="21"/>
                      <w:szCs w:val="21"/>
                      <w:lang w:val="en-US" w:eastAsia="zh-CN"/>
                    </w:rPr>
                    <w:t>燃料。</w:t>
                  </w:r>
                </w:p>
              </w:tc>
              <w:tc>
                <w:tcPr>
                  <w:tcW w:w="487" w:type="pct"/>
                  <w:vAlign w:val="center"/>
                </w:tcPr>
                <w:p w14:paraId="39969F28">
                  <w:pPr>
                    <w:pStyle w:val="39"/>
                    <w:rPr>
                      <w:rFonts w:hint="eastAsia" w:eastAsia="宋体"/>
                      <w:color w:val="auto"/>
                      <w:sz w:val="21"/>
                      <w:szCs w:val="21"/>
                      <w:lang w:val="en-US" w:eastAsia="zh-CN"/>
                    </w:rPr>
                  </w:pPr>
                  <w:r>
                    <w:rPr>
                      <w:rFonts w:hint="eastAsia"/>
                      <w:color w:val="auto"/>
                      <w:sz w:val="21"/>
                      <w:szCs w:val="21"/>
                      <w:lang w:val="en-US" w:eastAsia="zh-CN"/>
                    </w:rPr>
                    <w:t>符合</w:t>
                  </w:r>
                </w:p>
              </w:tc>
            </w:tr>
            <w:tr w14:paraId="74DB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149" w:type="pct"/>
                  <w:vMerge w:val="continue"/>
                  <w:vAlign w:val="center"/>
                </w:tcPr>
                <w:p w14:paraId="60796508">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2186" w:type="pct"/>
                  <w:vAlign w:val="center"/>
                </w:tcPr>
                <w:p w14:paraId="28B2CA7B">
                  <w:pPr>
                    <w:pStyle w:val="39"/>
                    <w:wordWrap w:val="0"/>
                    <w:jc w:val="both"/>
                    <w:rPr>
                      <w:color w:val="auto"/>
                      <w:sz w:val="21"/>
                      <w:szCs w:val="21"/>
                    </w:rPr>
                  </w:pPr>
                  <w:r>
                    <w:rPr>
                      <w:rFonts w:hint="eastAsia"/>
                      <w:color w:val="auto"/>
                      <w:sz w:val="21"/>
                      <w:szCs w:val="21"/>
                    </w:rPr>
                    <w:t>实施污染深度治理。推进工业炉窑全面达标排放。已有行业排放标准的工业炉窑，严格执行行业排放标准相关规定，配套建设高效脱硫脱硝除尘设施，确保稳定达标排放。</w:t>
                  </w:r>
                </w:p>
              </w:tc>
              <w:tc>
                <w:tcPr>
                  <w:tcW w:w="1176" w:type="pct"/>
                  <w:vAlign w:val="center"/>
                </w:tcPr>
                <w:p w14:paraId="2C12DBD5">
                  <w:pPr>
                    <w:pStyle w:val="39"/>
                    <w:jc w:val="left"/>
                    <w:rPr>
                      <w:color w:val="auto"/>
                      <w:sz w:val="21"/>
                      <w:szCs w:val="21"/>
                    </w:rPr>
                  </w:pPr>
                  <w:r>
                    <w:rPr>
                      <w:rFonts w:hint="eastAsia"/>
                      <w:color w:val="auto"/>
                      <w:sz w:val="21"/>
                      <w:szCs w:val="21"/>
                      <w:lang w:val="en-US" w:eastAsia="zh-CN"/>
                    </w:rPr>
                    <w:t>项目熔炼、浇铸废气采用布袋除尘处理，熔炼燃烧废气采取</w:t>
                  </w:r>
                  <w:r>
                    <w:rPr>
                      <w:rFonts w:hint="eastAsia" w:cs="Times New Roman"/>
                      <w:color w:val="auto"/>
                      <w:kern w:val="0"/>
                      <w:sz w:val="21"/>
                      <w:szCs w:val="21"/>
                      <w:lang w:val="en-US" w:eastAsia="zh-CN" w:bidi="ar"/>
                    </w:rPr>
                    <w:t>湿式脱硫</w:t>
                  </w:r>
                  <w:r>
                    <w:rPr>
                      <w:rFonts w:hint="eastAsia"/>
                      <w:color w:val="auto"/>
                      <w:sz w:val="21"/>
                      <w:szCs w:val="21"/>
                      <w:highlight w:val="none"/>
                      <w:lang w:val="en-US" w:eastAsia="zh-CN"/>
                    </w:rPr>
                    <w:t>措施，压铸车间熔化压铸废气</w:t>
                  </w:r>
                  <w:r>
                    <w:rPr>
                      <w:rFonts w:hint="eastAsia"/>
                      <w:color w:val="auto"/>
                      <w:sz w:val="21"/>
                      <w:szCs w:val="21"/>
                      <w:lang w:val="en-US" w:eastAsia="zh-CN"/>
                    </w:rPr>
                    <w:t>采用布袋除尘处理，压铸车间</w:t>
                  </w:r>
                  <w:r>
                    <w:rPr>
                      <w:rFonts w:hint="eastAsia"/>
                      <w:color w:val="auto"/>
                      <w:sz w:val="21"/>
                      <w:szCs w:val="21"/>
                      <w:highlight w:val="none"/>
                      <w:lang w:val="en-US" w:eastAsia="zh-CN"/>
                    </w:rPr>
                    <w:t>保温炉燃烧废气采取低氮燃烧技术控制</w:t>
                  </w:r>
                  <w:r>
                    <w:rPr>
                      <w:rFonts w:hint="eastAsia"/>
                      <w:color w:val="auto"/>
                      <w:sz w:val="21"/>
                      <w:szCs w:val="21"/>
                      <w:lang w:val="en-US" w:eastAsia="zh-CN"/>
                    </w:rPr>
                    <w:t>，达到《铸造工业大气污染物排放标准》（</w:t>
                  </w:r>
                  <w:r>
                    <w:rPr>
                      <w:rFonts w:hint="default"/>
                      <w:color w:val="auto"/>
                      <w:sz w:val="21"/>
                      <w:szCs w:val="21"/>
                      <w:lang w:val="en-US" w:eastAsia="zh-CN"/>
                    </w:rPr>
                    <w:t>GB39726-2020</w:t>
                  </w:r>
                  <w:r>
                    <w:rPr>
                      <w:rFonts w:hint="eastAsia"/>
                      <w:color w:val="auto"/>
                      <w:sz w:val="21"/>
                      <w:szCs w:val="21"/>
                      <w:lang w:val="en-US" w:eastAsia="zh-CN"/>
                    </w:rPr>
                    <w:t>）等标准要求。</w:t>
                  </w:r>
                </w:p>
              </w:tc>
              <w:tc>
                <w:tcPr>
                  <w:tcW w:w="487" w:type="pct"/>
                  <w:vAlign w:val="center"/>
                </w:tcPr>
                <w:p w14:paraId="764AD087">
                  <w:pPr>
                    <w:pStyle w:val="39"/>
                    <w:rPr>
                      <w:rFonts w:hint="eastAsia" w:eastAsia="宋体"/>
                      <w:color w:val="auto"/>
                      <w:sz w:val="21"/>
                      <w:szCs w:val="21"/>
                      <w:lang w:val="en-US" w:eastAsia="zh-CN"/>
                    </w:rPr>
                  </w:pPr>
                  <w:r>
                    <w:rPr>
                      <w:rFonts w:hint="eastAsia"/>
                      <w:color w:val="auto"/>
                      <w:sz w:val="21"/>
                      <w:szCs w:val="21"/>
                      <w:lang w:val="en-US" w:eastAsia="zh-CN"/>
                    </w:rPr>
                    <w:t>符合</w:t>
                  </w:r>
                </w:p>
              </w:tc>
            </w:tr>
            <w:tr w14:paraId="70D5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continue"/>
                  <w:vAlign w:val="center"/>
                </w:tcPr>
                <w:p w14:paraId="2EF48299">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2186" w:type="pct"/>
                  <w:vAlign w:val="center"/>
                </w:tcPr>
                <w:p w14:paraId="1FDD7F8D">
                  <w:pPr>
                    <w:pStyle w:val="39"/>
                    <w:wordWrap w:val="0"/>
                    <w:jc w:val="both"/>
                    <w:rPr>
                      <w:color w:val="auto"/>
                      <w:sz w:val="21"/>
                      <w:szCs w:val="21"/>
                    </w:rPr>
                  </w:pPr>
                  <w:r>
                    <w:rPr>
                      <w:rFonts w:hint="eastAsia"/>
                      <w:color w:val="auto"/>
                      <w:sz w:val="21"/>
                      <w:szCs w:val="21"/>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176" w:type="pct"/>
                  <w:vAlign w:val="center"/>
                </w:tcPr>
                <w:p w14:paraId="66754E61">
                  <w:pPr>
                    <w:pStyle w:val="39"/>
                    <w:jc w:val="left"/>
                    <w:rPr>
                      <w:color w:val="auto"/>
                      <w:sz w:val="21"/>
                      <w:szCs w:val="21"/>
                    </w:rPr>
                  </w:pPr>
                  <w:r>
                    <w:rPr>
                      <w:rFonts w:hint="eastAsia" w:cs="Times New Roman"/>
                      <w:color w:val="auto"/>
                      <w:kern w:val="0"/>
                      <w:sz w:val="21"/>
                      <w:szCs w:val="21"/>
                      <w:lang w:val="en-US" w:eastAsia="zh-CN" w:bidi="ar"/>
                    </w:rPr>
                    <w:t>项目</w:t>
                  </w:r>
                  <w:r>
                    <w:rPr>
                      <w:rFonts w:hint="eastAsia" w:ascii="Times New Roman" w:hAnsi="Times New Roman" w:eastAsia="宋体" w:cs="Times New Roman"/>
                      <w:color w:val="auto"/>
                      <w:kern w:val="0"/>
                      <w:sz w:val="21"/>
                      <w:szCs w:val="21"/>
                      <w:lang w:val="en-US" w:eastAsia="zh-CN" w:bidi="ar"/>
                    </w:rPr>
                    <w:t>熔炼炉、铸锭机等生产设备封闭（开口除外，设</w:t>
                  </w:r>
                  <w:r>
                    <w:rPr>
                      <w:rFonts w:hint="eastAsia" w:cs="Times New Roman"/>
                      <w:color w:val="auto"/>
                      <w:kern w:val="0"/>
                      <w:sz w:val="21"/>
                      <w:szCs w:val="21"/>
                      <w:lang w:val="en-US" w:eastAsia="zh-CN" w:bidi="ar"/>
                    </w:rPr>
                    <w:t>密闭</w:t>
                  </w:r>
                  <w:r>
                    <w:rPr>
                      <w:rFonts w:hint="eastAsia" w:ascii="Times New Roman" w:hAnsi="Times New Roman" w:eastAsia="宋体" w:cs="Times New Roman"/>
                      <w:color w:val="auto"/>
                      <w:kern w:val="0"/>
                      <w:sz w:val="21"/>
                      <w:szCs w:val="21"/>
                      <w:lang w:val="en-US" w:eastAsia="zh-CN" w:bidi="ar"/>
                    </w:rPr>
                    <w:t>集气罩收集），原辅料粉料封闭包装并置于厂房内</w:t>
                  </w:r>
                  <w:r>
                    <w:rPr>
                      <w:rFonts w:hint="eastAsia" w:cs="Times New Roman"/>
                      <w:color w:val="auto"/>
                      <w:kern w:val="0"/>
                      <w:sz w:val="21"/>
                      <w:szCs w:val="21"/>
                      <w:lang w:val="en-US" w:eastAsia="zh-CN" w:bidi="ar"/>
                    </w:rPr>
                    <w:t>。</w:t>
                  </w:r>
                </w:p>
              </w:tc>
              <w:tc>
                <w:tcPr>
                  <w:tcW w:w="487" w:type="pct"/>
                  <w:vAlign w:val="center"/>
                </w:tcPr>
                <w:p w14:paraId="4E53660F">
                  <w:pPr>
                    <w:pStyle w:val="39"/>
                    <w:rPr>
                      <w:rFonts w:hint="eastAsia" w:eastAsia="宋体"/>
                      <w:color w:val="auto"/>
                      <w:sz w:val="21"/>
                      <w:szCs w:val="21"/>
                      <w:lang w:val="en-US" w:eastAsia="zh-CN"/>
                    </w:rPr>
                  </w:pPr>
                  <w:r>
                    <w:rPr>
                      <w:rFonts w:hint="eastAsia"/>
                      <w:color w:val="auto"/>
                      <w:sz w:val="21"/>
                      <w:szCs w:val="21"/>
                      <w:lang w:val="en-US" w:eastAsia="zh-CN"/>
                    </w:rPr>
                    <w:t>符合</w:t>
                  </w:r>
                </w:p>
              </w:tc>
            </w:tr>
            <w:tr w14:paraId="6F3A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restart"/>
                  <w:vAlign w:val="center"/>
                </w:tcPr>
                <w:p w14:paraId="4DD3DB8A">
                  <w:pPr>
                    <w:pStyle w:val="39"/>
                    <w:wordWrap w:val="0"/>
                    <w:jc w:val="both"/>
                    <w:rPr>
                      <w:color w:val="auto"/>
                      <w:sz w:val="21"/>
                      <w:szCs w:val="21"/>
                    </w:rPr>
                  </w:pPr>
                  <w:r>
                    <w:rPr>
                      <w:rFonts w:hint="eastAsia"/>
                      <w:color w:val="auto"/>
                      <w:sz w:val="21"/>
                      <w:szCs w:val="21"/>
                    </w:rPr>
                    <w:t>《陕西省大气污染防治条例》</w:t>
                  </w:r>
                  <w:r>
                    <w:rPr>
                      <w:rFonts w:hint="eastAsia"/>
                      <w:color w:val="auto"/>
                      <w:sz w:val="21"/>
                      <w:szCs w:val="21"/>
                      <w:highlight w:val="none"/>
                    </w:rPr>
                    <w:t>（20</w:t>
                  </w:r>
                  <w:r>
                    <w:rPr>
                      <w:rFonts w:hint="eastAsia"/>
                      <w:color w:val="auto"/>
                      <w:sz w:val="21"/>
                      <w:szCs w:val="21"/>
                      <w:highlight w:val="none"/>
                      <w:lang w:val="en-US" w:eastAsia="zh-CN"/>
                    </w:rPr>
                    <w:t>23</w:t>
                  </w:r>
                  <w:r>
                    <w:rPr>
                      <w:rFonts w:hint="eastAsia"/>
                      <w:color w:val="auto"/>
                      <w:sz w:val="21"/>
                      <w:szCs w:val="21"/>
                      <w:highlight w:val="none"/>
                    </w:rPr>
                    <w:t>年修正）</w:t>
                  </w:r>
                </w:p>
              </w:tc>
              <w:tc>
                <w:tcPr>
                  <w:tcW w:w="2186" w:type="pct"/>
                  <w:vAlign w:val="center"/>
                </w:tcPr>
                <w:p w14:paraId="7262353C">
                  <w:pPr>
                    <w:pStyle w:val="39"/>
                    <w:wordWrap w:val="0"/>
                    <w:jc w:val="both"/>
                    <w:rPr>
                      <w:rFonts w:hint="eastAsia"/>
                      <w:color w:val="auto"/>
                      <w:sz w:val="21"/>
                      <w:szCs w:val="21"/>
                    </w:rPr>
                  </w:pPr>
                  <w:r>
                    <w:rPr>
                      <w:rFonts w:hint="eastAsia"/>
                      <w:color w:val="auto"/>
                      <w:sz w:val="21"/>
                      <w:szCs w:val="21"/>
                    </w:rPr>
                    <w:t>企业应当优先采用能源和原材料利用效率高、污染物排放量少的清洁生产技术、工艺和装备，减少大气污染物的产生和排放。</w:t>
                  </w:r>
                </w:p>
              </w:tc>
              <w:tc>
                <w:tcPr>
                  <w:tcW w:w="1176" w:type="pct"/>
                  <w:vMerge w:val="restart"/>
                  <w:vAlign w:val="center"/>
                </w:tcPr>
                <w:p w14:paraId="6F33F16A">
                  <w:pPr>
                    <w:pStyle w:val="39"/>
                    <w:jc w:val="both"/>
                    <w:rPr>
                      <w:rFonts w:hint="default" w:eastAsia="宋体"/>
                      <w:color w:val="auto"/>
                      <w:sz w:val="21"/>
                      <w:szCs w:val="21"/>
                      <w:lang w:val="en-US" w:eastAsia="zh-CN"/>
                    </w:rPr>
                  </w:pPr>
                  <w:r>
                    <w:rPr>
                      <w:rFonts w:hint="eastAsia"/>
                      <w:color w:val="auto"/>
                      <w:sz w:val="21"/>
                      <w:szCs w:val="21"/>
                    </w:rPr>
                    <w:t>本项目</w:t>
                  </w:r>
                  <w:r>
                    <w:rPr>
                      <w:rFonts w:hint="eastAsia"/>
                      <w:color w:val="auto"/>
                      <w:sz w:val="21"/>
                      <w:szCs w:val="21"/>
                      <w:lang w:val="en-US" w:eastAsia="zh-CN"/>
                    </w:rPr>
                    <w:t>主要耗能为</w:t>
                  </w:r>
                  <w:r>
                    <w:rPr>
                      <w:rFonts w:hint="eastAsia"/>
                      <w:color w:val="auto"/>
                      <w:kern w:val="0"/>
                      <w:sz w:val="21"/>
                      <w:szCs w:val="21"/>
                      <w:lang w:val="en-US" w:eastAsia="zh-CN"/>
                    </w:rPr>
                    <w:t>恒生镁业公司副产荒煤气，</w:t>
                  </w:r>
                  <w:r>
                    <w:rPr>
                      <w:rFonts w:hint="eastAsia"/>
                      <w:color w:val="auto"/>
                      <w:sz w:val="21"/>
                      <w:szCs w:val="21"/>
                      <w:lang w:val="en-US" w:eastAsia="zh-CN"/>
                    </w:rPr>
                    <w:t>属于可燃气体回收利用，并配套了</w:t>
                  </w:r>
                  <w:r>
                    <w:rPr>
                      <w:rFonts w:hint="eastAsia"/>
                      <w:color w:val="auto"/>
                      <w:sz w:val="21"/>
                      <w:szCs w:val="21"/>
                      <w:lang w:val="en-US" w:eastAsia="zh-CN"/>
                    </w:rPr>
                    <w:t>低氮燃烧器和燃烧废气脱硫除尘治理设施</w:t>
                  </w:r>
                  <w:r>
                    <w:rPr>
                      <w:rFonts w:hint="eastAsia"/>
                      <w:color w:val="auto"/>
                      <w:sz w:val="21"/>
                      <w:szCs w:val="21"/>
                      <w:lang w:val="en-US" w:eastAsia="zh-CN"/>
                    </w:rPr>
                    <w:t>，少量使用天然气和电。</w:t>
                  </w:r>
                </w:p>
              </w:tc>
              <w:tc>
                <w:tcPr>
                  <w:tcW w:w="487" w:type="pct"/>
                  <w:vAlign w:val="center"/>
                </w:tcPr>
                <w:p w14:paraId="581E9C7C">
                  <w:pPr>
                    <w:pStyle w:val="39"/>
                    <w:rPr>
                      <w:color w:val="auto"/>
                      <w:sz w:val="21"/>
                      <w:szCs w:val="21"/>
                    </w:rPr>
                  </w:pPr>
                  <w:r>
                    <w:rPr>
                      <w:rFonts w:hint="eastAsia"/>
                      <w:color w:val="auto"/>
                      <w:sz w:val="21"/>
                      <w:szCs w:val="21"/>
                    </w:rPr>
                    <w:t>符合</w:t>
                  </w:r>
                </w:p>
              </w:tc>
            </w:tr>
            <w:tr w14:paraId="37C8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continue"/>
                  <w:vAlign w:val="center"/>
                </w:tcPr>
                <w:p w14:paraId="556A79B8">
                  <w:pPr>
                    <w:pStyle w:val="39"/>
                    <w:wordWrap w:val="0"/>
                    <w:jc w:val="both"/>
                    <w:rPr>
                      <w:rFonts w:hint="eastAsia"/>
                      <w:color w:val="auto"/>
                      <w:sz w:val="21"/>
                      <w:szCs w:val="21"/>
                    </w:rPr>
                  </w:pPr>
                </w:p>
              </w:tc>
              <w:tc>
                <w:tcPr>
                  <w:tcW w:w="2186" w:type="pct"/>
                  <w:vAlign w:val="center"/>
                </w:tcPr>
                <w:p w14:paraId="396A545B">
                  <w:pPr>
                    <w:pStyle w:val="39"/>
                    <w:wordWrap w:val="0"/>
                    <w:jc w:val="both"/>
                    <w:rPr>
                      <w:rFonts w:hint="eastAsia"/>
                      <w:color w:val="auto"/>
                      <w:sz w:val="21"/>
                      <w:szCs w:val="21"/>
                    </w:rPr>
                  </w:pPr>
                  <w:r>
                    <w:rPr>
                      <w:rFonts w:hint="eastAsia" w:ascii="宋体" w:hAnsi="宋体"/>
                      <w:color w:val="auto"/>
                      <w:sz w:val="21"/>
                      <w:szCs w:val="21"/>
                    </w:rPr>
                    <w:t>工业生产、垃圾填埋或者其他活动产生的可燃性气体应当回收利用，不具备回收利用条件而向大气排放的，应当进行污染防治处理。</w:t>
                  </w:r>
                </w:p>
              </w:tc>
              <w:tc>
                <w:tcPr>
                  <w:tcW w:w="1176" w:type="pct"/>
                  <w:vMerge w:val="continue"/>
                  <w:vAlign w:val="center"/>
                </w:tcPr>
                <w:p w14:paraId="3E7B80BF">
                  <w:pPr>
                    <w:pStyle w:val="39"/>
                    <w:jc w:val="both"/>
                    <w:rPr>
                      <w:rFonts w:hint="eastAsia"/>
                      <w:color w:val="auto"/>
                      <w:sz w:val="21"/>
                      <w:szCs w:val="21"/>
                    </w:rPr>
                  </w:pPr>
                </w:p>
              </w:tc>
              <w:tc>
                <w:tcPr>
                  <w:tcW w:w="487" w:type="pct"/>
                  <w:vAlign w:val="center"/>
                </w:tcPr>
                <w:p w14:paraId="276D330F">
                  <w:pPr>
                    <w:pStyle w:val="39"/>
                    <w:rPr>
                      <w:rFonts w:hint="eastAsia" w:eastAsia="宋体"/>
                      <w:color w:val="auto"/>
                      <w:sz w:val="21"/>
                      <w:szCs w:val="21"/>
                      <w:lang w:val="en-US" w:eastAsia="zh-CN"/>
                    </w:rPr>
                  </w:pPr>
                  <w:r>
                    <w:rPr>
                      <w:rFonts w:hint="eastAsia"/>
                      <w:color w:val="auto"/>
                      <w:sz w:val="21"/>
                      <w:szCs w:val="21"/>
                      <w:lang w:val="en-US" w:eastAsia="zh-CN"/>
                    </w:rPr>
                    <w:t>符合</w:t>
                  </w:r>
                </w:p>
              </w:tc>
            </w:tr>
            <w:tr w14:paraId="28D1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Align w:val="center"/>
                </w:tcPr>
                <w:p w14:paraId="0278C3B0">
                  <w:pPr>
                    <w:pStyle w:val="39"/>
                    <w:wordWrap w:val="0"/>
                    <w:jc w:val="both"/>
                    <w:rPr>
                      <w:rFonts w:ascii="宋体" w:hAnsi="宋体"/>
                      <w:color w:val="auto"/>
                      <w:sz w:val="21"/>
                      <w:szCs w:val="21"/>
                    </w:rPr>
                  </w:pPr>
                  <w:r>
                    <w:rPr>
                      <w:rFonts w:hint="eastAsia" w:ascii="宋体" w:hAnsi="宋体"/>
                      <w:color w:val="auto"/>
                      <w:sz w:val="21"/>
                      <w:szCs w:val="21"/>
                    </w:rPr>
                    <w:t>《陕西省“十四五”生态环境保护规划》</w:t>
                  </w:r>
                </w:p>
              </w:tc>
              <w:tc>
                <w:tcPr>
                  <w:tcW w:w="2186" w:type="pct"/>
                  <w:vAlign w:val="center"/>
                </w:tcPr>
                <w:p w14:paraId="6D1CE0A5">
                  <w:pPr>
                    <w:pStyle w:val="39"/>
                    <w:jc w:val="both"/>
                    <w:rPr>
                      <w:rFonts w:ascii="宋体" w:hAnsi="宋体"/>
                      <w:color w:val="auto"/>
                      <w:sz w:val="21"/>
                      <w:szCs w:val="21"/>
                    </w:rPr>
                  </w:pPr>
                  <w:r>
                    <w:rPr>
                      <w:rFonts w:hint="eastAsia" w:ascii="宋体" w:hAnsi="宋体"/>
                      <w:color w:val="auto"/>
                      <w:sz w:val="21"/>
                      <w:szCs w:val="21"/>
                    </w:rPr>
                    <w:t>提升能源结构清洁低碳水平。加快电源结构调整和布局优化，新增用电需求主要通过新能源电力保障，减少煤电占比。加快使用清洁低碳能源以及工厂余热、电力</w:t>
                  </w:r>
                  <w:r>
                    <w:rPr>
                      <w:rFonts w:hint="eastAsia" w:ascii="宋体" w:hAnsi="宋体"/>
                      <w:color w:val="auto"/>
                      <w:sz w:val="21"/>
                      <w:szCs w:val="21"/>
                      <w:lang w:eastAsia="zh-CN"/>
                    </w:rPr>
                    <w:t>、</w:t>
                  </w:r>
                  <w:r>
                    <w:rPr>
                      <w:rFonts w:hint="eastAsia" w:ascii="宋体" w:hAnsi="宋体"/>
                      <w:color w:val="auto"/>
                      <w:sz w:val="21"/>
                      <w:szCs w:val="21"/>
                    </w:rPr>
                    <w:t>热力等进行替代。</w:t>
                  </w:r>
                </w:p>
              </w:tc>
              <w:tc>
                <w:tcPr>
                  <w:tcW w:w="1176" w:type="pct"/>
                  <w:vAlign w:val="center"/>
                </w:tcPr>
                <w:p w14:paraId="446EEB16">
                  <w:pPr>
                    <w:pStyle w:val="39"/>
                    <w:jc w:val="both"/>
                    <w:rPr>
                      <w:rFonts w:ascii="宋体" w:hAnsi="宋体"/>
                      <w:color w:val="auto"/>
                      <w:sz w:val="21"/>
                      <w:szCs w:val="21"/>
                    </w:rPr>
                  </w:pPr>
                  <w:r>
                    <w:rPr>
                      <w:rFonts w:hint="eastAsia"/>
                      <w:color w:val="auto"/>
                      <w:sz w:val="21"/>
                      <w:szCs w:val="21"/>
                    </w:rPr>
                    <w:t>本项目</w:t>
                  </w:r>
                  <w:r>
                    <w:rPr>
                      <w:rFonts w:hint="eastAsia"/>
                      <w:color w:val="auto"/>
                      <w:sz w:val="21"/>
                      <w:szCs w:val="21"/>
                      <w:lang w:val="en-US" w:eastAsia="zh-CN"/>
                    </w:rPr>
                    <w:t>主要耗能为</w:t>
                  </w:r>
                  <w:r>
                    <w:rPr>
                      <w:rFonts w:hint="eastAsia"/>
                      <w:color w:val="auto"/>
                      <w:kern w:val="0"/>
                      <w:sz w:val="21"/>
                      <w:szCs w:val="21"/>
                      <w:lang w:val="en-US" w:eastAsia="zh-CN"/>
                    </w:rPr>
                    <w:t>恒生镁业公司副产荒煤气，</w:t>
                  </w:r>
                  <w:r>
                    <w:rPr>
                      <w:rFonts w:hint="eastAsia"/>
                      <w:color w:val="auto"/>
                      <w:sz w:val="21"/>
                      <w:szCs w:val="21"/>
                      <w:lang w:val="en-US" w:eastAsia="zh-CN"/>
                    </w:rPr>
                    <w:t>属于可燃气体回收利用，少量使用天然气和电。</w:t>
                  </w:r>
                </w:p>
              </w:tc>
              <w:tc>
                <w:tcPr>
                  <w:tcW w:w="487" w:type="pct"/>
                  <w:vAlign w:val="center"/>
                </w:tcPr>
                <w:p w14:paraId="6CF76247">
                  <w:pPr>
                    <w:pStyle w:val="39"/>
                    <w:rPr>
                      <w:rFonts w:ascii="宋体" w:hAnsi="宋体"/>
                      <w:color w:val="auto"/>
                      <w:sz w:val="21"/>
                      <w:szCs w:val="21"/>
                    </w:rPr>
                  </w:pPr>
                  <w:r>
                    <w:rPr>
                      <w:rFonts w:hint="eastAsia" w:ascii="宋体" w:hAnsi="宋体"/>
                      <w:color w:val="auto"/>
                      <w:sz w:val="21"/>
                      <w:szCs w:val="21"/>
                    </w:rPr>
                    <w:t>符合</w:t>
                  </w:r>
                </w:p>
              </w:tc>
            </w:tr>
            <w:tr w14:paraId="7DA8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Align w:val="center"/>
                </w:tcPr>
                <w:p w14:paraId="1AC12221">
                  <w:pPr>
                    <w:pStyle w:val="39"/>
                    <w:wordWrap w:val="0"/>
                    <w:ind w:firstLine="0" w:firstLineChars="0"/>
                    <w:jc w:val="both"/>
                    <w:rPr>
                      <w:rFonts w:hint="eastAsia" w:ascii="宋体" w:hAnsi="宋体"/>
                      <w:color w:val="auto"/>
                      <w:sz w:val="21"/>
                      <w:szCs w:val="21"/>
                    </w:rPr>
                  </w:pPr>
                  <w:r>
                    <w:rPr>
                      <w:rFonts w:hint="eastAsia"/>
                      <w:color w:val="auto"/>
                      <w:sz w:val="21"/>
                      <w:szCs w:val="21"/>
                    </w:rPr>
                    <w:t>《</w:t>
                  </w:r>
                  <w:r>
                    <w:rPr>
                      <w:rFonts w:hint="eastAsia"/>
                      <w:color w:val="auto"/>
                      <w:sz w:val="21"/>
                      <w:szCs w:val="21"/>
                      <w:lang w:val="en-US" w:eastAsia="zh-CN"/>
                    </w:rPr>
                    <w:t>陕西省</w:t>
                  </w:r>
                  <w:r>
                    <w:rPr>
                      <w:rFonts w:hint="eastAsia"/>
                      <w:color w:val="auto"/>
                      <w:sz w:val="21"/>
                      <w:szCs w:val="21"/>
                    </w:rPr>
                    <w:t>大气污染治理专项行动方案（2023-2027年）》</w:t>
                  </w:r>
                </w:p>
              </w:tc>
              <w:tc>
                <w:tcPr>
                  <w:tcW w:w="2186" w:type="pct"/>
                  <w:vAlign w:val="center"/>
                </w:tcPr>
                <w:p w14:paraId="14857BFC">
                  <w:pPr>
                    <w:pStyle w:val="39"/>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 xml:space="preserve">施工场地严格执行“六个百分 </w:t>
                  </w:r>
                </w:p>
                <w:p w14:paraId="3F0B48E6">
                  <w:pPr>
                    <w:pStyle w:val="39"/>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color w:val="auto"/>
                      <w:sz w:val="21"/>
                      <w:szCs w:val="21"/>
                      <w:highlight w:val="none"/>
                    </w:rPr>
                  </w:pPr>
                  <w:r>
                    <w:rPr>
                      <w:rFonts w:hint="eastAsia" w:ascii="宋体" w:hAnsi="宋体"/>
                      <w:color w:val="auto"/>
                      <w:sz w:val="21"/>
                      <w:szCs w:val="21"/>
                      <w:highlight w:val="none"/>
                      <w:lang w:val="en-US" w:eastAsia="zh-CN"/>
                    </w:rPr>
                    <w:t xml:space="preserve">百”，施工工地扬尘排放超过《施 </w:t>
                  </w:r>
                </w:p>
                <w:p w14:paraId="64E18A11">
                  <w:pPr>
                    <w:pStyle w:val="39"/>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1"/>
                      <w:szCs w:val="21"/>
                      <w:highlight w:val="none"/>
                    </w:rPr>
                  </w:pPr>
                  <w:r>
                    <w:rPr>
                      <w:rFonts w:hint="eastAsia" w:ascii="宋体" w:hAnsi="宋体"/>
                      <w:color w:val="auto"/>
                      <w:sz w:val="21"/>
                      <w:szCs w:val="21"/>
                      <w:highlight w:val="none"/>
                      <w:lang w:val="en-US" w:eastAsia="zh-CN"/>
                    </w:rPr>
                    <w:t xml:space="preserve">工 场 界 扬 尘 </w:t>
                  </w:r>
                  <w:r>
                    <w:rPr>
                      <w:rFonts w:hint="default" w:ascii="Times New Roman" w:hAnsi="Times New Roman" w:cs="Times New Roman"/>
                      <w:color w:val="auto"/>
                      <w:sz w:val="21"/>
                      <w:szCs w:val="21"/>
                      <w:highlight w:val="none"/>
                      <w:lang w:val="en-US" w:eastAsia="zh-CN"/>
                    </w:rPr>
                    <w:t xml:space="preserve">排 放 限 值 </w:t>
                  </w:r>
                </w:p>
                <w:p w14:paraId="0A1576F8">
                  <w:pPr>
                    <w:pStyle w:val="39"/>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（DB61/1078-2017）》的立即停 </w:t>
                  </w:r>
                </w:p>
                <w:p w14:paraId="0FE4A46E">
                  <w:pPr>
                    <w:pStyle w:val="39"/>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工整改，西安市、咸阳市、渭南 </w:t>
                  </w:r>
                </w:p>
                <w:p w14:paraId="2E85A4CF">
                  <w:pPr>
                    <w:pStyle w:val="39"/>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color w:val="auto"/>
                      <w:sz w:val="21"/>
                      <w:szCs w:val="21"/>
                      <w:highlight w:val="none"/>
                    </w:rPr>
                  </w:pPr>
                  <w:r>
                    <w:rPr>
                      <w:rFonts w:hint="default" w:ascii="Times New Roman" w:hAnsi="Times New Roman" w:cs="Times New Roman"/>
                      <w:color w:val="auto"/>
                      <w:sz w:val="21"/>
                      <w:szCs w:val="21"/>
                      <w:highlight w:val="none"/>
                      <w:lang w:val="en-US" w:eastAsia="zh-CN"/>
                    </w:rPr>
                    <w:t>市除沙尘天气影响外，PM</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lang w:val="en-US" w:eastAsia="zh-CN"/>
                    </w:rPr>
                    <w:t>小时浓度连续3小时超过150微克/立方米时，暂停超过环境质量监测值2.5倍以上的施工工地作业。</w:t>
                  </w:r>
                </w:p>
              </w:tc>
              <w:tc>
                <w:tcPr>
                  <w:tcW w:w="1176" w:type="pct"/>
                  <w:vAlign w:val="center"/>
                </w:tcPr>
                <w:p w14:paraId="44F65753">
                  <w:pPr>
                    <w:pStyle w:val="39"/>
                    <w:ind w:firstLine="0" w:firstLineChars="0"/>
                    <w:jc w:val="both"/>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项目租赁已有建筑，施工主要为安装设备，</w:t>
                  </w:r>
                  <w:r>
                    <w:rPr>
                      <w:rFonts w:hint="eastAsia" w:ascii="宋体" w:hAnsi="宋体"/>
                      <w:color w:val="auto"/>
                      <w:sz w:val="21"/>
                      <w:szCs w:val="21"/>
                      <w:highlight w:val="none"/>
                    </w:rPr>
                    <w:t>评价要求建设单位严格按照方案中各项扬尘控制措施进行施工</w:t>
                  </w:r>
                  <w:r>
                    <w:rPr>
                      <w:rFonts w:hint="eastAsia" w:ascii="宋体" w:hAnsi="宋体"/>
                      <w:color w:val="auto"/>
                      <w:sz w:val="21"/>
                      <w:szCs w:val="21"/>
                      <w:highlight w:val="none"/>
                      <w:lang w:eastAsia="zh-CN"/>
                    </w:rPr>
                    <w:t>，</w:t>
                  </w:r>
                  <w:r>
                    <w:rPr>
                      <w:rFonts w:hint="eastAsia" w:ascii="宋体" w:hAnsi="宋体"/>
                      <w:color w:val="auto"/>
                      <w:sz w:val="21"/>
                      <w:szCs w:val="21"/>
                      <w:highlight w:val="none"/>
                    </w:rPr>
                    <w:t>场地严格执行“六个百分百</w:t>
                  </w:r>
                  <w:r>
                    <w:rPr>
                      <w:rFonts w:hint="eastAsia" w:ascii="宋体" w:hAnsi="宋体"/>
                      <w:color w:val="auto"/>
                      <w:sz w:val="21"/>
                      <w:szCs w:val="21"/>
                      <w:highlight w:val="none"/>
                      <w:lang w:eastAsia="zh-CN"/>
                    </w:rPr>
                    <w:t>”。</w:t>
                  </w:r>
                </w:p>
              </w:tc>
              <w:tc>
                <w:tcPr>
                  <w:tcW w:w="487" w:type="pct"/>
                  <w:vAlign w:val="center"/>
                </w:tcPr>
                <w:p w14:paraId="52D3C960">
                  <w:pPr>
                    <w:pStyle w:val="39"/>
                    <w:ind w:firstLine="0" w:firstLineChars="0"/>
                    <w:rPr>
                      <w:rFonts w:hint="eastAsia" w:ascii="宋体" w:hAnsi="宋体"/>
                      <w:color w:val="auto"/>
                      <w:sz w:val="21"/>
                      <w:szCs w:val="21"/>
                      <w:highlight w:val="none"/>
                    </w:rPr>
                  </w:pPr>
                  <w:r>
                    <w:rPr>
                      <w:rFonts w:hint="eastAsia"/>
                      <w:color w:val="auto"/>
                      <w:sz w:val="21"/>
                      <w:szCs w:val="21"/>
                      <w:highlight w:val="none"/>
                    </w:rPr>
                    <w:t>符合</w:t>
                  </w:r>
                </w:p>
              </w:tc>
            </w:tr>
            <w:tr w14:paraId="0C47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restart"/>
                  <w:vAlign w:val="center"/>
                </w:tcPr>
                <w:p w14:paraId="2A66CE65">
                  <w:pPr>
                    <w:pStyle w:val="39"/>
                    <w:wordWrap w:val="0"/>
                    <w:ind w:firstLine="0" w:firstLineChars="0"/>
                    <w:jc w:val="both"/>
                    <w:rPr>
                      <w:rFonts w:hint="eastAsia"/>
                      <w:color w:val="auto"/>
                      <w:sz w:val="21"/>
                      <w:szCs w:val="21"/>
                    </w:rPr>
                  </w:pPr>
                  <w:r>
                    <w:rPr>
                      <w:rFonts w:hint="eastAsia"/>
                      <w:color w:val="auto"/>
                      <w:sz w:val="21"/>
                      <w:szCs w:val="21"/>
                    </w:rPr>
                    <w:t>《</w:t>
                  </w:r>
                  <w:r>
                    <w:rPr>
                      <w:rFonts w:hint="eastAsia"/>
                      <w:color w:val="auto"/>
                      <w:sz w:val="21"/>
                      <w:szCs w:val="21"/>
                      <w:lang w:val="en-US" w:eastAsia="zh-CN"/>
                    </w:rPr>
                    <w:t>榆林</w:t>
                  </w:r>
                  <w:r>
                    <w:rPr>
                      <w:rFonts w:hint="eastAsia"/>
                      <w:color w:val="auto"/>
                      <w:sz w:val="21"/>
                      <w:szCs w:val="21"/>
                    </w:rPr>
                    <w:t>市大气污染治理专项行动方案（2023-2027年）》</w:t>
                  </w:r>
                </w:p>
              </w:tc>
              <w:tc>
                <w:tcPr>
                  <w:tcW w:w="2186" w:type="pct"/>
                  <w:vAlign w:val="center"/>
                </w:tcPr>
                <w:p w14:paraId="0BB66883">
                  <w:pPr>
                    <w:pStyle w:val="39"/>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加大陶瓷、玻璃、石灰、耐火材料、有色、无机化工、砖瓦窑等行业炉窑清洁能源替代力度。</w:t>
                  </w:r>
                </w:p>
              </w:tc>
              <w:tc>
                <w:tcPr>
                  <w:tcW w:w="1176" w:type="pct"/>
                  <w:vAlign w:val="center"/>
                </w:tcPr>
                <w:p w14:paraId="126189CD">
                  <w:pPr>
                    <w:pStyle w:val="39"/>
                    <w:ind w:firstLine="0" w:firstLineChars="0"/>
                    <w:jc w:val="both"/>
                    <w:rPr>
                      <w:rFonts w:hint="default" w:ascii="宋体" w:hAnsi="宋体"/>
                      <w:color w:val="auto"/>
                      <w:sz w:val="21"/>
                      <w:szCs w:val="21"/>
                      <w:highlight w:val="none"/>
                      <w:lang w:val="en-US" w:eastAsia="zh-CN"/>
                    </w:rPr>
                  </w:pPr>
                  <w:r>
                    <w:rPr>
                      <w:rFonts w:hint="eastAsia"/>
                      <w:color w:val="auto"/>
                      <w:sz w:val="21"/>
                      <w:szCs w:val="21"/>
                    </w:rPr>
                    <w:t>项目</w:t>
                  </w:r>
                  <w:r>
                    <w:rPr>
                      <w:rFonts w:hint="eastAsia"/>
                      <w:color w:val="auto"/>
                      <w:sz w:val="21"/>
                      <w:szCs w:val="21"/>
                      <w:lang w:val="en-US" w:eastAsia="zh-CN"/>
                    </w:rPr>
                    <w:t>主要耗能为</w:t>
                  </w:r>
                  <w:r>
                    <w:rPr>
                      <w:rFonts w:hint="eastAsia"/>
                      <w:color w:val="auto"/>
                      <w:kern w:val="0"/>
                      <w:sz w:val="21"/>
                      <w:szCs w:val="21"/>
                      <w:lang w:val="en-US" w:eastAsia="zh-CN"/>
                    </w:rPr>
                    <w:t>恒生镁业公司副产荒煤气，</w:t>
                  </w:r>
                  <w:r>
                    <w:rPr>
                      <w:rFonts w:hint="eastAsia"/>
                      <w:color w:val="auto"/>
                      <w:sz w:val="21"/>
                      <w:szCs w:val="21"/>
                      <w:lang w:val="en-US" w:eastAsia="zh-CN"/>
                    </w:rPr>
                    <w:t>属于可燃气体回收利用；少量使用天然气和电。</w:t>
                  </w:r>
                </w:p>
              </w:tc>
              <w:tc>
                <w:tcPr>
                  <w:tcW w:w="487" w:type="pct"/>
                  <w:vAlign w:val="center"/>
                </w:tcPr>
                <w:p w14:paraId="6066F043">
                  <w:pPr>
                    <w:pStyle w:val="39"/>
                    <w:ind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7653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continue"/>
                  <w:vAlign w:val="center"/>
                </w:tcPr>
                <w:p w14:paraId="66CCD6B6">
                  <w:pPr>
                    <w:pStyle w:val="39"/>
                    <w:wordWrap w:val="0"/>
                    <w:ind w:firstLine="0" w:firstLineChars="0"/>
                    <w:jc w:val="both"/>
                    <w:rPr>
                      <w:rFonts w:hint="eastAsia"/>
                      <w:color w:val="auto"/>
                      <w:sz w:val="21"/>
                      <w:szCs w:val="21"/>
                    </w:rPr>
                  </w:pPr>
                </w:p>
              </w:tc>
              <w:tc>
                <w:tcPr>
                  <w:tcW w:w="2186" w:type="pct"/>
                  <w:vAlign w:val="center"/>
                </w:tcPr>
                <w:p w14:paraId="27275792">
                  <w:pPr>
                    <w:pStyle w:val="39"/>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宋体" w:hAnsi="宋体"/>
                      <w:color w:val="auto"/>
                      <w:sz w:val="21"/>
                      <w:szCs w:val="21"/>
                      <w:highlight w:val="none"/>
                      <w:lang w:val="en-US" w:eastAsia="zh-CN"/>
                    </w:rPr>
                    <w:t>强化扬尘污染防治。落实《榆林市扬尘污染防治条例》，强化建筑工地、裸露土地、城市道路、涉煤企业、运煤专线等扬尘污染管控。施工场地严格执行“六</w:t>
                  </w:r>
                  <w:r>
                    <w:rPr>
                      <w:rFonts w:hint="default" w:ascii="Times New Roman" w:hAnsi="Times New Roman" w:cs="Times New Roman"/>
                      <w:color w:val="auto"/>
                      <w:sz w:val="21"/>
                      <w:szCs w:val="21"/>
                      <w:highlight w:val="none"/>
                      <w:lang w:val="en-US" w:eastAsia="zh-CN"/>
                    </w:rPr>
                    <w:t>个百分之百”要求，场界扬尘排放超过《施工场界扬尘排放限制》(DB361/1078-2017)的立即停工整改，严格落实施工工地重污染天气应急减排措施。</w:t>
                  </w:r>
                </w:p>
              </w:tc>
              <w:tc>
                <w:tcPr>
                  <w:tcW w:w="1176" w:type="pct"/>
                  <w:vAlign w:val="center"/>
                </w:tcPr>
                <w:p w14:paraId="69C1E107">
                  <w:pPr>
                    <w:pStyle w:val="39"/>
                    <w:ind w:firstLine="0" w:firstLineChars="0"/>
                    <w:jc w:val="both"/>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项目租赁已有建筑，施工主要为安装设备，</w:t>
                  </w:r>
                  <w:r>
                    <w:rPr>
                      <w:rFonts w:hint="eastAsia" w:ascii="宋体" w:hAnsi="宋体"/>
                      <w:color w:val="auto"/>
                      <w:sz w:val="21"/>
                      <w:szCs w:val="21"/>
                      <w:highlight w:val="none"/>
                    </w:rPr>
                    <w:t>评价要求建设单位严格按照方案中各项扬尘控制措施进行施工</w:t>
                  </w:r>
                  <w:r>
                    <w:rPr>
                      <w:rFonts w:hint="eastAsia" w:ascii="宋体" w:hAnsi="宋体"/>
                      <w:color w:val="auto"/>
                      <w:sz w:val="21"/>
                      <w:szCs w:val="21"/>
                      <w:highlight w:val="none"/>
                      <w:lang w:eastAsia="zh-CN"/>
                    </w:rPr>
                    <w:t>，</w:t>
                  </w:r>
                  <w:r>
                    <w:rPr>
                      <w:rFonts w:hint="eastAsia" w:ascii="宋体" w:hAnsi="宋体"/>
                      <w:color w:val="auto"/>
                      <w:sz w:val="21"/>
                      <w:szCs w:val="21"/>
                      <w:highlight w:val="none"/>
                    </w:rPr>
                    <w:t>场地严格执行“六个百分</w:t>
                  </w:r>
                  <w:r>
                    <w:rPr>
                      <w:rFonts w:hint="eastAsia" w:ascii="宋体" w:hAnsi="宋体"/>
                      <w:color w:val="auto"/>
                      <w:sz w:val="21"/>
                      <w:szCs w:val="21"/>
                      <w:highlight w:val="none"/>
                      <w:lang w:val="en-US" w:eastAsia="zh-CN"/>
                    </w:rPr>
                    <w:t>之</w:t>
                  </w:r>
                  <w:r>
                    <w:rPr>
                      <w:rFonts w:hint="eastAsia" w:ascii="宋体" w:hAnsi="宋体"/>
                      <w:color w:val="auto"/>
                      <w:sz w:val="21"/>
                      <w:szCs w:val="21"/>
                      <w:highlight w:val="none"/>
                    </w:rPr>
                    <w:t>百</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严格落实施工工地重污染天气应急减排措施</w:t>
                  </w:r>
                  <w:r>
                    <w:rPr>
                      <w:rFonts w:hint="eastAsia" w:ascii="宋体" w:hAnsi="宋体"/>
                      <w:color w:val="auto"/>
                      <w:sz w:val="21"/>
                      <w:szCs w:val="21"/>
                      <w:highlight w:val="none"/>
                      <w:lang w:eastAsia="zh-CN"/>
                    </w:rPr>
                    <w:t>。</w:t>
                  </w:r>
                </w:p>
              </w:tc>
              <w:tc>
                <w:tcPr>
                  <w:tcW w:w="487" w:type="pct"/>
                  <w:vAlign w:val="center"/>
                </w:tcPr>
                <w:p w14:paraId="2DD8FD66">
                  <w:pPr>
                    <w:pStyle w:val="39"/>
                    <w:ind w:firstLine="0" w:firstLineChars="0"/>
                    <w:rPr>
                      <w:rFonts w:hint="eastAsia"/>
                      <w:color w:val="auto"/>
                      <w:sz w:val="21"/>
                      <w:szCs w:val="21"/>
                      <w:highlight w:val="none"/>
                    </w:rPr>
                  </w:pPr>
                  <w:r>
                    <w:rPr>
                      <w:rFonts w:hint="eastAsia"/>
                      <w:color w:val="auto"/>
                      <w:sz w:val="21"/>
                      <w:szCs w:val="21"/>
                      <w:highlight w:val="none"/>
                    </w:rPr>
                    <w:t>符合</w:t>
                  </w:r>
                </w:p>
              </w:tc>
            </w:tr>
            <w:tr w14:paraId="3280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restart"/>
                  <w:vAlign w:val="center"/>
                </w:tcPr>
                <w:p w14:paraId="2AD2DC86">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auto"/>
                    <w:rPr>
                      <w:rFonts w:hint="eastAsia"/>
                      <w:color w:val="auto"/>
                      <w:sz w:val="21"/>
                      <w:szCs w:val="21"/>
                    </w:rPr>
                  </w:pPr>
                  <w:r>
                    <w:rPr>
                      <w:rFonts w:hint="default" w:ascii="Times New Roman" w:hAnsi="Times New Roman" w:eastAsia="宋体" w:cs="Times New Roman"/>
                      <w:bCs/>
                      <w:color w:val="auto"/>
                      <w:kern w:val="2"/>
                      <w:sz w:val="21"/>
                      <w:szCs w:val="21"/>
                      <w:lang w:val="en-US" w:eastAsia="zh-CN" w:bidi="ar-BH"/>
                    </w:rPr>
                    <w:t>《榆林市深化大气污染治理推进实现“十四五”空气质量目标的实施方案》</w:t>
                  </w:r>
                  <w:r>
                    <w:rPr>
                      <w:rFonts w:hint="default" w:ascii="Times New Roman" w:hAnsi="Times New Roman" w:eastAsia="宋体" w:cs="Times New Roman"/>
                      <w:color w:val="auto"/>
                      <w:kern w:val="0"/>
                      <w:sz w:val="21"/>
                      <w:szCs w:val="21"/>
                      <w:lang w:val="en-US" w:eastAsia="zh-CN" w:bidi="ar"/>
                    </w:rPr>
                    <w:t xml:space="preserve"> （榆</w:t>
                  </w:r>
                  <w:r>
                    <w:rPr>
                      <w:rFonts w:hint="default" w:ascii="Times New Roman" w:hAnsi="Times New Roman" w:cs="Times New Roman"/>
                      <w:color w:val="auto"/>
                      <w:kern w:val="0"/>
                      <w:sz w:val="21"/>
                      <w:szCs w:val="21"/>
                      <w:lang w:val="en-US" w:eastAsia="zh-CN" w:bidi="ar"/>
                    </w:rPr>
                    <w:t>政</w:t>
                  </w:r>
                  <w:r>
                    <w:rPr>
                      <w:rFonts w:hint="default" w:ascii="Times New Roman" w:hAnsi="Times New Roman" w:eastAsia="宋体" w:cs="Times New Roman"/>
                      <w:color w:val="auto"/>
                      <w:kern w:val="0"/>
                      <w:sz w:val="21"/>
                      <w:szCs w:val="21"/>
                      <w:lang w:val="en-US" w:eastAsia="zh-CN" w:bidi="ar"/>
                    </w:rPr>
                    <w:t>办</w:t>
                  </w:r>
                  <w:r>
                    <w:rPr>
                      <w:rFonts w:hint="default" w:ascii="Times New Roman" w:hAnsi="Times New Roman" w:cs="Times New Roman"/>
                      <w:color w:val="auto"/>
                      <w:kern w:val="0"/>
                      <w:sz w:val="21"/>
                      <w:szCs w:val="21"/>
                      <w:lang w:val="en-US" w:eastAsia="zh-CN" w:bidi="ar"/>
                    </w:rPr>
                    <w:t>发</w:t>
                  </w:r>
                  <w:r>
                    <w:rPr>
                      <w:rFonts w:hint="default" w:ascii="Times New Roman" w:hAnsi="Times New Roman" w:eastAsia="宋体" w:cs="Times New Roman"/>
                      <w:color w:val="auto"/>
                      <w:kern w:val="0"/>
                      <w:sz w:val="21"/>
                      <w:szCs w:val="21"/>
                      <w:lang w:val="en-US" w:eastAsia="zh-CN" w:bidi="ar"/>
                    </w:rPr>
                    <w:t>〔202</w:t>
                  </w:r>
                  <w:r>
                    <w:rPr>
                      <w:rFonts w:hint="default" w:ascii="Times New Roman" w:hAnsi="Times New Roman"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4 号）</w:t>
                  </w:r>
                </w:p>
              </w:tc>
              <w:tc>
                <w:tcPr>
                  <w:tcW w:w="2186" w:type="pct"/>
                  <w:vAlign w:val="center"/>
                </w:tcPr>
                <w:p w14:paraId="069D9E43">
                  <w:pPr>
                    <w:pStyle w:val="39"/>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坚决遏制高耗能、高排放、低水平项目盲目上马。新、改、扩建项目严格落实国家产业规划、产业政策、生态环境分区管控、规划环评、项目环评、节能审查、产能置换、重点污染物总量控制、污染物排放区域削减、碳排放达峰目标等相关要求，原则上采用清洁运输方式。新、改、扩建项目达到行业重点领域能效标杆水平。国家相关部门有明确要求的涉及产能置换项目，按照国家有关规定或经认可的置换方案执行。</w:t>
                  </w:r>
                </w:p>
              </w:tc>
              <w:tc>
                <w:tcPr>
                  <w:tcW w:w="1176" w:type="pct"/>
                  <w:vAlign w:val="center"/>
                </w:tcPr>
                <w:p w14:paraId="44049F84">
                  <w:pPr>
                    <w:pStyle w:val="39"/>
                    <w:ind w:firstLine="0" w:firstLineChars="0"/>
                    <w:jc w:val="both"/>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本项目不属于</w:t>
                  </w:r>
                  <w:r>
                    <w:rPr>
                      <w:rFonts w:hint="default" w:ascii="Times New Roman" w:hAnsi="Times New Roman" w:eastAsia="宋体" w:cs="Times New Roman"/>
                      <w:color w:val="auto"/>
                      <w:kern w:val="0"/>
                      <w:sz w:val="21"/>
                      <w:szCs w:val="21"/>
                      <w:lang w:val="en-US" w:eastAsia="zh-CN" w:bidi="ar"/>
                    </w:rPr>
                    <w:t>《陕西省“两高”项目管理暂行目录》行业项目</w:t>
                  </w:r>
                  <w:r>
                    <w:rPr>
                      <w:rFonts w:hint="eastAsia" w:cs="Times New Roman"/>
                      <w:color w:val="auto"/>
                      <w:kern w:val="0"/>
                      <w:sz w:val="21"/>
                      <w:szCs w:val="21"/>
                      <w:lang w:val="en-US" w:eastAsia="zh-CN" w:bidi="ar"/>
                    </w:rPr>
                    <w:t>，符合园区产业规划及规划环评、产业政策及生态环境分区管控等要求，不涉及</w:t>
                  </w:r>
                  <w:r>
                    <w:rPr>
                      <w:rFonts w:hint="eastAsia" w:ascii="宋体" w:hAnsi="宋体"/>
                      <w:color w:val="auto"/>
                      <w:sz w:val="21"/>
                      <w:szCs w:val="21"/>
                      <w:highlight w:val="none"/>
                      <w:lang w:val="en-US" w:eastAsia="zh-CN"/>
                    </w:rPr>
                    <w:t>重点领域能效标杆行业和</w:t>
                  </w:r>
                  <w:r>
                    <w:rPr>
                      <w:rFonts w:hint="eastAsia" w:cs="Times New Roman"/>
                      <w:color w:val="auto"/>
                      <w:kern w:val="0"/>
                      <w:sz w:val="21"/>
                      <w:szCs w:val="21"/>
                      <w:lang w:val="en-US" w:eastAsia="zh-CN" w:bidi="ar"/>
                    </w:rPr>
                    <w:t>产能置换规定。</w:t>
                  </w:r>
                </w:p>
              </w:tc>
              <w:tc>
                <w:tcPr>
                  <w:tcW w:w="487" w:type="pct"/>
                  <w:vAlign w:val="center"/>
                </w:tcPr>
                <w:p w14:paraId="68CFC93D">
                  <w:pPr>
                    <w:pStyle w:val="39"/>
                    <w:ind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符合</w:t>
                  </w:r>
                </w:p>
              </w:tc>
            </w:tr>
            <w:tr w14:paraId="1C30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1149" w:type="pct"/>
                  <w:vMerge w:val="continue"/>
                  <w:vAlign w:val="center"/>
                </w:tcPr>
                <w:p w14:paraId="27AB70EC">
                  <w:pPr>
                    <w:pStyle w:val="39"/>
                    <w:wordWrap w:val="0"/>
                    <w:ind w:firstLine="0" w:firstLineChars="0"/>
                    <w:jc w:val="both"/>
                    <w:rPr>
                      <w:rFonts w:hint="eastAsia"/>
                      <w:color w:val="auto"/>
                      <w:sz w:val="21"/>
                      <w:szCs w:val="21"/>
                    </w:rPr>
                  </w:pPr>
                </w:p>
              </w:tc>
              <w:tc>
                <w:tcPr>
                  <w:tcW w:w="2186" w:type="pct"/>
                  <w:vAlign w:val="center"/>
                </w:tcPr>
                <w:p w14:paraId="258CBE65">
                  <w:pPr>
                    <w:pStyle w:val="39"/>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发展新能源和清洁低碳能源。完成省上下达的非化石能源消费比重、电能占终端能源消费比重任务。新增天然气优先保障居民生活、清洁取暖以及燃煤锅炉、工业炉窑清洁能源替代。</w:t>
                  </w:r>
                </w:p>
              </w:tc>
              <w:tc>
                <w:tcPr>
                  <w:tcW w:w="1176" w:type="pct"/>
                  <w:vAlign w:val="center"/>
                </w:tcPr>
                <w:p w14:paraId="1A5F0D70">
                  <w:pPr>
                    <w:pStyle w:val="39"/>
                    <w:ind w:firstLine="0" w:firstLineChars="0"/>
                    <w:jc w:val="both"/>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项目所用能源主要利用恒生镁业公司副产荒煤气，属于剩余燃气综合利用，除此之外少量使用的天然气和电属于清洁能源。</w:t>
                  </w:r>
                </w:p>
              </w:tc>
              <w:tc>
                <w:tcPr>
                  <w:tcW w:w="487" w:type="pct"/>
                  <w:vAlign w:val="center"/>
                </w:tcPr>
                <w:p w14:paraId="0330E159">
                  <w:pPr>
                    <w:pStyle w:val="39"/>
                    <w:ind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bl>
          <w:p w14:paraId="7100F418">
            <w:pPr>
              <w:pStyle w:val="8"/>
              <w:spacing w:after="120"/>
              <w:rPr>
                <w:color w:val="auto"/>
              </w:rPr>
            </w:pPr>
            <w:r>
              <w:rPr>
                <w:color w:val="auto"/>
              </w:rPr>
              <w:t>5</w:t>
            </w:r>
            <w:r>
              <w:rPr>
                <w:rFonts w:hint="eastAsia"/>
                <w:color w:val="auto"/>
              </w:rPr>
              <w:t>.</w:t>
            </w:r>
            <w:r>
              <w:rPr>
                <w:color w:val="auto"/>
              </w:rPr>
              <w:t>选址合理性分析</w:t>
            </w:r>
          </w:p>
          <w:p w14:paraId="7FE84A4E">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color w:val="auto"/>
                <w:lang w:val="zh-CN"/>
              </w:rPr>
              <w:t>本项目位于</w:t>
            </w:r>
            <w:r>
              <w:rPr>
                <w:rFonts w:hint="eastAsia" w:ascii="宋体" w:hAnsi="宋体" w:eastAsia="宋体" w:cs="宋体"/>
                <w:color w:val="auto"/>
                <w:kern w:val="0"/>
                <w:sz w:val="24"/>
                <w:szCs w:val="24"/>
                <w:lang w:val="en-US" w:eastAsia="zh-CN" w:bidi="ar"/>
              </w:rPr>
              <w:t>榆佳经济技术开发区</w:t>
            </w:r>
            <w:r>
              <w:rPr>
                <w:rFonts w:hint="eastAsia"/>
                <w:color w:val="auto"/>
              </w:rPr>
              <w:t>，</w:t>
            </w:r>
            <w:r>
              <w:rPr>
                <w:rFonts w:hint="eastAsia"/>
                <w:color w:val="auto"/>
                <w:lang w:val="en-US" w:eastAsia="zh-CN"/>
              </w:rPr>
              <w:t>用地属于工业用地（详见附件国有土地出让合同），</w:t>
            </w:r>
            <w:r>
              <w:rPr>
                <w:rFonts w:hint="eastAsia" w:ascii="宋体" w:hAnsi="宋体" w:eastAsia="宋体" w:cs="宋体"/>
                <w:color w:val="auto"/>
                <w:kern w:val="0"/>
                <w:sz w:val="24"/>
                <w:szCs w:val="24"/>
                <w:lang w:val="en-US" w:eastAsia="zh-CN" w:bidi="ar"/>
              </w:rPr>
              <w:t>符合园区规划</w:t>
            </w:r>
            <w:r>
              <w:rPr>
                <w:rFonts w:hint="eastAsia" w:ascii="宋体" w:hAnsi="宋体" w:cs="宋体"/>
                <w:color w:val="auto"/>
                <w:kern w:val="0"/>
                <w:sz w:val="24"/>
                <w:szCs w:val="24"/>
                <w:lang w:val="en-US" w:eastAsia="zh-CN" w:bidi="ar"/>
              </w:rPr>
              <w:t>及规划环评要求</w:t>
            </w:r>
            <w:r>
              <w:rPr>
                <w:rFonts w:hint="eastAsia" w:ascii="宋体" w:hAnsi="宋体" w:eastAsia="宋体" w:cs="宋体"/>
                <w:color w:val="auto"/>
                <w:kern w:val="0"/>
                <w:sz w:val="24"/>
                <w:szCs w:val="24"/>
                <w:lang w:val="en-US" w:eastAsia="zh-CN" w:bidi="ar"/>
              </w:rPr>
              <w:t>，项目给排水、供电、通讯等基础设施完善，交通便利，有利于项目建设。</w:t>
            </w:r>
          </w:p>
          <w:p w14:paraId="53568D27">
            <w:pPr>
              <w:keepNext w:val="0"/>
              <w:keepLines w:val="0"/>
              <w:widowControl/>
              <w:suppressLineNumbers w:val="0"/>
              <w:jc w:val="left"/>
              <w:rPr>
                <w:color w:val="auto"/>
              </w:rPr>
            </w:pPr>
            <w:r>
              <w:rPr>
                <w:rFonts w:hint="eastAsia" w:ascii="宋体" w:hAnsi="宋体" w:cs="宋体"/>
                <w:color w:val="auto"/>
                <w:kern w:val="0"/>
                <w:sz w:val="24"/>
                <w:szCs w:val="24"/>
                <w:lang w:val="en-US" w:eastAsia="zh-CN" w:bidi="ar"/>
              </w:rPr>
              <w:t>项目</w:t>
            </w:r>
            <w:r>
              <w:rPr>
                <w:rFonts w:hint="eastAsia" w:ascii="宋体" w:hAnsi="宋体" w:eastAsia="宋体" w:cs="宋体"/>
                <w:color w:val="auto"/>
                <w:kern w:val="0"/>
                <w:sz w:val="24"/>
                <w:szCs w:val="24"/>
                <w:lang w:val="en-US" w:eastAsia="zh-CN" w:bidi="ar"/>
              </w:rPr>
              <w:t>不涉及生态保护红线，周边无自然保护区、风景名胜区、</w:t>
            </w:r>
            <w:r>
              <w:rPr>
                <w:rFonts w:hint="eastAsia"/>
                <w:color w:val="auto"/>
              </w:rPr>
              <w:t>永久基本农田、文物保护单位、</w:t>
            </w:r>
            <w:r>
              <w:rPr>
                <w:rFonts w:hint="eastAsia" w:ascii="宋体" w:hAnsi="宋体" w:eastAsia="宋体" w:cs="宋体"/>
                <w:color w:val="auto"/>
                <w:kern w:val="0"/>
                <w:sz w:val="24"/>
                <w:szCs w:val="24"/>
                <w:lang w:val="en-US" w:eastAsia="zh-CN" w:bidi="ar"/>
              </w:rPr>
              <w:t>饮用水水源</w:t>
            </w:r>
            <w:r>
              <w:rPr>
                <w:rFonts w:hint="eastAsia" w:ascii="宋体" w:hAnsi="宋体" w:cs="宋体"/>
                <w:color w:val="auto"/>
                <w:kern w:val="0"/>
                <w:sz w:val="24"/>
                <w:szCs w:val="24"/>
                <w:lang w:val="en-US" w:eastAsia="zh-CN" w:bidi="ar"/>
              </w:rPr>
              <w:t>地</w:t>
            </w:r>
            <w:r>
              <w:rPr>
                <w:rFonts w:hint="eastAsia" w:ascii="宋体" w:hAnsi="宋体" w:eastAsia="宋体" w:cs="宋体"/>
                <w:color w:val="auto"/>
                <w:kern w:val="0"/>
                <w:sz w:val="24"/>
                <w:szCs w:val="24"/>
                <w:lang w:val="en-US" w:eastAsia="zh-CN" w:bidi="ar"/>
              </w:rPr>
              <w:t>和热水、矿泉水、温泉等特殊地下水资源</w:t>
            </w:r>
            <w:r>
              <w:rPr>
                <w:rFonts w:hint="eastAsia" w:ascii="宋体" w:hAnsi="宋体" w:cs="宋体"/>
                <w:color w:val="auto"/>
                <w:kern w:val="0"/>
                <w:sz w:val="24"/>
                <w:szCs w:val="24"/>
                <w:lang w:val="en-US" w:eastAsia="zh-CN" w:bidi="ar"/>
              </w:rPr>
              <w:t>、</w:t>
            </w:r>
            <w:r>
              <w:rPr>
                <w:rFonts w:hint="eastAsia"/>
                <w:color w:val="auto"/>
              </w:rPr>
              <w:t>重点保护野生动植物</w:t>
            </w:r>
            <w:r>
              <w:rPr>
                <w:rFonts w:hint="eastAsia" w:ascii="宋体" w:hAnsi="宋体" w:eastAsia="宋体" w:cs="宋体"/>
                <w:color w:val="auto"/>
                <w:kern w:val="0"/>
                <w:sz w:val="24"/>
                <w:szCs w:val="24"/>
                <w:lang w:val="en-US" w:eastAsia="zh-CN" w:bidi="ar"/>
              </w:rPr>
              <w:t>等环境保护目标</w:t>
            </w:r>
            <w:r>
              <w:rPr>
                <w:rFonts w:hint="eastAsia"/>
                <w:color w:val="auto"/>
              </w:rPr>
              <w:t>。</w:t>
            </w:r>
          </w:p>
          <w:p w14:paraId="36BBC4FD">
            <w:pPr>
              <w:ind w:firstLine="480"/>
              <w:rPr>
                <w:rFonts w:ascii="宋体" w:hAnsi="宋体"/>
                <w:color w:val="auto"/>
              </w:rPr>
            </w:pPr>
            <w:r>
              <w:rPr>
                <w:rFonts w:ascii="宋体" w:hAnsi="宋体"/>
                <w:color w:val="auto"/>
              </w:rPr>
              <w:t>项目实施环评提出的措施后，各项污染物均能达标排放，对周围环境造成的影响较小，不会改变原有空气环境、地表水、地下水、声环境及土壤环境功能。</w:t>
            </w:r>
          </w:p>
          <w:p w14:paraId="69BCFDD6">
            <w:pPr>
              <w:ind w:firstLine="480"/>
              <w:rPr>
                <w:color w:val="auto"/>
              </w:rPr>
            </w:pPr>
            <w:r>
              <w:rPr>
                <w:rFonts w:hint="eastAsia"/>
                <w:color w:val="auto"/>
              </w:rPr>
              <w:t>综上</w:t>
            </w:r>
            <w:r>
              <w:rPr>
                <w:color w:val="auto"/>
              </w:rPr>
              <w:t>，从环境保护角度分析，项目选址合理。</w:t>
            </w:r>
          </w:p>
          <w:p w14:paraId="7469958C">
            <w:pPr>
              <w:ind w:firstLine="480"/>
              <w:rPr>
                <w:color w:val="auto"/>
              </w:rPr>
            </w:pPr>
          </w:p>
          <w:p w14:paraId="2E835A6F">
            <w:pPr>
              <w:ind w:firstLine="480"/>
              <w:rPr>
                <w:color w:val="auto"/>
              </w:rPr>
            </w:pPr>
          </w:p>
          <w:p w14:paraId="3374BA91">
            <w:pPr>
              <w:ind w:firstLine="480"/>
              <w:rPr>
                <w:color w:val="auto"/>
              </w:rPr>
            </w:pPr>
          </w:p>
          <w:p w14:paraId="67C5AE6E">
            <w:pPr>
              <w:ind w:firstLine="480"/>
              <w:rPr>
                <w:color w:val="auto"/>
              </w:rPr>
            </w:pPr>
          </w:p>
          <w:p w14:paraId="63C978B1">
            <w:pPr>
              <w:ind w:firstLine="480"/>
              <w:rPr>
                <w:color w:val="auto"/>
              </w:rPr>
            </w:pPr>
          </w:p>
          <w:p w14:paraId="18FE2509">
            <w:pPr>
              <w:ind w:firstLine="480"/>
              <w:rPr>
                <w:color w:val="auto"/>
              </w:rPr>
            </w:pPr>
          </w:p>
          <w:p w14:paraId="4503ECF0">
            <w:pPr>
              <w:ind w:firstLine="480"/>
              <w:rPr>
                <w:color w:val="auto"/>
              </w:rPr>
            </w:pPr>
          </w:p>
          <w:p w14:paraId="1DED1DE9">
            <w:pPr>
              <w:ind w:firstLine="480"/>
              <w:rPr>
                <w:color w:val="auto"/>
              </w:rPr>
            </w:pPr>
          </w:p>
          <w:p w14:paraId="43062F5C">
            <w:pPr>
              <w:ind w:firstLine="480"/>
              <w:rPr>
                <w:color w:val="auto"/>
              </w:rPr>
            </w:pPr>
          </w:p>
          <w:p w14:paraId="6A613462">
            <w:pPr>
              <w:ind w:left="0" w:leftChars="0" w:firstLine="0" w:firstLineChars="0"/>
              <w:rPr>
                <w:color w:val="auto"/>
              </w:rPr>
            </w:pPr>
          </w:p>
        </w:tc>
      </w:tr>
    </w:tbl>
    <w:p w14:paraId="4188B32A">
      <w:pPr>
        <w:ind w:firstLine="0" w:firstLineChars="0"/>
        <w:rPr>
          <w:rFonts w:eastAsia="黑体"/>
          <w:color w:val="auto"/>
          <w:sz w:val="30"/>
        </w:rPr>
        <w:sectPr>
          <w:footerReference r:id="rId11" w:type="default"/>
          <w:pgSz w:w="11906" w:h="16838"/>
          <w:pgMar w:top="1531" w:right="1304" w:bottom="1531" w:left="1304" w:header="851" w:footer="1077" w:gutter="0"/>
          <w:pgBorders>
            <w:top w:val="none" w:sz="0" w:space="0"/>
            <w:left w:val="none" w:sz="0" w:space="0"/>
            <w:bottom w:val="none" w:sz="0" w:space="0"/>
            <w:right w:val="none" w:sz="0" w:space="0"/>
          </w:pgBorders>
          <w:pgNumType w:start="1"/>
          <w:cols w:space="720" w:num="1"/>
          <w:docGrid w:linePitch="312" w:charSpace="0"/>
        </w:sectPr>
      </w:pPr>
    </w:p>
    <w:p w14:paraId="437ADE7F">
      <w:pPr>
        <w:pStyle w:val="7"/>
        <w:numPr>
          <w:ilvl w:val="0"/>
          <w:numId w:val="0"/>
        </w:numPr>
        <w:ind w:left="425" w:leftChars="0" w:firstLine="0" w:firstLineChars="0"/>
        <w:rPr>
          <w:color w:val="auto"/>
        </w:rPr>
      </w:pPr>
      <w:r>
        <w:rPr>
          <w:rFonts w:hint="eastAsia" w:ascii="Times New Roman" w:hAnsi="Times New Roman" w:eastAsia="黑体"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2</w:t>
      </w:r>
      <w:r>
        <w:rPr>
          <w:rFonts w:hint="eastAsia"/>
          <w:color w:val="auto"/>
        </w:rPr>
        <w:t>二、建设项目工程分析</w:t>
      </w:r>
    </w:p>
    <w:tbl>
      <w:tblPr>
        <w:tblStyle w:val="24"/>
        <w:tblW w:w="0" w:type="auto"/>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4"/>
        <w:gridCol w:w="8584"/>
      </w:tblGrid>
      <w:tr w14:paraId="3F7D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624" w:type="dxa"/>
            <w:tcBorders>
              <w:top w:val="single" w:color="auto" w:sz="4" w:space="0"/>
              <w:left w:val="single" w:color="auto" w:sz="4" w:space="0"/>
              <w:bottom w:val="single" w:color="auto" w:sz="4" w:space="0"/>
              <w:right w:val="single" w:color="auto" w:sz="4" w:space="0"/>
            </w:tcBorders>
            <w:vAlign w:val="center"/>
          </w:tcPr>
          <w:p w14:paraId="023ED09D">
            <w:pPr>
              <w:adjustRightInd w:val="0"/>
              <w:snapToGrid w:val="0"/>
              <w:ind w:firstLine="0" w:firstLineChars="0"/>
              <w:jc w:val="center"/>
              <w:rPr>
                <w:b/>
                <w:color w:val="auto"/>
              </w:rPr>
            </w:pPr>
            <w:r>
              <w:rPr>
                <w:rFonts w:hint="eastAsia"/>
                <w:b/>
                <w:color w:val="auto"/>
              </w:rPr>
              <w:t>建设</w:t>
            </w:r>
          </w:p>
          <w:p w14:paraId="3DD4EBD0">
            <w:pPr>
              <w:adjustRightInd w:val="0"/>
              <w:snapToGrid w:val="0"/>
              <w:ind w:firstLine="0" w:firstLineChars="0"/>
              <w:jc w:val="center"/>
              <w:rPr>
                <w:color w:val="auto"/>
              </w:rPr>
            </w:pPr>
            <w:r>
              <w:rPr>
                <w:rFonts w:hint="eastAsia"/>
                <w:b/>
                <w:color w:val="auto"/>
              </w:rPr>
              <w:t>内容</w:t>
            </w:r>
          </w:p>
        </w:tc>
        <w:tc>
          <w:tcPr>
            <w:tcW w:w="8584" w:type="dxa"/>
            <w:tcBorders>
              <w:top w:val="single" w:color="auto" w:sz="4" w:space="0"/>
              <w:left w:val="single" w:color="auto" w:sz="4" w:space="0"/>
              <w:bottom w:val="single" w:color="auto" w:sz="4" w:space="0"/>
              <w:right w:val="single" w:color="auto" w:sz="4" w:space="0"/>
            </w:tcBorders>
          </w:tcPr>
          <w:p w14:paraId="20931613">
            <w:pPr>
              <w:pStyle w:val="8"/>
              <w:spacing w:after="120"/>
              <w:rPr>
                <w:rFonts w:hint="eastAsia" w:eastAsia="宋体"/>
                <w:color w:val="auto"/>
                <w:lang w:eastAsia="zh-CN"/>
              </w:rPr>
            </w:pPr>
            <w:r>
              <w:rPr>
                <w:rFonts w:hint="eastAsia"/>
                <w:color w:val="auto"/>
              </w:rPr>
              <w:t>一、项目</w:t>
            </w:r>
            <w:r>
              <w:rPr>
                <w:rFonts w:hint="eastAsia"/>
                <w:color w:val="auto"/>
                <w:lang w:val="en-US" w:eastAsia="zh-CN"/>
              </w:rPr>
              <w:t>概况</w:t>
            </w:r>
          </w:p>
          <w:p w14:paraId="2CEB6D57">
            <w:pPr>
              <w:ind w:firstLine="480"/>
              <w:rPr>
                <w:rFonts w:hint="default"/>
                <w:color w:val="auto"/>
                <w:highlight w:val="none"/>
                <w:lang w:val="en-US" w:eastAsia="zh-CN"/>
              </w:rPr>
            </w:pPr>
            <w:r>
              <w:rPr>
                <w:rFonts w:hint="eastAsia"/>
                <w:color w:val="auto"/>
                <w:lang w:val="en-US" w:eastAsia="zh-CN"/>
              </w:rPr>
              <w:t>嘉镁新材料科技（榆林）有限公司成立于2021年，公司于2022年4月取得榆林市生态环境局榆阳分局关于</w:t>
            </w:r>
            <w:r>
              <w:rPr>
                <w:rFonts w:hint="default"/>
                <w:color w:val="auto"/>
                <w:lang w:val="en-US" w:eastAsia="zh-CN"/>
              </w:rPr>
              <w:t>20KT</w:t>
            </w:r>
            <w:r>
              <w:rPr>
                <w:rFonts w:hint="eastAsia"/>
                <w:color w:val="auto"/>
                <w:lang w:val="en-US" w:eastAsia="zh-CN"/>
              </w:rPr>
              <w:t>镁基轻量化新材料及汽车零部件深加工项目（以下称“原有项目”）的环评批复，该项目位于榆阳区高新技术产业园</w:t>
            </w:r>
            <w:r>
              <w:rPr>
                <w:rFonts w:hint="eastAsia"/>
                <w:color w:val="auto"/>
                <w:highlight w:val="none"/>
                <w:lang w:val="en-US" w:eastAsia="zh-CN"/>
              </w:rPr>
              <w:t>，已基本建成但未投入运营。</w:t>
            </w:r>
          </w:p>
          <w:p w14:paraId="0CFD1BA0">
            <w:pPr>
              <w:pStyle w:val="13"/>
              <w:rPr>
                <w:rFonts w:hint="default" w:ascii="Times New Roman" w:hAnsi="Times New Roman" w:cs="Times New Roman"/>
                <w:color w:val="auto"/>
                <w:sz w:val="24"/>
                <w:szCs w:val="24"/>
                <w:lang w:val="en-US" w:eastAsia="zh-CN"/>
              </w:rPr>
            </w:pPr>
            <w:r>
              <w:rPr>
                <w:rFonts w:hint="eastAsia" w:ascii="宋体" w:hAnsi="宋体" w:cs="Times New Roman"/>
                <w:color w:val="auto"/>
                <w:sz w:val="24"/>
                <w:szCs w:val="24"/>
              </w:rPr>
              <w:t>为进一步提升</w:t>
            </w:r>
            <w:r>
              <w:rPr>
                <w:rFonts w:hint="eastAsia" w:ascii="宋体" w:hAnsi="宋体" w:cs="Times New Roman"/>
                <w:color w:val="auto"/>
                <w:sz w:val="24"/>
                <w:szCs w:val="24"/>
                <w:lang w:val="en-US" w:eastAsia="zh-CN"/>
              </w:rPr>
              <w:t>公司</w:t>
            </w:r>
            <w:r>
              <w:rPr>
                <w:rFonts w:hint="eastAsia" w:ascii="宋体" w:hAnsi="宋体" w:cs="Times New Roman"/>
                <w:color w:val="auto"/>
                <w:sz w:val="24"/>
                <w:szCs w:val="24"/>
              </w:rPr>
              <w:t>在镁合金新材料及深加工业务板块的竞争力，打造完整镁产业链条，</w:t>
            </w:r>
            <w:r>
              <w:rPr>
                <w:rFonts w:hint="eastAsia" w:ascii="宋体" w:hAnsi="宋体" w:cs="Times New Roman"/>
                <w:color w:val="auto"/>
                <w:sz w:val="24"/>
                <w:szCs w:val="24"/>
                <w:lang w:val="en-US" w:eastAsia="zh-CN"/>
              </w:rPr>
              <w:t>公司拟依托榆佳经济技术开发区恒生镁业公司等镁业企业</w:t>
            </w:r>
            <w:r>
              <w:rPr>
                <w:rFonts w:hint="eastAsia" w:ascii="宋体" w:hAnsi="宋体" w:cs="Times New Roman"/>
                <w:color w:val="auto"/>
                <w:sz w:val="24"/>
                <w:szCs w:val="24"/>
              </w:rPr>
              <w:t>，实现上下游优势互补，</w:t>
            </w:r>
            <w:r>
              <w:rPr>
                <w:rFonts w:hint="eastAsia" w:ascii="宋体" w:hAnsi="宋体" w:cs="Times New Roman"/>
                <w:color w:val="auto"/>
                <w:sz w:val="24"/>
                <w:szCs w:val="24"/>
                <w:lang w:val="en-US" w:eastAsia="zh-CN"/>
              </w:rPr>
              <w:t>将原有项目迁建至榆佳经济技术开发区。</w:t>
            </w:r>
            <w:r>
              <w:rPr>
                <w:rFonts w:hint="default" w:ascii="Times New Roman" w:hAnsi="Times New Roman" w:cs="Times New Roman"/>
                <w:color w:val="auto"/>
                <w:sz w:val="24"/>
                <w:szCs w:val="24"/>
                <w:lang w:val="en-US" w:eastAsia="zh-CN"/>
              </w:rPr>
              <w:t>迁建后项目</w:t>
            </w:r>
            <w:r>
              <w:rPr>
                <w:rFonts w:hint="default" w:ascii="Times New Roman" w:hAnsi="Times New Roman" w:cs="Times New Roman"/>
                <w:color w:val="auto"/>
                <w:lang w:val="en-US" w:eastAsia="zh-CN"/>
              </w:rPr>
              <w:t>以精镁（纯度99</w:t>
            </w:r>
            <w:r>
              <w:rPr>
                <w:rFonts w:hint="eastAsia" w:cs="Times New Roman"/>
                <w:color w:val="auto"/>
                <w:lang w:val="en-US" w:eastAsia="zh-CN"/>
              </w:rPr>
              <w:t>.95</w:t>
            </w:r>
            <w:r>
              <w:rPr>
                <w:rFonts w:hint="default" w:ascii="Times New Roman" w:hAnsi="Times New Roman" w:cs="Times New Roman"/>
                <w:color w:val="auto"/>
                <w:lang w:val="en-US" w:eastAsia="zh-CN"/>
              </w:rPr>
              <w:t>%）</w:t>
            </w:r>
            <w:r>
              <w:rPr>
                <w:rFonts w:hint="eastAsia" w:cs="Times New Roman"/>
                <w:color w:val="auto"/>
                <w:lang w:val="en-US" w:eastAsia="zh-CN"/>
              </w:rPr>
              <w:t>、</w:t>
            </w:r>
            <w:r>
              <w:rPr>
                <w:rFonts w:hint="default" w:ascii="Times New Roman" w:hAnsi="Times New Roman" w:cs="Times New Roman"/>
                <w:color w:val="auto"/>
                <w:lang w:val="en-US" w:eastAsia="zh-CN"/>
              </w:rPr>
              <w:t>铝锭、锌锭为主要原料熔炼生产1</w:t>
            </w:r>
            <w:r>
              <w:rPr>
                <w:rFonts w:hint="eastAsia" w:cs="Times New Roman"/>
                <w:color w:val="auto"/>
                <w:lang w:val="en-US" w:eastAsia="zh-CN"/>
              </w:rPr>
              <w:t>6000t</w:t>
            </w:r>
            <w:r>
              <w:rPr>
                <w:rFonts w:hint="default" w:ascii="Times New Roman" w:hAnsi="Times New Roman" w:cs="Times New Roman"/>
                <w:color w:val="auto"/>
                <w:lang w:val="en-US" w:eastAsia="zh-CN"/>
              </w:rPr>
              <w:t>/a镁合金锭，以外购高品质镁合金为原料生产2000t/a</w:t>
            </w:r>
            <w:r>
              <w:rPr>
                <w:rFonts w:hint="default" w:ascii="Times New Roman" w:hAnsi="Times New Roman" w:cs="Times New Roman"/>
                <w:color w:val="auto"/>
                <w:sz w:val="24"/>
                <w:szCs w:val="24"/>
                <w:lang w:val="en-US" w:eastAsia="zh-CN"/>
              </w:rPr>
              <w:t>镁合金压铸件和2000t/a镁合金颗粒，并配套建设</w:t>
            </w:r>
            <w:r>
              <w:rPr>
                <w:rFonts w:hint="eastAsia" w:cs="Times New Roman"/>
                <w:color w:val="auto"/>
                <w:sz w:val="24"/>
                <w:szCs w:val="24"/>
                <w:lang w:val="en-US" w:eastAsia="zh-CN"/>
              </w:rPr>
              <w:t>公用、辅助设施。项目压铸件产品用途为</w:t>
            </w:r>
            <w:r>
              <w:rPr>
                <w:rFonts w:hint="eastAsia" w:ascii="宋体" w:hAnsi="宋体" w:eastAsia="宋体" w:cs="宋体"/>
                <w:color w:val="auto"/>
                <w:kern w:val="0"/>
                <w:sz w:val="24"/>
                <w:szCs w:val="24"/>
              </w:rPr>
              <w:t>镁合金方向盘骨架、仪表盘骨架、白车身、动力电池包壳体等</w:t>
            </w:r>
            <w:r>
              <w:rPr>
                <w:rFonts w:hint="eastAsia" w:ascii="宋体" w:hAnsi="宋体" w:eastAsia="宋体" w:cs="宋体"/>
                <w:color w:val="auto"/>
                <w:kern w:val="0"/>
                <w:sz w:val="24"/>
                <w:szCs w:val="24"/>
                <w:lang w:val="en-US" w:eastAsia="zh-CN"/>
              </w:rPr>
              <w:t>汽车零部件，</w:t>
            </w:r>
            <w:r>
              <w:rPr>
                <w:rFonts w:hint="eastAsia" w:ascii="宋体" w:hAnsi="宋体" w:cs="宋体"/>
                <w:color w:val="auto"/>
                <w:kern w:val="0"/>
                <w:sz w:val="24"/>
                <w:szCs w:val="24"/>
                <w:lang w:val="en-US" w:eastAsia="zh-CN"/>
              </w:rPr>
              <w:t>并设有机加工设备对压铸件进行深加工，</w:t>
            </w:r>
            <w:r>
              <w:rPr>
                <w:rFonts w:hint="eastAsia" w:ascii="宋体" w:hAnsi="宋体" w:eastAsia="宋体" w:cs="宋体"/>
                <w:color w:val="auto"/>
                <w:kern w:val="0"/>
                <w:sz w:val="24"/>
                <w:szCs w:val="24"/>
                <w:lang w:val="en-US" w:eastAsia="zh-CN"/>
              </w:rPr>
              <w:t>因此本项目</w:t>
            </w:r>
            <w:r>
              <w:rPr>
                <w:rFonts w:hint="eastAsia" w:ascii="宋体" w:hAnsi="宋体" w:cs="宋体"/>
                <w:color w:val="auto"/>
                <w:kern w:val="0"/>
                <w:sz w:val="24"/>
                <w:szCs w:val="24"/>
                <w:lang w:val="en-US" w:eastAsia="zh-CN"/>
              </w:rPr>
              <w:t>也</w:t>
            </w:r>
            <w:r>
              <w:rPr>
                <w:rFonts w:hint="eastAsia" w:ascii="宋体" w:hAnsi="宋体" w:eastAsia="宋体" w:cs="宋体"/>
                <w:color w:val="auto"/>
                <w:kern w:val="0"/>
                <w:sz w:val="24"/>
                <w:szCs w:val="24"/>
                <w:lang w:val="en-US" w:eastAsia="zh-CN"/>
              </w:rPr>
              <w:t>属于汽车零部件深加工</w:t>
            </w:r>
            <w:r>
              <w:rPr>
                <w:rFonts w:hint="default" w:ascii="Times New Roman" w:hAnsi="Times New Roman" w:cs="Times New Roman"/>
                <w:color w:val="auto"/>
                <w:sz w:val="24"/>
                <w:szCs w:val="24"/>
                <w:lang w:val="en-US" w:eastAsia="zh-CN"/>
              </w:rPr>
              <w:t>。</w:t>
            </w:r>
          </w:p>
          <w:p w14:paraId="2CE8D147">
            <w:pPr>
              <w:ind w:firstLine="480"/>
              <w:rPr>
                <w:rFonts w:hint="eastAsia" w:ascii="宋体" w:hAnsi="宋体" w:eastAsia="宋体" w:cs="Times New Roman"/>
                <w:color w:val="auto"/>
                <w:sz w:val="24"/>
                <w:szCs w:val="24"/>
              </w:rPr>
            </w:pPr>
            <w:r>
              <w:rPr>
                <w:rFonts w:hint="default" w:ascii="Times New Roman" w:hAnsi="Times New Roman" w:eastAsia="宋体" w:cs="Times New Roman"/>
                <w:color w:val="auto"/>
                <w:sz w:val="24"/>
                <w:szCs w:val="24"/>
              </w:rPr>
              <w:t>根据《中华人民共和国环境影响评价法》《建设项目环境保护管理条例》《建设项目环境影响评价分类管理名录（2021年版）》等规定，</w:t>
            </w:r>
            <w:r>
              <w:rPr>
                <w:rFonts w:hint="default" w:ascii="Times New Roman" w:hAnsi="Times New Roman" w:eastAsia="宋体" w:cs="Times New Roman"/>
                <w:color w:val="auto"/>
                <w:sz w:val="24"/>
                <w:szCs w:val="24"/>
                <w:lang w:eastAsia="zh-CN"/>
              </w:rPr>
              <w:t>本项目属于</w:t>
            </w:r>
            <w:r>
              <w:rPr>
                <w:rFonts w:hint="default" w:ascii="Times New Roman" w:hAnsi="Times New Roman" w:eastAsia="宋体" w:cs="Times New Roman"/>
                <w:color w:val="auto"/>
                <w:sz w:val="24"/>
                <w:szCs w:val="24"/>
              </w:rPr>
              <w:t>《建设项目环境影响评价分类管理名录（2021年版）》</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lang w:val="en-US" w:eastAsia="zh-CN"/>
              </w:rPr>
              <w:t>二十九、有色金属冶炼和压延加工业32 64有色金属合金制造324</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利用单质金</w:t>
            </w:r>
            <w:r>
              <w:rPr>
                <w:rFonts w:hint="eastAsia" w:ascii="宋体" w:hAnsi="宋体" w:eastAsia="宋体" w:cs="Times New Roman"/>
                <w:color w:val="auto"/>
                <w:sz w:val="24"/>
                <w:szCs w:val="24"/>
                <w:lang w:val="en-US" w:eastAsia="zh-CN"/>
              </w:rPr>
              <w:t>属混配重熔生产合金的”</w:t>
            </w:r>
            <w:r>
              <w:rPr>
                <w:rFonts w:hint="eastAsia" w:ascii="宋体" w:hAnsi="宋体" w:cs="Times New Roman"/>
                <w:color w:val="auto"/>
                <w:sz w:val="24"/>
                <w:szCs w:val="24"/>
                <w:lang w:val="en-US" w:eastAsia="zh-CN"/>
              </w:rPr>
              <w:t>以及</w:t>
            </w:r>
            <w:r>
              <w:rPr>
                <w:rFonts w:hint="default" w:ascii="Times New Roman" w:hAnsi="Times New Roman" w:eastAsia="宋体" w:cs="Times New Roman"/>
                <w:color w:val="auto"/>
                <w:sz w:val="24"/>
                <w:szCs w:val="24"/>
                <w:lang w:val="en-US" w:eastAsia="zh-CN"/>
              </w:rPr>
              <w:t>“三十、金属制品业33 68铸造及其他金属制品制造339”中“其他（仅分割、焊接、组装的除外）”</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应当编制环境影响报告表。</w:t>
            </w:r>
          </w:p>
          <w:p w14:paraId="21E835C3">
            <w:pPr>
              <w:pStyle w:val="8"/>
              <w:spacing w:after="120"/>
              <w:rPr>
                <w:color w:val="auto"/>
              </w:rPr>
            </w:pPr>
            <w:r>
              <w:rPr>
                <w:rFonts w:hint="eastAsia"/>
                <w:color w:val="auto"/>
              </w:rPr>
              <w:t>二、项目组成</w:t>
            </w:r>
          </w:p>
          <w:p w14:paraId="3C334CAB">
            <w:pPr>
              <w:ind w:firstLine="480"/>
              <w:rPr>
                <w:color w:val="auto"/>
              </w:rPr>
            </w:pPr>
            <w:r>
              <w:rPr>
                <w:rFonts w:hint="eastAsia"/>
                <w:color w:val="auto"/>
                <w:highlight w:val="none"/>
                <w:lang w:val="en-US" w:eastAsia="zh-CN"/>
              </w:rPr>
              <w:t>经核实，恒生镁业公司负责建设荒煤气管道并办理相关环保手续，因此煤气管道不属于本项目建设内容。</w:t>
            </w:r>
            <w:r>
              <w:rPr>
                <w:color w:val="auto"/>
              </w:rPr>
              <w:t>项目组成</w:t>
            </w:r>
            <w:r>
              <w:rPr>
                <w:rFonts w:hint="eastAsia"/>
                <w:color w:val="auto"/>
              </w:rPr>
              <w:t>及</w:t>
            </w:r>
            <w:r>
              <w:rPr>
                <w:color w:val="auto"/>
              </w:rPr>
              <w:t>具体建设内容见表2-1。</w:t>
            </w:r>
          </w:p>
          <w:p w14:paraId="30A6CB07">
            <w:pPr>
              <w:pStyle w:val="42"/>
              <w:numPr>
                <w:ilvl w:val="3"/>
                <w:numId w:val="0"/>
              </w:numPr>
              <w:ind w:left="0" w:leftChars="0" w:firstLine="0" w:firstLineChars="0"/>
              <w:rPr>
                <w:color w:val="auto"/>
                <w:sz w:val="24"/>
                <w:szCs w:val="24"/>
              </w:rPr>
            </w:pPr>
            <w:r>
              <w:rPr>
                <w:rFonts w:hint="eastAsia" w:ascii="Times New Roman" w:hAnsi="Times New Roman" w:eastAsia="黑体" w:cs="Times New Roman"/>
                <w:color w:val="auto"/>
                <w:kern w:val="2"/>
                <w:sz w:val="24"/>
                <w:szCs w:val="24"/>
                <w:lang w:val="en-US" w:eastAsia="zh-CN" w:bidi="ar-SA"/>
              </w:rPr>
              <w:t xml:space="preserve">表2-1 </w:t>
            </w:r>
            <w:r>
              <w:rPr>
                <w:rFonts w:hint="eastAsia"/>
                <w:color w:val="auto"/>
                <w:sz w:val="24"/>
                <w:szCs w:val="24"/>
              </w:rPr>
              <w:t>建设项目组成一览表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39"/>
              <w:gridCol w:w="1254"/>
              <w:gridCol w:w="4704"/>
              <w:gridCol w:w="1618"/>
            </w:tblGrid>
            <w:tr w14:paraId="6F57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tcBorders>
                    <w:bottom w:val="single" w:color="auto" w:sz="4" w:space="0"/>
                    <w:right w:val="single" w:color="auto" w:sz="4" w:space="0"/>
                  </w:tcBorders>
                  <w:vAlign w:val="center"/>
                </w:tcPr>
                <w:p w14:paraId="0F28A0C5">
                  <w:pPr>
                    <w:pStyle w:val="39"/>
                    <w:spacing w:line="360" w:lineRule="auto"/>
                    <w:rPr>
                      <w:color w:val="auto"/>
                      <w:sz w:val="21"/>
                      <w:szCs w:val="21"/>
                    </w:rPr>
                  </w:pPr>
                  <w:r>
                    <w:rPr>
                      <w:color w:val="auto"/>
                      <w:sz w:val="21"/>
                      <w:szCs w:val="21"/>
                    </w:rPr>
                    <w:t>工程分类</w:t>
                  </w:r>
                </w:p>
              </w:tc>
              <w:tc>
                <w:tcPr>
                  <w:tcW w:w="736" w:type="pct"/>
                  <w:tcBorders>
                    <w:left w:val="single" w:color="auto" w:sz="4" w:space="0"/>
                    <w:bottom w:val="single" w:color="auto" w:sz="4" w:space="0"/>
                    <w:right w:val="single" w:color="auto" w:sz="4" w:space="0"/>
                  </w:tcBorders>
                  <w:vAlign w:val="center"/>
                </w:tcPr>
                <w:p w14:paraId="2CFDDC5A">
                  <w:pPr>
                    <w:pStyle w:val="39"/>
                    <w:spacing w:line="360" w:lineRule="auto"/>
                    <w:rPr>
                      <w:color w:val="auto"/>
                      <w:sz w:val="21"/>
                      <w:szCs w:val="21"/>
                    </w:rPr>
                  </w:pPr>
                  <w:r>
                    <w:rPr>
                      <w:rFonts w:hint="eastAsia"/>
                      <w:color w:val="auto"/>
                      <w:sz w:val="21"/>
                      <w:szCs w:val="21"/>
                      <w:lang w:val="en-US" w:eastAsia="zh-CN"/>
                    </w:rPr>
                    <w:t>工程名称</w:t>
                  </w:r>
                </w:p>
              </w:tc>
              <w:tc>
                <w:tcPr>
                  <w:tcW w:w="2761" w:type="pct"/>
                  <w:tcBorders>
                    <w:left w:val="single" w:color="auto" w:sz="4" w:space="0"/>
                    <w:bottom w:val="single" w:color="auto" w:sz="4" w:space="0"/>
                    <w:right w:val="nil"/>
                  </w:tcBorders>
                  <w:vAlign w:val="center"/>
                </w:tcPr>
                <w:p w14:paraId="470C0B30">
                  <w:pPr>
                    <w:pStyle w:val="39"/>
                    <w:spacing w:line="360" w:lineRule="auto"/>
                    <w:rPr>
                      <w:color w:val="auto"/>
                      <w:sz w:val="21"/>
                      <w:szCs w:val="21"/>
                    </w:rPr>
                  </w:pPr>
                  <w:r>
                    <w:rPr>
                      <w:rFonts w:hint="eastAsia"/>
                      <w:color w:val="auto"/>
                      <w:sz w:val="21"/>
                      <w:szCs w:val="21"/>
                      <w:lang w:val="en-US" w:eastAsia="zh-CN"/>
                    </w:rPr>
                    <w:t>主要</w:t>
                  </w:r>
                  <w:r>
                    <w:rPr>
                      <w:rFonts w:hint="eastAsia"/>
                      <w:color w:val="auto"/>
                      <w:sz w:val="21"/>
                      <w:szCs w:val="21"/>
                    </w:rPr>
                    <w:t>建设内容</w:t>
                  </w:r>
                </w:p>
              </w:tc>
              <w:tc>
                <w:tcPr>
                  <w:tcW w:w="950" w:type="pct"/>
                  <w:tcBorders>
                    <w:left w:val="single" w:color="auto" w:sz="4" w:space="0"/>
                    <w:bottom w:val="single" w:color="auto" w:sz="4" w:space="0"/>
                  </w:tcBorders>
                  <w:vAlign w:val="center"/>
                </w:tcPr>
                <w:p w14:paraId="4E732BD7">
                  <w:pPr>
                    <w:pStyle w:val="39"/>
                    <w:spacing w:line="360" w:lineRule="auto"/>
                    <w:rPr>
                      <w:color w:val="auto"/>
                      <w:sz w:val="21"/>
                      <w:szCs w:val="21"/>
                    </w:rPr>
                  </w:pPr>
                  <w:r>
                    <w:rPr>
                      <w:rFonts w:hint="eastAsia"/>
                      <w:color w:val="auto"/>
                      <w:sz w:val="21"/>
                      <w:szCs w:val="21"/>
                    </w:rPr>
                    <w:t>备注</w:t>
                  </w:r>
                </w:p>
              </w:tc>
            </w:tr>
            <w:tr w14:paraId="31B1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restart"/>
                  <w:tcBorders>
                    <w:top w:val="single" w:color="auto" w:sz="4" w:space="0"/>
                    <w:right w:val="single" w:color="auto" w:sz="4" w:space="0"/>
                  </w:tcBorders>
                  <w:vAlign w:val="center"/>
                </w:tcPr>
                <w:p w14:paraId="46050E3D">
                  <w:pPr>
                    <w:pStyle w:val="39"/>
                    <w:spacing w:line="360" w:lineRule="auto"/>
                    <w:rPr>
                      <w:color w:val="auto"/>
                      <w:sz w:val="21"/>
                      <w:szCs w:val="21"/>
                    </w:rPr>
                  </w:pPr>
                  <w:r>
                    <w:rPr>
                      <w:color w:val="auto"/>
                      <w:sz w:val="21"/>
                      <w:szCs w:val="21"/>
                    </w:rPr>
                    <w:t>主体工程</w:t>
                  </w:r>
                </w:p>
              </w:tc>
              <w:tc>
                <w:tcPr>
                  <w:tcW w:w="736" w:type="pct"/>
                  <w:tcBorders>
                    <w:top w:val="single" w:color="auto" w:sz="4" w:space="0"/>
                    <w:left w:val="single" w:color="auto" w:sz="4" w:space="0"/>
                    <w:bottom w:val="single" w:color="auto" w:sz="4" w:space="0"/>
                    <w:right w:val="single" w:color="auto" w:sz="4" w:space="0"/>
                  </w:tcBorders>
                  <w:vAlign w:val="center"/>
                </w:tcPr>
                <w:p w14:paraId="763480C2">
                  <w:pPr>
                    <w:pStyle w:val="39"/>
                    <w:spacing w:line="360" w:lineRule="auto"/>
                    <w:jc w:val="center"/>
                    <w:rPr>
                      <w:rFonts w:hint="eastAsia"/>
                      <w:color w:val="auto"/>
                      <w:sz w:val="21"/>
                      <w:szCs w:val="21"/>
                      <w:lang w:val="en-US" w:eastAsia="zh-CN"/>
                    </w:rPr>
                  </w:pPr>
                  <w:r>
                    <w:rPr>
                      <w:rFonts w:hint="eastAsia"/>
                      <w:color w:val="auto"/>
                      <w:sz w:val="21"/>
                      <w:szCs w:val="21"/>
                      <w:lang w:val="en-US" w:eastAsia="zh-CN"/>
                    </w:rPr>
                    <w:t>镁合金锭</w:t>
                  </w:r>
                </w:p>
                <w:p w14:paraId="3732E226">
                  <w:pPr>
                    <w:pStyle w:val="39"/>
                    <w:spacing w:line="360" w:lineRule="auto"/>
                    <w:jc w:val="center"/>
                    <w:rPr>
                      <w:rFonts w:hint="default" w:eastAsia="宋体"/>
                      <w:color w:val="auto"/>
                      <w:sz w:val="21"/>
                      <w:szCs w:val="21"/>
                      <w:lang w:val="en-US" w:eastAsia="zh-CN"/>
                    </w:rPr>
                  </w:pPr>
                  <w:r>
                    <w:rPr>
                      <w:rFonts w:hint="eastAsia"/>
                      <w:color w:val="auto"/>
                      <w:sz w:val="21"/>
                      <w:szCs w:val="21"/>
                      <w:lang w:val="en-US" w:eastAsia="zh-CN"/>
                    </w:rPr>
                    <w:t>熔炼车间</w:t>
                  </w:r>
                </w:p>
              </w:tc>
              <w:tc>
                <w:tcPr>
                  <w:tcW w:w="2761" w:type="pct"/>
                  <w:tcBorders>
                    <w:top w:val="single" w:color="auto" w:sz="4" w:space="0"/>
                    <w:left w:val="single" w:color="auto" w:sz="4" w:space="0"/>
                    <w:bottom w:val="single" w:color="auto" w:sz="4" w:space="0"/>
                    <w:right w:val="nil"/>
                  </w:tcBorders>
                  <w:vAlign w:val="center"/>
                </w:tcPr>
                <w:p w14:paraId="632E4BFA">
                  <w:pPr>
                    <w:keepNext w:val="0"/>
                    <w:keepLines w:val="0"/>
                    <w:widowControl/>
                    <w:suppressLineNumbers w:val="0"/>
                    <w:spacing w:line="360" w:lineRule="auto"/>
                    <w:ind w:left="0" w:leftChars="0" w:firstLine="0" w:firstLineChars="0"/>
                    <w:jc w:val="left"/>
                    <w:rPr>
                      <w:rFonts w:ascii="宋体" w:hAnsi="宋体"/>
                      <w:color w:val="auto"/>
                      <w:sz w:val="21"/>
                      <w:szCs w:val="21"/>
                    </w:rPr>
                  </w:pPr>
                  <w:r>
                    <w:rPr>
                      <w:rFonts w:hint="eastAsia" w:ascii="宋体" w:hAnsi="宋体" w:eastAsia="宋体" w:cs="宋体"/>
                      <w:color w:val="auto"/>
                      <w:kern w:val="0"/>
                      <w:sz w:val="21"/>
                      <w:szCs w:val="21"/>
                      <w:lang w:val="en-US" w:eastAsia="zh-CN" w:bidi="ar"/>
                    </w:rPr>
                    <w:t>建设</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条</w:t>
                  </w:r>
                  <w:r>
                    <w:rPr>
                      <w:rFonts w:hint="eastAsia" w:cs="Times New Roman"/>
                      <w:color w:val="auto"/>
                      <w:kern w:val="0"/>
                      <w:sz w:val="21"/>
                      <w:szCs w:val="21"/>
                      <w:highlight w:val="none"/>
                      <w:lang w:val="en-US" w:eastAsia="zh-CN" w:bidi="ar"/>
                    </w:rPr>
                    <w:t>8000</w:t>
                  </w:r>
                  <w:r>
                    <w:rPr>
                      <w:rFonts w:hint="default" w:ascii="Times New Roman" w:hAnsi="Times New Roman" w:eastAsia="宋体" w:cs="Times New Roman"/>
                      <w:color w:val="auto"/>
                      <w:kern w:val="0"/>
                      <w:sz w:val="21"/>
                      <w:szCs w:val="21"/>
                      <w:highlight w:val="none"/>
                      <w:lang w:val="en-US" w:eastAsia="zh-CN" w:bidi="ar"/>
                    </w:rPr>
                    <w:t>t/a</w:t>
                  </w:r>
                  <w:r>
                    <w:rPr>
                      <w:rFonts w:hint="eastAsia" w:ascii="宋体" w:hAnsi="宋体" w:eastAsia="宋体" w:cs="宋体"/>
                      <w:color w:val="auto"/>
                      <w:kern w:val="0"/>
                      <w:sz w:val="21"/>
                      <w:szCs w:val="21"/>
                      <w:highlight w:val="none"/>
                      <w:lang w:val="en-US" w:eastAsia="zh-CN" w:bidi="ar"/>
                    </w:rPr>
                    <w:t>镁合金熔炼生产线，每条生产线</w:t>
                  </w:r>
                  <w:r>
                    <w:rPr>
                      <w:rFonts w:hint="eastAsia" w:ascii="宋体" w:hAnsi="宋体" w:eastAsia="宋体" w:cs="宋体"/>
                      <w:color w:val="auto"/>
                      <w:kern w:val="0"/>
                      <w:sz w:val="21"/>
                      <w:szCs w:val="21"/>
                      <w:lang w:val="en-US" w:eastAsia="zh-CN" w:bidi="ar"/>
                    </w:rPr>
                    <w:t>分别配备</w:t>
                  </w: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台熔炼炉、</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台保温炉和</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台铸锭机及配套</w:t>
                  </w:r>
                  <w:r>
                    <w:rPr>
                      <w:rFonts w:hint="eastAsia" w:ascii="宋体" w:hAnsi="宋体" w:cs="宋体"/>
                      <w:color w:val="auto"/>
                      <w:kern w:val="0"/>
                      <w:sz w:val="21"/>
                      <w:szCs w:val="21"/>
                      <w:lang w:val="en-US" w:eastAsia="zh-CN" w:bidi="ar"/>
                    </w:rPr>
                    <w:t>制氮系统等</w:t>
                  </w:r>
                  <w:r>
                    <w:rPr>
                      <w:rFonts w:hint="eastAsia" w:ascii="宋体" w:hAnsi="宋体" w:eastAsia="宋体" w:cs="宋体"/>
                      <w:color w:val="auto"/>
                      <w:kern w:val="0"/>
                      <w:sz w:val="21"/>
                      <w:szCs w:val="21"/>
                      <w:lang w:val="en-US" w:eastAsia="zh-CN" w:bidi="ar"/>
                    </w:rPr>
                    <w:t>设施。</w:t>
                  </w:r>
                </w:p>
              </w:tc>
              <w:tc>
                <w:tcPr>
                  <w:tcW w:w="950" w:type="pct"/>
                  <w:tcBorders>
                    <w:top w:val="single" w:color="auto" w:sz="4" w:space="0"/>
                    <w:left w:val="single" w:color="auto" w:sz="4" w:space="0"/>
                    <w:bottom w:val="single" w:color="auto" w:sz="4" w:space="0"/>
                  </w:tcBorders>
                  <w:vAlign w:val="center"/>
                </w:tcPr>
                <w:p w14:paraId="72F96FAA">
                  <w:pPr>
                    <w:pStyle w:val="39"/>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车间高11.15m，长52m，宽32m</w:t>
                  </w:r>
                </w:p>
              </w:tc>
            </w:tr>
            <w:tr w14:paraId="604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28" w:hRule="atLeast"/>
              </w:trPr>
              <w:tc>
                <w:tcPr>
                  <w:tcW w:w="551" w:type="pct"/>
                  <w:vMerge w:val="continue"/>
                  <w:tcBorders>
                    <w:right w:val="single" w:color="auto" w:sz="4" w:space="0"/>
                  </w:tcBorders>
                  <w:vAlign w:val="center"/>
                </w:tcPr>
                <w:p w14:paraId="5E737A86">
                  <w:pPr>
                    <w:pStyle w:val="39"/>
                    <w:spacing w:line="360" w:lineRule="auto"/>
                    <w:rPr>
                      <w:color w:val="auto"/>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1DB99C0D">
                  <w:pPr>
                    <w:pStyle w:val="39"/>
                    <w:spacing w:line="360" w:lineRule="auto"/>
                    <w:jc w:val="center"/>
                    <w:rPr>
                      <w:rFonts w:hint="eastAsia" w:eastAsia="宋体"/>
                      <w:color w:val="auto"/>
                      <w:sz w:val="21"/>
                      <w:szCs w:val="21"/>
                      <w:lang w:val="en-US" w:eastAsia="zh-CN"/>
                    </w:rPr>
                  </w:pPr>
                  <w:r>
                    <w:rPr>
                      <w:rFonts w:hint="eastAsia"/>
                      <w:color w:val="auto"/>
                      <w:sz w:val="21"/>
                      <w:szCs w:val="21"/>
                      <w:lang w:val="en-US" w:eastAsia="zh-CN"/>
                    </w:rPr>
                    <w:t>压铸车间</w:t>
                  </w:r>
                </w:p>
              </w:tc>
              <w:tc>
                <w:tcPr>
                  <w:tcW w:w="2761" w:type="pct"/>
                  <w:tcBorders>
                    <w:top w:val="single" w:color="auto" w:sz="4" w:space="0"/>
                    <w:left w:val="single" w:color="auto" w:sz="4" w:space="0"/>
                    <w:bottom w:val="single" w:color="auto" w:sz="4" w:space="0"/>
                    <w:right w:val="nil"/>
                  </w:tcBorders>
                  <w:vAlign w:val="center"/>
                </w:tcPr>
                <w:p w14:paraId="444499D8">
                  <w:pPr>
                    <w:keepNext w:val="0"/>
                    <w:keepLines w:val="0"/>
                    <w:widowControl/>
                    <w:suppressLineNumbers w:val="0"/>
                    <w:spacing w:line="360" w:lineRule="auto"/>
                    <w:ind w:left="0" w:leftChars="0" w:firstLine="0" w:firstLineChars="0"/>
                    <w:jc w:val="left"/>
                    <w:rPr>
                      <w:rFonts w:hint="eastAsia" w:ascii="宋体" w:hAnsi="宋体"/>
                      <w:color w:val="auto"/>
                      <w:sz w:val="21"/>
                      <w:szCs w:val="21"/>
                    </w:rPr>
                  </w:pPr>
                  <w:r>
                    <w:rPr>
                      <w:rFonts w:hint="eastAsia" w:ascii="宋体" w:hAnsi="宋体" w:eastAsia="宋体" w:cs="宋体"/>
                      <w:color w:val="auto"/>
                      <w:kern w:val="0"/>
                      <w:sz w:val="21"/>
                      <w:szCs w:val="21"/>
                      <w:lang w:val="en-US" w:eastAsia="zh-CN" w:bidi="ar"/>
                    </w:rPr>
                    <w:t>设</w:t>
                  </w:r>
                  <w:r>
                    <w:rPr>
                      <w:rFonts w:hint="default" w:ascii="Times New Roman" w:hAnsi="Times New Roman" w:eastAsia="宋体" w:cs="Times New Roman"/>
                      <w:color w:val="auto"/>
                      <w:kern w:val="0"/>
                      <w:sz w:val="21"/>
                      <w:szCs w:val="21"/>
                      <w:lang w:val="en-US" w:eastAsia="zh-CN" w:bidi="ar"/>
                    </w:rPr>
                    <w:t>6台压铸机，配套6台</w:t>
                  </w:r>
                  <w:r>
                    <w:rPr>
                      <w:rFonts w:hint="eastAsia" w:cs="Times New Roman"/>
                      <w:color w:val="auto"/>
                      <w:kern w:val="0"/>
                      <w:sz w:val="21"/>
                      <w:szCs w:val="21"/>
                      <w:lang w:val="en-US" w:eastAsia="zh-CN" w:bidi="ar"/>
                    </w:rPr>
                    <w:t>天然气</w:t>
                  </w:r>
                  <w:r>
                    <w:rPr>
                      <w:rFonts w:hint="default" w:ascii="Times New Roman" w:hAnsi="Times New Roman" w:eastAsia="宋体" w:cs="Times New Roman"/>
                      <w:color w:val="auto"/>
                      <w:kern w:val="0"/>
                      <w:sz w:val="21"/>
                      <w:szCs w:val="21"/>
                      <w:lang w:val="en-US" w:eastAsia="zh-CN" w:bidi="ar"/>
                    </w:rPr>
                    <w:t>保温炉，通过更换不同模具生产不同规格型号的镁合金压铸件；设加工中心等机加工设备，对镁合金压铸件端面和装配孔进行加工等。</w:t>
                  </w:r>
                </w:p>
              </w:tc>
              <w:tc>
                <w:tcPr>
                  <w:tcW w:w="950" w:type="pct"/>
                  <w:tcBorders>
                    <w:top w:val="single" w:color="auto" w:sz="4" w:space="0"/>
                    <w:left w:val="single" w:color="auto" w:sz="4" w:space="0"/>
                    <w:bottom w:val="single" w:color="auto" w:sz="4" w:space="0"/>
                  </w:tcBorders>
                  <w:vAlign w:val="center"/>
                </w:tcPr>
                <w:p w14:paraId="6B1E4717">
                  <w:pPr>
                    <w:pStyle w:val="39"/>
                    <w:spacing w:line="36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车间高9.15m，长115m，宽26m</w:t>
                  </w:r>
                </w:p>
              </w:tc>
            </w:tr>
            <w:tr w14:paraId="76F2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bottom w:val="single" w:color="auto" w:sz="4" w:space="0"/>
                    <w:right w:val="single" w:color="auto" w:sz="4" w:space="0"/>
                  </w:tcBorders>
                  <w:vAlign w:val="center"/>
                </w:tcPr>
                <w:p w14:paraId="5FC7D1A1">
                  <w:pPr>
                    <w:pStyle w:val="39"/>
                    <w:spacing w:line="360" w:lineRule="auto"/>
                    <w:rPr>
                      <w:color w:val="auto"/>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02EF8A9D">
                  <w:pPr>
                    <w:keepNext w:val="0"/>
                    <w:keepLines w:val="0"/>
                    <w:widowControl/>
                    <w:suppressLineNumbers w:val="0"/>
                    <w:spacing w:line="360" w:lineRule="auto"/>
                    <w:ind w:left="0" w:leftChars="0"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镁合金颗粒</w:t>
                  </w:r>
                </w:p>
                <w:p w14:paraId="6859DFC1">
                  <w:pPr>
                    <w:keepNext w:val="0"/>
                    <w:keepLines w:val="0"/>
                    <w:widowControl/>
                    <w:suppressLineNumbers w:val="0"/>
                    <w:spacing w:line="360" w:lineRule="auto"/>
                    <w:ind w:left="0" w:leftChars="0" w:firstLine="0" w:firstLineChars="0"/>
                    <w:jc w:val="center"/>
                    <w:rPr>
                      <w:rFonts w:hint="eastAsia"/>
                      <w:color w:val="auto"/>
                      <w:sz w:val="21"/>
                      <w:szCs w:val="21"/>
                    </w:rPr>
                  </w:pPr>
                  <w:r>
                    <w:rPr>
                      <w:rFonts w:hint="eastAsia" w:ascii="宋体" w:hAnsi="宋体" w:eastAsia="宋体" w:cs="宋体"/>
                      <w:color w:val="auto"/>
                      <w:kern w:val="0"/>
                      <w:sz w:val="21"/>
                      <w:szCs w:val="21"/>
                      <w:lang w:val="en-US" w:eastAsia="zh-CN" w:bidi="ar"/>
                    </w:rPr>
                    <w:t>加工车间</w:t>
                  </w:r>
                </w:p>
              </w:tc>
              <w:tc>
                <w:tcPr>
                  <w:tcW w:w="2761" w:type="pct"/>
                  <w:tcBorders>
                    <w:top w:val="single" w:color="auto" w:sz="4" w:space="0"/>
                    <w:left w:val="single" w:color="auto" w:sz="4" w:space="0"/>
                    <w:bottom w:val="single" w:color="auto" w:sz="4" w:space="0"/>
                    <w:right w:val="nil"/>
                  </w:tcBorders>
                  <w:vAlign w:val="center"/>
                </w:tcPr>
                <w:p w14:paraId="2D33A8BA">
                  <w:pPr>
                    <w:keepNext w:val="0"/>
                    <w:keepLines w:val="0"/>
                    <w:widowControl/>
                    <w:suppressLineNumbers w:val="0"/>
                    <w:spacing w:line="360" w:lineRule="auto"/>
                    <w:ind w:left="0" w:leftChars="0" w:firstLine="0" w:firstLineChars="0"/>
                    <w:jc w:val="left"/>
                    <w:rPr>
                      <w:rFonts w:hint="eastAsia" w:ascii="宋体" w:hAnsi="宋体"/>
                      <w:color w:val="auto"/>
                      <w:sz w:val="21"/>
                      <w:szCs w:val="21"/>
                    </w:rPr>
                  </w:pPr>
                  <w:r>
                    <w:rPr>
                      <w:rFonts w:hint="eastAsia" w:ascii="宋体" w:hAnsi="宋体" w:eastAsia="宋体" w:cs="宋体"/>
                      <w:color w:val="auto"/>
                      <w:kern w:val="0"/>
                      <w:sz w:val="21"/>
                      <w:szCs w:val="21"/>
                      <w:lang w:val="en-US" w:eastAsia="zh-CN" w:bidi="ar"/>
                    </w:rPr>
                    <w:t>设置</w:t>
                  </w: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条镁合金颗粒加工生产线，主要为切削加工。</w:t>
                  </w:r>
                </w:p>
              </w:tc>
              <w:tc>
                <w:tcPr>
                  <w:tcW w:w="950" w:type="pct"/>
                  <w:tcBorders>
                    <w:top w:val="single" w:color="auto" w:sz="4" w:space="0"/>
                    <w:left w:val="single" w:color="auto" w:sz="4" w:space="0"/>
                    <w:bottom w:val="single" w:color="auto" w:sz="4" w:space="0"/>
                  </w:tcBorders>
                  <w:vAlign w:val="center"/>
                </w:tcPr>
                <w:p w14:paraId="5138E193">
                  <w:pPr>
                    <w:pStyle w:val="39"/>
                    <w:spacing w:line="36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车间高11.15m，长52m，宽32m</w:t>
                  </w:r>
                </w:p>
              </w:tc>
            </w:tr>
            <w:tr w14:paraId="7B31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restart"/>
                  <w:tcBorders>
                    <w:top w:val="single" w:color="auto" w:sz="4" w:space="0"/>
                    <w:right w:val="single" w:color="auto" w:sz="4" w:space="0"/>
                  </w:tcBorders>
                  <w:vAlign w:val="center"/>
                </w:tcPr>
                <w:p w14:paraId="49A91125">
                  <w:pPr>
                    <w:pStyle w:val="39"/>
                    <w:spacing w:line="360" w:lineRule="auto"/>
                    <w:rPr>
                      <w:color w:val="auto"/>
                      <w:sz w:val="21"/>
                      <w:szCs w:val="21"/>
                    </w:rPr>
                  </w:pPr>
                  <w:r>
                    <w:rPr>
                      <w:color w:val="auto"/>
                      <w:sz w:val="21"/>
                      <w:szCs w:val="21"/>
                    </w:rPr>
                    <w:t>辅助工程</w:t>
                  </w:r>
                </w:p>
              </w:tc>
              <w:tc>
                <w:tcPr>
                  <w:tcW w:w="736" w:type="pct"/>
                  <w:tcBorders>
                    <w:top w:val="single" w:color="auto" w:sz="4" w:space="0"/>
                    <w:left w:val="single" w:color="auto" w:sz="4" w:space="0"/>
                    <w:bottom w:val="single" w:color="auto" w:sz="4" w:space="0"/>
                    <w:right w:val="single" w:color="auto" w:sz="4" w:space="0"/>
                  </w:tcBorders>
                  <w:vAlign w:val="center"/>
                </w:tcPr>
                <w:p w14:paraId="03225AA1">
                  <w:pPr>
                    <w:keepNext w:val="0"/>
                    <w:keepLines w:val="0"/>
                    <w:widowControl/>
                    <w:suppressLineNumbers w:val="0"/>
                    <w:spacing w:line="360" w:lineRule="auto"/>
                    <w:ind w:left="0" w:leftChars="0" w:firstLine="0" w:firstLineChars="0"/>
                    <w:jc w:val="center"/>
                    <w:rPr>
                      <w:rFonts w:hint="default" w:eastAsia="宋体"/>
                      <w:color w:val="auto"/>
                      <w:sz w:val="21"/>
                      <w:szCs w:val="21"/>
                      <w:lang w:val="en-US" w:eastAsia="zh-CN"/>
                    </w:rPr>
                  </w:pPr>
                  <w:r>
                    <w:rPr>
                      <w:rFonts w:hint="eastAsia" w:ascii="宋体" w:hAnsi="宋体" w:eastAsia="宋体" w:cs="宋体"/>
                      <w:color w:val="auto"/>
                      <w:kern w:val="0"/>
                      <w:sz w:val="21"/>
                      <w:szCs w:val="21"/>
                      <w:lang w:val="en-US" w:eastAsia="zh-CN" w:bidi="ar"/>
                    </w:rPr>
                    <w:t>机修、铸锭打磨、压铸件精整车间</w:t>
                  </w:r>
                </w:p>
              </w:tc>
              <w:tc>
                <w:tcPr>
                  <w:tcW w:w="2761" w:type="pct"/>
                  <w:tcBorders>
                    <w:top w:val="single" w:color="auto" w:sz="4" w:space="0"/>
                    <w:left w:val="single" w:color="auto" w:sz="4" w:space="0"/>
                    <w:bottom w:val="single" w:color="auto" w:sz="4" w:space="0"/>
                    <w:right w:val="nil"/>
                  </w:tcBorders>
                  <w:vAlign w:val="center"/>
                </w:tcPr>
                <w:p w14:paraId="6D7ED854">
                  <w:pPr>
                    <w:pStyle w:val="39"/>
                    <w:wordWrap w:val="0"/>
                    <w:spacing w:line="360" w:lineRule="auto"/>
                    <w:jc w:val="both"/>
                    <w:rPr>
                      <w:rFonts w:hint="default" w:ascii="宋体" w:hAnsi="宋体" w:eastAsia="宋体"/>
                      <w:color w:val="auto"/>
                      <w:sz w:val="21"/>
                      <w:szCs w:val="21"/>
                      <w:lang w:val="en-US" w:eastAsia="zh-CN"/>
                    </w:rPr>
                  </w:pPr>
                  <w:r>
                    <w:rPr>
                      <w:rFonts w:hint="eastAsia" w:ascii="宋体" w:hAnsi="宋体"/>
                      <w:color w:val="auto"/>
                      <w:sz w:val="21"/>
                      <w:szCs w:val="21"/>
                      <w:highlight w:val="none"/>
                      <w:lang w:val="en-US" w:eastAsia="zh-CN"/>
                    </w:rPr>
                    <w:t>设砂轮切割机、立式砂轮机、电焊机等设备用于机械维修</w:t>
                  </w:r>
                  <w:r>
                    <w:rPr>
                      <w:rFonts w:hint="default" w:ascii="Times New Roman" w:hAnsi="Times New Roman" w:cs="Times New Roman"/>
                      <w:color w:val="auto"/>
                      <w:sz w:val="21"/>
                      <w:szCs w:val="21"/>
                      <w:highlight w:val="none"/>
                      <w:lang w:val="en-US" w:eastAsia="zh-CN"/>
                    </w:rPr>
                    <w:t>，设2套铸锭打磨机，设车床、台钻用于压铸件精整，设喷码机</w:t>
                  </w:r>
                  <w:r>
                    <w:rPr>
                      <w:rFonts w:hint="eastAsia" w:ascii="宋体" w:hAnsi="宋体"/>
                      <w:color w:val="auto"/>
                      <w:sz w:val="21"/>
                      <w:szCs w:val="21"/>
                      <w:highlight w:val="none"/>
                      <w:lang w:val="en-US" w:eastAsia="zh-CN"/>
                    </w:rPr>
                    <w:t>用于铸锭喷码，另设空压机、天车等配套设施设备。</w:t>
                  </w:r>
                </w:p>
              </w:tc>
              <w:tc>
                <w:tcPr>
                  <w:tcW w:w="950" w:type="pct"/>
                  <w:tcBorders>
                    <w:top w:val="single" w:color="auto" w:sz="4" w:space="0"/>
                    <w:left w:val="single" w:color="auto" w:sz="4" w:space="0"/>
                    <w:bottom w:val="single" w:color="auto" w:sz="4" w:space="0"/>
                  </w:tcBorders>
                  <w:vAlign w:val="center"/>
                </w:tcPr>
                <w:p w14:paraId="3B6FACB2">
                  <w:pPr>
                    <w:pStyle w:val="39"/>
                    <w:spacing w:line="360" w:lineRule="auto"/>
                    <w:rPr>
                      <w:rFonts w:hint="eastAsia" w:ascii="宋体" w:hAnsi="宋体"/>
                      <w:color w:val="auto"/>
                      <w:sz w:val="21"/>
                      <w:szCs w:val="21"/>
                    </w:rPr>
                  </w:pPr>
                  <w:r>
                    <w:rPr>
                      <w:rFonts w:hint="default" w:ascii="Times New Roman" w:hAnsi="Times New Roman" w:cs="Times New Roman"/>
                      <w:color w:val="auto"/>
                      <w:sz w:val="21"/>
                      <w:szCs w:val="21"/>
                      <w:lang w:val="en-US" w:eastAsia="zh-CN"/>
                    </w:rPr>
                    <w:t>车</w:t>
                  </w:r>
                  <w:r>
                    <w:rPr>
                      <w:rFonts w:hint="default" w:ascii="Times New Roman" w:hAnsi="Times New Roman" w:cs="Times New Roman"/>
                      <w:color w:val="auto"/>
                      <w:sz w:val="21"/>
                      <w:szCs w:val="21"/>
                      <w:highlight w:val="none"/>
                      <w:lang w:val="en-US" w:eastAsia="zh-CN"/>
                    </w:rPr>
                    <w:t>间高1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.15m，长52m，宽32</w:t>
                  </w:r>
                  <w:r>
                    <w:rPr>
                      <w:rFonts w:hint="default" w:ascii="Times New Roman" w:hAnsi="Times New Roman" w:cs="Times New Roman"/>
                      <w:color w:val="auto"/>
                      <w:sz w:val="21"/>
                      <w:szCs w:val="21"/>
                      <w:lang w:val="en-US" w:eastAsia="zh-CN"/>
                    </w:rPr>
                    <w:t>m</w:t>
                  </w:r>
                </w:p>
              </w:tc>
            </w:tr>
            <w:tr w14:paraId="450E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20" w:hRule="atLeast"/>
              </w:trPr>
              <w:tc>
                <w:tcPr>
                  <w:tcW w:w="551" w:type="pct"/>
                  <w:vMerge w:val="continue"/>
                  <w:tcBorders>
                    <w:right w:val="single" w:color="auto" w:sz="4" w:space="0"/>
                  </w:tcBorders>
                  <w:vAlign w:val="center"/>
                </w:tcPr>
                <w:p w14:paraId="232FC2F8">
                  <w:pPr>
                    <w:pStyle w:val="39"/>
                    <w:spacing w:line="360" w:lineRule="auto"/>
                    <w:rPr>
                      <w:color w:val="auto"/>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56BDE8B5">
                  <w:pPr>
                    <w:pStyle w:val="39"/>
                    <w:spacing w:line="360" w:lineRule="auto"/>
                    <w:rPr>
                      <w:rFonts w:hint="eastAsia" w:eastAsia="宋体"/>
                      <w:color w:val="auto"/>
                      <w:sz w:val="21"/>
                      <w:szCs w:val="21"/>
                      <w:lang w:eastAsia="zh-CN"/>
                    </w:rPr>
                  </w:pPr>
                  <w:r>
                    <w:rPr>
                      <w:rFonts w:hint="eastAsia"/>
                      <w:color w:val="auto"/>
                      <w:sz w:val="21"/>
                      <w:szCs w:val="21"/>
                      <w:lang w:val="en-US" w:eastAsia="zh-CN"/>
                    </w:rPr>
                    <w:t>仓库</w:t>
                  </w:r>
                </w:p>
              </w:tc>
              <w:tc>
                <w:tcPr>
                  <w:tcW w:w="2761" w:type="pct"/>
                  <w:tcBorders>
                    <w:top w:val="single" w:color="auto" w:sz="4" w:space="0"/>
                    <w:left w:val="single" w:color="auto" w:sz="4" w:space="0"/>
                    <w:bottom w:val="single" w:color="auto" w:sz="4" w:space="0"/>
                    <w:right w:val="nil"/>
                  </w:tcBorders>
                  <w:vAlign w:val="center"/>
                </w:tcPr>
                <w:p w14:paraId="4422751A">
                  <w:pPr>
                    <w:pStyle w:val="39"/>
                    <w:spacing w:line="360" w:lineRule="auto"/>
                    <w:jc w:val="both"/>
                    <w:rPr>
                      <w:rFonts w:hint="default" w:eastAsia="宋体"/>
                      <w:color w:val="auto"/>
                      <w:sz w:val="21"/>
                      <w:szCs w:val="21"/>
                      <w:lang w:val="en-US" w:eastAsia="zh-CN"/>
                    </w:rPr>
                  </w:pPr>
                  <w:r>
                    <w:rPr>
                      <w:rFonts w:hint="eastAsia"/>
                      <w:color w:val="auto"/>
                      <w:sz w:val="21"/>
                      <w:szCs w:val="21"/>
                      <w:lang w:val="en-US" w:eastAsia="zh-CN"/>
                    </w:rPr>
                    <w:t>用于各类原辅材料和成品储存，设2台3吨地磅。</w:t>
                  </w:r>
                </w:p>
              </w:tc>
              <w:tc>
                <w:tcPr>
                  <w:tcW w:w="950" w:type="pct"/>
                  <w:tcBorders>
                    <w:top w:val="single" w:color="auto" w:sz="4" w:space="0"/>
                    <w:left w:val="single" w:color="auto" w:sz="4" w:space="0"/>
                    <w:bottom w:val="single" w:color="auto" w:sz="4" w:space="0"/>
                  </w:tcBorders>
                  <w:vAlign w:val="center"/>
                </w:tcPr>
                <w:p w14:paraId="34AFD1BF">
                  <w:pPr>
                    <w:pStyle w:val="39"/>
                    <w:spacing w:line="360" w:lineRule="auto"/>
                    <w:jc w:val="both"/>
                    <w:rPr>
                      <w:rFonts w:hint="default" w:eastAsia="宋体"/>
                      <w:color w:val="auto"/>
                      <w:sz w:val="21"/>
                      <w:szCs w:val="21"/>
                      <w:lang w:val="en-US" w:eastAsia="zh-CN"/>
                    </w:rPr>
                  </w:pPr>
                  <w:r>
                    <w:rPr>
                      <w:rFonts w:hint="eastAsia"/>
                      <w:color w:val="auto"/>
                      <w:sz w:val="21"/>
                      <w:szCs w:val="21"/>
                      <w:lang w:val="en-US" w:eastAsia="zh-CN"/>
                    </w:rPr>
                    <w:t>封闭式仓库，</w:t>
                  </w:r>
                  <w:r>
                    <w:rPr>
                      <w:rFonts w:hint="default" w:ascii="Times New Roman" w:hAnsi="Times New Roman" w:cs="Times New Roman"/>
                      <w:color w:val="auto"/>
                      <w:sz w:val="21"/>
                      <w:szCs w:val="21"/>
                      <w:highlight w:val="none"/>
                      <w:lang w:val="en-US" w:eastAsia="zh-CN"/>
                    </w:rPr>
                    <w:t>高1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.15m，长52m，宽32</w:t>
                  </w:r>
                  <w:r>
                    <w:rPr>
                      <w:rFonts w:hint="default" w:ascii="Times New Roman" w:hAnsi="Times New Roman" w:cs="Times New Roman"/>
                      <w:color w:val="auto"/>
                      <w:sz w:val="21"/>
                      <w:szCs w:val="21"/>
                      <w:lang w:val="en-US" w:eastAsia="zh-CN"/>
                    </w:rPr>
                    <w:t>m</w:t>
                  </w:r>
                </w:p>
              </w:tc>
            </w:tr>
            <w:tr w14:paraId="2D75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bottom w:val="single" w:color="auto" w:sz="4" w:space="0"/>
                    <w:right w:val="single" w:color="auto" w:sz="4" w:space="0"/>
                  </w:tcBorders>
                  <w:vAlign w:val="center"/>
                </w:tcPr>
                <w:p w14:paraId="77D6AC65">
                  <w:pPr>
                    <w:pStyle w:val="39"/>
                    <w:spacing w:line="360" w:lineRule="auto"/>
                    <w:rPr>
                      <w:color w:val="auto"/>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18FC4F29">
                  <w:pPr>
                    <w:pStyle w:val="39"/>
                    <w:spacing w:line="360" w:lineRule="auto"/>
                    <w:rPr>
                      <w:rFonts w:hint="default" w:eastAsia="宋体"/>
                      <w:color w:val="auto"/>
                      <w:sz w:val="21"/>
                      <w:szCs w:val="21"/>
                      <w:lang w:val="en-US" w:eastAsia="zh-CN"/>
                    </w:rPr>
                  </w:pPr>
                  <w:r>
                    <w:rPr>
                      <w:rFonts w:hint="eastAsia"/>
                      <w:color w:val="auto"/>
                      <w:sz w:val="21"/>
                      <w:szCs w:val="21"/>
                      <w:lang w:val="en-US" w:eastAsia="zh-CN"/>
                    </w:rPr>
                    <w:t>办公楼</w:t>
                  </w:r>
                </w:p>
              </w:tc>
              <w:tc>
                <w:tcPr>
                  <w:tcW w:w="2761" w:type="pct"/>
                  <w:tcBorders>
                    <w:top w:val="single" w:color="auto" w:sz="4" w:space="0"/>
                    <w:left w:val="single" w:color="auto" w:sz="4" w:space="0"/>
                    <w:bottom w:val="single" w:color="auto" w:sz="4" w:space="0"/>
                    <w:right w:val="nil"/>
                  </w:tcBorders>
                  <w:vAlign w:val="center"/>
                </w:tcPr>
                <w:p w14:paraId="4AB0C7CC">
                  <w:pPr>
                    <w:pStyle w:val="39"/>
                    <w:spacing w:line="360" w:lineRule="auto"/>
                    <w:jc w:val="both"/>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用于公司人员办公</w:t>
                  </w:r>
                  <w:r>
                    <w:rPr>
                      <w:rFonts w:hint="eastAsia" w:ascii="宋体" w:hAnsi="宋体"/>
                      <w:color w:val="auto"/>
                      <w:sz w:val="21"/>
                      <w:szCs w:val="21"/>
                      <w:highlight w:val="none"/>
                      <w:lang w:val="en-US" w:eastAsia="zh-CN"/>
                    </w:rPr>
                    <w:t>；设有实验室，配</w:t>
                  </w:r>
                  <w:r>
                    <w:rPr>
                      <w:rFonts w:hint="eastAsia" w:ascii="宋体" w:hAnsi="宋体" w:cs="宋体"/>
                      <w:color w:val="auto"/>
                      <w:kern w:val="0"/>
                      <w:sz w:val="21"/>
                      <w:szCs w:val="21"/>
                      <w:highlight w:val="none"/>
                      <w:lang w:val="en-US" w:eastAsia="zh-CN"/>
                    </w:rPr>
                    <w:t>直读光谱仪、金相显微镜等设备仪器用于实验、分析及测试。</w:t>
                  </w:r>
                </w:p>
              </w:tc>
              <w:tc>
                <w:tcPr>
                  <w:tcW w:w="950" w:type="pct"/>
                  <w:tcBorders>
                    <w:top w:val="single" w:color="auto" w:sz="4" w:space="0"/>
                    <w:left w:val="single" w:color="auto" w:sz="4" w:space="0"/>
                    <w:bottom w:val="single" w:color="auto" w:sz="4" w:space="0"/>
                  </w:tcBorders>
                  <w:vAlign w:val="center"/>
                </w:tcPr>
                <w:p w14:paraId="0328156E">
                  <w:pPr>
                    <w:pStyle w:val="39"/>
                    <w:spacing w:line="360" w:lineRule="auto"/>
                    <w:rPr>
                      <w:rFonts w:hint="default" w:ascii="宋体" w:hAnsi="宋体" w:eastAsia="宋体"/>
                      <w:color w:val="auto"/>
                      <w:sz w:val="21"/>
                      <w:szCs w:val="21"/>
                      <w:lang w:val="en-US" w:eastAsia="zh-CN"/>
                    </w:rPr>
                  </w:pPr>
                  <w:r>
                    <w:rPr>
                      <w:rFonts w:hint="default" w:ascii="Times New Roman" w:hAnsi="Times New Roman" w:cs="Times New Roman"/>
                      <w:color w:val="auto"/>
                      <w:sz w:val="21"/>
                      <w:szCs w:val="21"/>
                      <w:lang w:val="en-US" w:eastAsia="zh-CN"/>
                    </w:rPr>
                    <w:t>5层，总高19.35m，</w:t>
                  </w:r>
                  <w:r>
                    <w:rPr>
                      <w:rFonts w:hint="default" w:ascii="Times New Roman" w:hAnsi="Times New Roman" w:cs="Times New Roman"/>
                      <w:color w:val="auto"/>
                      <w:sz w:val="21"/>
                      <w:szCs w:val="21"/>
                      <w:highlight w:val="none"/>
                      <w:lang w:val="en-US" w:eastAsia="zh-CN"/>
                    </w:rPr>
                    <w:t>长45m，宽21</w:t>
                  </w:r>
                  <w:r>
                    <w:rPr>
                      <w:rFonts w:hint="default" w:ascii="Times New Roman" w:hAnsi="Times New Roman" w:cs="Times New Roman"/>
                      <w:color w:val="auto"/>
                      <w:sz w:val="21"/>
                      <w:szCs w:val="21"/>
                      <w:lang w:val="en-US" w:eastAsia="zh-CN"/>
                    </w:rPr>
                    <w:t>m</w:t>
                  </w:r>
                </w:p>
              </w:tc>
            </w:tr>
            <w:tr w14:paraId="46EB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restart"/>
                  <w:tcBorders>
                    <w:top w:val="single" w:color="auto" w:sz="4" w:space="0"/>
                    <w:bottom w:val="single" w:color="auto" w:sz="4" w:space="0"/>
                    <w:right w:val="single" w:color="auto" w:sz="4" w:space="0"/>
                  </w:tcBorders>
                  <w:vAlign w:val="center"/>
                </w:tcPr>
                <w:p w14:paraId="3F4D9536">
                  <w:pPr>
                    <w:pStyle w:val="39"/>
                    <w:spacing w:line="360" w:lineRule="auto"/>
                    <w:rPr>
                      <w:color w:val="auto"/>
                      <w:sz w:val="21"/>
                      <w:szCs w:val="21"/>
                    </w:rPr>
                  </w:pPr>
                  <w:r>
                    <w:rPr>
                      <w:color w:val="auto"/>
                      <w:sz w:val="21"/>
                      <w:szCs w:val="21"/>
                    </w:rPr>
                    <w:t>公用工程</w:t>
                  </w:r>
                </w:p>
              </w:tc>
              <w:tc>
                <w:tcPr>
                  <w:tcW w:w="736" w:type="pct"/>
                  <w:tcBorders>
                    <w:top w:val="single" w:color="auto" w:sz="4" w:space="0"/>
                    <w:left w:val="single" w:color="auto" w:sz="4" w:space="0"/>
                    <w:bottom w:val="single" w:color="auto" w:sz="4" w:space="0"/>
                    <w:right w:val="single" w:color="auto" w:sz="4" w:space="0"/>
                  </w:tcBorders>
                  <w:vAlign w:val="center"/>
                </w:tcPr>
                <w:p w14:paraId="67F184A6">
                  <w:pPr>
                    <w:pStyle w:val="39"/>
                    <w:spacing w:line="360" w:lineRule="auto"/>
                    <w:rPr>
                      <w:color w:val="auto"/>
                      <w:sz w:val="21"/>
                      <w:szCs w:val="21"/>
                      <w:highlight w:val="none"/>
                    </w:rPr>
                  </w:pPr>
                  <w:r>
                    <w:rPr>
                      <w:color w:val="auto"/>
                      <w:sz w:val="21"/>
                      <w:szCs w:val="21"/>
                      <w:highlight w:val="none"/>
                    </w:rPr>
                    <w:t>给水</w:t>
                  </w:r>
                </w:p>
              </w:tc>
              <w:tc>
                <w:tcPr>
                  <w:tcW w:w="2761" w:type="pct"/>
                  <w:tcBorders>
                    <w:top w:val="single" w:color="auto" w:sz="4" w:space="0"/>
                    <w:left w:val="single" w:color="auto" w:sz="4" w:space="0"/>
                    <w:bottom w:val="single" w:color="auto" w:sz="4" w:space="0"/>
                    <w:right w:val="nil"/>
                  </w:tcBorders>
                  <w:vAlign w:val="center"/>
                </w:tcPr>
                <w:p w14:paraId="24068984">
                  <w:pPr>
                    <w:pStyle w:val="39"/>
                    <w:spacing w:line="360" w:lineRule="auto"/>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园区供水管网统一供水。</w:t>
                  </w:r>
                </w:p>
              </w:tc>
              <w:tc>
                <w:tcPr>
                  <w:tcW w:w="950" w:type="pct"/>
                  <w:tcBorders>
                    <w:top w:val="single" w:color="auto" w:sz="4" w:space="0"/>
                    <w:left w:val="single" w:color="auto" w:sz="4" w:space="0"/>
                    <w:bottom w:val="single" w:color="auto" w:sz="4" w:space="0"/>
                  </w:tcBorders>
                  <w:vAlign w:val="center"/>
                </w:tcPr>
                <w:p w14:paraId="0D317D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w:t>
                  </w:r>
                </w:p>
              </w:tc>
            </w:tr>
            <w:tr w14:paraId="53BF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6EF5E1F3">
                  <w:pPr>
                    <w:pStyle w:val="39"/>
                    <w:spacing w:line="360" w:lineRule="auto"/>
                    <w:rPr>
                      <w:color w:val="auto"/>
                      <w:kern w:val="0"/>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570BEF11">
                  <w:pPr>
                    <w:pStyle w:val="39"/>
                    <w:spacing w:line="360" w:lineRule="auto"/>
                    <w:rPr>
                      <w:color w:val="auto"/>
                      <w:sz w:val="21"/>
                      <w:szCs w:val="21"/>
                      <w:highlight w:val="none"/>
                    </w:rPr>
                  </w:pPr>
                  <w:r>
                    <w:rPr>
                      <w:color w:val="auto"/>
                      <w:sz w:val="21"/>
                      <w:szCs w:val="21"/>
                      <w:highlight w:val="none"/>
                    </w:rPr>
                    <w:t>排水</w:t>
                  </w:r>
                </w:p>
              </w:tc>
              <w:tc>
                <w:tcPr>
                  <w:tcW w:w="2761" w:type="pct"/>
                  <w:tcBorders>
                    <w:top w:val="single" w:color="auto" w:sz="4" w:space="0"/>
                    <w:left w:val="single" w:color="auto" w:sz="4" w:space="0"/>
                    <w:bottom w:val="single" w:color="auto" w:sz="4" w:space="0"/>
                    <w:right w:val="nil"/>
                  </w:tcBorders>
                  <w:vAlign w:val="center"/>
                </w:tcPr>
                <w:p w14:paraId="5E043D62">
                  <w:pPr>
                    <w:pStyle w:val="39"/>
                    <w:spacing w:line="360" w:lineRule="auto"/>
                    <w:jc w:val="both"/>
                    <w:rPr>
                      <w:color w:val="auto"/>
                      <w:sz w:val="21"/>
                      <w:szCs w:val="21"/>
                      <w:highlight w:val="none"/>
                    </w:rPr>
                  </w:pPr>
                  <w:r>
                    <w:rPr>
                      <w:rFonts w:hint="eastAsia"/>
                      <w:color w:val="auto"/>
                      <w:sz w:val="21"/>
                      <w:szCs w:val="21"/>
                      <w:highlight w:val="none"/>
                      <w:lang w:val="en-US" w:eastAsia="zh-CN"/>
                    </w:rPr>
                    <w:t>项目无生产废水排放，</w:t>
                  </w:r>
                  <w:r>
                    <w:rPr>
                      <w:rFonts w:hint="eastAsia" w:ascii="Times New Roman" w:hAnsi="Times New Roman" w:eastAsia="宋体" w:cs="Times New Roman"/>
                      <w:color w:val="auto"/>
                      <w:kern w:val="0"/>
                      <w:sz w:val="21"/>
                      <w:szCs w:val="21"/>
                      <w:highlight w:val="none"/>
                      <w:lang w:val="en-US" w:eastAsia="zh-CN" w:bidi="ar"/>
                    </w:rPr>
                    <w:t>生活污水经化粪池预处理后排入园区污水处理厂</w:t>
                  </w:r>
                  <w:r>
                    <w:rPr>
                      <w:rFonts w:hint="eastAsia" w:cs="Times New Roman"/>
                      <w:color w:val="auto"/>
                      <w:kern w:val="0"/>
                      <w:sz w:val="21"/>
                      <w:szCs w:val="21"/>
                      <w:highlight w:val="none"/>
                      <w:lang w:val="en-US" w:eastAsia="zh-CN" w:bidi="ar"/>
                    </w:rPr>
                    <w:t>。</w:t>
                  </w:r>
                </w:p>
              </w:tc>
              <w:tc>
                <w:tcPr>
                  <w:tcW w:w="950" w:type="pct"/>
                  <w:tcBorders>
                    <w:top w:val="single" w:color="auto" w:sz="4" w:space="0"/>
                    <w:left w:val="single" w:color="auto" w:sz="4" w:space="0"/>
                    <w:bottom w:val="single" w:color="auto" w:sz="4" w:space="0"/>
                  </w:tcBorders>
                  <w:vAlign w:val="center"/>
                </w:tcPr>
                <w:p w14:paraId="2C4BCD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highlight w:val="none"/>
                    </w:rPr>
                  </w:pPr>
                  <w:r>
                    <w:rPr>
                      <w:rFonts w:hint="eastAsia" w:ascii="宋体" w:hAnsi="宋体"/>
                      <w:color w:val="auto"/>
                      <w:sz w:val="21"/>
                      <w:szCs w:val="21"/>
                      <w:highlight w:val="none"/>
                      <w:lang w:val="en-US" w:eastAsia="zh-CN"/>
                    </w:rPr>
                    <w:t>/</w:t>
                  </w:r>
                </w:p>
              </w:tc>
            </w:tr>
            <w:tr w14:paraId="202D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7B5FD4CB">
                  <w:pPr>
                    <w:pStyle w:val="39"/>
                    <w:spacing w:line="360" w:lineRule="auto"/>
                    <w:rPr>
                      <w:color w:val="auto"/>
                      <w:kern w:val="0"/>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550F5DE8">
                  <w:pPr>
                    <w:pStyle w:val="39"/>
                    <w:spacing w:line="36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供电</w:t>
                  </w:r>
                </w:p>
              </w:tc>
              <w:tc>
                <w:tcPr>
                  <w:tcW w:w="2761" w:type="pct"/>
                  <w:tcBorders>
                    <w:top w:val="single" w:color="auto" w:sz="4" w:space="0"/>
                    <w:left w:val="single" w:color="auto" w:sz="4" w:space="0"/>
                    <w:bottom w:val="single" w:color="auto" w:sz="4" w:space="0"/>
                    <w:right w:val="nil"/>
                  </w:tcBorders>
                  <w:vAlign w:val="center"/>
                </w:tcPr>
                <w:p w14:paraId="03EABD84">
                  <w:pPr>
                    <w:pStyle w:val="39"/>
                    <w:spacing w:line="360" w:lineRule="auto"/>
                    <w:jc w:val="both"/>
                    <w:rPr>
                      <w:rFonts w:hint="eastAsia"/>
                      <w:color w:val="auto"/>
                      <w:sz w:val="21"/>
                      <w:szCs w:val="21"/>
                      <w:highlight w:val="none"/>
                      <w:lang w:val="en-US" w:eastAsia="zh-CN"/>
                    </w:rPr>
                  </w:pPr>
                  <w:r>
                    <w:rPr>
                      <w:rFonts w:hint="eastAsia"/>
                      <w:color w:val="auto"/>
                      <w:sz w:val="21"/>
                      <w:szCs w:val="21"/>
                      <w:highlight w:val="none"/>
                      <w:lang w:val="en-US" w:eastAsia="zh-CN"/>
                    </w:rPr>
                    <w:t>园区电网供电，采用10KV高压进线，经高压配电室转换成0.4KV电压供各车间使用。</w:t>
                  </w:r>
                </w:p>
              </w:tc>
              <w:tc>
                <w:tcPr>
                  <w:tcW w:w="950" w:type="pct"/>
                  <w:tcBorders>
                    <w:top w:val="single" w:color="auto" w:sz="4" w:space="0"/>
                    <w:left w:val="single" w:color="auto" w:sz="4" w:space="0"/>
                    <w:bottom w:val="single" w:color="auto" w:sz="4" w:space="0"/>
                  </w:tcBorders>
                  <w:vAlign w:val="center"/>
                </w:tcPr>
                <w:p w14:paraId="6B935B6C">
                  <w:pPr>
                    <w:pStyle w:val="39"/>
                    <w:spacing w:line="36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3A13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2A848B65">
                  <w:pPr>
                    <w:pStyle w:val="39"/>
                    <w:spacing w:line="360" w:lineRule="auto"/>
                    <w:rPr>
                      <w:color w:val="auto"/>
                      <w:kern w:val="0"/>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6484099F">
                  <w:pPr>
                    <w:pStyle w:val="39"/>
                    <w:spacing w:line="36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燃气供应</w:t>
                  </w:r>
                </w:p>
              </w:tc>
              <w:tc>
                <w:tcPr>
                  <w:tcW w:w="2761" w:type="pct"/>
                  <w:tcBorders>
                    <w:top w:val="single" w:color="auto" w:sz="4" w:space="0"/>
                    <w:left w:val="single" w:color="auto" w:sz="4" w:space="0"/>
                    <w:bottom w:val="single" w:color="auto" w:sz="4" w:space="0"/>
                    <w:right w:val="nil"/>
                  </w:tcBorders>
                  <w:vAlign w:val="center"/>
                </w:tcPr>
                <w:p w14:paraId="39E894BA">
                  <w:pPr>
                    <w:pStyle w:val="39"/>
                    <w:spacing w:line="360" w:lineRule="auto"/>
                    <w:jc w:val="both"/>
                    <w:rPr>
                      <w:rFonts w:hint="default"/>
                      <w:color w:val="auto"/>
                      <w:sz w:val="21"/>
                      <w:szCs w:val="21"/>
                      <w:highlight w:val="none"/>
                      <w:lang w:val="en-US" w:eastAsia="zh-CN"/>
                    </w:rPr>
                  </w:pPr>
                  <w:r>
                    <w:rPr>
                      <w:rFonts w:hint="eastAsia"/>
                      <w:color w:val="auto"/>
                      <w:sz w:val="21"/>
                      <w:szCs w:val="21"/>
                      <w:highlight w:val="none"/>
                      <w:lang w:val="en-US" w:eastAsia="zh-CN"/>
                    </w:rPr>
                    <w:t>荒煤气由依托恒生镁业公司现有管网供应，天然气引自园区管网。</w:t>
                  </w:r>
                </w:p>
              </w:tc>
              <w:tc>
                <w:tcPr>
                  <w:tcW w:w="950" w:type="pct"/>
                  <w:tcBorders>
                    <w:top w:val="single" w:color="auto" w:sz="4" w:space="0"/>
                    <w:left w:val="single" w:color="auto" w:sz="4" w:space="0"/>
                    <w:bottom w:val="single" w:color="auto" w:sz="4" w:space="0"/>
                  </w:tcBorders>
                  <w:vAlign w:val="center"/>
                </w:tcPr>
                <w:p w14:paraId="587C7FDB">
                  <w:pPr>
                    <w:pStyle w:val="39"/>
                    <w:spacing w:line="36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7B20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1484AF0C">
                  <w:pPr>
                    <w:pStyle w:val="39"/>
                    <w:spacing w:line="360" w:lineRule="auto"/>
                    <w:rPr>
                      <w:color w:val="auto"/>
                      <w:kern w:val="0"/>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30B2B7E5">
                  <w:pPr>
                    <w:pStyle w:val="39"/>
                    <w:spacing w:line="360" w:lineRule="auto"/>
                    <w:rPr>
                      <w:color w:val="auto"/>
                      <w:sz w:val="21"/>
                      <w:szCs w:val="21"/>
                      <w:highlight w:val="none"/>
                    </w:rPr>
                  </w:pPr>
                  <w:r>
                    <w:rPr>
                      <w:rFonts w:hint="eastAsia"/>
                      <w:color w:val="auto"/>
                      <w:sz w:val="21"/>
                      <w:szCs w:val="21"/>
                      <w:highlight w:val="none"/>
                      <w:lang w:eastAsia="zh-CN"/>
                    </w:rPr>
                    <w:t>供热</w:t>
                  </w:r>
                  <w:r>
                    <w:rPr>
                      <w:color w:val="auto"/>
                      <w:sz w:val="21"/>
                      <w:szCs w:val="21"/>
                      <w:highlight w:val="none"/>
                    </w:rPr>
                    <w:t>取暖</w:t>
                  </w:r>
                </w:p>
              </w:tc>
              <w:tc>
                <w:tcPr>
                  <w:tcW w:w="2761" w:type="pct"/>
                  <w:tcBorders>
                    <w:top w:val="single" w:color="auto" w:sz="4" w:space="0"/>
                    <w:left w:val="single" w:color="auto" w:sz="4" w:space="0"/>
                    <w:bottom w:val="single" w:color="auto" w:sz="4" w:space="0"/>
                    <w:right w:val="nil"/>
                  </w:tcBorders>
                  <w:vAlign w:val="center"/>
                </w:tcPr>
                <w:p w14:paraId="6B7A35A5">
                  <w:pPr>
                    <w:pStyle w:val="39"/>
                    <w:spacing w:line="360" w:lineRule="auto"/>
                    <w:jc w:val="both"/>
                    <w:rPr>
                      <w:rFonts w:hint="default"/>
                      <w:color w:val="auto"/>
                      <w:sz w:val="21"/>
                      <w:szCs w:val="21"/>
                      <w:highlight w:val="none"/>
                      <w:lang w:val="en-US"/>
                    </w:rPr>
                  </w:pPr>
                  <w:r>
                    <w:rPr>
                      <w:rFonts w:hint="eastAsia"/>
                      <w:color w:val="auto"/>
                      <w:sz w:val="21"/>
                      <w:szCs w:val="21"/>
                      <w:highlight w:val="none"/>
                      <w:lang w:val="en-US" w:eastAsia="zh-CN"/>
                    </w:rPr>
                    <w:t>车间不供暖，办公楼采用恒生镁业公司循环热水余热管道供暖。</w:t>
                  </w:r>
                </w:p>
              </w:tc>
              <w:tc>
                <w:tcPr>
                  <w:tcW w:w="950" w:type="pct"/>
                  <w:tcBorders>
                    <w:top w:val="single" w:color="auto" w:sz="4" w:space="0"/>
                    <w:left w:val="single" w:color="auto" w:sz="4" w:space="0"/>
                    <w:bottom w:val="single" w:color="auto" w:sz="4" w:space="0"/>
                  </w:tcBorders>
                  <w:vAlign w:val="center"/>
                </w:tcPr>
                <w:p w14:paraId="3FB2E5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highlight w:val="yellow"/>
                    </w:rPr>
                  </w:pPr>
                  <w:r>
                    <w:rPr>
                      <w:rFonts w:hint="eastAsia"/>
                      <w:color w:val="auto"/>
                      <w:sz w:val="21"/>
                      <w:szCs w:val="21"/>
                      <w:highlight w:val="none"/>
                      <w:lang w:val="en-US" w:eastAsia="zh-CN"/>
                    </w:rPr>
                    <w:t>/</w:t>
                  </w:r>
                </w:p>
              </w:tc>
            </w:tr>
            <w:tr w14:paraId="4E31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restart"/>
                  <w:tcBorders>
                    <w:top w:val="single" w:color="auto" w:sz="4" w:space="0"/>
                    <w:bottom w:val="single" w:color="auto" w:sz="4" w:space="0"/>
                    <w:right w:val="single" w:color="auto" w:sz="4" w:space="0"/>
                  </w:tcBorders>
                  <w:vAlign w:val="center"/>
                </w:tcPr>
                <w:p w14:paraId="481EA57A">
                  <w:pPr>
                    <w:pStyle w:val="39"/>
                    <w:spacing w:line="360" w:lineRule="auto"/>
                    <w:rPr>
                      <w:color w:val="auto"/>
                      <w:sz w:val="21"/>
                      <w:szCs w:val="21"/>
                    </w:rPr>
                  </w:pPr>
                  <w:r>
                    <w:rPr>
                      <w:rFonts w:hint="eastAsia"/>
                      <w:color w:val="auto"/>
                      <w:sz w:val="21"/>
                      <w:szCs w:val="21"/>
                    </w:rPr>
                    <w:t>环保工程</w:t>
                  </w:r>
                </w:p>
              </w:tc>
              <w:tc>
                <w:tcPr>
                  <w:tcW w:w="736" w:type="pct"/>
                  <w:vMerge w:val="restart"/>
                  <w:tcBorders>
                    <w:top w:val="single" w:color="auto" w:sz="4" w:space="0"/>
                    <w:left w:val="single" w:color="auto" w:sz="4" w:space="0"/>
                    <w:right w:val="single" w:color="auto" w:sz="4" w:space="0"/>
                  </w:tcBorders>
                  <w:vAlign w:val="center"/>
                </w:tcPr>
                <w:p w14:paraId="0126017D">
                  <w:pPr>
                    <w:pStyle w:val="39"/>
                    <w:spacing w:line="360" w:lineRule="auto"/>
                    <w:rPr>
                      <w:color w:val="auto"/>
                      <w:kern w:val="0"/>
                      <w:sz w:val="21"/>
                      <w:szCs w:val="21"/>
                      <w:highlight w:val="none"/>
                    </w:rPr>
                  </w:pPr>
                  <w:r>
                    <w:rPr>
                      <w:rFonts w:hint="eastAsia" w:ascii="宋体" w:hAnsi="宋体"/>
                      <w:color w:val="auto"/>
                      <w:kern w:val="0"/>
                      <w:sz w:val="21"/>
                      <w:szCs w:val="21"/>
                      <w:highlight w:val="none"/>
                    </w:rPr>
                    <w:t>废气</w:t>
                  </w:r>
                </w:p>
              </w:tc>
              <w:tc>
                <w:tcPr>
                  <w:tcW w:w="2761" w:type="pct"/>
                  <w:tcBorders>
                    <w:top w:val="single" w:color="auto" w:sz="4" w:space="0"/>
                    <w:left w:val="single" w:color="auto" w:sz="4" w:space="0"/>
                    <w:bottom w:val="single" w:color="auto" w:sz="4" w:space="0"/>
                    <w:right w:val="single" w:color="auto" w:sz="4" w:space="0"/>
                  </w:tcBorders>
                  <w:vAlign w:val="center"/>
                </w:tcPr>
                <w:p w14:paraId="65CBC868">
                  <w:pPr>
                    <w:pStyle w:val="39"/>
                    <w:spacing w:line="360" w:lineRule="auto"/>
                    <w:jc w:val="both"/>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合金锭熔炼车间熔炼、浇铸废气采用布袋除尘处理后经15m高排气筒DA001排放，熔炼荒煤气燃烧废气经湿式脱硫除尘设施处理后经15m高排气筒DA002排放。</w:t>
                  </w:r>
                </w:p>
              </w:tc>
              <w:tc>
                <w:tcPr>
                  <w:tcW w:w="950" w:type="pct"/>
                  <w:tcBorders>
                    <w:top w:val="single" w:color="auto" w:sz="4" w:space="0"/>
                    <w:left w:val="single" w:color="auto" w:sz="4" w:space="0"/>
                    <w:bottom w:val="single" w:color="auto" w:sz="4" w:space="0"/>
                  </w:tcBorders>
                  <w:vAlign w:val="center"/>
                </w:tcPr>
                <w:p w14:paraId="05BB46BF">
                  <w:pPr>
                    <w:pStyle w:val="39"/>
                    <w:spacing w:line="360" w:lineRule="auto"/>
                    <w:ind w:firstLine="0" w:firstLineChars="0"/>
                    <w:jc w:val="center"/>
                    <w:rPr>
                      <w:rFonts w:hint="eastAsia" w:eastAsia="宋体"/>
                      <w:color w:val="auto"/>
                      <w:kern w:val="0"/>
                      <w:sz w:val="21"/>
                      <w:szCs w:val="21"/>
                      <w:highlight w:val="yellow"/>
                      <w:lang w:val="en-US" w:eastAsia="zh-CN"/>
                    </w:rPr>
                  </w:pPr>
                  <w:r>
                    <w:rPr>
                      <w:rFonts w:hint="eastAsia"/>
                      <w:color w:val="auto"/>
                      <w:sz w:val="21"/>
                      <w:szCs w:val="21"/>
                      <w:highlight w:val="none"/>
                      <w:lang w:val="en-US" w:eastAsia="zh-CN"/>
                    </w:rPr>
                    <w:t>/</w:t>
                  </w:r>
                </w:p>
              </w:tc>
            </w:tr>
            <w:tr w14:paraId="33F7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right w:val="single" w:color="auto" w:sz="4" w:space="0"/>
                  </w:tcBorders>
                  <w:vAlign w:val="center"/>
                </w:tcPr>
                <w:p w14:paraId="38C80C4C">
                  <w:pPr>
                    <w:pStyle w:val="39"/>
                    <w:spacing w:line="360" w:lineRule="auto"/>
                    <w:rPr>
                      <w:rFonts w:hint="eastAsia"/>
                      <w:color w:val="auto"/>
                      <w:sz w:val="21"/>
                      <w:szCs w:val="21"/>
                    </w:rPr>
                  </w:pPr>
                </w:p>
              </w:tc>
              <w:tc>
                <w:tcPr>
                  <w:tcW w:w="736" w:type="pct"/>
                  <w:vMerge w:val="continue"/>
                  <w:tcBorders>
                    <w:left w:val="single" w:color="auto" w:sz="4" w:space="0"/>
                    <w:right w:val="single" w:color="auto" w:sz="4" w:space="0"/>
                  </w:tcBorders>
                  <w:vAlign w:val="center"/>
                </w:tcPr>
                <w:p w14:paraId="7BC3AF1B">
                  <w:pPr>
                    <w:pStyle w:val="39"/>
                    <w:spacing w:line="360" w:lineRule="auto"/>
                    <w:rPr>
                      <w:rFonts w:hint="eastAsia" w:ascii="宋体" w:hAnsi="宋体"/>
                      <w:color w:val="auto"/>
                      <w:kern w:val="0"/>
                      <w:sz w:val="21"/>
                      <w:szCs w:val="21"/>
                      <w:highlight w:val="none"/>
                    </w:rPr>
                  </w:pPr>
                </w:p>
              </w:tc>
              <w:tc>
                <w:tcPr>
                  <w:tcW w:w="2761" w:type="pct"/>
                  <w:tcBorders>
                    <w:top w:val="single" w:color="auto" w:sz="4" w:space="0"/>
                    <w:left w:val="single" w:color="auto" w:sz="4" w:space="0"/>
                    <w:bottom w:val="single" w:color="auto" w:sz="4" w:space="0"/>
                    <w:right w:val="single" w:color="auto" w:sz="4" w:space="0"/>
                  </w:tcBorders>
                  <w:vAlign w:val="center"/>
                </w:tcPr>
                <w:p w14:paraId="2ADA6B03">
                  <w:pPr>
                    <w:pStyle w:val="39"/>
                    <w:spacing w:line="360" w:lineRule="auto"/>
                    <w:jc w:val="both"/>
                    <w:rPr>
                      <w:rFonts w:hint="default"/>
                      <w:color w:val="auto"/>
                      <w:kern w:val="0"/>
                      <w:sz w:val="21"/>
                      <w:szCs w:val="21"/>
                      <w:highlight w:val="none"/>
                      <w:lang w:val="en-US" w:eastAsia="zh-CN"/>
                    </w:rPr>
                  </w:pPr>
                  <w:r>
                    <w:rPr>
                      <w:rFonts w:hint="eastAsia"/>
                      <w:color w:val="auto"/>
                      <w:kern w:val="0"/>
                      <w:sz w:val="21"/>
                      <w:szCs w:val="21"/>
                      <w:highlight w:val="none"/>
                      <w:lang w:val="en-US" w:eastAsia="zh-CN"/>
                    </w:rPr>
                    <w:t>压铸车间熔化、压铸废气采用布袋除尘处理后经15m高排气筒DA003排放，保温炉天然气燃烧废气采用低氮燃烧器并经15m高排气筒DA004排放。</w:t>
                  </w:r>
                </w:p>
              </w:tc>
              <w:tc>
                <w:tcPr>
                  <w:tcW w:w="950" w:type="pct"/>
                  <w:tcBorders>
                    <w:top w:val="single" w:color="auto" w:sz="4" w:space="0"/>
                    <w:left w:val="single" w:color="auto" w:sz="4" w:space="0"/>
                    <w:bottom w:val="single" w:color="auto" w:sz="4" w:space="0"/>
                  </w:tcBorders>
                  <w:vAlign w:val="center"/>
                </w:tcPr>
                <w:p w14:paraId="0565C7EF">
                  <w:pPr>
                    <w:pStyle w:val="39"/>
                    <w:spacing w:line="36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0835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right w:val="single" w:color="auto" w:sz="4" w:space="0"/>
                  </w:tcBorders>
                  <w:vAlign w:val="center"/>
                </w:tcPr>
                <w:p w14:paraId="344A2C31">
                  <w:pPr>
                    <w:pStyle w:val="39"/>
                    <w:spacing w:line="360" w:lineRule="auto"/>
                    <w:rPr>
                      <w:rFonts w:hint="eastAsia"/>
                      <w:color w:val="auto"/>
                      <w:sz w:val="21"/>
                      <w:szCs w:val="21"/>
                    </w:rPr>
                  </w:pPr>
                </w:p>
              </w:tc>
              <w:tc>
                <w:tcPr>
                  <w:tcW w:w="736" w:type="pct"/>
                  <w:vMerge w:val="continue"/>
                  <w:tcBorders>
                    <w:left w:val="single" w:color="auto" w:sz="4" w:space="0"/>
                    <w:right w:val="single" w:color="auto" w:sz="4" w:space="0"/>
                  </w:tcBorders>
                  <w:vAlign w:val="center"/>
                </w:tcPr>
                <w:p w14:paraId="5E606957">
                  <w:pPr>
                    <w:pStyle w:val="39"/>
                    <w:spacing w:line="360" w:lineRule="auto"/>
                    <w:rPr>
                      <w:rFonts w:hint="eastAsia" w:ascii="宋体" w:hAnsi="宋体"/>
                      <w:color w:val="auto"/>
                      <w:kern w:val="0"/>
                      <w:sz w:val="21"/>
                      <w:szCs w:val="21"/>
                      <w:highlight w:val="none"/>
                    </w:rPr>
                  </w:pPr>
                </w:p>
              </w:tc>
              <w:tc>
                <w:tcPr>
                  <w:tcW w:w="2761" w:type="pct"/>
                  <w:tcBorders>
                    <w:top w:val="single" w:color="auto" w:sz="4" w:space="0"/>
                    <w:left w:val="single" w:color="auto" w:sz="4" w:space="0"/>
                    <w:bottom w:val="single" w:color="auto" w:sz="4" w:space="0"/>
                    <w:right w:val="single" w:color="auto" w:sz="4" w:space="0"/>
                  </w:tcBorders>
                  <w:vAlign w:val="center"/>
                </w:tcPr>
                <w:p w14:paraId="6F79B981">
                  <w:pPr>
                    <w:pStyle w:val="39"/>
                    <w:spacing w:line="360" w:lineRule="auto"/>
                    <w:jc w:val="both"/>
                    <w:rPr>
                      <w:rFonts w:hint="default"/>
                      <w:color w:val="auto"/>
                      <w:kern w:val="0"/>
                      <w:sz w:val="21"/>
                      <w:szCs w:val="21"/>
                      <w:highlight w:val="none"/>
                      <w:lang w:val="en-US" w:eastAsia="zh-CN"/>
                    </w:rPr>
                  </w:pPr>
                  <w:r>
                    <w:rPr>
                      <w:rFonts w:hint="eastAsia"/>
                      <w:color w:val="auto"/>
                      <w:kern w:val="0"/>
                      <w:sz w:val="21"/>
                      <w:szCs w:val="21"/>
                      <w:highlight w:val="none"/>
                      <w:lang w:val="en-US" w:eastAsia="zh-CN"/>
                    </w:rPr>
                    <w:t>镁合金切削产线粉尘经</w:t>
                  </w:r>
                  <w:r>
                    <w:rPr>
                      <w:rFonts w:hint="eastAsia"/>
                      <w:color w:val="auto"/>
                      <w:kern w:val="0"/>
                      <w:sz w:val="21"/>
                      <w:szCs w:val="21"/>
                      <w:highlight w:val="none"/>
                      <w:lang w:val="en-US" w:eastAsia="zh-CN"/>
                    </w:rPr>
                    <w:t>设备自带的旋风+水浴除尘箱</w:t>
                  </w:r>
                  <w:r>
                    <w:rPr>
                      <w:rFonts w:hint="eastAsia"/>
                      <w:color w:val="auto"/>
                      <w:kern w:val="0"/>
                      <w:sz w:val="21"/>
                      <w:szCs w:val="21"/>
                      <w:highlight w:val="none"/>
                      <w:lang w:val="en-US" w:eastAsia="zh-CN"/>
                    </w:rPr>
                    <w:t>处理后无组织排放。</w:t>
                  </w:r>
                </w:p>
              </w:tc>
              <w:tc>
                <w:tcPr>
                  <w:tcW w:w="950" w:type="pct"/>
                  <w:tcBorders>
                    <w:top w:val="single" w:color="auto" w:sz="4" w:space="0"/>
                    <w:left w:val="single" w:color="auto" w:sz="4" w:space="0"/>
                    <w:bottom w:val="single" w:color="auto" w:sz="4" w:space="0"/>
                  </w:tcBorders>
                  <w:vAlign w:val="center"/>
                </w:tcPr>
                <w:p w14:paraId="4690B6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kern w:val="0"/>
                      <w:sz w:val="21"/>
                      <w:szCs w:val="21"/>
                      <w:highlight w:val="yellow"/>
                      <w:lang w:val="en-US" w:eastAsia="zh-CN"/>
                    </w:rPr>
                  </w:pPr>
                  <w:r>
                    <w:rPr>
                      <w:rFonts w:hint="eastAsia"/>
                      <w:color w:val="auto"/>
                      <w:sz w:val="21"/>
                      <w:szCs w:val="21"/>
                      <w:highlight w:val="none"/>
                      <w:lang w:val="en-US" w:eastAsia="zh-CN"/>
                    </w:rPr>
                    <w:t>/</w:t>
                  </w:r>
                </w:p>
              </w:tc>
            </w:tr>
            <w:tr w14:paraId="027A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right w:val="single" w:color="auto" w:sz="4" w:space="0"/>
                  </w:tcBorders>
                  <w:vAlign w:val="center"/>
                </w:tcPr>
                <w:p w14:paraId="1B39B99E">
                  <w:pPr>
                    <w:pStyle w:val="39"/>
                    <w:spacing w:line="360" w:lineRule="auto"/>
                    <w:rPr>
                      <w:rFonts w:hint="eastAsia"/>
                      <w:color w:val="auto"/>
                      <w:sz w:val="21"/>
                      <w:szCs w:val="21"/>
                    </w:rPr>
                  </w:pPr>
                </w:p>
              </w:tc>
              <w:tc>
                <w:tcPr>
                  <w:tcW w:w="736" w:type="pct"/>
                  <w:vMerge w:val="continue"/>
                  <w:tcBorders>
                    <w:left w:val="single" w:color="auto" w:sz="4" w:space="0"/>
                    <w:right w:val="single" w:color="auto" w:sz="4" w:space="0"/>
                  </w:tcBorders>
                  <w:vAlign w:val="center"/>
                </w:tcPr>
                <w:p w14:paraId="1FF33763">
                  <w:pPr>
                    <w:pStyle w:val="39"/>
                    <w:spacing w:line="360" w:lineRule="auto"/>
                    <w:rPr>
                      <w:rFonts w:hint="eastAsia" w:ascii="宋体" w:hAnsi="宋体"/>
                      <w:color w:val="auto"/>
                      <w:kern w:val="0"/>
                      <w:sz w:val="21"/>
                      <w:szCs w:val="21"/>
                      <w:highlight w:val="yellow"/>
                    </w:rPr>
                  </w:pPr>
                </w:p>
              </w:tc>
              <w:tc>
                <w:tcPr>
                  <w:tcW w:w="2761" w:type="pct"/>
                  <w:tcBorders>
                    <w:top w:val="single" w:color="auto" w:sz="4" w:space="0"/>
                    <w:left w:val="single" w:color="auto" w:sz="4" w:space="0"/>
                    <w:bottom w:val="single" w:color="auto" w:sz="4" w:space="0"/>
                    <w:right w:val="single" w:color="auto" w:sz="4" w:space="0"/>
                  </w:tcBorders>
                  <w:vAlign w:val="center"/>
                </w:tcPr>
                <w:p w14:paraId="66248D97">
                  <w:pPr>
                    <w:keepNext w:val="0"/>
                    <w:keepLines w:val="0"/>
                    <w:widowControl/>
                    <w:suppressLineNumbers w:val="0"/>
                    <w:spacing w:line="360" w:lineRule="auto"/>
                    <w:ind w:left="0" w:leftChars="0" w:firstLine="0" w:firstLineChars="0"/>
                    <w:jc w:val="left"/>
                    <w:rPr>
                      <w:rFonts w:hint="eastAsia"/>
                      <w:color w:val="auto"/>
                      <w:kern w:val="0"/>
                      <w:sz w:val="21"/>
                      <w:szCs w:val="21"/>
                      <w:highlight w:val="yellow"/>
                    </w:rPr>
                  </w:pPr>
                  <w:r>
                    <w:rPr>
                      <w:rFonts w:hint="eastAsia" w:ascii="宋体" w:hAnsi="宋体" w:eastAsia="宋体" w:cs="宋体"/>
                      <w:color w:val="auto"/>
                      <w:kern w:val="0"/>
                      <w:sz w:val="21"/>
                      <w:szCs w:val="21"/>
                      <w:lang w:val="en-US" w:eastAsia="zh-CN" w:bidi="ar"/>
                    </w:rPr>
                    <w:t>打磨粉尘经水浴除尘设施处理后</w:t>
                  </w:r>
                  <w:r>
                    <w:rPr>
                      <w:rFonts w:hint="eastAsia"/>
                      <w:color w:val="auto"/>
                      <w:kern w:val="0"/>
                      <w:sz w:val="21"/>
                      <w:szCs w:val="21"/>
                      <w:highlight w:val="none"/>
                      <w:lang w:val="en-US" w:eastAsia="zh-CN"/>
                    </w:rPr>
                    <w:t>经15m高排气筒</w:t>
                  </w:r>
                  <w:r>
                    <w:rPr>
                      <w:rFonts w:hint="eastAsia"/>
                      <w:color w:val="auto"/>
                      <w:kern w:val="0"/>
                      <w:sz w:val="21"/>
                      <w:szCs w:val="21"/>
                      <w:highlight w:val="none"/>
                      <w:lang w:val="en-US" w:eastAsia="zh-CN"/>
                    </w:rPr>
                    <w:t>DA005</w:t>
                  </w:r>
                  <w:r>
                    <w:rPr>
                      <w:rFonts w:hint="eastAsia"/>
                      <w:color w:val="auto"/>
                      <w:kern w:val="0"/>
                      <w:sz w:val="21"/>
                      <w:szCs w:val="21"/>
                      <w:highlight w:val="none"/>
                      <w:lang w:val="en-US" w:eastAsia="zh-CN"/>
                    </w:rPr>
                    <w:t>排放。</w:t>
                  </w:r>
                </w:p>
              </w:tc>
              <w:tc>
                <w:tcPr>
                  <w:tcW w:w="950" w:type="pct"/>
                  <w:tcBorders>
                    <w:top w:val="single" w:color="auto" w:sz="4" w:space="0"/>
                    <w:left w:val="single" w:color="auto" w:sz="4" w:space="0"/>
                    <w:bottom w:val="single" w:color="auto" w:sz="4" w:space="0"/>
                  </w:tcBorders>
                  <w:vAlign w:val="center"/>
                </w:tcPr>
                <w:p w14:paraId="6193ADE3">
                  <w:pPr>
                    <w:pStyle w:val="39"/>
                    <w:spacing w:line="360" w:lineRule="auto"/>
                    <w:ind w:firstLine="0" w:firstLineChars="0"/>
                    <w:jc w:val="center"/>
                    <w:rPr>
                      <w:rFonts w:hint="eastAsia" w:eastAsia="宋体"/>
                      <w:color w:val="auto"/>
                      <w:kern w:val="0"/>
                      <w:sz w:val="21"/>
                      <w:szCs w:val="21"/>
                      <w:highlight w:val="yellow"/>
                      <w:lang w:val="en-US" w:eastAsia="zh-CN"/>
                    </w:rPr>
                  </w:pPr>
                  <w:r>
                    <w:rPr>
                      <w:rFonts w:hint="eastAsia"/>
                      <w:color w:val="auto"/>
                      <w:sz w:val="21"/>
                      <w:szCs w:val="21"/>
                      <w:highlight w:val="none"/>
                      <w:lang w:val="en-US" w:eastAsia="zh-CN"/>
                    </w:rPr>
                    <w:t>/</w:t>
                  </w:r>
                </w:p>
              </w:tc>
            </w:tr>
            <w:tr w14:paraId="524B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421D4D1E">
                  <w:pPr>
                    <w:pStyle w:val="39"/>
                    <w:spacing w:line="360" w:lineRule="auto"/>
                    <w:rPr>
                      <w:rFonts w:ascii="宋体" w:hAnsi="宋体"/>
                      <w:color w:val="auto"/>
                      <w:kern w:val="0"/>
                      <w:sz w:val="21"/>
                      <w:szCs w:val="21"/>
                    </w:rPr>
                  </w:pPr>
                </w:p>
              </w:tc>
              <w:tc>
                <w:tcPr>
                  <w:tcW w:w="736" w:type="pct"/>
                  <w:tcBorders>
                    <w:top w:val="single" w:color="auto" w:sz="4" w:space="0"/>
                    <w:left w:val="single" w:color="auto" w:sz="4" w:space="0"/>
                    <w:bottom w:val="single" w:color="auto" w:sz="4" w:space="0"/>
                    <w:right w:val="single" w:color="auto" w:sz="4" w:space="0"/>
                  </w:tcBorders>
                  <w:vAlign w:val="center"/>
                </w:tcPr>
                <w:p w14:paraId="54DDD701">
                  <w:pPr>
                    <w:pStyle w:val="39"/>
                    <w:spacing w:line="360" w:lineRule="auto"/>
                    <w:rPr>
                      <w:color w:val="auto"/>
                      <w:sz w:val="21"/>
                      <w:szCs w:val="21"/>
                      <w:highlight w:val="yellow"/>
                    </w:rPr>
                  </w:pPr>
                  <w:r>
                    <w:rPr>
                      <w:color w:val="auto"/>
                      <w:sz w:val="21"/>
                      <w:szCs w:val="21"/>
                      <w:highlight w:val="none"/>
                    </w:rPr>
                    <w:t>废水</w:t>
                  </w:r>
                </w:p>
              </w:tc>
              <w:tc>
                <w:tcPr>
                  <w:tcW w:w="2761" w:type="pct"/>
                  <w:tcBorders>
                    <w:top w:val="single" w:color="auto" w:sz="4" w:space="0"/>
                    <w:left w:val="single" w:color="auto" w:sz="4" w:space="0"/>
                    <w:bottom w:val="single" w:color="auto" w:sz="4" w:space="0"/>
                    <w:right w:val="single" w:color="auto" w:sz="4" w:space="0"/>
                  </w:tcBorders>
                  <w:vAlign w:val="center"/>
                </w:tcPr>
                <w:p w14:paraId="5B10AC6D">
                  <w:pPr>
                    <w:pStyle w:val="39"/>
                    <w:spacing w:line="360" w:lineRule="auto"/>
                    <w:jc w:val="both"/>
                    <w:rPr>
                      <w:color w:val="auto"/>
                      <w:sz w:val="21"/>
                      <w:szCs w:val="21"/>
                      <w:highlight w:val="yellow"/>
                    </w:rPr>
                  </w:pPr>
                  <w:r>
                    <w:rPr>
                      <w:rFonts w:hint="eastAsia"/>
                      <w:color w:val="auto"/>
                      <w:sz w:val="21"/>
                      <w:szCs w:val="21"/>
                      <w:highlight w:val="none"/>
                      <w:lang w:val="en-US" w:eastAsia="zh-CN"/>
                    </w:rPr>
                    <w:t>冷却用水循环利用，少量排污用于厂区道路洒水；  脱硫</w:t>
                  </w:r>
                  <w:r>
                    <w:rPr>
                      <w:rFonts w:hint="eastAsia"/>
                      <w:color w:val="auto"/>
                      <w:sz w:val="21"/>
                      <w:szCs w:val="21"/>
                      <w:highlight w:val="none"/>
                      <w:lang w:val="en-US" w:eastAsia="zh-CN"/>
                    </w:rPr>
                    <w:t>废水、</w:t>
                  </w:r>
                  <w:r>
                    <w:rPr>
                      <w:rFonts w:hint="eastAsia"/>
                      <w:color w:val="auto"/>
                      <w:sz w:val="21"/>
                      <w:szCs w:val="21"/>
                      <w:highlight w:val="none"/>
                      <w:lang w:val="en-US" w:eastAsia="zh-CN"/>
                    </w:rPr>
                    <w:t>水浴除尘排水经沉淀处理后，循环利用不外排；</w:t>
                  </w:r>
                  <w:r>
                    <w:rPr>
                      <w:rFonts w:hint="eastAsia" w:ascii="Times New Roman" w:hAnsi="Times New Roman" w:eastAsia="宋体" w:cs="Times New Roman"/>
                      <w:color w:val="auto"/>
                      <w:kern w:val="0"/>
                      <w:sz w:val="21"/>
                      <w:szCs w:val="21"/>
                      <w:highlight w:val="none"/>
                      <w:lang w:val="en-US" w:eastAsia="zh-CN" w:bidi="ar"/>
                    </w:rPr>
                    <w:t>生活污水经化粪池预处理后排入园区污水处理厂</w:t>
                  </w:r>
                  <w:r>
                    <w:rPr>
                      <w:rFonts w:hint="eastAsia" w:cs="Times New Roman"/>
                      <w:color w:val="auto"/>
                      <w:kern w:val="0"/>
                      <w:sz w:val="21"/>
                      <w:szCs w:val="21"/>
                      <w:highlight w:val="none"/>
                      <w:lang w:val="en-US" w:eastAsia="zh-CN" w:bidi="ar"/>
                    </w:rPr>
                    <w:t>。</w:t>
                  </w:r>
                </w:p>
              </w:tc>
              <w:tc>
                <w:tcPr>
                  <w:tcW w:w="950" w:type="pct"/>
                  <w:tcBorders>
                    <w:top w:val="single" w:color="auto" w:sz="4" w:space="0"/>
                    <w:left w:val="single" w:color="auto" w:sz="4" w:space="0"/>
                    <w:bottom w:val="single" w:color="auto" w:sz="4" w:space="0"/>
                  </w:tcBorders>
                  <w:vAlign w:val="center"/>
                </w:tcPr>
                <w:p w14:paraId="5E059281">
                  <w:pPr>
                    <w:pStyle w:val="39"/>
                    <w:spacing w:line="360" w:lineRule="auto"/>
                    <w:ind w:firstLine="0" w:firstLineChars="0"/>
                    <w:jc w:val="center"/>
                    <w:rPr>
                      <w:color w:val="auto"/>
                      <w:sz w:val="21"/>
                      <w:szCs w:val="21"/>
                      <w:highlight w:val="yellow"/>
                    </w:rPr>
                  </w:pPr>
                  <w:r>
                    <w:rPr>
                      <w:rFonts w:hint="eastAsia"/>
                      <w:color w:val="auto"/>
                      <w:sz w:val="21"/>
                      <w:szCs w:val="21"/>
                      <w:highlight w:val="none"/>
                      <w:lang w:val="en-US" w:eastAsia="zh-CN"/>
                    </w:rPr>
                    <w:t>/</w:t>
                  </w:r>
                </w:p>
              </w:tc>
            </w:tr>
            <w:tr w14:paraId="7511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1B2BEF13">
                  <w:pPr>
                    <w:pStyle w:val="39"/>
                    <w:spacing w:line="360" w:lineRule="auto"/>
                    <w:rPr>
                      <w:rFonts w:ascii="宋体" w:hAnsi="宋体"/>
                      <w:color w:val="auto"/>
                      <w:kern w:val="0"/>
                      <w:sz w:val="21"/>
                      <w:szCs w:val="21"/>
                    </w:rPr>
                  </w:pPr>
                </w:p>
              </w:tc>
              <w:tc>
                <w:tcPr>
                  <w:tcW w:w="736" w:type="pct"/>
                  <w:vMerge w:val="restart"/>
                  <w:tcBorders>
                    <w:top w:val="single" w:color="auto" w:sz="4" w:space="0"/>
                    <w:left w:val="single" w:color="auto" w:sz="4" w:space="0"/>
                    <w:right w:val="single" w:color="auto" w:sz="4" w:space="0"/>
                  </w:tcBorders>
                  <w:vAlign w:val="center"/>
                </w:tcPr>
                <w:p w14:paraId="7F5C891F">
                  <w:pPr>
                    <w:pStyle w:val="39"/>
                    <w:spacing w:line="360" w:lineRule="auto"/>
                    <w:rPr>
                      <w:color w:val="auto"/>
                      <w:sz w:val="21"/>
                      <w:szCs w:val="21"/>
                      <w:highlight w:val="none"/>
                    </w:rPr>
                  </w:pPr>
                  <w:r>
                    <w:rPr>
                      <w:color w:val="auto"/>
                      <w:sz w:val="21"/>
                      <w:szCs w:val="21"/>
                      <w:highlight w:val="none"/>
                    </w:rPr>
                    <w:t>固废</w:t>
                  </w:r>
                </w:p>
              </w:tc>
              <w:tc>
                <w:tcPr>
                  <w:tcW w:w="2761" w:type="pct"/>
                  <w:tcBorders>
                    <w:top w:val="single" w:color="auto" w:sz="4" w:space="0"/>
                    <w:left w:val="single" w:color="auto" w:sz="4" w:space="0"/>
                    <w:bottom w:val="single" w:color="auto" w:sz="4" w:space="0"/>
                    <w:right w:val="single" w:color="auto" w:sz="4" w:space="0"/>
                  </w:tcBorders>
                  <w:vAlign w:val="center"/>
                </w:tcPr>
                <w:p w14:paraId="451FA48B">
                  <w:pPr>
                    <w:pStyle w:val="39"/>
                    <w:spacing w:line="360" w:lineRule="auto"/>
                    <w:jc w:val="both"/>
                    <w:rPr>
                      <w:rFonts w:ascii="宋体" w:hAnsi="宋体"/>
                      <w:color w:val="auto"/>
                      <w:sz w:val="21"/>
                      <w:szCs w:val="21"/>
                      <w:highlight w:val="none"/>
                    </w:rPr>
                  </w:pPr>
                  <w:r>
                    <w:rPr>
                      <w:rFonts w:hint="eastAsia"/>
                      <w:color w:val="auto"/>
                      <w:sz w:val="21"/>
                      <w:szCs w:val="21"/>
                      <w:highlight w:val="none"/>
                      <w:lang w:val="en-US" w:eastAsia="zh-CN"/>
                    </w:rPr>
                    <w:t>废压铸件、边角料等镁合金废料回用于生产</w:t>
                  </w:r>
                  <w:r>
                    <w:rPr>
                      <w:rFonts w:hint="eastAsia"/>
                      <w:color w:val="auto"/>
                      <w:sz w:val="21"/>
                      <w:szCs w:val="21"/>
                      <w:highlight w:val="none"/>
                      <w:lang w:val="en-US" w:eastAsia="zh-CN"/>
                    </w:rPr>
                    <w:t>，熔炼渣、旋风及布袋收尘灰、水浴除尘渣、脱硫渣交水泥厂综合利用</w:t>
                  </w:r>
                  <w:r>
                    <w:rPr>
                      <w:rFonts w:hint="eastAsia"/>
                      <w:color w:val="auto"/>
                      <w:sz w:val="21"/>
                      <w:szCs w:val="21"/>
                      <w:highlight w:val="none"/>
                      <w:lang w:val="en-US" w:eastAsia="zh-CN"/>
                    </w:rPr>
                    <w:t>，废模具交生产厂家回收利用。</w:t>
                  </w:r>
                </w:p>
              </w:tc>
              <w:tc>
                <w:tcPr>
                  <w:tcW w:w="950" w:type="pct"/>
                  <w:tcBorders>
                    <w:top w:val="single" w:color="auto" w:sz="4" w:space="0"/>
                    <w:left w:val="single" w:color="auto" w:sz="4" w:space="0"/>
                    <w:bottom w:val="single" w:color="auto" w:sz="4" w:space="0"/>
                  </w:tcBorders>
                  <w:vAlign w:val="center"/>
                </w:tcPr>
                <w:p w14:paraId="01278FCD">
                  <w:pPr>
                    <w:spacing w:line="360" w:lineRule="auto"/>
                    <w:ind w:left="0" w:leftChars="0" w:firstLine="0" w:firstLineChars="0"/>
                    <w:jc w:val="center"/>
                    <w:rPr>
                      <w:rFonts w:ascii="宋体" w:hAnsi="宋体"/>
                      <w:color w:val="auto"/>
                      <w:sz w:val="21"/>
                      <w:szCs w:val="21"/>
                      <w:highlight w:val="yellow"/>
                    </w:rPr>
                  </w:pPr>
                  <w:r>
                    <w:rPr>
                      <w:rFonts w:hint="eastAsia"/>
                      <w:color w:val="auto"/>
                      <w:sz w:val="21"/>
                      <w:szCs w:val="21"/>
                      <w:highlight w:val="none"/>
                      <w:lang w:val="en-US" w:eastAsia="zh-CN"/>
                    </w:rPr>
                    <w:t>/</w:t>
                  </w:r>
                </w:p>
              </w:tc>
            </w:tr>
            <w:tr w14:paraId="589F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0919191F">
                  <w:pPr>
                    <w:pStyle w:val="39"/>
                    <w:spacing w:line="360" w:lineRule="auto"/>
                    <w:rPr>
                      <w:rFonts w:ascii="宋体" w:hAnsi="宋体"/>
                      <w:color w:val="auto"/>
                      <w:kern w:val="0"/>
                      <w:sz w:val="21"/>
                      <w:szCs w:val="21"/>
                    </w:rPr>
                  </w:pPr>
                </w:p>
              </w:tc>
              <w:tc>
                <w:tcPr>
                  <w:tcW w:w="736" w:type="pct"/>
                  <w:vMerge w:val="continue"/>
                  <w:tcBorders>
                    <w:left w:val="single" w:color="auto" w:sz="4" w:space="0"/>
                    <w:right w:val="single" w:color="auto" w:sz="4" w:space="0"/>
                  </w:tcBorders>
                  <w:vAlign w:val="center"/>
                </w:tcPr>
                <w:p w14:paraId="27D30306">
                  <w:pPr>
                    <w:pStyle w:val="39"/>
                    <w:spacing w:line="360" w:lineRule="auto"/>
                    <w:rPr>
                      <w:color w:val="auto"/>
                      <w:sz w:val="21"/>
                      <w:szCs w:val="21"/>
                      <w:highlight w:val="none"/>
                    </w:rPr>
                  </w:pPr>
                </w:p>
              </w:tc>
              <w:tc>
                <w:tcPr>
                  <w:tcW w:w="2761" w:type="pct"/>
                  <w:tcBorders>
                    <w:top w:val="single" w:color="auto" w:sz="4" w:space="0"/>
                    <w:left w:val="single" w:color="auto" w:sz="4" w:space="0"/>
                    <w:bottom w:val="single" w:color="auto" w:sz="4" w:space="0"/>
                    <w:right w:val="single" w:color="auto" w:sz="4" w:space="0"/>
                  </w:tcBorders>
                  <w:vAlign w:val="center"/>
                </w:tcPr>
                <w:p w14:paraId="1417289C">
                  <w:pPr>
                    <w:pStyle w:val="39"/>
                    <w:spacing w:line="360" w:lineRule="auto"/>
                    <w:jc w:val="both"/>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废机油、废切削液存于危废贮存库，交有资质单位处置。</w:t>
                  </w:r>
                </w:p>
              </w:tc>
              <w:tc>
                <w:tcPr>
                  <w:tcW w:w="950" w:type="pct"/>
                  <w:tcBorders>
                    <w:top w:val="single" w:color="auto" w:sz="4" w:space="0"/>
                    <w:left w:val="single" w:color="auto" w:sz="4" w:space="0"/>
                    <w:bottom w:val="single" w:color="auto" w:sz="4" w:space="0"/>
                  </w:tcBorders>
                  <w:vAlign w:val="center"/>
                </w:tcPr>
                <w:p w14:paraId="039402F7">
                  <w:pPr>
                    <w:spacing w:line="360" w:lineRule="auto"/>
                    <w:ind w:left="0" w:leftChars="0" w:firstLine="0" w:firstLineChars="0"/>
                    <w:jc w:val="center"/>
                    <w:rPr>
                      <w:rFonts w:hint="eastAsia" w:ascii="宋体" w:hAnsi="宋体"/>
                      <w:color w:val="auto"/>
                      <w:sz w:val="21"/>
                      <w:szCs w:val="21"/>
                      <w:highlight w:val="yellow"/>
                      <w:lang w:eastAsia="zh-CN"/>
                    </w:rPr>
                  </w:pPr>
                  <w:r>
                    <w:rPr>
                      <w:rFonts w:hint="eastAsia"/>
                      <w:color w:val="auto"/>
                      <w:sz w:val="21"/>
                      <w:szCs w:val="21"/>
                      <w:highlight w:val="none"/>
                      <w:lang w:val="en-US" w:eastAsia="zh-CN"/>
                    </w:rPr>
                    <w:t>/</w:t>
                  </w:r>
                </w:p>
              </w:tc>
            </w:tr>
            <w:tr w14:paraId="23A4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bottom w:val="single" w:color="auto" w:sz="4" w:space="0"/>
                    <w:right w:val="single" w:color="auto" w:sz="4" w:space="0"/>
                  </w:tcBorders>
                  <w:vAlign w:val="center"/>
                </w:tcPr>
                <w:p w14:paraId="2088ED5E">
                  <w:pPr>
                    <w:pStyle w:val="39"/>
                    <w:spacing w:line="360" w:lineRule="auto"/>
                    <w:rPr>
                      <w:rFonts w:ascii="宋体" w:hAnsi="宋体"/>
                      <w:color w:val="auto"/>
                      <w:kern w:val="0"/>
                      <w:sz w:val="21"/>
                      <w:szCs w:val="21"/>
                    </w:rPr>
                  </w:pPr>
                </w:p>
              </w:tc>
              <w:tc>
                <w:tcPr>
                  <w:tcW w:w="736" w:type="pct"/>
                  <w:vMerge w:val="continue"/>
                  <w:tcBorders>
                    <w:left w:val="single" w:color="auto" w:sz="4" w:space="0"/>
                    <w:right w:val="single" w:color="auto" w:sz="4" w:space="0"/>
                  </w:tcBorders>
                  <w:vAlign w:val="center"/>
                </w:tcPr>
                <w:p w14:paraId="2F3156DF">
                  <w:pPr>
                    <w:pStyle w:val="39"/>
                    <w:spacing w:line="360" w:lineRule="auto"/>
                    <w:rPr>
                      <w:color w:val="auto"/>
                      <w:kern w:val="0"/>
                      <w:sz w:val="21"/>
                      <w:szCs w:val="21"/>
                      <w:highlight w:val="yellow"/>
                    </w:rPr>
                  </w:pPr>
                </w:p>
              </w:tc>
              <w:tc>
                <w:tcPr>
                  <w:tcW w:w="2761" w:type="pct"/>
                  <w:tcBorders>
                    <w:top w:val="single" w:color="auto" w:sz="4" w:space="0"/>
                    <w:left w:val="single" w:color="auto" w:sz="4" w:space="0"/>
                    <w:bottom w:val="single" w:color="auto" w:sz="4" w:space="0"/>
                    <w:right w:val="single" w:color="auto" w:sz="4" w:space="0"/>
                  </w:tcBorders>
                  <w:vAlign w:val="center"/>
                </w:tcPr>
                <w:p w14:paraId="524FBCF9">
                  <w:pPr>
                    <w:keepNext w:val="0"/>
                    <w:keepLines w:val="0"/>
                    <w:widowControl/>
                    <w:suppressLineNumbers w:val="0"/>
                    <w:spacing w:line="360" w:lineRule="auto"/>
                    <w:ind w:left="0" w:leftChars="0" w:firstLine="0" w:firstLineChars="0"/>
                    <w:jc w:val="left"/>
                    <w:rPr>
                      <w:color w:val="auto"/>
                      <w:sz w:val="21"/>
                      <w:szCs w:val="21"/>
                      <w:highlight w:val="yellow"/>
                    </w:rPr>
                  </w:pPr>
                  <w:r>
                    <w:rPr>
                      <w:rFonts w:hint="eastAsia" w:ascii="Times New Roman" w:hAnsi="Times New Roman" w:eastAsia="宋体" w:cs="Times New Roman"/>
                      <w:bCs/>
                      <w:color w:val="auto"/>
                      <w:kern w:val="2"/>
                      <w:sz w:val="21"/>
                      <w:szCs w:val="21"/>
                      <w:highlight w:val="none"/>
                      <w:lang w:val="en-US" w:eastAsia="zh-CN" w:bidi="ar-BH"/>
                    </w:rPr>
                    <w:t>生活垃圾</w:t>
                  </w:r>
                  <w:r>
                    <w:rPr>
                      <w:rFonts w:hint="eastAsia" w:cs="Times New Roman"/>
                      <w:bCs/>
                      <w:color w:val="auto"/>
                      <w:kern w:val="2"/>
                      <w:sz w:val="21"/>
                      <w:szCs w:val="21"/>
                      <w:highlight w:val="none"/>
                      <w:lang w:val="en-US" w:eastAsia="zh-CN" w:bidi="ar-BH"/>
                    </w:rPr>
                    <w:t>设封闭</w:t>
                  </w:r>
                  <w:r>
                    <w:rPr>
                      <w:rFonts w:hint="eastAsia" w:ascii="Times New Roman" w:hAnsi="Times New Roman" w:eastAsia="宋体" w:cs="Times New Roman"/>
                      <w:bCs/>
                      <w:color w:val="auto"/>
                      <w:kern w:val="2"/>
                      <w:sz w:val="21"/>
                      <w:szCs w:val="21"/>
                      <w:highlight w:val="none"/>
                      <w:lang w:val="en-US" w:eastAsia="zh-CN" w:bidi="ar-BH"/>
                    </w:rPr>
                    <w:t>垃圾桶收集后</w:t>
                  </w:r>
                  <w:r>
                    <w:rPr>
                      <w:rFonts w:hint="eastAsia" w:cs="Times New Roman"/>
                      <w:bCs/>
                      <w:color w:val="auto"/>
                      <w:kern w:val="2"/>
                      <w:sz w:val="21"/>
                      <w:szCs w:val="21"/>
                      <w:highlight w:val="none"/>
                      <w:lang w:val="en-US" w:eastAsia="zh-CN" w:bidi="ar-BH"/>
                    </w:rPr>
                    <w:t>，</w:t>
                  </w:r>
                  <w:r>
                    <w:rPr>
                      <w:rFonts w:hint="eastAsia" w:ascii="Times New Roman" w:hAnsi="Times New Roman" w:eastAsia="宋体" w:cs="Times New Roman"/>
                      <w:bCs/>
                      <w:color w:val="auto"/>
                      <w:kern w:val="2"/>
                      <w:sz w:val="21"/>
                      <w:szCs w:val="21"/>
                      <w:highlight w:val="none"/>
                      <w:lang w:val="en-US" w:eastAsia="zh-CN" w:bidi="ar-BH"/>
                    </w:rPr>
                    <w:t>送生活垃圾填埋场处置。</w:t>
                  </w:r>
                </w:p>
              </w:tc>
              <w:tc>
                <w:tcPr>
                  <w:tcW w:w="950" w:type="pct"/>
                  <w:tcBorders>
                    <w:top w:val="single" w:color="auto" w:sz="4" w:space="0"/>
                    <w:left w:val="single" w:color="auto" w:sz="4" w:space="0"/>
                    <w:bottom w:val="single" w:color="auto" w:sz="4" w:space="0"/>
                  </w:tcBorders>
                  <w:vAlign w:val="center"/>
                </w:tcPr>
                <w:p w14:paraId="6E94E4E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color w:val="auto"/>
                      <w:sz w:val="21"/>
                      <w:szCs w:val="21"/>
                      <w:highlight w:val="yellow"/>
                    </w:rPr>
                  </w:pPr>
                  <w:r>
                    <w:rPr>
                      <w:rFonts w:hint="eastAsia"/>
                      <w:color w:val="auto"/>
                      <w:sz w:val="21"/>
                      <w:szCs w:val="21"/>
                      <w:highlight w:val="none"/>
                      <w:lang w:val="en-US" w:eastAsia="zh-CN"/>
                    </w:rPr>
                    <w:t>/</w:t>
                  </w:r>
                </w:p>
              </w:tc>
            </w:tr>
            <w:tr w14:paraId="16D9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51" w:type="pct"/>
                  <w:vMerge w:val="continue"/>
                  <w:tcBorders>
                    <w:top w:val="single" w:color="auto" w:sz="4" w:space="0"/>
                    <w:right w:val="single" w:color="auto" w:sz="4" w:space="0"/>
                  </w:tcBorders>
                  <w:vAlign w:val="center"/>
                </w:tcPr>
                <w:p w14:paraId="3A86FE52">
                  <w:pPr>
                    <w:pStyle w:val="39"/>
                    <w:spacing w:line="360" w:lineRule="auto"/>
                    <w:rPr>
                      <w:rFonts w:ascii="宋体" w:hAnsi="宋体"/>
                      <w:color w:val="auto"/>
                      <w:kern w:val="0"/>
                      <w:sz w:val="21"/>
                      <w:szCs w:val="21"/>
                    </w:rPr>
                  </w:pPr>
                </w:p>
              </w:tc>
              <w:tc>
                <w:tcPr>
                  <w:tcW w:w="736" w:type="pct"/>
                  <w:tcBorders>
                    <w:top w:val="single" w:color="auto" w:sz="4" w:space="0"/>
                    <w:left w:val="single" w:color="auto" w:sz="4" w:space="0"/>
                    <w:right w:val="single" w:color="auto" w:sz="4" w:space="0"/>
                  </w:tcBorders>
                  <w:vAlign w:val="center"/>
                </w:tcPr>
                <w:p w14:paraId="7AE6B592">
                  <w:pPr>
                    <w:pStyle w:val="39"/>
                    <w:spacing w:line="360" w:lineRule="auto"/>
                    <w:rPr>
                      <w:color w:val="auto"/>
                      <w:sz w:val="21"/>
                      <w:szCs w:val="21"/>
                      <w:highlight w:val="none"/>
                    </w:rPr>
                  </w:pPr>
                  <w:r>
                    <w:rPr>
                      <w:color w:val="auto"/>
                      <w:sz w:val="21"/>
                      <w:szCs w:val="21"/>
                      <w:highlight w:val="none"/>
                    </w:rPr>
                    <w:t>噪声</w:t>
                  </w:r>
                </w:p>
              </w:tc>
              <w:tc>
                <w:tcPr>
                  <w:tcW w:w="2761" w:type="pct"/>
                  <w:tcBorders>
                    <w:top w:val="single" w:color="auto" w:sz="4" w:space="0"/>
                    <w:left w:val="single" w:color="auto" w:sz="4" w:space="0"/>
                    <w:right w:val="nil"/>
                  </w:tcBorders>
                  <w:vAlign w:val="center"/>
                </w:tcPr>
                <w:p w14:paraId="39C85233">
                  <w:pPr>
                    <w:pStyle w:val="39"/>
                    <w:spacing w:line="360" w:lineRule="auto"/>
                    <w:jc w:val="both"/>
                    <w:rPr>
                      <w:color w:val="auto"/>
                      <w:sz w:val="21"/>
                      <w:szCs w:val="21"/>
                      <w:highlight w:val="none"/>
                    </w:rPr>
                  </w:pPr>
                  <w:r>
                    <w:rPr>
                      <w:rFonts w:hint="eastAsia"/>
                      <w:color w:val="auto"/>
                      <w:sz w:val="21"/>
                      <w:szCs w:val="21"/>
                      <w:highlight w:val="none"/>
                    </w:rPr>
                    <w:t>项目设备采取选用低噪声设备、墙体隔声、基础减振等措施进行降噪。</w:t>
                  </w:r>
                </w:p>
              </w:tc>
              <w:tc>
                <w:tcPr>
                  <w:tcW w:w="950" w:type="pct"/>
                  <w:tcBorders>
                    <w:top w:val="single" w:color="auto" w:sz="4" w:space="0"/>
                    <w:left w:val="single" w:color="auto" w:sz="4" w:space="0"/>
                  </w:tcBorders>
                  <w:vAlign w:val="center"/>
                </w:tcPr>
                <w:p w14:paraId="477AC034">
                  <w:pPr>
                    <w:spacing w:line="360" w:lineRule="auto"/>
                    <w:ind w:left="0" w:leftChars="0" w:firstLine="0" w:firstLineChars="0"/>
                    <w:jc w:val="center"/>
                    <w:rPr>
                      <w:rFonts w:hint="eastAsia" w:eastAsia="宋体"/>
                      <w:color w:val="auto"/>
                      <w:sz w:val="21"/>
                      <w:szCs w:val="21"/>
                      <w:highlight w:val="yellow"/>
                      <w:lang w:eastAsia="zh-CN"/>
                    </w:rPr>
                  </w:pPr>
                  <w:r>
                    <w:rPr>
                      <w:rFonts w:hint="eastAsia"/>
                      <w:color w:val="auto"/>
                      <w:sz w:val="21"/>
                      <w:szCs w:val="21"/>
                      <w:highlight w:val="none"/>
                      <w:lang w:val="en-US" w:eastAsia="zh-CN"/>
                    </w:rPr>
                    <w:t>/</w:t>
                  </w:r>
                </w:p>
              </w:tc>
            </w:tr>
          </w:tbl>
          <w:p w14:paraId="3C24B535">
            <w:pPr>
              <w:pStyle w:val="57"/>
              <w:rPr>
                <w:color w:val="auto"/>
              </w:rPr>
            </w:pPr>
          </w:p>
          <w:p w14:paraId="12759332">
            <w:pPr>
              <w:pStyle w:val="8"/>
              <w:spacing w:after="120"/>
              <w:rPr>
                <w:color w:val="auto"/>
              </w:rPr>
            </w:pPr>
            <w:r>
              <w:rPr>
                <w:rFonts w:hint="eastAsia"/>
                <w:color w:val="auto"/>
              </w:rPr>
              <w:t>四、</w:t>
            </w:r>
            <w:r>
              <w:rPr>
                <w:color w:val="auto"/>
              </w:rPr>
              <w:t>主要产品及产能</w:t>
            </w:r>
          </w:p>
          <w:p w14:paraId="706A3682">
            <w:pPr>
              <w:ind w:firstLine="480"/>
              <w:rPr>
                <w:color w:val="auto"/>
              </w:rPr>
            </w:pPr>
            <w:r>
              <w:rPr>
                <w:rFonts w:hint="eastAsia"/>
                <w:color w:val="auto"/>
              </w:rPr>
              <w:t>本项目主要产品方案</w:t>
            </w:r>
            <w:r>
              <w:rPr>
                <w:rFonts w:hint="eastAsia"/>
                <w:color w:val="auto"/>
                <w:lang w:val="en-US" w:eastAsia="zh-CN"/>
              </w:rPr>
              <w:t>及产能</w:t>
            </w:r>
            <w:r>
              <w:rPr>
                <w:rFonts w:hint="eastAsia"/>
                <w:color w:val="auto"/>
              </w:rPr>
              <w:t>见下表。</w:t>
            </w:r>
          </w:p>
          <w:p w14:paraId="2C663FE8">
            <w:pPr>
              <w:pStyle w:val="42"/>
              <w:numPr>
                <w:ilvl w:val="3"/>
                <w:numId w:val="0"/>
              </w:numPr>
              <w:ind w:left="0" w:leftChars="0" w:firstLine="0" w:firstLineChars="0"/>
              <w:rPr>
                <w:rFonts w:hint="eastAsia"/>
                <w:color w:val="auto"/>
                <w:sz w:val="24"/>
                <w:szCs w:val="24"/>
              </w:rPr>
            </w:pPr>
            <w:r>
              <w:rPr>
                <w:rFonts w:hint="eastAsia" w:ascii="Times New Roman" w:hAnsi="Times New Roman" w:eastAsia="黑体" w:cs="Times New Roman"/>
                <w:color w:val="auto"/>
                <w:kern w:val="2"/>
                <w:sz w:val="24"/>
                <w:szCs w:val="24"/>
                <w:lang w:val="en-US" w:eastAsia="zh-CN" w:bidi="ar-SA"/>
              </w:rPr>
              <w:t xml:space="preserve">表2-2 </w:t>
            </w:r>
            <w:r>
              <w:rPr>
                <w:rFonts w:hint="eastAsia"/>
                <w:color w:val="auto"/>
                <w:sz w:val="24"/>
                <w:szCs w:val="24"/>
              </w:rPr>
              <w:t>本项目主要产品及产能一览表</w:t>
            </w:r>
          </w:p>
          <w:tbl>
            <w:tblPr>
              <w:tblStyle w:val="24"/>
              <w:tblW w:w="8518" w:type="dxa"/>
              <w:tblInd w:w="0" w:type="dxa"/>
              <w:tblLayout w:type="fixed"/>
              <w:tblCellMar>
                <w:top w:w="0" w:type="dxa"/>
                <w:left w:w="108" w:type="dxa"/>
                <w:bottom w:w="0" w:type="dxa"/>
                <w:right w:w="108" w:type="dxa"/>
              </w:tblCellMar>
            </w:tblPr>
            <w:tblGrid>
              <w:gridCol w:w="1680"/>
              <w:gridCol w:w="1005"/>
              <w:gridCol w:w="1500"/>
              <w:gridCol w:w="1005"/>
              <w:gridCol w:w="3328"/>
            </w:tblGrid>
            <w:tr w14:paraId="1B765ECB">
              <w:tblPrEx>
                <w:tblCellMar>
                  <w:top w:w="0" w:type="dxa"/>
                  <w:left w:w="108" w:type="dxa"/>
                  <w:bottom w:w="0" w:type="dxa"/>
                  <w:right w:w="108" w:type="dxa"/>
                </w:tblCellMar>
              </w:tblPrEx>
              <w:trPr>
                <w:trHeight w:val="312" w:hRule="atLeast"/>
              </w:trPr>
              <w:tc>
                <w:tcPr>
                  <w:tcW w:w="16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B6206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品名</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565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牌号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CD5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数量</w:t>
                  </w:r>
                </w:p>
              </w:tc>
              <w:tc>
                <w:tcPr>
                  <w:tcW w:w="10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21726F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单位</w:t>
                  </w:r>
                </w:p>
              </w:tc>
              <w:tc>
                <w:tcPr>
                  <w:tcW w:w="33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EE20AF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备注</w:t>
                  </w:r>
                </w:p>
              </w:tc>
            </w:tr>
            <w:tr w14:paraId="0A74A5F0">
              <w:tblPrEx>
                <w:tblCellMar>
                  <w:top w:w="0" w:type="dxa"/>
                  <w:left w:w="108" w:type="dxa"/>
                  <w:bottom w:w="0" w:type="dxa"/>
                  <w:right w:w="108" w:type="dxa"/>
                </w:tblCellMar>
              </w:tblPrEx>
              <w:trPr>
                <w:trHeight w:val="507" w:hRule="atLeast"/>
              </w:trPr>
              <w:tc>
                <w:tcPr>
                  <w:tcW w:w="168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1B3A6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镁合金锭</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A74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kern w:val="0"/>
                      <w:sz w:val="21"/>
                      <w:szCs w:val="21"/>
                      <w:highlight w:val="yellow"/>
                    </w:rPr>
                  </w:pPr>
                  <w:r>
                    <w:rPr>
                      <w:rFonts w:hint="default" w:ascii="Times New Roman" w:hAnsi="Times New Roman" w:cs="Times New Roman"/>
                      <w:color w:val="auto"/>
                      <w:kern w:val="0"/>
                      <w:sz w:val="21"/>
                      <w:szCs w:val="21"/>
                    </w:rPr>
                    <w:t>AZ91D</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9BB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1</w:t>
                  </w:r>
                  <w:r>
                    <w:rPr>
                      <w:rFonts w:hint="eastAsia" w:cs="Times New Roman"/>
                      <w:color w:val="auto"/>
                      <w:kern w:val="0"/>
                      <w:sz w:val="21"/>
                      <w:szCs w:val="21"/>
                      <w:highlight w:val="none"/>
                      <w:lang w:val="en-US" w:eastAsia="zh-CN"/>
                    </w:rPr>
                    <w:t>20</w:t>
                  </w:r>
                  <w:r>
                    <w:rPr>
                      <w:rFonts w:hint="default" w:ascii="Times New Roman" w:hAnsi="Times New Roman" w:cs="Times New Roman"/>
                      <w:color w:val="auto"/>
                      <w:kern w:val="0"/>
                      <w:sz w:val="21"/>
                      <w:szCs w:val="21"/>
                      <w:highlight w:val="none"/>
                    </w:rPr>
                    <w:t>00</w:t>
                  </w:r>
                </w:p>
              </w:tc>
              <w:tc>
                <w:tcPr>
                  <w:tcW w:w="10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6C254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t/a</w:t>
                  </w:r>
                </w:p>
              </w:tc>
              <w:tc>
                <w:tcPr>
                  <w:tcW w:w="33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E3718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lang w:val="en-US" w:eastAsia="zh-CN"/>
                    </w:rPr>
                    <w:t>/</w:t>
                  </w:r>
                </w:p>
              </w:tc>
            </w:tr>
            <w:tr w14:paraId="2DEC081F">
              <w:tblPrEx>
                <w:tblCellMar>
                  <w:top w:w="0" w:type="dxa"/>
                  <w:left w:w="108" w:type="dxa"/>
                  <w:bottom w:w="0" w:type="dxa"/>
                  <w:right w:w="108" w:type="dxa"/>
                </w:tblCellMar>
              </w:tblPrEx>
              <w:trPr>
                <w:trHeight w:val="607" w:hRule="atLeast"/>
              </w:trPr>
              <w:tc>
                <w:tcPr>
                  <w:tcW w:w="168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C87DCC">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cs="Times New Roman"/>
                      <w:color w:val="auto"/>
                      <w:sz w:val="21"/>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9AE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kern w:val="0"/>
                      <w:sz w:val="21"/>
                      <w:szCs w:val="21"/>
                      <w:highlight w:val="yellow"/>
                    </w:rPr>
                  </w:pPr>
                  <w:r>
                    <w:rPr>
                      <w:rFonts w:hint="default" w:ascii="Times New Roman" w:hAnsi="Times New Roman" w:cs="Times New Roman"/>
                      <w:color w:val="auto"/>
                      <w:kern w:val="0"/>
                      <w:sz w:val="21"/>
                      <w:szCs w:val="21"/>
                    </w:rPr>
                    <w:t>AM60B</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DD9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40</w:t>
                  </w:r>
                  <w:r>
                    <w:rPr>
                      <w:rFonts w:hint="default" w:ascii="Times New Roman" w:hAnsi="Times New Roman" w:cs="Times New Roman"/>
                      <w:color w:val="auto"/>
                      <w:kern w:val="0"/>
                      <w:sz w:val="21"/>
                      <w:szCs w:val="21"/>
                      <w:highlight w:val="none"/>
                    </w:rPr>
                    <w:t>00</w:t>
                  </w:r>
                </w:p>
              </w:tc>
              <w:tc>
                <w:tcPr>
                  <w:tcW w:w="10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835487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t/a</w:t>
                  </w:r>
                </w:p>
              </w:tc>
              <w:tc>
                <w:tcPr>
                  <w:tcW w:w="33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7CC104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lang w:val="en-US" w:eastAsia="zh-CN"/>
                    </w:rPr>
                    <w:t>/</w:t>
                  </w:r>
                </w:p>
              </w:tc>
            </w:tr>
            <w:tr w14:paraId="339BB0D7">
              <w:tblPrEx>
                <w:tblCellMar>
                  <w:top w:w="0" w:type="dxa"/>
                  <w:left w:w="108" w:type="dxa"/>
                  <w:bottom w:w="0" w:type="dxa"/>
                  <w:right w:w="108" w:type="dxa"/>
                </w:tblCellMar>
              </w:tblPrEx>
              <w:trPr>
                <w:trHeight w:val="632" w:hRule="atLeast"/>
              </w:trPr>
              <w:tc>
                <w:tcPr>
                  <w:tcW w:w="16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21E29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镁合金压铸件</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81D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w:t>
                  </w:r>
                </w:p>
              </w:tc>
              <w:tc>
                <w:tcPr>
                  <w:tcW w:w="1500" w:type="dxa"/>
                  <w:tcBorders>
                    <w:top w:val="single" w:color="000000" w:sz="4" w:space="0"/>
                    <w:left w:val="single" w:color="000000" w:sz="4" w:space="0"/>
                    <w:right w:val="single" w:color="000000" w:sz="4" w:space="0"/>
                  </w:tcBorders>
                  <w:shd w:val="clear" w:color="auto" w:fill="auto"/>
                  <w:noWrap/>
                  <w:vAlign w:val="center"/>
                </w:tcPr>
                <w:p w14:paraId="5A1F98F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20</w:t>
                  </w:r>
                  <w:r>
                    <w:rPr>
                      <w:rFonts w:hint="default" w:ascii="Times New Roman" w:hAnsi="Times New Roman" w:cs="Times New Roman"/>
                      <w:color w:val="auto"/>
                      <w:kern w:val="0"/>
                      <w:sz w:val="21"/>
                      <w:szCs w:val="21"/>
                      <w:highlight w:val="none"/>
                    </w:rPr>
                    <w:t>00</w:t>
                  </w:r>
                </w:p>
              </w:tc>
              <w:tc>
                <w:tcPr>
                  <w:tcW w:w="10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042668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t/a</w:t>
                  </w:r>
                </w:p>
              </w:tc>
              <w:tc>
                <w:tcPr>
                  <w:tcW w:w="3328" w:type="dxa"/>
                  <w:tcBorders>
                    <w:top w:val="single" w:color="000000" w:sz="4" w:space="0"/>
                    <w:left w:val="single" w:color="000000" w:sz="4" w:space="0"/>
                    <w:right w:val="single" w:color="000000" w:sz="8" w:space="0"/>
                  </w:tcBorders>
                  <w:shd w:val="clear" w:color="auto" w:fill="auto"/>
                  <w:noWrap/>
                  <w:vAlign w:val="center"/>
                </w:tcPr>
                <w:p w14:paraId="402108E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cs="Times New Roman" w:eastAsiaTheme="minorEastAsia"/>
                      <w:color w:val="auto"/>
                      <w:kern w:val="0"/>
                      <w:sz w:val="21"/>
                      <w:szCs w:val="21"/>
                      <w:lang w:val="en-US" w:eastAsia="zh-CN"/>
                    </w:rPr>
                  </w:pPr>
                  <w:r>
                    <w:rPr>
                      <w:rFonts w:hint="eastAsia" w:cs="宋体" w:asciiTheme="minorEastAsia" w:hAnsiTheme="minorEastAsia" w:eastAsiaTheme="minorEastAsia"/>
                      <w:color w:val="auto"/>
                      <w:kern w:val="0"/>
                      <w:sz w:val="21"/>
                      <w:szCs w:val="21"/>
                      <w:lang w:val="en-US" w:eastAsia="zh-CN"/>
                    </w:rPr>
                    <w:t>应客户产品质量要求，以外购高品质</w:t>
                  </w:r>
                  <w:r>
                    <w:rPr>
                      <w:rFonts w:hint="eastAsia" w:cs="宋体" w:asciiTheme="minorEastAsia" w:hAnsiTheme="minorEastAsia" w:eastAsiaTheme="minorEastAsia"/>
                      <w:color w:val="auto"/>
                      <w:kern w:val="0"/>
                      <w:sz w:val="21"/>
                      <w:szCs w:val="21"/>
                      <w:highlight w:val="none"/>
                      <w:lang w:val="en-US" w:eastAsia="zh-CN"/>
                    </w:rPr>
                    <w:t>镁合</w:t>
                  </w:r>
                  <w:r>
                    <w:rPr>
                      <w:rFonts w:hint="eastAsia" w:cs="宋体" w:asciiTheme="minorEastAsia" w:hAnsiTheme="minorEastAsia" w:eastAsiaTheme="minorEastAsia"/>
                      <w:color w:val="auto"/>
                      <w:kern w:val="0"/>
                      <w:sz w:val="21"/>
                      <w:szCs w:val="21"/>
                      <w:lang w:val="en-US" w:eastAsia="zh-CN"/>
                    </w:rPr>
                    <w:t>金为原料，生产</w:t>
                  </w:r>
                  <w:r>
                    <w:rPr>
                      <w:rFonts w:hint="eastAsia" w:cs="宋体" w:asciiTheme="minorEastAsia" w:hAnsiTheme="minorEastAsia" w:eastAsiaTheme="minorEastAsia"/>
                      <w:color w:val="auto"/>
                      <w:kern w:val="0"/>
                      <w:sz w:val="21"/>
                      <w:szCs w:val="21"/>
                    </w:rPr>
                    <w:t>镁合金方向盘骨架、仪表盘骨架、白车身、动力电池包壳体等</w:t>
                  </w:r>
                  <w:r>
                    <w:rPr>
                      <w:rFonts w:hint="eastAsia" w:cs="宋体" w:asciiTheme="minorEastAsia" w:hAnsiTheme="minorEastAsia" w:eastAsiaTheme="minorEastAsia"/>
                      <w:color w:val="auto"/>
                      <w:kern w:val="0"/>
                      <w:sz w:val="21"/>
                      <w:szCs w:val="21"/>
                      <w:lang w:val="en-US" w:eastAsia="zh-CN"/>
                    </w:rPr>
                    <w:t>汽车零部件</w:t>
                  </w:r>
                </w:p>
              </w:tc>
            </w:tr>
            <w:tr w14:paraId="21062A23">
              <w:tblPrEx>
                <w:tblCellMar>
                  <w:top w:w="0" w:type="dxa"/>
                  <w:left w:w="108" w:type="dxa"/>
                  <w:bottom w:w="0" w:type="dxa"/>
                  <w:right w:w="108" w:type="dxa"/>
                </w:tblCellMar>
              </w:tblPrEx>
              <w:trPr>
                <w:trHeight w:val="312" w:hRule="atLeast"/>
              </w:trPr>
              <w:tc>
                <w:tcPr>
                  <w:tcW w:w="16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0663C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镁合金颗粒</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FD0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F76D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2000</w:t>
                  </w:r>
                </w:p>
              </w:tc>
              <w:tc>
                <w:tcPr>
                  <w:tcW w:w="100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60481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t/a</w:t>
                  </w:r>
                </w:p>
              </w:tc>
              <w:tc>
                <w:tcPr>
                  <w:tcW w:w="3328"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570A9A3">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cs="Times New Roman"/>
                      <w:color w:val="auto"/>
                      <w:kern w:val="0"/>
                      <w:sz w:val="21"/>
                      <w:szCs w:val="21"/>
                    </w:rPr>
                  </w:pPr>
                  <w:r>
                    <w:rPr>
                      <w:rFonts w:hint="eastAsia" w:cs="宋体" w:asciiTheme="minorEastAsia" w:hAnsiTheme="minorEastAsia" w:eastAsiaTheme="minorEastAsia"/>
                      <w:color w:val="auto"/>
                      <w:kern w:val="0"/>
                      <w:sz w:val="21"/>
                      <w:szCs w:val="21"/>
                      <w:lang w:val="en-US" w:eastAsia="zh-CN"/>
                    </w:rPr>
                    <w:t>应客户产品质量要求，以外购高品质镁合金为原料，</w:t>
                  </w:r>
                  <w:r>
                    <w:rPr>
                      <w:rFonts w:hint="eastAsia"/>
                      <w:color w:val="auto"/>
                      <w:spacing w:val="-2"/>
                      <w:sz w:val="21"/>
                      <w:szCs w:val="21"/>
                      <w:lang w:val="en-US" w:eastAsia="zh-CN"/>
                    </w:rPr>
                    <w:t>直径</w:t>
                  </w:r>
                  <w:r>
                    <w:rPr>
                      <w:rFonts w:hint="default" w:ascii="Times New Roman" w:hAnsi="Times New Roman" w:cs="Times New Roman"/>
                      <w:color w:val="auto"/>
                      <w:spacing w:val="-2"/>
                      <w:sz w:val="21"/>
                      <w:szCs w:val="21"/>
                      <w:lang w:val="en-US" w:eastAsia="zh-CN"/>
                    </w:rPr>
                    <w:t>约1.5mm长度约4mm的长条状颗粒</w:t>
                  </w:r>
                </w:p>
              </w:tc>
            </w:tr>
          </w:tbl>
          <w:p w14:paraId="63A5B97F">
            <w:pPr>
              <w:keepNext w:val="0"/>
              <w:keepLines w:val="0"/>
              <w:widowControl/>
              <w:suppressLineNumbers w:val="0"/>
              <w:jc w:val="left"/>
              <w:rPr>
                <w:rFonts w:hint="default" w:ascii="Times New Roman" w:hAnsi="Times New Roman" w:cs="Times New Roman"/>
                <w:color w:val="auto"/>
              </w:rPr>
            </w:pPr>
            <w:r>
              <w:rPr>
                <w:rFonts w:hint="eastAsia" w:ascii="宋体" w:hAnsi="宋体" w:eastAsia="宋体" w:cs="宋体"/>
                <w:color w:val="auto"/>
                <w:kern w:val="0"/>
                <w:sz w:val="24"/>
                <w:szCs w:val="24"/>
                <w:lang w:val="en-US" w:eastAsia="zh-CN" w:bidi="ar"/>
              </w:rPr>
              <w:t>项目产品镁合金锭满足《铸造镁合金锭》（</w:t>
            </w:r>
            <w:r>
              <w:rPr>
                <w:rFonts w:hint="default" w:ascii="Times New Roman" w:hAnsi="Times New Roman" w:eastAsia="宋体" w:cs="Times New Roman"/>
                <w:color w:val="auto"/>
                <w:kern w:val="0"/>
                <w:sz w:val="24"/>
                <w:szCs w:val="24"/>
                <w:lang w:val="en-US" w:eastAsia="zh-CN" w:bidi="ar"/>
              </w:rPr>
              <w:t>GB/T19078-2016</w:t>
            </w:r>
            <w:r>
              <w:rPr>
                <w:rFonts w:hint="eastAsia" w:ascii="宋体" w:hAnsi="宋体" w:eastAsia="宋体" w:cs="宋体"/>
                <w:color w:val="auto"/>
                <w:kern w:val="0"/>
                <w:sz w:val="24"/>
                <w:szCs w:val="24"/>
                <w:lang w:val="en-US" w:eastAsia="zh-CN" w:bidi="ar"/>
              </w:rPr>
              <w:t>）标准要求，不同规格镁合金</w:t>
            </w:r>
            <w:r>
              <w:rPr>
                <w:rFonts w:hint="default" w:ascii="Times New Roman" w:hAnsi="Times New Roman" w:eastAsia="宋体" w:cs="Times New Roman"/>
                <w:color w:val="auto"/>
                <w:kern w:val="0"/>
                <w:sz w:val="24"/>
                <w:szCs w:val="24"/>
                <w:lang w:val="en-US" w:eastAsia="zh-CN" w:bidi="ar"/>
              </w:rPr>
              <w:t>成分见表2-3。</w:t>
            </w:r>
          </w:p>
          <w:p w14:paraId="193568B9">
            <w:pPr>
              <w:pStyle w:val="42"/>
              <w:numPr>
                <w:ilvl w:val="3"/>
                <w:numId w:val="0"/>
              </w:numPr>
              <w:ind w:left="0" w:leftChars="0" w:firstLine="0" w:firstLineChars="0"/>
              <w:rPr>
                <w:rFonts w:hint="eastAsia" w:ascii="Times New Roman" w:hAnsi="Times New Roman" w:eastAsia="黑体" w:cs="Times New Roman"/>
                <w:color w:val="auto"/>
                <w:kern w:val="2"/>
                <w:sz w:val="24"/>
                <w:szCs w:val="24"/>
                <w:lang w:val="en-US" w:eastAsia="zh-CN" w:bidi="ar-SA"/>
              </w:rPr>
            </w:pPr>
            <w:r>
              <w:rPr>
                <w:rFonts w:hint="eastAsia" w:ascii="Times New Roman" w:hAnsi="Times New Roman" w:eastAsia="黑体" w:cs="Times New Roman"/>
                <w:color w:val="auto"/>
                <w:kern w:val="2"/>
                <w:sz w:val="24"/>
                <w:szCs w:val="24"/>
                <w:lang w:val="en-US" w:eastAsia="zh-CN" w:bidi="ar-SA"/>
              </w:rPr>
              <w:t>表</w:t>
            </w:r>
            <w:r>
              <w:rPr>
                <w:rFonts w:hint="eastAsia" w:ascii="Times New Roman" w:hAnsi="Times New Roman" w:cs="Times New Roman"/>
                <w:color w:val="auto"/>
                <w:kern w:val="2"/>
                <w:sz w:val="24"/>
                <w:szCs w:val="24"/>
                <w:lang w:val="en-US" w:eastAsia="zh-CN" w:bidi="ar-SA"/>
              </w:rPr>
              <w:t>2-3</w:t>
            </w:r>
            <w:r>
              <w:rPr>
                <w:rFonts w:hint="eastAsia" w:ascii="Times New Roman" w:hAnsi="Times New Roman" w:eastAsia="黑体" w:cs="Times New Roman"/>
                <w:color w:val="auto"/>
                <w:kern w:val="2"/>
                <w:sz w:val="24"/>
                <w:szCs w:val="24"/>
                <w:lang w:val="en-US" w:eastAsia="zh-CN" w:bidi="ar-SA"/>
              </w:rPr>
              <w:t xml:space="preserve"> 镁合金成分一览表</w:t>
            </w:r>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572"/>
              <w:gridCol w:w="818"/>
              <w:gridCol w:w="940"/>
              <w:gridCol w:w="1010"/>
              <w:gridCol w:w="842"/>
              <w:gridCol w:w="842"/>
              <w:gridCol w:w="842"/>
              <w:gridCol w:w="843"/>
              <w:gridCol w:w="843"/>
            </w:tblGrid>
            <w:tr w14:paraId="147B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Align w:val="center"/>
                </w:tcPr>
                <w:p w14:paraId="508153EC">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型号</w:t>
                  </w:r>
                </w:p>
              </w:tc>
              <w:tc>
                <w:tcPr>
                  <w:tcW w:w="336" w:type="pct"/>
                  <w:vAlign w:val="center"/>
                </w:tcPr>
                <w:p w14:paraId="13412482">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eastAsia" w:cs="Times New Roman"/>
                      <w:snapToGrid w:val="0"/>
                      <w:color w:val="auto"/>
                      <w:kern w:val="0"/>
                      <w:sz w:val="21"/>
                      <w:szCs w:val="21"/>
                      <w:lang w:val="en-US" w:eastAsia="zh-CN" w:bidi="ar"/>
                    </w:rPr>
                    <w:t>Mg</w:t>
                  </w:r>
                </w:p>
              </w:tc>
              <w:tc>
                <w:tcPr>
                  <w:tcW w:w="480" w:type="pct"/>
                  <w:vAlign w:val="center"/>
                </w:tcPr>
                <w:p w14:paraId="14F6AA79">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Al</w:t>
                  </w:r>
                </w:p>
              </w:tc>
              <w:tc>
                <w:tcPr>
                  <w:tcW w:w="552" w:type="pct"/>
                  <w:vAlign w:val="center"/>
                </w:tcPr>
                <w:p w14:paraId="6E62D3FC">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Zn</w:t>
                  </w:r>
                </w:p>
              </w:tc>
              <w:tc>
                <w:tcPr>
                  <w:tcW w:w="593" w:type="pct"/>
                  <w:vAlign w:val="center"/>
                </w:tcPr>
                <w:p w14:paraId="5F9524BC">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Mn</w:t>
                  </w:r>
                </w:p>
              </w:tc>
              <w:tc>
                <w:tcPr>
                  <w:tcW w:w="494" w:type="pct"/>
                  <w:vAlign w:val="center"/>
                </w:tcPr>
                <w:p w14:paraId="49D5CB97">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Si</w:t>
                  </w:r>
                </w:p>
              </w:tc>
              <w:tc>
                <w:tcPr>
                  <w:tcW w:w="494" w:type="pct"/>
                  <w:vAlign w:val="center"/>
                </w:tcPr>
                <w:p w14:paraId="05427208">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Cu</w:t>
                  </w:r>
                </w:p>
              </w:tc>
              <w:tc>
                <w:tcPr>
                  <w:tcW w:w="494" w:type="pct"/>
                  <w:vAlign w:val="center"/>
                </w:tcPr>
                <w:p w14:paraId="58FD4622">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Ni</w:t>
                  </w:r>
                </w:p>
              </w:tc>
              <w:tc>
                <w:tcPr>
                  <w:tcW w:w="495" w:type="pct"/>
                  <w:vAlign w:val="center"/>
                </w:tcPr>
                <w:p w14:paraId="69CA9B17">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Fe</w:t>
                  </w:r>
                </w:p>
              </w:tc>
              <w:tc>
                <w:tcPr>
                  <w:tcW w:w="495" w:type="pct"/>
                  <w:vAlign w:val="center"/>
                </w:tcPr>
                <w:p w14:paraId="50A63487">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其他</w:t>
                  </w:r>
                </w:p>
              </w:tc>
            </w:tr>
            <w:tr w14:paraId="5337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Align w:val="center"/>
                </w:tcPr>
                <w:p w14:paraId="417E24AA">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AZ91D</w:t>
                  </w:r>
                </w:p>
              </w:tc>
              <w:tc>
                <w:tcPr>
                  <w:tcW w:w="336" w:type="pct"/>
                  <w:vAlign w:val="center"/>
                </w:tcPr>
                <w:p w14:paraId="4BCB2EDF">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eastAsia" w:cs="Times New Roman"/>
                      <w:snapToGrid w:val="0"/>
                      <w:color w:val="auto"/>
                      <w:kern w:val="0"/>
                      <w:sz w:val="21"/>
                      <w:szCs w:val="21"/>
                      <w:lang w:val="en-US" w:eastAsia="zh-CN" w:bidi="ar"/>
                    </w:rPr>
                    <w:t>89</w:t>
                  </w:r>
                </w:p>
              </w:tc>
              <w:tc>
                <w:tcPr>
                  <w:tcW w:w="480" w:type="pct"/>
                  <w:vAlign w:val="center"/>
                </w:tcPr>
                <w:p w14:paraId="1655EEA8">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8.5-9.5</w:t>
                  </w:r>
                </w:p>
              </w:tc>
              <w:tc>
                <w:tcPr>
                  <w:tcW w:w="552" w:type="pct"/>
                  <w:vAlign w:val="center"/>
                </w:tcPr>
                <w:p w14:paraId="333929F2">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0.45-0.9</w:t>
                  </w:r>
                </w:p>
              </w:tc>
              <w:tc>
                <w:tcPr>
                  <w:tcW w:w="593" w:type="pct"/>
                  <w:vAlign w:val="center"/>
                </w:tcPr>
                <w:p w14:paraId="1681E306">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0.17-0.4</w:t>
                  </w:r>
                </w:p>
              </w:tc>
              <w:tc>
                <w:tcPr>
                  <w:tcW w:w="494" w:type="pct"/>
                  <w:vAlign w:val="center"/>
                </w:tcPr>
                <w:p w14:paraId="7AD54AB6">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≤0.08</w:t>
                  </w:r>
                </w:p>
              </w:tc>
              <w:tc>
                <w:tcPr>
                  <w:tcW w:w="494" w:type="pct"/>
                  <w:vAlign w:val="center"/>
                </w:tcPr>
                <w:p w14:paraId="2C1F65F9">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≤0.02</w:t>
                  </w:r>
                </w:p>
              </w:tc>
              <w:tc>
                <w:tcPr>
                  <w:tcW w:w="494" w:type="pct"/>
                  <w:vAlign w:val="center"/>
                </w:tcPr>
                <w:p w14:paraId="71B05058">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≤0.001</w:t>
                  </w:r>
                </w:p>
              </w:tc>
              <w:tc>
                <w:tcPr>
                  <w:tcW w:w="495" w:type="pct"/>
                  <w:vAlign w:val="center"/>
                </w:tcPr>
                <w:p w14:paraId="41B054BF">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≤0.004</w:t>
                  </w:r>
                </w:p>
              </w:tc>
              <w:tc>
                <w:tcPr>
                  <w:tcW w:w="495" w:type="pct"/>
                  <w:vAlign w:val="center"/>
                </w:tcPr>
                <w:p w14:paraId="69694F17">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≤0.01</w:t>
                  </w:r>
                </w:p>
              </w:tc>
            </w:tr>
            <w:tr w14:paraId="69CE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Align w:val="center"/>
                </w:tcPr>
                <w:p w14:paraId="2A83394A">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AM60B</w:t>
                  </w:r>
                </w:p>
              </w:tc>
              <w:tc>
                <w:tcPr>
                  <w:tcW w:w="336" w:type="pct"/>
                  <w:vAlign w:val="center"/>
                </w:tcPr>
                <w:p w14:paraId="1B61192B">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eastAsia" w:cs="Times New Roman"/>
                      <w:snapToGrid w:val="0"/>
                      <w:color w:val="auto"/>
                      <w:kern w:val="0"/>
                      <w:sz w:val="21"/>
                      <w:szCs w:val="21"/>
                      <w:lang w:val="en-US" w:eastAsia="zh-CN" w:bidi="ar"/>
                    </w:rPr>
                    <w:t>93</w:t>
                  </w:r>
                </w:p>
              </w:tc>
              <w:tc>
                <w:tcPr>
                  <w:tcW w:w="480" w:type="pct"/>
                  <w:vAlign w:val="center"/>
                </w:tcPr>
                <w:p w14:paraId="61DBDFB0">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5.6-6.4</w:t>
                  </w:r>
                </w:p>
              </w:tc>
              <w:tc>
                <w:tcPr>
                  <w:tcW w:w="552" w:type="pct"/>
                  <w:vAlign w:val="center"/>
                </w:tcPr>
                <w:p w14:paraId="7092D0B0">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≤0.30</w:t>
                  </w:r>
                </w:p>
              </w:tc>
              <w:tc>
                <w:tcPr>
                  <w:tcW w:w="593" w:type="pct"/>
                  <w:vAlign w:val="center"/>
                </w:tcPr>
                <w:p w14:paraId="5250FA9E">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0.26-0.5</w:t>
                  </w:r>
                </w:p>
              </w:tc>
              <w:tc>
                <w:tcPr>
                  <w:tcW w:w="494" w:type="pct"/>
                  <w:vAlign w:val="center"/>
                </w:tcPr>
                <w:p w14:paraId="5BA613A5">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≤0.08</w:t>
                  </w:r>
                </w:p>
              </w:tc>
              <w:tc>
                <w:tcPr>
                  <w:tcW w:w="494" w:type="pct"/>
                  <w:vAlign w:val="center"/>
                </w:tcPr>
                <w:p w14:paraId="0FF668B8">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≤0.008</w:t>
                  </w:r>
                </w:p>
              </w:tc>
              <w:tc>
                <w:tcPr>
                  <w:tcW w:w="494" w:type="pct"/>
                  <w:vAlign w:val="center"/>
                </w:tcPr>
                <w:p w14:paraId="5B1ADBBE">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≤0.001</w:t>
                  </w:r>
                </w:p>
              </w:tc>
              <w:tc>
                <w:tcPr>
                  <w:tcW w:w="495" w:type="pct"/>
                  <w:vAlign w:val="center"/>
                </w:tcPr>
                <w:p w14:paraId="1060CFED">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≤0.004</w:t>
                  </w:r>
                </w:p>
              </w:tc>
              <w:tc>
                <w:tcPr>
                  <w:tcW w:w="495" w:type="pct"/>
                  <w:vAlign w:val="center"/>
                </w:tcPr>
                <w:p w14:paraId="2686D207">
                  <w:pPr>
                    <w:keepNext w:val="0"/>
                    <w:keepLines w:val="0"/>
                    <w:widowControl/>
                    <w:suppressLineNumbers w:val="0"/>
                    <w:spacing w:line="360" w:lineRule="auto"/>
                    <w:ind w:left="0" w:leftChars="0" w:firstLine="0" w:firstLineChars="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≤0.01</w:t>
                  </w:r>
                </w:p>
              </w:tc>
            </w:tr>
          </w:tbl>
          <w:p w14:paraId="331CC451">
            <w:pPr>
              <w:pStyle w:val="8"/>
              <w:spacing w:after="120"/>
              <w:rPr>
                <w:rFonts w:hint="default" w:eastAsia="宋体"/>
                <w:color w:val="auto"/>
                <w:lang w:val="en-US" w:eastAsia="zh-CN"/>
              </w:rPr>
            </w:pPr>
            <w:r>
              <w:rPr>
                <w:rFonts w:hint="eastAsia"/>
                <w:color w:val="auto"/>
              </w:rPr>
              <w:t>五、</w:t>
            </w:r>
            <w:r>
              <w:rPr>
                <w:rFonts w:hint="eastAsia"/>
                <w:color w:val="auto"/>
                <w:lang w:val="en-US" w:eastAsia="zh-CN"/>
              </w:rPr>
              <w:t>主要设备设施</w:t>
            </w:r>
          </w:p>
          <w:p w14:paraId="70194E4F">
            <w:pPr>
              <w:ind w:firstLine="480"/>
              <w:rPr>
                <w:rFonts w:hint="eastAsia"/>
                <w:color w:val="auto"/>
                <w:lang w:eastAsia="zh-CN"/>
              </w:rPr>
            </w:pPr>
            <w:r>
              <w:rPr>
                <w:rFonts w:hint="eastAsia"/>
                <w:color w:val="auto"/>
              </w:rPr>
              <w:t>本项目主要</w:t>
            </w:r>
            <w:r>
              <w:rPr>
                <w:rFonts w:hint="eastAsia"/>
                <w:color w:val="auto"/>
                <w:lang w:val="en-US" w:eastAsia="zh-CN"/>
              </w:rPr>
              <w:t>设备</w:t>
            </w:r>
            <w:r>
              <w:rPr>
                <w:rFonts w:hint="eastAsia"/>
                <w:color w:val="auto"/>
              </w:rPr>
              <w:t>设施具体见下表</w:t>
            </w:r>
            <w:r>
              <w:rPr>
                <w:rFonts w:hint="eastAsia"/>
                <w:color w:val="auto"/>
                <w:lang w:eastAsia="zh-CN"/>
              </w:rPr>
              <w:t>。</w:t>
            </w:r>
          </w:p>
          <w:p w14:paraId="71BC18D8">
            <w:pPr>
              <w:pStyle w:val="42"/>
              <w:numPr>
                <w:ilvl w:val="3"/>
                <w:numId w:val="0"/>
              </w:numPr>
              <w:ind w:left="0" w:leftChars="0" w:firstLine="0" w:firstLineChars="0"/>
              <w:rPr>
                <w:rFonts w:hint="eastAsia"/>
                <w:color w:val="auto"/>
                <w:sz w:val="24"/>
                <w:szCs w:val="24"/>
              </w:rPr>
            </w:pPr>
            <w:r>
              <w:rPr>
                <w:rFonts w:hint="eastAsia" w:ascii="Times New Roman" w:hAnsi="Times New Roman" w:eastAsia="黑体" w:cs="Times New Roman"/>
                <w:color w:val="auto"/>
                <w:kern w:val="2"/>
                <w:sz w:val="24"/>
                <w:szCs w:val="24"/>
                <w:lang w:val="en-US" w:eastAsia="zh-CN" w:bidi="ar-SA"/>
              </w:rPr>
              <w:t>表2-</w:t>
            </w:r>
            <w:r>
              <w:rPr>
                <w:rFonts w:hint="eastAsia" w:cs="Times New Roman"/>
                <w:color w:val="auto"/>
                <w:kern w:val="2"/>
                <w:sz w:val="24"/>
                <w:szCs w:val="24"/>
                <w:lang w:val="en-US" w:eastAsia="zh-CN" w:bidi="ar-SA"/>
              </w:rPr>
              <w:t>4</w:t>
            </w:r>
            <w:r>
              <w:rPr>
                <w:rFonts w:hint="eastAsia" w:ascii="Times New Roman" w:hAnsi="Times New Roman" w:eastAsia="黑体" w:cs="Times New Roman"/>
                <w:color w:val="auto"/>
                <w:kern w:val="2"/>
                <w:sz w:val="24"/>
                <w:szCs w:val="24"/>
                <w:lang w:val="en-US" w:eastAsia="zh-CN" w:bidi="ar-SA"/>
              </w:rPr>
              <w:t xml:space="preserve"> </w:t>
            </w:r>
            <w:r>
              <w:rPr>
                <w:rFonts w:hint="eastAsia" w:cs="Times New Roman"/>
                <w:color w:val="auto"/>
                <w:kern w:val="2"/>
                <w:sz w:val="24"/>
                <w:szCs w:val="24"/>
                <w:lang w:val="en-US" w:eastAsia="zh-CN" w:bidi="ar-SA"/>
              </w:rPr>
              <w:t xml:space="preserve"> </w:t>
            </w:r>
            <w:r>
              <w:rPr>
                <w:rFonts w:hint="eastAsia"/>
                <w:color w:val="auto"/>
                <w:sz w:val="24"/>
                <w:szCs w:val="24"/>
              </w:rPr>
              <w:t>本项目</w:t>
            </w:r>
            <w:r>
              <w:rPr>
                <w:rFonts w:hint="eastAsia"/>
                <w:color w:val="auto"/>
                <w:sz w:val="24"/>
                <w:szCs w:val="24"/>
                <w:lang w:val="en-US" w:eastAsia="zh-CN"/>
              </w:rPr>
              <w:t>主要</w:t>
            </w:r>
            <w:r>
              <w:rPr>
                <w:rFonts w:hint="eastAsia"/>
                <w:color w:val="auto"/>
                <w:sz w:val="24"/>
                <w:szCs w:val="24"/>
              </w:rPr>
              <w:t>设备</w:t>
            </w:r>
            <w:r>
              <w:rPr>
                <w:rFonts w:hint="eastAsia"/>
                <w:color w:val="auto"/>
                <w:sz w:val="24"/>
                <w:szCs w:val="24"/>
                <w:lang w:val="en-US" w:eastAsia="zh-CN"/>
              </w:rPr>
              <w:t>设施</w:t>
            </w:r>
            <w:r>
              <w:rPr>
                <w:rFonts w:hint="eastAsia"/>
                <w:color w:val="auto"/>
                <w:sz w:val="24"/>
                <w:szCs w:val="24"/>
              </w:rPr>
              <w:t>表</w:t>
            </w:r>
          </w:p>
          <w:tbl>
            <w:tblPr>
              <w:tblStyle w:val="24"/>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963"/>
              <w:gridCol w:w="2594"/>
              <w:gridCol w:w="2218"/>
              <w:gridCol w:w="801"/>
              <w:gridCol w:w="709"/>
              <w:gridCol w:w="1230"/>
            </w:tblGrid>
            <w:tr w14:paraId="78F48F6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66" w:type="pct"/>
                  <w:tcBorders>
                    <w:bottom w:val="single" w:color="auto" w:sz="4" w:space="0"/>
                    <w:right w:val="single" w:color="auto" w:sz="4" w:space="0"/>
                  </w:tcBorders>
                  <w:shd w:val="clear" w:color="auto" w:fill="auto"/>
                  <w:vAlign w:val="center"/>
                </w:tcPr>
                <w:p w14:paraId="47DC3C2B">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523" w:type="pct"/>
                  <w:tcBorders>
                    <w:left w:val="nil"/>
                    <w:bottom w:val="single" w:color="auto" w:sz="4" w:space="0"/>
                    <w:right w:val="single" w:color="auto" w:sz="4" w:space="0"/>
                  </w:tcBorders>
                  <w:shd w:val="clear" w:color="auto" w:fill="auto"/>
                  <w:vAlign w:val="center"/>
                </w:tcPr>
                <w:p w14:paraId="2CD5CDE7">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设备名称</w:t>
                  </w:r>
                </w:p>
              </w:tc>
              <w:tc>
                <w:tcPr>
                  <w:tcW w:w="1302" w:type="pct"/>
                  <w:tcBorders>
                    <w:left w:val="nil"/>
                    <w:bottom w:val="single" w:color="auto" w:sz="4" w:space="0"/>
                    <w:right w:val="single" w:color="auto" w:sz="4" w:space="0"/>
                  </w:tcBorders>
                  <w:shd w:val="clear" w:color="auto" w:fill="auto"/>
                  <w:vAlign w:val="center"/>
                </w:tcPr>
                <w:p w14:paraId="44C0C54C">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型号规格</w:t>
                  </w:r>
                </w:p>
              </w:tc>
              <w:tc>
                <w:tcPr>
                  <w:tcW w:w="470" w:type="pct"/>
                  <w:tcBorders>
                    <w:left w:val="nil"/>
                    <w:bottom w:val="single" w:color="auto" w:sz="4" w:space="0"/>
                    <w:right w:val="single" w:color="auto" w:sz="4" w:space="0"/>
                  </w:tcBorders>
                  <w:shd w:val="clear" w:color="auto" w:fill="auto"/>
                  <w:vAlign w:val="center"/>
                </w:tcPr>
                <w:p w14:paraId="76424090">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413" w:type="pct"/>
                  <w:tcBorders>
                    <w:left w:val="nil"/>
                    <w:bottom w:val="single" w:color="auto" w:sz="4" w:space="0"/>
                    <w:right w:val="single" w:color="auto" w:sz="4" w:space="0"/>
                  </w:tcBorders>
                  <w:shd w:val="clear" w:color="auto" w:fill="auto"/>
                  <w:vAlign w:val="center"/>
                </w:tcPr>
                <w:p w14:paraId="4B9965C6">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数量</w:t>
                  </w:r>
                </w:p>
              </w:tc>
              <w:tc>
                <w:tcPr>
                  <w:tcW w:w="722" w:type="pct"/>
                  <w:tcBorders>
                    <w:left w:val="nil"/>
                    <w:bottom w:val="single" w:color="auto" w:sz="4" w:space="0"/>
                  </w:tcBorders>
                  <w:shd w:val="clear" w:color="auto" w:fill="auto"/>
                  <w:vAlign w:val="center"/>
                </w:tcPr>
                <w:p w14:paraId="7D58DE31">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备注</w:t>
                  </w:r>
                </w:p>
              </w:tc>
            </w:tr>
            <w:tr w14:paraId="111AAF5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BDBDD9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w:t>
                  </w:r>
                </w:p>
              </w:tc>
              <w:tc>
                <w:tcPr>
                  <w:tcW w:w="4433" w:type="pct"/>
                  <w:gridSpan w:val="5"/>
                  <w:tcBorders>
                    <w:top w:val="single" w:color="auto" w:sz="4" w:space="0"/>
                    <w:left w:val="nil"/>
                    <w:bottom w:val="single" w:color="auto" w:sz="4" w:space="0"/>
                  </w:tcBorders>
                  <w:shd w:val="clear" w:color="auto" w:fill="auto"/>
                  <w:vAlign w:val="center"/>
                </w:tcPr>
                <w:p w14:paraId="6D325AE5">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镁合金锭熔炼</w:t>
                  </w:r>
                  <w:r>
                    <w:rPr>
                      <w:rFonts w:hint="default" w:ascii="Times New Roman" w:hAnsi="Times New Roman" w:eastAsia="宋体" w:cs="Times New Roman"/>
                      <w:b/>
                      <w:bCs/>
                      <w:color w:val="auto"/>
                      <w:kern w:val="0"/>
                      <w:sz w:val="21"/>
                      <w:szCs w:val="21"/>
                    </w:rPr>
                    <w:t>车间</w:t>
                  </w:r>
                </w:p>
              </w:tc>
            </w:tr>
            <w:tr w14:paraId="50F1DCE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5DA952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1523" w:type="pct"/>
                  <w:tcBorders>
                    <w:top w:val="nil"/>
                    <w:left w:val="nil"/>
                    <w:bottom w:val="single" w:color="auto" w:sz="4" w:space="0"/>
                    <w:right w:val="single" w:color="auto" w:sz="4" w:space="0"/>
                  </w:tcBorders>
                  <w:shd w:val="clear" w:color="auto" w:fill="auto"/>
                  <w:vAlign w:val="center"/>
                </w:tcPr>
                <w:p w14:paraId="6754BF8F">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合金熔炼坩埚</w:t>
                  </w:r>
                  <w:r>
                    <w:rPr>
                      <w:rFonts w:hint="eastAsia" w:cs="Times New Roman"/>
                      <w:color w:val="auto"/>
                      <w:kern w:val="0"/>
                      <w:sz w:val="21"/>
                      <w:szCs w:val="21"/>
                      <w:lang w:val="en-US" w:eastAsia="zh-CN"/>
                    </w:rPr>
                    <w:t>燃气圆形</w:t>
                  </w:r>
                  <w:r>
                    <w:rPr>
                      <w:rFonts w:hint="default" w:ascii="Times New Roman" w:hAnsi="Times New Roman" w:eastAsia="宋体" w:cs="Times New Roman"/>
                      <w:color w:val="auto"/>
                      <w:kern w:val="0"/>
                      <w:sz w:val="21"/>
                      <w:szCs w:val="21"/>
                    </w:rPr>
                    <w:t>炉</w:t>
                  </w:r>
                </w:p>
              </w:tc>
              <w:tc>
                <w:tcPr>
                  <w:tcW w:w="1302" w:type="pct"/>
                  <w:tcBorders>
                    <w:top w:val="nil"/>
                    <w:left w:val="nil"/>
                    <w:bottom w:val="single" w:color="auto" w:sz="4" w:space="0"/>
                    <w:right w:val="single" w:color="auto" w:sz="4" w:space="0"/>
                  </w:tcBorders>
                  <w:shd w:val="clear" w:color="auto" w:fill="auto"/>
                  <w:vAlign w:val="center"/>
                </w:tcPr>
                <w:p w14:paraId="3CD82EA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3.3t</w:t>
                  </w:r>
                </w:p>
              </w:tc>
              <w:tc>
                <w:tcPr>
                  <w:tcW w:w="470" w:type="pct"/>
                  <w:tcBorders>
                    <w:top w:val="nil"/>
                    <w:left w:val="nil"/>
                    <w:bottom w:val="single" w:color="auto" w:sz="4" w:space="0"/>
                    <w:right w:val="single" w:color="auto" w:sz="4" w:space="0"/>
                  </w:tcBorders>
                  <w:shd w:val="clear" w:color="auto" w:fill="auto"/>
                  <w:vAlign w:val="center"/>
                </w:tcPr>
                <w:p w14:paraId="4C9D46D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台套</w:t>
                  </w:r>
                </w:p>
              </w:tc>
              <w:tc>
                <w:tcPr>
                  <w:tcW w:w="413" w:type="pct"/>
                  <w:tcBorders>
                    <w:top w:val="nil"/>
                    <w:left w:val="nil"/>
                    <w:bottom w:val="single" w:color="auto" w:sz="4" w:space="0"/>
                    <w:right w:val="single" w:color="auto" w:sz="4" w:space="0"/>
                  </w:tcBorders>
                  <w:shd w:val="clear" w:color="auto" w:fill="auto"/>
                  <w:vAlign w:val="center"/>
                </w:tcPr>
                <w:p w14:paraId="6159494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722" w:type="pct"/>
                  <w:vMerge w:val="restart"/>
                  <w:tcBorders>
                    <w:top w:val="nil"/>
                    <w:left w:val="nil"/>
                  </w:tcBorders>
                  <w:shd w:val="clear" w:color="auto" w:fill="auto"/>
                  <w:vAlign w:val="center"/>
                </w:tcPr>
                <w:p w14:paraId="71EF81E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黑体" w:cs="Times New Roman"/>
                      <w:color w:val="auto"/>
                      <w:kern w:val="2"/>
                      <w:sz w:val="24"/>
                      <w:szCs w:val="24"/>
                      <w:lang w:val="en-US" w:eastAsia="zh-CN" w:bidi="ar-SA"/>
                    </w:rPr>
                  </w:pPr>
                  <w:r>
                    <w:rPr>
                      <w:rFonts w:hint="eastAsia" w:ascii="Times New Roman" w:hAnsi="Times New Roman" w:eastAsia="宋体" w:cs="Times New Roman"/>
                      <w:color w:val="auto"/>
                      <w:kern w:val="0"/>
                      <w:sz w:val="21"/>
                      <w:szCs w:val="21"/>
                      <w:highlight w:val="none"/>
                      <w:lang w:val="en-US" w:eastAsia="zh-CN"/>
                    </w:rPr>
                    <w:t>分为2条生产线，除制氮、天车、叉车、地磅共用外的主要设备每条产线各半，其中1条产线利旧，1条产线设备新购</w:t>
                  </w:r>
                </w:p>
              </w:tc>
            </w:tr>
            <w:tr w14:paraId="6958621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35BC14B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1523" w:type="pct"/>
                  <w:tcBorders>
                    <w:top w:val="nil"/>
                    <w:left w:val="nil"/>
                    <w:bottom w:val="single" w:color="auto" w:sz="4" w:space="0"/>
                    <w:right w:val="single" w:color="auto" w:sz="4" w:space="0"/>
                  </w:tcBorders>
                  <w:shd w:val="clear" w:color="auto" w:fill="auto"/>
                  <w:vAlign w:val="center"/>
                </w:tcPr>
                <w:p w14:paraId="7B5CAD6F">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电热保温炉</w:t>
                  </w:r>
                </w:p>
              </w:tc>
              <w:tc>
                <w:tcPr>
                  <w:tcW w:w="1302" w:type="pct"/>
                  <w:tcBorders>
                    <w:top w:val="nil"/>
                    <w:left w:val="nil"/>
                    <w:bottom w:val="single" w:color="auto" w:sz="4" w:space="0"/>
                    <w:right w:val="single" w:color="auto" w:sz="4" w:space="0"/>
                  </w:tcBorders>
                  <w:shd w:val="clear" w:color="auto" w:fill="auto"/>
                  <w:vAlign w:val="center"/>
                </w:tcPr>
                <w:p w14:paraId="2DDAA02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3t、150kw</w:t>
                  </w:r>
                </w:p>
              </w:tc>
              <w:tc>
                <w:tcPr>
                  <w:tcW w:w="470" w:type="pct"/>
                  <w:tcBorders>
                    <w:top w:val="nil"/>
                    <w:left w:val="nil"/>
                    <w:bottom w:val="single" w:color="auto" w:sz="4" w:space="0"/>
                    <w:right w:val="single" w:color="auto" w:sz="4" w:space="0"/>
                  </w:tcBorders>
                  <w:shd w:val="clear" w:color="auto" w:fill="auto"/>
                  <w:vAlign w:val="center"/>
                </w:tcPr>
                <w:p w14:paraId="223C04E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台套</w:t>
                  </w:r>
                </w:p>
              </w:tc>
              <w:tc>
                <w:tcPr>
                  <w:tcW w:w="413" w:type="pct"/>
                  <w:tcBorders>
                    <w:top w:val="nil"/>
                    <w:left w:val="nil"/>
                    <w:bottom w:val="single" w:color="auto" w:sz="4" w:space="0"/>
                    <w:right w:val="single" w:color="auto" w:sz="4" w:space="0"/>
                  </w:tcBorders>
                  <w:shd w:val="clear" w:color="auto" w:fill="auto"/>
                  <w:vAlign w:val="center"/>
                </w:tcPr>
                <w:p w14:paraId="6FD5030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vMerge w:val="continue"/>
                  <w:tcBorders>
                    <w:left w:val="nil"/>
                  </w:tcBorders>
                  <w:shd w:val="clear" w:color="auto" w:fill="auto"/>
                  <w:vAlign w:val="center"/>
                </w:tcPr>
                <w:p w14:paraId="72FEC1CA">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72908F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3DABA4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1523" w:type="pct"/>
                  <w:tcBorders>
                    <w:top w:val="nil"/>
                    <w:left w:val="nil"/>
                    <w:bottom w:val="single" w:color="auto" w:sz="4" w:space="0"/>
                    <w:right w:val="single" w:color="auto" w:sz="4" w:space="0"/>
                  </w:tcBorders>
                  <w:shd w:val="clear" w:color="auto" w:fill="auto"/>
                  <w:vAlign w:val="center"/>
                </w:tcPr>
                <w:p w14:paraId="3A94A148">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铸锭机</w:t>
                  </w:r>
                </w:p>
              </w:tc>
              <w:tc>
                <w:tcPr>
                  <w:tcW w:w="1302" w:type="pct"/>
                  <w:tcBorders>
                    <w:top w:val="nil"/>
                    <w:left w:val="nil"/>
                    <w:bottom w:val="single" w:color="auto" w:sz="4" w:space="0"/>
                    <w:right w:val="single" w:color="auto" w:sz="4" w:space="0"/>
                  </w:tcBorders>
                  <w:shd w:val="clear" w:color="auto" w:fill="auto"/>
                  <w:vAlign w:val="center"/>
                </w:tcPr>
                <w:p w14:paraId="30F85AE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108模</w:t>
                  </w:r>
                </w:p>
              </w:tc>
              <w:tc>
                <w:tcPr>
                  <w:tcW w:w="470" w:type="pct"/>
                  <w:tcBorders>
                    <w:top w:val="nil"/>
                    <w:left w:val="nil"/>
                    <w:bottom w:val="single" w:color="auto" w:sz="4" w:space="0"/>
                    <w:right w:val="single" w:color="auto" w:sz="4" w:space="0"/>
                  </w:tcBorders>
                  <w:shd w:val="clear" w:color="auto" w:fill="auto"/>
                  <w:vAlign w:val="center"/>
                </w:tcPr>
                <w:p w14:paraId="5399902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2BE36AF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vMerge w:val="continue"/>
                  <w:tcBorders>
                    <w:left w:val="nil"/>
                  </w:tcBorders>
                  <w:shd w:val="clear" w:color="auto" w:fill="auto"/>
                  <w:vAlign w:val="center"/>
                </w:tcPr>
                <w:p w14:paraId="570B1958">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185CE0B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47DC233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1523" w:type="pct"/>
                  <w:tcBorders>
                    <w:top w:val="nil"/>
                    <w:left w:val="nil"/>
                    <w:bottom w:val="single" w:color="auto" w:sz="4" w:space="0"/>
                    <w:right w:val="single" w:color="auto" w:sz="4" w:space="0"/>
                  </w:tcBorders>
                  <w:shd w:val="clear" w:color="auto" w:fill="auto"/>
                  <w:vAlign w:val="center"/>
                </w:tcPr>
                <w:p w14:paraId="0072E65D">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转液泵</w:t>
                  </w:r>
                </w:p>
              </w:tc>
              <w:tc>
                <w:tcPr>
                  <w:tcW w:w="1302" w:type="pct"/>
                  <w:tcBorders>
                    <w:top w:val="nil"/>
                    <w:left w:val="nil"/>
                    <w:bottom w:val="single" w:color="auto" w:sz="4" w:space="0"/>
                    <w:right w:val="single" w:color="auto" w:sz="4" w:space="0"/>
                  </w:tcBorders>
                  <w:shd w:val="clear" w:color="auto" w:fill="auto"/>
                  <w:vAlign w:val="center"/>
                </w:tcPr>
                <w:p w14:paraId="4C0CE6C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vAlign w:val="center"/>
                </w:tcPr>
                <w:p w14:paraId="36872A8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4349C8A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vMerge w:val="continue"/>
                  <w:tcBorders>
                    <w:left w:val="nil"/>
                  </w:tcBorders>
                  <w:shd w:val="clear" w:color="auto" w:fill="auto"/>
                  <w:vAlign w:val="center"/>
                </w:tcPr>
                <w:p w14:paraId="71BD8111">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226071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D4361E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1523" w:type="pct"/>
                  <w:tcBorders>
                    <w:top w:val="nil"/>
                    <w:left w:val="nil"/>
                    <w:bottom w:val="single" w:color="auto" w:sz="4" w:space="0"/>
                    <w:right w:val="single" w:color="auto" w:sz="4" w:space="0"/>
                  </w:tcBorders>
                  <w:shd w:val="clear" w:color="auto" w:fill="auto"/>
                  <w:vAlign w:val="center"/>
                </w:tcPr>
                <w:p w14:paraId="0344A90D">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浇注泵</w:t>
                  </w:r>
                </w:p>
              </w:tc>
              <w:tc>
                <w:tcPr>
                  <w:tcW w:w="1302" w:type="pct"/>
                  <w:tcBorders>
                    <w:top w:val="nil"/>
                    <w:left w:val="nil"/>
                    <w:bottom w:val="single" w:color="auto" w:sz="4" w:space="0"/>
                    <w:right w:val="single" w:color="auto" w:sz="4" w:space="0"/>
                  </w:tcBorders>
                  <w:shd w:val="clear" w:color="auto" w:fill="auto"/>
                  <w:vAlign w:val="center"/>
                </w:tcPr>
                <w:p w14:paraId="31E4F4F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vAlign w:val="center"/>
                </w:tcPr>
                <w:p w14:paraId="50F39AF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18415A3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vMerge w:val="continue"/>
                  <w:tcBorders>
                    <w:left w:val="nil"/>
                  </w:tcBorders>
                  <w:shd w:val="clear" w:color="auto" w:fill="auto"/>
                  <w:vAlign w:val="center"/>
                </w:tcPr>
                <w:p w14:paraId="7A0C4260">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74BE80E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2049DE5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c>
                <w:tcPr>
                  <w:tcW w:w="1523" w:type="pct"/>
                  <w:tcBorders>
                    <w:top w:val="nil"/>
                    <w:left w:val="nil"/>
                    <w:bottom w:val="single" w:color="auto" w:sz="4" w:space="0"/>
                    <w:right w:val="single" w:color="auto" w:sz="4" w:space="0"/>
                  </w:tcBorders>
                  <w:shd w:val="clear" w:color="auto" w:fill="auto"/>
                  <w:vAlign w:val="center"/>
                </w:tcPr>
                <w:p w14:paraId="27CF154F">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搅拌机</w:t>
                  </w:r>
                </w:p>
              </w:tc>
              <w:tc>
                <w:tcPr>
                  <w:tcW w:w="1302" w:type="pct"/>
                  <w:tcBorders>
                    <w:top w:val="nil"/>
                    <w:left w:val="nil"/>
                    <w:bottom w:val="single" w:color="auto" w:sz="4" w:space="0"/>
                    <w:right w:val="single" w:color="auto" w:sz="4" w:space="0"/>
                  </w:tcBorders>
                  <w:shd w:val="clear" w:color="auto" w:fill="auto"/>
                  <w:vAlign w:val="center"/>
                </w:tcPr>
                <w:p w14:paraId="48BE1FA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vAlign w:val="center"/>
                </w:tcPr>
                <w:p w14:paraId="3696BE5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592C6B8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vMerge w:val="continue"/>
                  <w:tcBorders>
                    <w:left w:val="nil"/>
                  </w:tcBorders>
                  <w:shd w:val="clear" w:color="auto" w:fill="auto"/>
                  <w:vAlign w:val="center"/>
                </w:tcPr>
                <w:p w14:paraId="157086F1">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6961BC6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A3E6A3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w:t>
                  </w:r>
                </w:p>
              </w:tc>
              <w:tc>
                <w:tcPr>
                  <w:tcW w:w="1523" w:type="pct"/>
                  <w:tcBorders>
                    <w:top w:val="nil"/>
                    <w:left w:val="nil"/>
                    <w:bottom w:val="single" w:color="auto" w:sz="4" w:space="0"/>
                    <w:right w:val="single" w:color="auto" w:sz="4" w:space="0"/>
                  </w:tcBorders>
                  <w:shd w:val="clear" w:color="auto" w:fill="auto"/>
                  <w:vAlign w:val="center"/>
                </w:tcPr>
                <w:p w14:paraId="188B352A">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提渣桶</w:t>
                  </w:r>
                </w:p>
              </w:tc>
              <w:tc>
                <w:tcPr>
                  <w:tcW w:w="1302" w:type="pct"/>
                  <w:tcBorders>
                    <w:top w:val="nil"/>
                    <w:left w:val="nil"/>
                    <w:bottom w:val="single" w:color="auto" w:sz="4" w:space="0"/>
                    <w:right w:val="single" w:color="auto" w:sz="4" w:space="0"/>
                  </w:tcBorders>
                  <w:shd w:val="clear" w:color="auto" w:fill="auto"/>
                  <w:vAlign w:val="center"/>
                </w:tcPr>
                <w:p w14:paraId="4B948C7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vAlign w:val="center"/>
                </w:tcPr>
                <w:p w14:paraId="2E2AEAC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个</w:t>
                  </w:r>
                </w:p>
              </w:tc>
              <w:tc>
                <w:tcPr>
                  <w:tcW w:w="413" w:type="pct"/>
                  <w:tcBorders>
                    <w:top w:val="nil"/>
                    <w:left w:val="nil"/>
                    <w:bottom w:val="single" w:color="auto" w:sz="4" w:space="0"/>
                    <w:right w:val="single" w:color="auto" w:sz="4" w:space="0"/>
                  </w:tcBorders>
                  <w:shd w:val="clear" w:color="auto" w:fill="auto"/>
                  <w:vAlign w:val="center"/>
                </w:tcPr>
                <w:p w14:paraId="21495A7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vMerge w:val="continue"/>
                  <w:tcBorders>
                    <w:left w:val="nil"/>
                  </w:tcBorders>
                  <w:shd w:val="clear" w:color="auto" w:fill="auto"/>
                  <w:vAlign w:val="center"/>
                </w:tcPr>
                <w:p w14:paraId="58F344D6">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1FC6A3B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11A6BC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1523" w:type="pct"/>
                  <w:tcBorders>
                    <w:top w:val="nil"/>
                    <w:left w:val="nil"/>
                    <w:bottom w:val="single" w:color="auto" w:sz="4" w:space="0"/>
                    <w:right w:val="single" w:color="auto" w:sz="4" w:space="0"/>
                  </w:tcBorders>
                  <w:shd w:val="clear" w:color="auto" w:fill="auto"/>
                  <w:vAlign w:val="center"/>
                </w:tcPr>
                <w:p w14:paraId="7EB54A70">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制氮系统</w:t>
                  </w:r>
                </w:p>
              </w:tc>
              <w:tc>
                <w:tcPr>
                  <w:tcW w:w="1302" w:type="pct"/>
                  <w:tcBorders>
                    <w:top w:val="nil"/>
                    <w:left w:val="nil"/>
                    <w:bottom w:val="single" w:color="auto" w:sz="4" w:space="0"/>
                    <w:right w:val="single" w:color="auto" w:sz="4" w:space="0"/>
                  </w:tcBorders>
                  <w:shd w:val="clear" w:color="auto" w:fill="auto"/>
                  <w:vAlign w:val="center"/>
                </w:tcPr>
                <w:p w14:paraId="7F6A66A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Q:30Nm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/h、P:0.6MPa</w:t>
                  </w:r>
                </w:p>
              </w:tc>
              <w:tc>
                <w:tcPr>
                  <w:tcW w:w="470" w:type="pct"/>
                  <w:tcBorders>
                    <w:top w:val="nil"/>
                    <w:left w:val="nil"/>
                    <w:bottom w:val="single" w:color="auto" w:sz="4" w:space="0"/>
                    <w:right w:val="single" w:color="auto" w:sz="4" w:space="0"/>
                  </w:tcBorders>
                  <w:shd w:val="clear" w:color="auto" w:fill="auto"/>
                  <w:vAlign w:val="center"/>
                </w:tcPr>
                <w:p w14:paraId="3117CAE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台套</w:t>
                  </w:r>
                </w:p>
              </w:tc>
              <w:tc>
                <w:tcPr>
                  <w:tcW w:w="413" w:type="pct"/>
                  <w:tcBorders>
                    <w:top w:val="nil"/>
                    <w:left w:val="nil"/>
                    <w:bottom w:val="single" w:color="auto" w:sz="4" w:space="0"/>
                    <w:right w:val="single" w:color="auto" w:sz="4" w:space="0"/>
                  </w:tcBorders>
                  <w:shd w:val="clear" w:color="auto" w:fill="auto"/>
                  <w:vAlign w:val="center"/>
                </w:tcPr>
                <w:p w14:paraId="31DA0CA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vMerge w:val="continue"/>
                  <w:tcBorders>
                    <w:left w:val="nil"/>
                  </w:tcBorders>
                  <w:shd w:val="clear" w:color="auto" w:fill="auto"/>
                  <w:vAlign w:val="center"/>
                </w:tcPr>
                <w:p w14:paraId="74B1A817">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7A607E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D5CC16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c>
                <w:tcPr>
                  <w:tcW w:w="1523" w:type="pct"/>
                  <w:tcBorders>
                    <w:top w:val="nil"/>
                    <w:left w:val="nil"/>
                    <w:bottom w:val="single" w:color="auto" w:sz="4" w:space="0"/>
                    <w:right w:val="single" w:color="auto" w:sz="4" w:space="0"/>
                  </w:tcBorders>
                  <w:shd w:val="clear" w:color="auto" w:fill="auto"/>
                  <w:vAlign w:val="center"/>
                </w:tcPr>
                <w:p w14:paraId="1E56C3EB">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冶金双梁天车</w:t>
                  </w:r>
                </w:p>
              </w:tc>
              <w:tc>
                <w:tcPr>
                  <w:tcW w:w="1302" w:type="pct"/>
                  <w:tcBorders>
                    <w:top w:val="nil"/>
                    <w:left w:val="nil"/>
                    <w:bottom w:val="single" w:color="auto" w:sz="4" w:space="0"/>
                    <w:right w:val="single" w:color="auto" w:sz="4" w:space="0"/>
                  </w:tcBorders>
                  <w:shd w:val="clear" w:color="auto" w:fill="auto"/>
                  <w:vAlign w:val="center"/>
                </w:tcPr>
                <w:p w14:paraId="5B00223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10t、L22.5</w:t>
                  </w:r>
                </w:p>
              </w:tc>
              <w:tc>
                <w:tcPr>
                  <w:tcW w:w="470" w:type="pct"/>
                  <w:tcBorders>
                    <w:top w:val="nil"/>
                    <w:left w:val="nil"/>
                    <w:bottom w:val="single" w:color="auto" w:sz="4" w:space="0"/>
                    <w:right w:val="single" w:color="auto" w:sz="4" w:space="0"/>
                  </w:tcBorders>
                  <w:shd w:val="clear" w:color="auto" w:fill="auto"/>
                  <w:vAlign w:val="center"/>
                </w:tcPr>
                <w:p w14:paraId="36CF2F8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7DE8A8A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vMerge w:val="continue"/>
                  <w:tcBorders>
                    <w:left w:val="nil"/>
                  </w:tcBorders>
                  <w:shd w:val="clear" w:color="auto" w:fill="auto"/>
                  <w:vAlign w:val="center"/>
                </w:tcPr>
                <w:p w14:paraId="77EE5686">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0E2653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BBE1D6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1.10</w:t>
                  </w:r>
                </w:p>
              </w:tc>
              <w:tc>
                <w:tcPr>
                  <w:tcW w:w="1523" w:type="pct"/>
                  <w:tcBorders>
                    <w:top w:val="nil"/>
                    <w:left w:val="nil"/>
                    <w:bottom w:val="single" w:color="auto" w:sz="4" w:space="0"/>
                    <w:right w:val="single" w:color="auto" w:sz="4" w:space="0"/>
                  </w:tcBorders>
                  <w:shd w:val="clear" w:color="auto" w:fill="auto"/>
                  <w:vAlign w:val="center"/>
                </w:tcPr>
                <w:p w14:paraId="5F850593">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叉车</w:t>
                  </w:r>
                </w:p>
              </w:tc>
              <w:tc>
                <w:tcPr>
                  <w:tcW w:w="1302" w:type="pct"/>
                  <w:tcBorders>
                    <w:top w:val="nil"/>
                    <w:left w:val="nil"/>
                    <w:bottom w:val="single" w:color="auto" w:sz="4" w:space="0"/>
                    <w:right w:val="single" w:color="auto" w:sz="4" w:space="0"/>
                  </w:tcBorders>
                  <w:shd w:val="clear" w:color="auto" w:fill="auto"/>
                  <w:vAlign w:val="center"/>
                </w:tcPr>
                <w:p w14:paraId="6BFB3D1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3t</w:t>
                  </w:r>
                </w:p>
              </w:tc>
              <w:tc>
                <w:tcPr>
                  <w:tcW w:w="470" w:type="pct"/>
                  <w:tcBorders>
                    <w:top w:val="nil"/>
                    <w:left w:val="nil"/>
                    <w:bottom w:val="single" w:color="auto" w:sz="4" w:space="0"/>
                    <w:right w:val="single" w:color="auto" w:sz="4" w:space="0"/>
                  </w:tcBorders>
                  <w:shd w:val="clear" w:color="auto" w:fill="auto"/>
                  <w:vAlign w:val="center"/>
                </w:tcPr>
                <w:p w14:paraId="2B4F4D4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2A0BF59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vMerge w:val="continue"/>
                  <w:tcBorders>
                    <w:left w:val="nil"/>
                  </w:tcBorders>
                  <w:shd w:val="clear" w:color="auto" w:fill="auto"/>
                  <w:vAlign w:val="center"/>
                </w:tcPr>
                <w:p w14:paraId="6574A798">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655153F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816BF3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1.11</w:t>
                  </w:r>
                </w:p>
              </w:tc>
              <w:tc>
                <w:tcPr>
                  <w:tcW w:w="1523" w:type="pct"/>
                  <w:tcBorders>
                    <w:top w:val="nil"/>
                    <w:left w:val="nil"/>
                    <w:bottom w:val="single" w:color="auto" w:sz="4" w:space="0"/>
                    <w:right w:val="single" w:color="auto" w:sz="4" w:space="0"/>
                  </w:tcBorders>
                  <w:shd w:val="clear" w:color="auto" w:fill="auto"/>
                  <w:vAlign w:val="center"/>
                </w:tcPr>
                <w:p w14:paraId="755484B9">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电子地磅</w:t>
                  </w:r>
                </w:p>
              </w:tc>
              <w:tc>
                <w:tcPr>
                  <w:tcW w:w="1302" w:type="pct"/>
                  <w:tcBorders>
                    <w:top w:val="nil"/>
                    <w:left w:val="nil"/>
                    <w:bottom w:val="single" w:color="auto" w:sz="4" w:space="0"/>
                    <w:right w:val="single" w:color="auto" w:sz="4" w:space="0"/>
                  </w:tcBorders>
                  <w:shd w:val="clear" w:color="auto" w:fill="auto"/>
                  <w:vAlign w:val="center"/>
                </w:tcPr>
                <w:p w14:paraId="7D40751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3t</w:t>
                  </w:r>
                </w:p>
              </w:tc>
              <w:tc>
                <w:tcPr>
                  <w:tcW w:w="470" w:type="pct"/>
                  <w:tcBorders>
                    <w:top w:val="nil"/>
                    <w:left w:val="nil"/>
                    <w:bottom w:val="single" w:color="auto" w:sz="4" w:space="0"/>
                    <w:right w:val="single" w:color="auto" w:sz="4" w:space="0"/>
                  </w:tcBorders>
                  <w:shd w:val="clear" w:color="auto" w:fill="auto"/>
                  <w:vAlign w:val="center"/>
                </w:tcPr>
                <w:p w14:paraId="692D8DB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6731794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vMerge w:val="continue"/>
                  <w:tcBorders>
                    <w:left w:val="nil"/>
                  </w:tcBorders>
                  <w:shd w:val="clear" w:color="auto" w:fill="auto"/>
                  <w:vAlign w:val="center"/>
                </w:tcPr>
                <w:p w14:paraId="717B179E">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459207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05F0ED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1.12</w:t>
                  </w:r>
                </w:p>
              </w:tc>
              <w:tc>
                <w:tcPr>
                  <w:tcW w:w="1523" w:type="pct"/>
                  <w:tcBorders>
                    <w:top w:val="nil"/>
                    <w:left w:val="nil"/>
                    <w:bottom w:val="single" w:color="auto" w:sz="4" w:space="0"/>
                    <w:right w:val="single" w:color="auto" w:sz="4" w:space="0"/>
                  </w:tcBorders>
                  <w:shd w:val="clear" w:color="auto" w:fill="auto"/>
                  <w:vAlign w:val="center"/>
                </w:tcPr>
                <w:p w14:paraId="707E5EB4">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烟气脱硫除尘系统</w:t>
                  </w:r>
                </w:p>
              </w:tc>
              <w:tc>
                <w:tcPr>
                  <w:tcW w:w="1302" w:type="pct"/>
                  <w:tcBorders>
                    <w:top w:val="nil"/>
                    <w:left w:val="nil"/>
                    <w:bottom w:val="single" w:color="auto" w:sz="4" w:space="0"/>
                    <w:right w:val="single" w:color="auto" w:sz="4" w:space="0"/>
                  </w:tcBorders>
                  <w:shd w:val="clear" w:color="auto" w:fill="auto"/>
                  <w:vAlign w:val="center"/>
                </w:tcPr>
                <w:p w14:paraId="3778B29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4×10</w:t>
                  </w:r>
                  <w:r>
                    <w:rPr>
                      <w:rFonts w:hint="default" w:ascii="Times New Roman" w:hAnsi="Times New Roman" w:eastAsia="宋体" w:cs="Times New Roman"/>
                      <w:color w:val="auto"/>
                      <w:kern w:val="0"/>
                      <w:sz w:val="21"/>
                      <w:szCs w:val="21"/>
                      <w:vertAlign w:val="superscript"/>
                    </w:rPr>
                    <w:t>4</w:t>
                  </w:r>
                  <w:r>
                    <w:rPr>
                      <w:rFonts w:hint="eastAsia"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470" w:type="pct"/>
                  <w:tcBorders>
                    <w:top w:val="nil"/>
                    <w:left w:val="nil"/>
                    <w:bottom w:val="single" w:color="auto" w:sz="4" w:space="0"/>
                    <w:right w:val="single" w:color="auto" w:sz="4" w:space="0"/>
                  </w:tcBorders>
                  <w:shd w:val="clear" w:color="auto" w:fill="auto"/>
                  <w:vAlign w:val="center"/>
                </w:tcPr>
                <w:p w14:paraId="4C4CF2A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套</w:t>
                  </w:r>
                </w:p>
              </w:tc>
              <w:tc>
                <w:tcPr>
                  <w:tcW w:w="413" w:type="pct"/>
                  <w:tcBorders>
                    <w:top w:val="nil"/>
                    <w:left w:val="nil"/>
                    <w:bottom w:val="single" w:color="auto" w:sz="4" w:space="0"/>
                    <w:right w:val="single" w:color="auto" w:sz="4" w:space="0"/>
                  </w:tcBorders>
                  <w:shd w:val="clear" w:color="auto" w:fill="auto"/>
                  <w:vAlign w:val="center"/>
                </w:tcPr>
                <w:p w14:paraId="4AFA837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vMerge w:val="continue"/>
                  <w:tcBorders>
                    <w:left w:val="nil"/>
                    <w:bottom w:val="single" w:color="auto" w:sz="4" w:space="0"/>
                  </w:tcBorders>
                  <w:shd w:val="clear" w:color="auto" w:fill="auto"/>
                  <w:vAlign w:val="center"/>
                </w:tcPr>
                <w:p w14:paraId="1A9FC3C5">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p>
              </w:tc>
            </w:tr>
            <w:tr w14:paraId="597B5E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E6BF35E">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2</w:t>
                  </w:r>
                </w:p>
              </w:tc>
              <w:tc>
                <w:tcPr>
                  <w:tcW w:w="3711" w:type="pct"/>
                  <w:gridSpan w:val="4"/>
                  <w:tcBorders>
                    <w:top w:val="nil"/>
                    <w:left w:val="nil"/>
                    <w:bottom w:val="single" w:color="auto" w:sz="4" w:space="0"/>
                    <w:right w:val="single" w:color="auto" w:sz="4" w:space="0"/>
                  </w:tcBorders>
                  <w:shd w:val="clear" w:color="auto" w:fill="auto"/>
                  <w:vAlign w:val="center"/>
                </w:tcPr>
                <w:p w14:paraId="63BB17D5">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压铸车间</w:t>
                  </w:r>
                </w:p>
              </w:tc>
              <w:tc>
                <w:tcPr>
                  <w:tcW w:w="722" w:type="pct"/>
                  <w:tcBorders>
                    <w:top w:val="nil"/>
                    <w:left w:val="single" w:color="auto" w:sz="4" w:space="0"/>
                    <w:bottom w:val="single" w:color="auto" w:sz="4" w:space="0"/>
                  </w:tcBorders>
                  <w:shd w:val="clear" w:color="auto" w:fill="auto"/>
                  <w:vAlign w:val="center"/>
                </w:tcPr>
                <w:p w14:paraId="6D9BD48A">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b/>
                      <w:bCs/>
                      <w:color w:val="auto"/>
                      <w:kern w:val="0"/>
                      <w:sz w:val="21"/>
                      <w:szCs w:val="21"/>
                    </w:rPr>
                  </w:pPr>
                </w:p>
              </w:tc>
            </w:tr>
            <w:tr w14:paraId="2923112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071ADF0">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w:t>
                  </w:r>
                </w:p>
              </w:tc>
              <w:tc>
                <w:tcPr>
                  <w:tcW w:w="1523" w:type="pct"/>
                  <w:tcBorders>
                    <w:top w:val="nil"/>
                    <w:left w:val="nil"/>
                    <w:bottom w:val="single" w:color="auto" w:sz="4" w:space="0"/>
                    <w:right w:val="single" w:color="auto" w:sz="4" w:space="0"/>
                  </w:tcBorders>
                  <w:shd w:val="clear" w:color="auto" w:fill="auto"/>
                  <w:vAlign w:val="center"/>
                </w:tcPr>
                <w:p w14:paraId="2C3443FE">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冷室压铸机(力劲)</w:t>
                  </w:r>
                </w:p>
              </w:tc>
              <w:tc>
                <w:tcPr>
                  <w:tcW w:w="1302" w:type="pct"/>
                  <w:tcBorders>
                    <w:top w:val="nil"/>
                    <w:left w:val="nil"/>
                    <w:bottom w:val="single" w:color="auto" w:sz="4" w:space="0"/>
                    <w:right w:val="single" w:color="auto" w:sz="4" w:space="0"/>
                  </w:tcBorders>
                  <w:shd w:val="clear" w:color="auto" w:fill="auto"/>
                  <w:vAlign w:val="center"/>
                </w:tcPr>
                <w:p w14:paraId="0171455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3000t</w:t>
                  </w:r>
                </w:p>
              </w:tc>
              <w:tc>
                <w:tcPr>
                  <w:tcW w:w="470" w:type="pct"/>
                  <w:tcBorders>
                    <w:top w:val="nil"/>
                    <w:left w:val="nil"/>
                    <w:bottom w:val="single" w:color="auto" w:sz="4" w:space="0"/>
                    <w:right w:val="single" w:color="auto" w:sz="4" w:space="0"/>
                  </w:tcBorders>
                  <w:shd w:val="clear" w:color="auto" w:fill="auto"/>
                  <w:vAlign w:val="center"/>
                </w:tcPr>
                <w:p w14:paraId="2B267E5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797CB9C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115D383A">
                  <w:pPr>
                    <w:numPr>
                      <w:ilvl w:val="3"/>
                      <w:numId w:val="0"/>
                    </w:numPr>
                    <w:ind w:left="0" w:leftChars="0" w:firstLine="480" w:firstLineChars="20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52001F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4B0E45E4">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2.2</w:t>
                  </w:r>
                </w:p>
              </w:tc>
              <w:tc>
                <w:tcPr>
                  <w:tcW w:w="1523" w:type="pct"/>
                  <w:tcBorders>
                    <w:top w:val="nil"/>
                    <w:left w:val="nil"/>
                    <w:bottom w:val="single" w:color="auto" w:sz="4" w:space="0"/>
                    <w:right w:val="single" w:color="auto" w:sz="4" w:space="0"/>
                  </w:tcBorders>
                  <w:shd w:val="clear" w:color="auto" w:fill="auto"/>
                  <w:vAlign w:val="center"/>
                </w:tcPr>
                <w:p w14:paraId="7EBC0D17">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冷室压铸机(力劲)</w:t>
                  </w:r>
                </w:p>
              </w:tc>
              <w:tc>
                <w:tcPr>
                  <w:tcW w:w="1302" w:type="pct"/>
                  <w:tcBorders>
                    <w:top w:val="nil"/>
                    <w:left w:val="nil"/>
                    <w:bottom w:val="single" w:color="auto" w:sz="4" w:space="0"/>
                    <w:right w:val="single" w:color="auto" w:sz="4" w:space="0"/>
                  </w:tcBorders>
                  <w:shd w:val="clear" w:color="auto" w:fill="auto"/>
                  <w:vAlign w:val="center"/>
                </w:tcPr>
                <w:p w14:paraId="1693CD6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800t</w:t>
                  </w:r>
                </w:p>
              </w:tc>
              <w:tc>
                <w:tcPr>
                  <w:tcW w:w="470" w:type="pct"/>
                  <w:tcBorders>
                    <w:top w:val="nil"/>
                    <w:left w:val="nil"/>
                    <w:bottom w:val="single" w:color="auto" w:sz="4" w:space="0"/>
                    <w:right w:val="single" w:color="auto" w:sz="4" w:space="0"/>
                  </w:tcBorders>
                  <w:shd w:val="clear" w:color="auto" w:fill="auto"/>
                  <w:vAlign w:val="center"/>
                </w:tcPr>
                <w:p w14:paraId="23678C4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05F9F7F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316CED07">
                  <w:pPr>
                    <w:numPr>
                      <w:ilvl w:val="3"/>
                      <w:numId w:val="0"/>
                    </w:numPr>
                    <w:ind w:left="0" w:leftChars="0" w:firstLine="480" w:firstLineChars="20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607304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F65FF91">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w:t>
                  </w:r>
                </w:p>
              </w:tc>
              <w:tc>
                <w:tcPr>
                  <w:tcW w:w="1523" w:type="pct"/>
                  <w:tcBorders>
                    <w:top w:val="single" w:color="auto" w:sz="4" w:space="0"/>
                    <w:left w:val="nil"/>
                    <w:bottom w:val="single" w:color="auto" w:sz="4" w:space="0"/>
                    <w:right w:val="single" w:color="000000" w:sz="4" w:space="0"/>
                  </w:tcBorders>
                  <w:shd w:val="clear" w:color="auto" w:fill="auto"/>
                  <w:vAlign w:val="center"/>
                </w:tcPr>
                <w:p w14:paraId="566C3849">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冷室压铸机(</w:t>
                  </w:r>
                  <w:r>
                    <w:rPr>
                      <w:rFonts w:hint="default" w:ascii="Times New Roman" w:hAnsi="Times New Roman" w:eastAsia="宋体" w:cs="Times New Roman"/>
                      <w:color w:val="auto"/>
                      <w:kern w:val="0"/>
                      <w:sz w:val="21"/>
                      <w:szCs w:val="21"/>
                      <w:lang w:val="en-US" w:eastAsia="zh-CN"/>
                    </w:rPr>
                    <w:t>力劲</w:t>
                  </w:r>
                  <w:r>
                    <w:rPr>
                      <w:rFonts w:hint="default" w:ascii="Times New Roman" w:hAnsi="Times New Roman" w:eastAsia="宋体" w:cs="Times New Roman"/>
                      <w:color w:val="auto"/>
                      <w:kern w:val="0"/>
                      <w:sz w:val="21"/>
                      <w:szCs w:val="21"/>
                    </w:rPr>
                    <w:t>)</w:t>
                  </w:r>
                </w:p>
              </w:tc>
              <w:tc>
                <w:tcPr>
                  <w:tcW w:w="1302" w:type="pct"/>
                  <w:tcBorders>
                    <w:top w:val="single" w:color="auto" w:sz="4" w:space="0"/>
                    <w:left w:val="nil"/>
                    <w:bottom w:val="single" w:color="auto" w:sz="4" w:space="0"/>
                    <w:right w:val="single" w:color="000000" w:sz="4" w:space="0"/>
                  </w:tcBorders>
                  <w:shd w:val="clear" w:color="auto" w:fill="auto"/>
                  <w:vAlign w:val="center"/>
                </w:tcPr>
                <w:p w14:paraId="0809A93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6</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0t</w:t>
                  </w:r>
                </w:p>
              </w:tc>
              <w:tc>
                <w:tcPr>
                  <w:tcW w:w="470" w:type="pct"/>
                  <w:tcBorders>
                    <w:top w:val="single" w:color="auto" w:sz="4" w:space="0"/>
                    <w:left w:val="nil"/>
                    <w:bottom w:val="single" w:color="auto" w:sz="4" w:space="0"/>
                    <w:right w:val="single" w:color="000000" w:sz="4" w:space="0"/>
                  </w:tcBorders>
                  <w:shd w:val="clear" w:color="auto" w:fill="auto"/>
                  <w:vAlign w:val="center"/>
                </w:tcPr>
                <w:p w14:paraId="73B2392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single" w:color="auto" w:sz="4" w:space="0"/>
                    <w:left w:val="nil"/>
                    <w:bottom w:val="single" w:color="auto" w:sz="4" w:space="0"/>
                    <w:right w:val="single" w:color="000000" w:sz="4" w:space="0"/>
                  </w:tcBorders>
                  <w:shd w:val="clear" w:color="auto" w:fill="auto"/>
                  <w:vAlign w:val="center"/>
                </w:tcPr>
                <w:p w14:paraId="101B11C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4</w:t>
                  </w:r>
                </w:p>
              </w:tc>
              <w:tc>
                <w:tcPr>
                  <w:tcW w:w="722" w:type="pct"/>
                  <w:tcBorders>
                    <w:top w:val="single" w:color="auto" w:sz="4" w:space="0"/>
                    <w:left w:val="nil"/>
                    <w:bottom w:val="single" w:color="auto" w:sz="4" w:space="0"/>
                  </w:tcBorders>
                  <w:shd w:val="clear" w:color="auto" w:fill="auto"/>
                  <w:vAlign w:val="center"/>
                </w:tcPr>
                <w:p w14:paraId="3BB30C09">
                  <w:pPr>
                    <w:numPr>
                      <w:ilvl w:val="3"/>
                      <w:numId w:val="0"/>
                    </w:numPr>
                    <w:ind w:left="0" w:leftChars="0" w:firstLine="480" w:firstLineChars="20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4CD4E40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58F47C0">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w:t>
                  </w:r>
                </w:p>
              </w:tc>
              <w:tc>
                <w:tcPr>
                  <w:tcW w:w="1523" w:type="pct"/>
                  <w:tcBorders>
                    <w:top w:val="nil"/>
                    <w:left w:val="nil"/>
                    <w:bottom w:val="single" w:color="auto" w:sz="4" w:space="0"/>
                    <w:right w:val="single" w:color="auto" w:sz="4" w:space="0"/>
                  </w:tcBorders>
                  <w:shd w:val="clear" w:color="auto" w:fill="auto"/>
                  <w:vAlign w:val="center"/>
                </w:tcPr>
                <w:p w14:paraId="150E7ADA">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取件机器人(法兰克)</w:t>
                  </w:r>
                </w:p>
              </w:tc>
              <w:tc>
                <w:tcPr>
                  <w:tcW w:w="1302" w:type="pct"/>
                  <w:tcBorders>
                    <w:top w:val="nil"/>
                    <w:left w:val="nil"/>
                    <w:bottom w:val="single" w:color="auto" w:sz="4" w:space="0"/>
                    <w:right w:val="single" w:color="auto" w:sz="4" w:space="0"/>
                  </w:tcBorders>
                  <w:shd w:val="clear" w:color="auto" w:fill="auto"/>
                  <w:vAlign w:val="center"/>
                </w:tcPr>
                <w:p w14:paraId="7C4D126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vAlign w:val="center"/>
                </w:tcPr>
                <w:p w14:paraId="4F22AB2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059D9CF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722" w:type="pct"/>
                  <w:tcBorders>
                    <w:top w:val="nil"/>
                    <w:left w:val="nil"/>
                    <w:bottom w:val="single" w:color="auto" w:sz="4" w:space="0"/>
                  </w:tcBorders>
                  <w:shd w:val="clear" w:color="auto" w:fill="auto"/>
                  <w:vAlign w:val="center"/>
                </w:tcPr>
                <w:p w14:paraId="6982BA91">
                  <w:pPr>
                    <w:numPr>
                      <w:ilvl w:val="3"/>
                      <w:numId w:val="0"/>
                    </w:numPr>
                    <w:ind w:left="0" w:leftChars="0" w:firstLine="480" w:firstLineChars="20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55538E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AF59A33">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w:t>
                  </w:r>
                </w:p>
              </w:tc>
              <w:tc>
                <w:tcPr>
                  <w:tcW w:w="1523" w:type="pct"/>
                  <w:tcBorders>
                    <w:top w:val="nil"/>
                    <w:left w:val="nil"/>
                    <w:bottom w:val="single" w:color="auto" w:sz="4" w:space="0"/>
                    <w:right w:val="single" w:color="auto" w:sz="4" w:space="0"/>
                  </w:tcBorders>
                  <w:shd w:val="clear" w:color="auto" w:fill="auto"/>
                  <w:vAlign w:val="center"/>
                </w:tcPr>
                <w:p w14:paraId="37E0E0F2">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伺服喷雾机(沃林)</w:t>
                  </w:r>
                </w:p>
              </w:tc>
              <w:tc>
                <w:tcPr>
                  <w:tcW w:w="1302" w:type="pct"/>
                  <w:tcBorders>
                    <w:top w:val="nil"/>
                    <w:left w:val="nil"/>
                    <w:bottom w:val="single" w:color="auto" w:sz="4" w:space="0"/>
                    <w:right w:val="single" w:color="auto" w:sz="4" w:space="0"/>
                  </w:tcBorders>
                  <w:shd w:val="clear" w:color="auto" w:fill="auto"/>
                  <w:vAlign w:val="center"/>
                </w:tcPr>
                <w:p w14:paraId="2B2E99F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vAlign w:val="center"/>
                </w:tcPr>
                <w:p w14:paraId="323F768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7137796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722" w:type="pct"/>
                  <w:tcBorders>
                    <w:top w:val="nil"/>
                    <w:left w:val="nil"/>
                    <w:bottom w:val="single" w:color="auto" w:sz="4" w:space="0"/>
                  </w:tcBorders>
                  <w:shd w:val="clear" w:color="auto" w:fill="auto"/>
                  <w:vAlign w:val="center"/>
                </w:tcPr>
                <w:p w14:paraId="586128D8">
                  <w:pPr>
                    <w:numPr>
                      <w:ilvl w:val="3"/>
                      <w:numId w:val="0"/>
                    </w:numPr>
                    <w:ind w:left="0" w:leftChars="0" w:firstLine="480" w:firstLineChars="20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5BB1411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4AF01DDB">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2.6</w:t>
                  </w:r>
                </w:p>
              </w:tc>
              <w:tc>
                <w:tcPr>
                  <w:tcW w:w="1523" w:type="pct"/>
                  <w:tcBorders>
                    <w:top w:val="nil"/>
                    <w:left w:val="nil"/>
                    <w:bottom w:val="single" w:color="auto" w:sz="4" w:space="0"/>
                    <w:right w:val="single" w:color="auto" w:sz="4" w:space="0"/>
                  </w:tcBorders>
                  <w:shd w:val="clear" w:color="auto" w:fill="auto"/>
                  <w:vAlign w:val="center"/>
                </w:tcPr>
                <w:p w14:paraId="49D760CF">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熔化保温炉系统(力劲)</w:t>
                  </w:r>
                </w:p>
              </w:tc>
              <w:tc>
                <w:tcPr>
                  <w:tcW w:w="1302" w:type="pct"/>
                  <w:tcBorders>
                    <w:top w:val="nil"/>
                    <w:left w:val="nil"/>
                    <w:bottom w:val="single" w:color="auto" w:sz="4" w:space="0"/>
                    <w:right w:val="single" w:color="auto" w:sz="4" w:space="0"/>
                  </w:tcBorders>
                  <w:shd w:val="clear" w:color="auto" w:fill="auto"/>
                  <w:vAlign w:val="center"/>
                </w:tcPr>
                <w:p w14:paraId="387A836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800kg</w:t>
                  </w:r>
                </w:p>
              </w:tc>
              <w:tc>
                <w:tcPr>
                  <w:tcW w:w="470" w:type="pct"/>
                  <w:tcBorders>
                    <w:top w:val="nil"/>
                    <w:left w:val="nil"/>
                    <w:bottom w:val="single" w:color="auto" w:sz="4" w:space="0"/>
                    <w:right w:val="single" w:color="auto" w:sz="4" w:space="0"/>
                  </w:tcBorders>
                  <w:shd w:val="clear" w:color="auto" w:fill="auto"/>
                  <w:vAlign w:val="center"/>
                </w:tcPr>
                <w:p w14:paraId="40D384F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台套</w:t>
                  </w:r>
                </w:p>
              </w:tc>
              <w:tc>
                <w:tcPr>
                  <w:tcW w:w="413" w:type="pct"/>
                  <w:tcBorders>
                    <w:top w:val="nil"/>
                    <w:left w:val="nil"/>
                    <w:bottom w:val="single" w:color="auto" w:sz="4" w:space="0"/>
                    <w:right w:val="single" w:color="auto" w:sz="4" w:space="0"/>
                  </w:tcBorders>
                  <w:shd w:val="clear" w:color="auto" w:fill="auto"/>
                  <w:vAlign w:val="center"/>
                </w:tcPr>
                <w:p w14:paraId="2D8BA12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2</w:t>
                  </w:r>
                </w:p>
              </w:tc>
              <w:tc>
                <w:tcPr>
                  <w:tcW w:w="722" w:type="pct"/>
                  <w:tcBorders>
                    <w:top w:val="nil"/>
                    <w:left w:val="nil"/>
                    <w:bottom w:val="single" w:color="auto" w:sz="4" w:space="0"/>
                  </w:tcBorders>
                  <w:shd w:val="clear" w:color="auto" w:fill="auto"/>
                  <w:vAlign w:val="center"/>
                </w:tcPr>
                <w:p w14:paraId="307AA37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1台利旧，1台新购</w:t>
                  </w:r>
                </w:p>
              </w:tc>
            </w:tr>
            <w:tr w14:paraId="10A042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31A9194F">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2.7</w:t>
                  </w:r>
                </w:p>
              </w:tc>
              <w:tc>
                <w:tcPr>
                  <w:tcW w:w="1523" w:type="pct"/>
                  <w:tcBorders>
                    <w:top w:val="nil"/>
                    <w:left w:val="nil"/>
                    <w:bottom w:val="single" w:color="auto" w:sz="4" w:space="0"/>
                    <w:right w:val="single" w:color="auto" w:sz="4" w:space="0"/>
                  </w:tcBorders>
                  <w:shd w:val="clear" w:color="auto" w:fill="auto"/>
                  <w:vAlign w:val="center"/>
                </w:tcPr>
                <w:p w14:paraId="3806394F">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熔化保温炉系统(力劲)</w:t>
                  </w:r>
                </w:p>
              </w:tc>
              <w:tc>
                <w:tcPr>
                  <w:tcW w:w="1302" w:type="pct"/>
                  <w:tcBorders>
                    <w:top w:val="nil"/>
                    <w:left w:val="nil"/>
                    <w:bottom w:val="single" w:color="auto" w:sz="4" w:space="0"/>
                    <w:right w:val="single" w:color="auto" w:sz="4" w:space="0"/>
                  </w:tcBorders>
                  <w:shd w:val="clear" w:color="auto" w:fill="auto"/>
                  <w:vAlign w:val="center"/>
                </w:tcPr>
                <w:p w14:paraId="1950366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1200kg</w:t>
                  </w:r>
                </w:p>
              </w:tc>
              <w:tc>
                <w:tcPr>
                  <w:tcW w:w="470" w:type="pct"/>
                  <w:tcBorders>
                    <w:top w:val="nil"/>
                    <w:left w:val="nil"/>
                    <w:bottom w:val="single" w:color="auto" w:sz="4" w:space="0"/>
                    <w:right w:val="single" w:color="auto" w:sz="4" w:space="0"/>
                  </w:tcBorders>
                  <w:shd w:val="clear" w:color="auto" w:fill="auto"/>
                  <w:vAlign w:val="center"/>
                </w:tcPr>
                <w:p w14:paraId="1A9258E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台套</w:t>
                  </w:r>
                </w:p>
              </w:tc>
              <w:tc>
                <w:tcPr>
                  <w:tcW w:w="413" w:type="pct"/>
                  <w:tcBorders>
                    <w:top w:val="nil"/>
                    <w:left w:val="nil"/>
                    <w:bottom w:val="single" w:color="auto" w:sz="4" w:space="0"/>
                    <w:right w:val="single" w:color="auto" w:sz="4" w:space="0"/>
                  </w:tcBorders>
                  <w:shd w:val="clear" w:color="auto" w:fill="auto"/>
                  <w:vAlign w:val="center"/>
                </w:tcPr>
                <w:p w14:paraId="2EE16EE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4</w:t>
                  </w:r>
                </w:p>
              </w:tc>
              <w:tc>
                <w:tcPr>
                  <w:tcW w:w="722" w:type="pct"/>
                  <w:tcBorders>
                    <w:top w:val="nil"/>
                    <w:left w:val="nil"/>
                    <w:bottom w:val="single" w:color="auto" w:sz="4" w:space="0"/>
                  </w:tcBorders>
                  <w:shd w:val="clear" w:color="auto" w:fill="auto"/>
                  <w:vAlign w:val="center"/>
                </w:tcPr>
                <w:p w14:paraId="083F8B8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1台利旧，3台新购</w:t>
                  </w:r>
                </w:p>
              </w:tc>
            </w:tr>
            <w:tr w14:paraId="26609D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C8616A3">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2.8</w:t>
                  </w:r>
                </w:p>
              </w:tc>
              <w:tc>
                <w:tcPr>
                  <w:tcW w:w="1523" w:type="pct"/>
                  <w:tcBorders>
                    <w:top w:val="nil"/>
                    <w:left w:val="nil"/>
                    <w:bottom w:val="single" w:color="auto" w:sz="4" w:space="0"/>
                    <w:right w:val="single" w:color="auto" w:sz="4" w:space="0"/>
                  </w:tcBorders>
                  <w:shd w:val="clear" w:color="auto" w:fill="auto"/>
                  <w:vAlign w:val="center"/>
                </w:tcPr>
                <w:p w14:paraId="2C4F7FF2">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加工中心(海天)</w:t>
                  </w:r>
                </w:p>
              </w:tc>
              <w:tc>
                <w:tcPr>
                  <w:tcW w:w="1302" w:type="pct"/>
                  <w:tcBorders>
                    <w:top w:val="nil"/>
                    <w:left w:val="nil"/>
                    <w:bottom w:val="single" w:color="auto" w:sz="4" w:space="0"/>
                    <w:right w:val="single" w:color="auto" w:sz="4" w:space="0"/>
                  </w:tcBorders>
                  <w:shd w:val="clear" w:color="auto" w:fill="auto"/>
                  <w:vAlign w:val="center"/>
                </w:tcPr>
                <w:p w14:paraId="1A91EDE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五轴</w:t>
                  </w:r>
                </w:p>
              </w:tc>
              <w:tc>
                <w:tcPr>
                  <w:tcW w:w="470" w:type="pct"/>
                  <w:tcBorders>
                    <w:top w:val="nil"/>
                    <w:left w:val="nil"/>
                    <w:bottom w:val="single" w:color="auto" w:sz="4" w:space="0"/>
                    <w:right w:val="single" w:color="auto" w:sz="4" w:space="0"/>
                  </w:tcBorders>
                  <w:shd w:val="clear" w:color="auto" w:fill="auto"/>
                  <w:vAlign w:val="center"/>
                </w:tcPr>
                <w:p w14:paraId="15057BB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308872B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tcBorders>
                    <w:top w:val="nil"/>
                    <w:left w:val="nil"/>
                    <w:bottom w:val="single" w:color="auto" w:sz="4" w:space="0"/>
                  </w:tcBorders>
                  <w:shd w:val="clear" w:color="auto" w:fill="auto"/>
                  <w:vAlign w:val="center"/>
                </w:tcPr>
                <w:p w14:paraId="3F176ADF">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32658EF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21D63506">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2.9</w:t>
                  </w:r>
                </w:p>
              </w:tc>
              <w:tc>
                <w:tcPr>
                  <w:tcW w:w="1523" w:type="pct"/>
                  <w:tcBorders>
                    <w:top w:val="nil"/>
                    <w:left w:val="nil"/>
                    <w:bottom w:val="single" w:color="auto" w:sz="4" w:space="0"/>
                    <w:right w:val="single" w:color="auto" w:sz="4" w:space="0"/>
                  </w:tcBorders>
                  <w:shd w:val="clear" w:color="auto" w:fill="auto"/>
                  <w:vAlign w:val="center"/>
                </w:tcPr>
                <w:p w14:paraId="374A1C40">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加工中心(海天)</w:t>
                  </w:r>
                </w:p>
              </w:tc>
              <w:tc>
                <w:tcPr>
                  <w:tcW w:w="1302" w:type="pct"/>
                  <w:tcBorders>
                    <w:top w:val="nil"/>
                    <w:left w:val="nil"/>
                    <w:bottom w:val="single" w:color="auto" w:sz="4" w:space="0"/>
                    <w:right w:val="single" w:color="auto" w:sz="4" w:space="0"/>
                  </w:tcBorders>
                  <w:shd w:val="clear" w:color="auto" w:fill="auto"/>
                  <w:vAlign w:val="center"/>
                </w:tcPr>
                <w:p w14:paraId="2E8F564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4轴</w:t>
                  </w:r>
                </w:p>
              </w:tc>
              <w:tc>
                <w:tcPr>
                  <w:tcW w:w="470" w:type="pct"/>
                  <w:tcBorders>
                    <w:top w:val="nil"/>
                    <w:left w:val="nil"/>
                    <w:bottom w:val="single" w:color="auto" w:sz="4" w:space="0"/>
                    <w:right w:val="single" w:color="auto" w:sz="4" w:space="0"/>
                  </w:tcBorders>
                  <w:shd w:val="clear" w:color="auto" w:fill="auto"/>
                  <w:vAlign w:val="center"/>
                </w:tcPr>
                <w:p w14:paraId="09E29FA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71F1112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tcBorders>
                    <w:top w:val="nil"/>
                    <w:left w:val="nil"/>
                    <w:bottom w:val="single" w:color="auto" w:sz="4" w:space="0"/>
                  </w:tcBorders>
                  <w:shd w:val="clear" w:color="auto" w:fill="auto"/>
                  <w:vAlign w:val="center"/>
                </w:tcPr>
                <w:p w14:paraId="221AC373">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1E073A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310C67F">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2.10</w:t>
                  </w:r>
                </w:p>
              </w:tc>
              <w:tc>
                <w:tcPr>
                  <w:tcW w:w="1523" w:type="pct"/>
                  <w:tcBorders>
                    <w:top w:val="nil"/>
                    <w:left w:val="nil"/>
                    <w:bottom w:val="single" w:color="auto" w:sz="4" w:space="0"/>
                    <w:right w:val="single" w:color="auto" w:sz="4" w:space="0"/>
                  </w:tcBorders>
                  <w:shd w:val="clear" w:color="auto" w:fill="auto"/>
                  <w:vAlign w:val="center"/>
                </w:tcPr>
                <w:p w14:paraId="3ACE252A">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多孔台钻(西湖)</w:t>
                  </w:r>
                </w:p>
              </w:tc>
              <w:tc>
                <w:tcPr>
                  <w:tcW w:w="1302" w:type="pct"/>
                  <w:tcBorders>
                    <w:top w:val="nil"/>
                    <w:left w:val="nil"/>
                    <w:bottom w:val="single" w:color="auto" w:sz="4" w:space="0"/>
                    <w:right w:val="single" w:color="auto" w:sz="4" w:space="0"/>
                  </w:tcBorders>
                  <w:shd w:val="clear" w:color="auto" w:fill="auto"/>
                  <w:vAlign w:val="center"/>
                </w:tcPr>
                <w:p w14:paraId="25B99BA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20mm</w:t>
                  </w:r>
                </w:p>
              </w:tc>
              <w:tc>
                <w:tcPr>
                  <w:tcW w:w="470" w:type="pct"/>
                  <w:tcBorders>
                    <w:top w:val="nil"/>
                    <w:left w:val="nil"/>
                    <w:bottom w:val="single" w:color="auto" w:sz="4" w:space="0"/>
                    <w:right w:val="single" w:color="auto" w:sz="4" w:space="0"/>
                  </w:tcBorders>
                  <w:shd w:val="clear" w:color="auto" w:fill="auto"/>
                  <w:vAlign w:val="center"/>
                </w:tcPr>
                <w:p w14:paraId="4BA8EA1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37BA0F9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722" w:type="pct"/>
                  <w:tcBorders>
                    <w:top w:val="nil"/>
                    <w:left w:val="nil"/>
                    <w:bottom w:val="single" w:color="auto" w:sz="4" w:space="0"/>
                  </w:tcBorders>
                  <w:shd w:val="clear" w:color="auto" w:fill="auto"/>
                  <w:vAlign w:val="center"/>
                </w:tcPr>
                <w:p w14:paraId="3EE5155A">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58469A0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380472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3</w:t>
                  </w:r>
                </w:p>
              </w:tc>
              <w:tc>
                <w:tcPr>
                  <w:tcW w:w="4433" w:type="pct"/>
                  <w:gridSpan w:val="5"/>
                  <w:tcBorders>
                    <w:top w:val="nil"/>
                    <w:left w:val="nil"/>
                    <w:bottom w:val="single" w:color="auto" w:sz="4" w:space="0"/>
                  </w:tcBorders>
                  <w:shd w:val="clear" w:color="auto" w:fill="auto"/>
                  <w:vAlign w:val="center"/>
                </w:tcPr>
                <w:p w14:paraId="62C226AE">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合金颗粒加工车间</w:t>
                  </w:r>
                </w:p>
              </w:tc>
            </w:tr>
            <w:tr w14:paraId="6F5616E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132256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w:t>
                  </w:r>
                </w:p>
              </w:tc>
              <w:tc>
                <w:tcPr>
                  <w:tcW w:w="1523" w:type="pct"/>
                  <w:tcBorders>
                    <w:top w:val="nil"/>
                    <w:left w:val="nil"/>
                    <w:bottom w:val="single" w:color="auto" w:sz="4" w:space="0"/>
                    <w:right w:val="single" w:color="auto" w:sz="4" w:space="0"/>
                  </w:tcBorders>
                  <w:shd w:val="clear" w:color="auto" w:fill="auto"/>
                  <w:vAlign w:val="center"/>
                </w:tcPr>
                <w:p w14:paraId="206D91C5">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合金颗粒加工生产线</w:t>
                  </w:r>
                </w:p>
              </w:tc>
              <w:tc>
                <w:tcPr>
                  <w:tcW w:w="1302" w:type="pct"/>
                  <w:tcBorders>
                    <w:top w:val="nil"/>
                    <w:left w:val="nil"/>
                    <w:bottom w:val="single" w:color="auto" w:sz="4" w:space="0"/>
                    <w:right w:val="single" w:color="auto" w:sz="4" w:space="0"/>
                  </w:tcBorders>
                  <w:shd w:val="clear" w:color="auto" w:fill="auto"/>
                  <w:vAlign w:val="center"/>
                </w:tcPr>
                <w:p w14:paraId="5E08F690">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300kg/hr</w:t>
                  </w:r>
                </w:p>
              </w:tc>
              <w:tc>
                <w:tcPr>
                  <w:tcW w:w="470" w:type="pct"/>
                  <w:tcBorders>
                    <w:top w:val="nil"/>
                    <w:left w:val="nil"/>
                    <w:bottom w:val="single" w:color="auto" w:sz="4" w:space="0"/>
                    <w:right w:val="single" w:color="auto" w:sz="4" w:space="0"/>
                  </w:tcBorders>
                  <w:shd w:val="clear" w:color="auto" w:fill="auto"/>
                  <w:vAlign w:val="center"/>
                </w:tcPr>
                <w:p w14:paraId="4D0EC86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台套</w:t>
                  </w:r>
                </w:p>
              </w:tc>
              <w:tc>
                <w:tcPr>
                  <w:tcW w:w="413" w:type="pct"/>
                  <w:tcBorders>
                    <w:top w:val="nil"/>
                    <w:left w:val="nil"/>
                    <w:bottom w:val="single" w:color="auto" w:sz="4" w:space="0"/>
                    <w:right w:val="single" w:color="auto" w:sz="4" w:space="0"/>
                  </w:tcBorders>
                  <w:shd w:val="clear" w:color="auto" w:fill="auto"/>
                  <w:vAlign w:val="center"/>
                </w:tcPr>
                <w:p w14:paraId="7FD7202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722" w:type="pct"/>
                  <w:tcBorders>
                    <w:top w:val="nil"/>
                    <w:left w:val="nil"/>
                    <w:bottom w:val="single" w:color="auto" w:sz="4" w:space="0"/>
                  </w:tcBorders>
                  <w:shd w:val="clear" w:color="auto" w:fill="auto"/>
                  <w:vAlign w:val="center"/>
                </w:tcPr>
                <w:p w14:paraId="53A4589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14:paraId="364FF9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23DB2A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lang w:val="en-US" w:eastAsia="zh-CN"/>
                    </w:rPr>
                    <w:t>4</w:t>
                  </w:r>
                </w:p>
              </w:tc>
              <w:tc>
                <w:tcPr>
                  <w:tcW w:w="4433" w:type="pct"/>
                  <w:gridSpan w:val="5"/>
                  <w:tcBorders>
                    <w:top w:val="nil"/>
                    <w:left w:val="nil"/>
                    <w:bottom w:val="single" w:color="auto" w:sz="4" w:space="0"/>
                  </w:tcBorders>
                  <w:shd w:val="clear" w:color="auto" w:fill="auto"/>
                  <w:noWrap/>
                  <w:vAlign w:val="center"/>
                </w:tcPr>
                <w:p w14:paraId="68DACD3D">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机修、铸锭抛光、压铸件精整车间</w:t>
                  </w:r>
                </w:p>
              </w:tc>
            </w:tr>
            <w:tr w14:paraId="015A5C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226BF84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.1</w:t>
                  </w:r>
                </w:p>
              </w:tc>
              <w:tc>
                <w:tcPr>
                  <w:tcW w:w="1523" w:type="pct"/>
                  <w:tcBorders>
                    <w:top w:val="nil"/>
                    <w:left w:val="nil"/>
                    <w:bottom w:val="single" w:color="auto" w:sz="4" w:space="0"/>
                    <w:right w:val="single" w:color="auto" w:sz="4" w:space="0"/>
                  </w:tcBorders>
                  <w:shd w:val="clear" w:color="auto" w:fill="auto"/>
                  <w:noWrap/>
                  <w:vAlign w:val="center"/>
                </w:tcPr>
                <w:p w14:paraId="2D983042">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普通车床</w:t>
                  </w:r>
                </w:p>
              </w:tc>
              <w:tc>
                <w:tcPr>
                  <w:tcW w:w="1302" w:type="pct"/>
                  <w:tcBorders>
                    <w:top w:val="nil"/>
                    <w:left w:val="nil"/>
                    <w:bottom w:val="single" w:color="auto" w:sz="4" w:space="0"/>
                    <w:right w:val="single" w:color="auto" w:sz="4" w:space="0"/>
                  </w:tcBorders>
                  <w:shd w:val="clear" w:color="auto" w:fill="auto"/>
                  <w:noWrap/>
                  <w:vAlign w:val="center"/>
                </w:tcPr>
                <w:p w14:paraId="1324734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C6140、最大工件长度1m</w:t>
                  </w:r>
                </w:p>
              </w:tc>
              <w:tc>
                <w:tcPr>
                  <w:tcW w:w="470" w:type="pct"/>
                  <w:tcBorders>
                    <w:top w:val="nil"/>
                    <w:left w:val="nil"/>
                    <w:bottom w:val="single" w:color="auto" w:sz="4" w:space="0"/>
                    <w:right w:val="single" w:color="auto" w:sz="4" w:space="0"/>
                  </w:tcBorders>
                  <w:shd w:val="clear" w:color="auto" w:fill="auto"/>
                  <w:vAlign w:val="center"/>
                </w:tcPr>
                <w:p w14:paraId="0831996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15E0B75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2F6D196E">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570EFE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36F2071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.2</w:t>
                  </w:r>
                </w:p>
              </w:tc>
              <w:tc>
                <w:tcPr>
                  <w:tcW w:w="1523" w:type="pct"/>
                  <w:tcBorders>
                    <w:top w:val="nil"/>
                    <w:left w:val="nil"/>
                    <w:bottom w:val="single" w:color="auto" w:sz="4" w:space="0"/>
                    <w:right w:val="single" w:color="auto" w:sz="4" w:space="0"/>
                  </w:tcBorders>
                  <w:shd w:val="clear" w:color="auto" w:fill="auto"/>
                  <w:noWrap/>
                  <w:vAlign w:val="center"/>
                </w:tcPr>
                <w:p w14:paraId="0D098B31">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普通交流电焊机</w:t>
                  </w:r>
                </w:p>
              </w:tc>
              <w:tc>
                <w:tcPr>
                  <w:tcW w:w="1302" w:type="pct"/>
                  <w:tcBorders>
                    <w:top w:val="nil"/>
                    <w:left w:val="nil"/>
                    <w:bottom w:val="single" w:color="auto" w:sz="4" w:space="0"/>
                    <w:right w:val="single" w:color="auto" w:sz="4" w:space="0"/>
                  </w:tcBorders>
                  <w:shd w:val="clear" w:color="auto" w:fill="auto"/>
                  <w:noWrap/>
                  <w:vAlign w:val="center"/>
                </w:tcPr>
                <w:p w14:paraId="5F47195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500A</w:t>
                  </w:r>
                </w:p>
              </w:tc>
              <w:tc>
                <w:tcPr>
                  <w:tcW w:w="470" w:type="pct"/>
                  <w:tcBorders>
                    <w:top w:val="nil"/>
                    <w:left w:val="nil"/>
                    <w:bottom w:val="single" w:color="auto" w:sz="4" w:space="0"/>
                    <w:right w:val="single" w:color="auto" w:sz="4" w:space="0"/>
                  </w:tcBorders>
                  <w:shd w:val="clear" w:color="auto" w:fill="auto"/>
                  <w:vAlign w:val="center"/>
                </w:tcPr>
                <w:p w14:paraId="054AD8A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482282A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66D11A49">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0E589EB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405653E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.3</w:t>
                  </w:r>
                </w:p>
              </w:tc>
              <w:tc>
                <w:tcPr>
                  <w:tcW w:w="1523" w:type="pct"/>
                  <w:tcBorders>
                    <w:top w:val="nil"/>
                    <w:left w:val="nil"/>
                    <w:bottom w:val="single" w:color="auto" w:sz="4" w:space="0"/>
                    <w:right w:val="single" w:color="auto" w:sz="4" w:space="0"/>
                  </w:tcBorders>
                  <w:shd w:val="clear" w:color="auto" w:fill="auto"/>
                  <w:noWrap/>
                  <w:vAlign w:val="center"/>
                </w:tcPr>
                <w:p w14:paraId="7BEEA98E">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直流电焊机</w:t>
                  </w:r>
                </w:p>
              </w:tc>
              <w:tc>
                <w:tcPr>
                  <w:tcW w:w="1302" w:type="pct"/>
                  <w:tcBorders>
                    <w:top w:val="nil"/>
                    <w:left w:val="nil"/>
                    <w:bottom w:val="single" w:color="auto" w:sz="4" w:space="0"/>
                    <w:right w:val="single" w:color="auto" w:sz="4" w:space="0"/>
                  </w:tcBorders>
                  <w:shd w:val="clear" w:color="auto" w:fill="auto"/>
                  <w:noWrap/>
                  <w:vAlign w:val="center"/>
                </w:tcPr>
                <w:p w14:paraId="5EA29C9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400A</w:t>
                  </w:r>
                </w:p>
              </w:tc>
              <w:tc>
                <w:tcPr>
                  <w:tcW w:w="470" w:type="pct"/>
                  <w:tcBorders>
                    <w:top w:val="nil"/>
                    <w:left w:val="nil"/>
                    <w:bottom w:val="single" w:color="auto" w:sz="4" w:space="0"/>
                    <w:right w:val="single" w:color="auto" w:sz="4" w:space="0"/>
                  </w:tcBorders>
                  <w:shd w:val="clear" w:color="auto" w:fill="auto"/>
                  <w:vAlign w:val="center"/>
                </w:tcPr>
                <w:p w14:paraId="41E4B54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6FAAC83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4F451B8A">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066AC06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D19C31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.4</w:t>
                  </w:r>
                </w:p>
              </w:tc>
              <w:tc>
                <w:tcPr>
                  <w:tcW w:w="1523" w:type="pct"/>
                  <w:tcBorders>
                    <w:top w:val="nil"/>
                    <w:left w:val="nil"/>
                    <w:bottom w:val="single" w:color="auto" w:sz="4" w:space="0"/>
                    <w:right w:val="single" w:color="auto" w:sz="4" w:space="0"/>
                  </w:tcBorders>
                  <w:shd w:val="clear" w:color="auto" w:fill="auto"/>
                  <w:noWrap/>
                  <w:vAlign w:val="center"/>
                </w:tcPr>
                <w:p w14:paraId="590750DD">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硅整流直流焊机</w:t>
                  </w:r>
                </w:p>
              </w:tc>
              <w:tc>
                <w:tcPr>
                  <w:tcW w:w="1302" w:type="pct"/>
                  <w:tcBorders>
                    <w:top w:val="nil"/>
                    <w:left w:val="nil"/>
                    <w:bottom w:val="single" w:color="auto" w:sz="4" w:space="0"/>
                    <w:right w:val="single" w:color="auto" w:sz="4" w:space="0"/>
                  </w:tcBorders>
                  <w:shd w:val="clear" w:color="auto" w:fill="auto"/>
                  <w:noWrap/>
                  <w:vAlign w:val="center"/>
                </w:tcPr>
                <w:p w14:paraId="1A01123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630A</w:t>
                  </w:r>
                </w:p>
              </w:tc>
              <w:tc>
                <w:tcPr>
                  <w:tcW w:w="470" w:type="pct"/>
                  <w:tcBorders>
                    <w:top w:val="nil"/>
                    <w:left w:val="nil"/>
                    <w:bottom w:val="single" w:color="auto" w:sz="4" w:space="0"/>
                    <w:right w:val="single" w:color="auto" w:sz="4" w:space="0"/>
                  </w:tcBorders>
                  <w:shd w:val="clear" w:color="auto" w:fill="auto"/>
                  <w:vAlign w:val="center"/>
                </w:tcPr>
                <w:p w14:paraId="24920B3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7BA699D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28BB5132">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7281FD7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DC8FD9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.5</w:t>
                  </w:r>
                </w:p>
              </w:tc>
              <w:tc>
                <w:tcPr>
                  <w:tcW w:w="1523" w:type="pct"/>
                  <w:tcBorders>
                    <w:top w:val="nil"/>
                    <w:left w:val="nil"/>
                    <w:bottom w:val="single" w:color="auto" w:sz="4" w:space="0"/>
                    <w:right w:val="single" w:color="auto" w:sz="4" w:space="0"/>
                  </w:tcBorders>
                  <w:shd w:val="clear" w:color="auto" w:fill="auto"/>
                  <w:noWrap/>
                  <w:vAlign w:val="center"/>
                </w:tcPr>
                <w:p w14:paraId="1C30E4A0">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空压机</w:t>
                  </w:r>
                </w:p>
              </w:tc>
              <w:tc>
                <w:tcPr>
                  <w:tcW w:w="1302" w:type="pct"/>
                  <w:tcBorders>
                    <w:top w:val="nil"/>
                    <w:left w:val="nil"/>
                    <w:bottom w:val="single" w:color="auto" w:sz="4" w:space="0"/>
                    <w:right w:val="single" w:color="auto" w:sz="4" w:space="0"/>
                  </w:tcBorders>
                  <w:shd w:val="clear" w:color="auto" w:fill="auto"/>
                  <w:noWrap/>
                  <w:vAlign w:val="center"/>
                </w:tcPr>
                <w:p w14:paraId="4C7D194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Q:1.5Nm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/min、P:0.8MPa</w:t>
                  </w:r>
                </w:p>
              </w:tc>
              <w:tc>
                <w:tcPr>
                  <w:tcW w:w="470" w:type="pct"/>
                  <w:tcBorders>
                    <w:top w:val="nil"/>
                    <w:left w:val="nil"/>
                    <w:bottom w:val="single" w:color="auto" w:sz="4" w:space="0"/>
                    <w:right w:val="single" w:color="auto" w:sz="4" w:space="0"/>
                  </w:tcBorders>
                  <w:shd w:val="clear" w:color="auto" w:fill="auto"/>
                  <w:vAlign w:val="center"/>
                </w:tcPr>
                <w:p w14:paraId="630F5B6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370DF3B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4C8B5404">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1932B7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37CA6E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.6</w:t>
                  </w:r>
                </w:p>
              </w:tc>
              <w:tc>
                <w:tcPr>
                  <w:tcW w:w="1523" w:type="pct"/>
                  <w:tcBorders>
                    <w:top w:val="nil"/>
                    <w:left w:val="nil"/>
                    <w:bottom w:val="single" w:color="auto" w:sz="4" w:space="0"/>
                    <w:right w:val="single" w:color="auto" w:sz="4" w:space="0"/>
                  </w:tcBorders>
                  <w:shd w:val="clear" w:color="auto" w:fill="auto"/>
                  <w:noWrap/>
                  <w:vAlign w:val="center"/>
                </w:tcPr>
                <w:p w14:paraId="1135B76F">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台钻</w:t>
                  </w:r>
                </w:p>
              </w:tc>
              <w:tc>
                <w:tcPr>
                  <w:tcW w:w="1302" w:type="pct"/>
                  <w:tcBorders>
                    <w:top w:val="nil"/>
                    <w:left w:val="nil"/>
                    <w:bottom w:val="single" w:color="auto" w:sz="4" w:space="0"/>
                    <w:right w:val="single" w:color="auto" w:sz="4" w:space="0"/>
                  </w:tcBorders>
                  <w:shd w:val="clear" w:color="auto" w:fill="auto"/>
                  <w:noWrap/>
                  <w:vAlign w:val="center"/>
                </w:tcPr>
                <w:p w14:paraId="4C67BA3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Ф16</w:t>
                  </w:r>
                </w:p>
              </w:tc>
              <w:tc>
                <w:tcPr>
                  <w:tcW w:w="470" w:type="pct"/>
                  <w:tcBorders>
                    <w:top w:val="nil"/>
                    <w:left w:val="nil"/>
                    <w:bottom w:val="single" w:color="auto" w:sz="4" w:space="0"/>
                    <w:right w:val="single" w:color="auto" w:sz="4" w:space="0"/>
                  </w:tcBorders>
                  <w:shd w:val="clear" w:color="auto" w:fill="auto"/>
                  <w:vAlign w:val="center"/>
                </w:tcPr>
                <w:p w14:paraId="7431AA0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72F1E98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35BF7AFD">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6DE0463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34DCEA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.7</w:t>
                  </w:r>
                </w:p>
              </w:tc>
              <w:tc>
                <w:tcPr>
                  <w:tcW w:w="1523" w:type="pct"/>
                  <w:tcBorders>
                    <w:top w:val="nil"/>
                    <w:left w:val="nil"/>
                    <w:bottom w:val="single" w:color="auto" w:sz="4" w:space="0"/>
                    <w:right w:val="single" w:color="auto" w:sz="4" w:space="0"/>
                  </w:tcBorders>
                  <w:shd w:val="clear" w:color="auto" w:fill="auto"/>
                  <w:noWrap/>
                  <w:vAlign w:val="center"/>
                </w:tcPr>
                <w:p w14:paraId="2E346503">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弯管器</w:t>
                  </w:r>
                </w:p>
              </w:tc>
              <w:tc>
                <w:tcPr>
                  <w:tcW w:w="1302" w:type="pct"/>
                  <w:tcBorders>
                    <w:top w:val="nil"/>
                    <w:left w:val="nil"/>
                    <w:bottom w:val="single" w:color="auto" w:sz="4" w:space="0"/>
                    <w:right w:val="single" w:color="auto" w:sz="4" w:space="0"/>
                  </w:tcBorders>
                  <w:shd w:val="clear" w:color="auto" w:fill="auto"/>
                  <w:noWrap/>
                  <w:vAlign w:val="center"/>
                </w:tcPr>
                <w:p w14:paraId="1C8B6B4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DN80</w:t>
                  </w:r>
                </w:p>
              </w:tc>
              <w:tc>
                <w:tcPr>
                  <w:tcW w:w="470" w:type="pct"/>
                  <w:tcBorders>
                    <w:top w:val="nil"/>
                    <w:left w:val="nil"/>
                    <w:bottom w:val="single" w:color="auto" w:sz="4" w:space="0"/>
                    <w:right w:val="single" w:color="auto" w:sz="4" w:space="0"/>
                  </w:tcBorders>
                  <w:shd w:val="clear" w:color="auto" w:fill="auto"/>
                  <w:vAlign w:val="center"/>
                </w:tcPr>
                <w:p w14:paraId="3294DAE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套</w:t>
                  </w:r>
                </w:p>
              </w:tc>
              <w:tc>
                <w:tcPr>
                  <w:tcW w:w="413" w:type="pct"/>
                  <w:tcBorders>
                    <w:top w:val="nil"/>
                    <w:left w:val="nil"/>
                    <w:bottom w:val="single" w:color="auto" w:sz="4" w:space="0"/>
                    <w:right w:val="single" w:color="auto" w:sz="4" w:space="0"/>
                  </w:tcBorders>
                  <w:shd w:val="clear" w:color="auto" w:fill="auto"/>
                  <w:vAlign w:val="center"/>
                </w:tcPr>
                <w:p w14:paraId="44721E3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592F597A">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2B1A14B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201B993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.8</w:t>
                  </w:r>
                </w:p>
              </w:tc>
              <w:tc>
                <w:tcPr>
                  <w:tcW w:w="1523" w:type="pct"/>
                  <w:tcBorders>
                    <w:top w:val="nil"/>
                    <w:left w:val="nil"/>
                    <w:bottom w:val="single" w:color="auto" w:sz="4" w:space="0"/>
                    <w:right w:val="single" w:color="auto" w:sz="4" w:space="0"/>
                  </w:tcBorders>
                  <w:shd w:val="clear" w:color="auto" w:fill="auto"/>
                  <w:noWrap/>
                  <w:vAlign w:val="center"/>
                </w:tcPr>
                <w:p w14:paraId="7854952A">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砂轮切割机</w:t>
                  </w:r>
                </w:p>
              </w:tc>
              <w:tc>
                <w:tcPr>
                  <w:tcW w:w="1302" w:type="pct"/>
                  <w:tcBorders>
                    <w:top w:val="nil"/>
                    <w:left w:val="nil"/>
                    <w:bottom w:val="single" w:color="auto" w:sz="4" w:space="0"/>
                    <w:right w:val="single" w:color="auto" w:sz="4" w:space="0"/>
                  </w:tcBorders>
                  <w:shd w:val="clear" w:color="auto" w:fill="auto"/>
                  <w:noWrap/>
                  <w:vAlign w:val="center"/>
                </w:tcPr>
                <w:p w14:paraId="649F3C5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Ф400</w:t>
                  </w:r>
                </w:p>
              </w:tc>
              <w:tc>
                <w:tcPr>
                  <w:tcW w:w="470" w:type="pct"/>
                  <w:tcBorders>
                    <w:top w:val="nil"/>
                    <w:left w:val="nil"/>
                    <w:bottom w:val="single" w:color="auto" w:sz="4" w:space="0"/>
                    <w:right w:val="single" w:color="auto" w:sz="4" w:space="0"/>
                  </w:tcBorders>
                  <w:shd w:val="clear" w:color="auto" w:fill="auto"/>
                  <w:vAlign w:val="center"/>
                </w:tcPr>
                <w:p w14:paraId="599B529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109C7DF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61F2E2FB">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792F51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D122F9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.9</w:t>
                  </w:r>
                </w:p>
              </w:tc>
              <w:tc>
                <w:tcPr>
                  <w:tcW w:w="1523" w:type="pct"/>
                  <w:tcBorders>
                    <w:top w:val="nil"/>
                    <w:left w:val="nil"/>
                    <w:bottom w:val="single" w:color="auto" w:sz="4" w:space="0"/>
                    <w:right w:val="single" w:color="auto" w:sz="4" w:space="0"/>
                  </w:tcBorders>
                  <w:shd w:val="clear" w:color="auto" w:fill="auto"/>
                  <w:noWrap/>
                  <w:vAlign w:val="center"/>
                </w:tcPr>
                <w:p w14:paraId="3DD78243">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立式砂轮机</w:t>
                  </w:r>
                </w:p>
              </w:tc>
              <w:tc>
                <w:tcPr>
                  <w:tcW w:w="1302" w:type="pct"/>
                  <w:tcBorders>
                    <w:top w:val="nil"/>
                    <w:left w:val="nil"/>
                    <w:bottom w:val="single" w:color="auto" w:sz="4" w:space="0"/>
                    <w:right w:val="single" w:color="auto" w:sz="4" w:space="0"/>
                  </w:tcBorders>
                  <w:shd w:val="clear" w:color="auto" w:fill="auto"/>
                  <w:noWrap/>
                  <w:vAlign w:val="center"/>
                </w:tcPr>
                <w:p w14:paraId="7810A34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Ф300</w:t>
                  </w:r>
                </w:p>
              </w:tc>
              <w:tc>
                <w:tcPr>
                  <w:tcW w:w="470" w:type="pct"/>
                  <w:tcBorders>
                    <w:top w:val="nil"/>
                    <w:left w:val="nil"/>
                    <w:bottom w:val="single" w:color="auto" w:sz="4" w:space="0"/>
                    <w:right w:val="single" w:color="auto" w:sz="4" w:space="0"/>
                  </w:tcBorders>
                  <w:shd w:val="clear" w:color="auto" w:fill="auto"/>
                  <w:vAlign w:val="center"/>
                </w:tcPr>
                <w:p w14:paraId="7736195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60266DA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0150CF16">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46445E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01DA13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.10</w:t>
                  </w:r>
                </w:p>
              </w:tc>
              <w:tc>
                <w:tcPr>
                  <w:tcW w:w="1523" w:type="pct"/>
                  <w:tcBorders>
                    <w:top w:val="nil"/>
                    <w:left w:val="nil"/>
                    <w:bottom w:val="single" w:color="auto" w:sz="4" w:space="0"/>
                    <w:right w:val="single" w:color="auto" w:sz="4" w:space="0"/>
                  </w:tcBorders>
                  <w:shd w:val="clear" w:color="auto" w:fill="auto"/>
                  <w:noWrap/>
                  <w:vAlign w:val="center"/>
                </w:tcPr>
                <w:p w14:paraId="5C4D473D">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各类电动、手动工具</w:t>
                  </w:r>
                </w:p>
              </w:tc>
              <w:tc>
                <w:tcPr>
                  <w:tcW w:w="1302" w:type="pct"/>
                  <w:tcBorders>
                    <w:top w:val="nil"/>
                    <w:left w:val="nil"/>
                    <w:bottom w:val="single" w:color="auto" w:sz="4" w:space="0"/>
                    <w:right w:val="single" w:color="auto" w:sz="4" w:space="0"/>
                  </w:tcBorders>
                  <w:shd w:val="clear" w:color="auto" w:fill="auto"/>
                  <w:noWrap/>
                  <w:vAlign w:val="center"/>
                </w:tcPr>
                <w:p w14:paraId="25B9442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70" w:type="pct"/>
                  <w:tcBorders>
                    <w:top w:val="nil"/>
                    <w:left w:val="nil"/>
                    <w:bottom w:val="single" w:color="auto" w:sz="4" w:space="0"/>
                    <w:right w:val="single" w:color="auto" w:sz="4" w:space="0"/>
                  </w:tcBorders>
                  <w:shd w:val="clear" w:color="auto" w:fill="auto"/>
                  <w:vAlign w:val="center"/>
                </w:tcPr>
                <w:p w14:paraId="54A4E2C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nil"/>
                    <w:left w:val="nil"/>
                    <w:bottom w:val="single" w:color="auto" w:sz="4" w:space="0"/>
                    <w:right w:val="single" w:color="auto" w:sz="4" w:space="0"/>
                  </w:tcBorders>
                  <w:shd w:val="clear" w:color="auto" w:fill="auto"/>
                  <w:vAlign w:val="center"/>
                </w:tcPr>
                <w:p w14:paraId="7937BFA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722" w:type="pct"/>
                  <w:tcBorders>
                    <w:top w:val="nil"/>
                    <w:left w:val="nil"/>
                    <w:bottom w:val="single" w:color="auto" w:sz="4" w:space="0"/>
                  </w:tcBorders>
                  <w:shd w:val="clear" w:color="auto" w:fill="auto"/>
                  <w:vAlign w:val="center"/>
                </w:tcPr>
                <w:p w14:paraId="1BFFE0E4">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450928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3B887D2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.11</w:t>
                  </w:r>
                </w:p>
              </w:tc>
              <w:tc>
                <w:tcPr>
                  <w:tcW w:w="1523" w:type="pct"/>
                  <w:tcBorders>
                    <w:top w:val="nil"/>
                    <w:left w:val="nil"/>
                    <w:bottom w:val="single" w:color="auto" w:sz="4" w:space="0"/>
                    <w:right w:val="single" w:color="auto" w:sz="4" w:space="0"/>
                  </w:tcBorders>
                  <w:shd w:val="clear" w:color="auto" w:fill="auto"/>
                  <w:noWrap/>
                  <w:vAlign w:val="center"/>
                </w:tcPr>
                <w:p w14:paraId="0505ACB8">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单梁天车</w:t>
                  </w:r>
                </w:p>
              </w:tc>
              <w:tc>
                <w:tcPr>
                  <w:tcW w:w="1302" w:type="pct"/>
                  <w:tcBorders>
                    <w:top w:val="nil"/>
                    <w:left w:val="nil"/>
                    <w:bottom w:val="single" w:color="auto" w:sz="4" w:space="0"/>
                    <w:right w:val="single" w:color="auto" w:sz="4" w:space="0"/>
                  </w:tcBorders>
                  <w:shd w:val="clear" w:color="auto" w:fill="auto"/>
                  <w:noWrap/>
                  <w:vAlign w:val="center"/>
                </w:tcPr>
                <w:p w14:paraId="0ED46A6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5t、L19.5</w:t>
                  </w:r>
                </w:p>
              </w:tc>
              <w:tc>
                <w:tcPr>
                  <w:tcW w:w="470" w:type="pct"/>
                  <w:tcBorders>
                    <w:top w:val="nil"/>
                    <w:left w:val="nil"/>
                    <w:bottom w:val="single" w:color="auto" w:sz="4" w:space="0"/>
                    <w:right w:val="single" w:color="auto" w:sz="4" w:space="0"/>
                  </w:tcBorders>
                  <w:shd w:val="clear" w:color="auto" w:fill="auto"/>
                  <w:vAlign w:val="center"/>
                </w:tcPr>
                <w:p w14:paraId="734D603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2D7663A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tcBorders>
                    <w:top w:val="nil"/>
                    <w:left w:val="nil"/>
                    <w:bottom w:val="single" w:color="auto" w:sz="4" w:space="0"/>
                  </w:tcBorders>
                  <w:shd w:val="clear" w:color="auto" w:fill="auto"/>
                  <w:vAlign w:val="center"/>
                </w:tcPr>
                <w:p w14:paraId="4E6ACB27">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54C4598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2BB816C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.12</w:t>
                  </w:r>
                </w:p>
              </w:tc>
              <w:tc>
                <w:tcPr>
                  <w:tcW w:w="1523" w:type="pct"/>
                  <w:tcBorders>
                    <w:top w:val="nil"/>
                    <w:left w:val="nil"/>
                    <w:bottom w:val="single" w:color="auto" w:sz="4" w:space="0"/>
                    <w:right w:val="single" w:color="auto" w:sz="4" w:space="0"/>
                  </w:tcBorders>
                  <w:shd w:val="clear" w:color="auto" w:fill="auto"/>
                  <w:noWrap/>
                  <w:vAlign w:val="center"/>
                </w:tcPr>
                <w:p w14:paraId="19649670">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打磨</w:t>
                  </w:r>
                  <w:r>
                    <w:rPr>
                      <w:rFonts w:hint="default" w:ascii="Times New Roman" w:hAnsi="Times New Roman" w:eastAsia="宋体" w:cs="Times New Roman"/>
                      <w:color w:val="auto"/>
                      <w:kern w:val="0"/>
                      <w:sz w:val="21"/>
                      <w:szCs w:val="21"/>
                      <w:highlight w:val="none"/>
                    </w:rPr>
                    <w:t>系统</w:t>
                  </w:r>
                </w:p>
              </w:tc>
              <w:tc>
                <w:tcPr>
                  <w:tcW w:w="1302" w:type="pct"/>
                  <w:tcBorders>
                    <w:top w:val="nil"/>
                    <w:left w:val="nil"/>
                    <w:bottom w:val="single" w:color="auto" w:sz="4" w:space="0"/>
                    <w:right w:val="single" w:color="auto" w:sz="4" w:space="0"/>
                  </w:tcBorders>
                  <w:shd w:val="clear" w:color="auto" w:fill="auto"/>
                  <w:noWrap/>
                  <w:vAlign w:val="center"/>
                </w:tcPr>
                <w:p w14:paraId="6A8C96C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70" w:type="pct"/>
                  <w:tcBorders>
                    <w:top w:val="nil"/>
                    <w:left w:val="nil"/>
                    <w:bottom w:val="single" w:color="auto" w:sz="4" w:space="0"/>
                    <w:right w:val="single" w:color="auto" w:sz="4" w:space="0"/>
                  </w:tcBorders>
                  <w:shd w:val="clear" w:color="auto" w:fill="auto"/>
                  <w:vAlign w:val="center"/>
                </w:tcPr>
                <w:p w14:paraId="070241D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台套</w:t>
                  </w:r>
                </w:p>
              </w:tc>
              <w:tc>
                <w:tcPr>
                  <w:tcW w:w="413" w:type="pct"/>
                  <w:tcBorders>
                    <w:top w:val="nil"/>
                    <w:left w:val="nil"/>
                    <w:bottom w:val="single" w:color="auto" w:sz="4" w:space="0"/>
                    <w:right w:val="single" w:color="auto" w:sz="4" w:space="0"/>
                  </w:tcBorders>
                  <w:shd w:val="clear" w:color="auto" w:fill="auto"/>
                  <w:vAlign w:val="center"/>
                </w:tcPr>
                <w:p w14:paraId="2D2F32B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tcBorders>
                    <w:top w:val="nil"/>
                    <w:left w:val="nil"/>
                    <w:bottom w:val="single" w:color="auto" w:sz="4" w:space="0"/>
                  </w:tcBorders>
                  <w:shd w:val="clear" w:color="auto" w:fill="auto"/>
                  <w:vAlign w:val="center"/>
                </w:tcPr>
                <w:p w14:paraId="3A92A6C1">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0E0CBB5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46FB18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.13</w:t>
                  </w:r>
                </w:p>
              </w:tc>
              <w:tc>
                <w:tcPr>
                  <w:tcW w:w="1523" w:type="pct"/>
                  <w:tcBorders>
                    <w:top w:val="nil"/>
                    <w:left w:val="nil"/>
                    <w:bottom w:val="single" w:color="auto" w:sz="4" w:space="0"/>
                    <w:right w:val="single" w:color="auto" w:sz="4" w:space="0"/>
                  </w:tcBorders>
                  <w:shd w:val="clear" w:color="auto" w:fill="auto"/>
                  <w:noWrap/>
                  <w:vAlign w:val="center"/>
                </w:tcPr>
                <w:p w14:paraId="29BF15E5">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喷码机</w:t>
                  </w:r>
                </w:p>
              </w:tc>
              <w:tc>
                <w:tcPr>
                  <w:tcW w:w="1302" w:type="pct"/>
                  <w:tcBorders>
                    <w:top w:val="nil"/>
                    <w:left w:val="nil"/>
                    <w:bottom w:val="single" w:color="auto" w:sz="4" w:space="0"/>
                    <w:right w:val="single" w:color="auto" w:sz="4" w:space="0"/>
                  </w:tcBorders>
                  <w:shd w:val="clear" w:color="auto" w:fill="auto"/>
                  <w:noWrap/>
                  <w:vAlign w:val="center"/>
                </w:tcPr>
                <w:p w14:paraId="33751BB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日立RX—2L</w:t>
                  </w:r>
                </w:p>
              </w:tc>
              <w:tc>
                <w:tcPr>
                  <w:tcW w:w="470" w:type="pct"/>
                  <w:tcBorders>
                    <w:top w:val="nil"/>
                    <w:left w:val="nil"/>
                    <w:bottom w:val="single" w:color="auto" w:sz="4" w:space="0"/>
                    <w:right w:val="single" w:color="auto" w:sz="4" w:space="0"/>
                  </w:tcBorders>
                  <w:shd w:val="clear" w:color="auto" w:fill="auto"/>
                  <w:vAlign w:val="center"/>
                </w:tcPr>
                <w:p w14:paraId="3D323F4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1E3412D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tcBorders>
                    <w:top w:val="nil"/>
                    <w:left w:val="nil"/>
                    <w:bottom w:val="single" w:color="auto" w:sz="4" w:space="0"/>
                  </w:tcBorders>
                  <w:shd w:val="clear" w:color="auto" w:fill="auto"/>
                  <w:vAlign w:val="center"/>
                </w:tcPr>
                <w:p w14:paraId="19873D40">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w:t>
                  </w:r>
                </w:p>
              </w:tc>
            </w:tr>
            <w:tr w14:paraId="4929209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024D812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b/>
                      <w:bCs/>
                      <w:color w:val="auto"/>
                      <w:kern w:val="0"/>
                      <w:sz w:val="21"/>
                      <w:szCs w:val="21"/>
                      <w:lang w:val="en-US" w:eastAsia="zh-CN"/>
                    </w:rPr>
                    <w:t>5</w:t>
                  </w:r>
                </w:p>
              </w:tc>
              <w:tc>
                <w:tcPr>
                  <w:tcW w:w="4433" w:type="pct"/>
                  <w:gridSpan w:val="5"/>
                  <w:tcBorders>
                    <w:top w:val="nil"/>
                    <w:left w:val="nil"/>
                    <w:bottom w:val="single" w:color="auto" w:sz="4" w:space="0"/>
                  </w:tcBorders>
                  <w:shd w:val="clear" w:color="auto" w:fill="auto"/>
                  <w:noWrap/>
                  <w:vAlign w:val="center"/>
                </w:tcPr>
                <w:p w14:paraId="508BF7F5">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b/>
                      <w:bCs/>
                      <w:color w:val="auto"/>
                      <w:kern w:val="0"/>
                      <w:sz w:val="21"/>
                      <w:szCs w:val="21"/>
                      <w:lang w:val="en-US" w:eastAsia="zh-CN"/>
                    </w:rPr>
                    <w:t>仓库</w:t>
                  </w:r>
                </w:p>
              </w:tc>
            </w:tr>
            <w:tr w14:paraId="2E2E14B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098363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.1</w:t>
                  </w:r>
                </w:p>
              </w:tc>
              <w:tc>
                <w:tcPr>
                  <w:tcW w:w="1523" w:type="pct"/>
                  <w:tcBorders>
                    <w:top w:val="nil"/>
                    <w:left w:val="nil"/>
                    <w:bottom w:val="single" w:color="auto" w:sz="4" w:space="0"/>
                    <w:right w:val="single" w:color="auto" w:sz="4" w:space="0"/>
                  </w:tcBorders>
                  <w:shd w:val="clear" w:color="auto" w:fill="auto"/>
                  <w:noWrap/>
                  <w:vAlign w:val="center"/>
                </w:tcPr>
                <w:p w14:paraId="3BB17453">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电子地磅称</w:t>
                  </w:r>
                </w:p>
              </w:tc>
              <w:tc>
                <w:tcPr>
                  <w:tcW w:w="1302" w:type="pct"/>
                  <w:tcBorders>
                    <w:top w:val="nil"/>
                    <w:left w:val="nil"/>
                    <w:bottom w:val="single" w:color="auto" w:sz="4" w:space="0"/>
                    <w:right w:val="single" w:color="auto" w:sz="4" w:space="0"/>
                  </w:tcBorders>
                  <w:shd w:val="clear" w:color="auto" w:fill="auto"/>
                  <w:noWrap/>
                  <w:vAlign w:val="center"/>
                </w:tcPr>
                <w:p w14:paraId="7AB2762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3t</w:t>
                  </w:r>
                </w:p>
              </w:tc>
              <w:tc>
                <w:tcPr>
                  <w:tcW w:w="470" w:type="pct"/>
                  <w:tcBorders>
                    <w:top w:val="nil"/>
                    <w:left w:val="nil"/>
                    <w:bottom w:val="single" w:color="auto" w:sz="4" w:space="0"/>
                    <w:right w:val="single" w:color="auto" w:sz="4" w:space="0"/>
                  </w:tcBorders>
                  <w:shd w:val="clear" w:color="auto" w:fill="auto"/>
                  <w:vAlign w:val="center"/>
                </w:tcPr>
                <w:p w14:paraId="7D5A876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vAlign w:val="center"/>
                </w:tcPr>
                <w:p w14:paraId="4A01187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22" w:type="pct"/>
                  <w:tcBorders>
                    <w:top w:val="nil"/>
                    <w:left w:val="nil"/>
                    <w:bottom w:val="single" w:color="auto" w:sz="4" w:space="0"/>
                  </w:tcBorders>
                  <w:shd w:val="clear" w:color="auto" w:fill="auto"/>
                  <w:vAlign w:val="center"/>
                </w:tcPr>
                <w:p w14:paraId="0BA948D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14:paraId="342D57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0659C75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b/>
                      <w:bCs/>
                      <w:color w:val="auto"/>
                      <w:kern w:val="0"/>
                      <w:sz w:val="21"/>
                      <w:szCs w:val="21"/>
                      <w:lang w:val="en-US" w:eastAsia="zh-CN"/>
                    </w:rPr>
                    <w:t>6</w:t>
                  </w:r>
                </w:p>
              </w:tc>
              <w:tc>
                <w:tcPr>
                  <w:tcW w:w="4433" w:type="pct"/>
                  <w:gridSpan w:val="5"/>
                  <w:tcBorders>
                    <w:top w:val="nil"/>
                    <w:left w:val="nil"/>
                    <w:bottom w:val="single" w:color="auto" w:sz="4" w:space="0"/>
                  </w:tcBorders>
                  <w:shd w:val="clear" w:color="auto" w:fill="auto"/>
                  <w:noWrap/>
                  <w:vAlign w:val="center"/>
                </w:tcPr>
                <w:p w14:paraId="0C7833E2">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办公及分析检测</w:t>
                  </w:r>
                  <w:r>
                    <w:rPr>
                      <w:rFonts w:hint="eastAsia" w:ascii="Times New Roman" w:hAnsi="Times New Roman" w:eastAsia="宋体" w:cs="Times New Roman"/>
                      <w:b/>
                      <w:bCs/>
                      <w:color w:val="auto"/>
                      <w:kern w:val="0"/>
                      <w:sz w:val="21"/>
                      <w:szCs w:val="21"/>
                      <w:lang w:eastAsia="zh-CN"/>
                    </w:rPr>
                    <w:t>实验</w:t>
                  </w:r>
                  <w:r>
                    <w:rPr>
                      <w:rFonts w:hint="default" w:ascii="Times New Roman" w:hAnsi="Times New Roman" w:eastAsia="宋体" w:cs="Times New Roman"/>
                      <w:b/>
                      <w:bCs/>
                      <w:color w:val="auto"/>
                      <w:kern w:val="0"/>
                      <w:sz w:val="21"/>
                      <w:szCs w:val="21"/>
                    </w:rPr>
                    <w:t>室</w:t>
                  </w:r>
                </w:p>
              </w:tc>
            </w:tr>
            <w:tr w14:paraId="5D6DE4A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11781C7D">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.1</w:t>
                  </w:r>
                </w:p>
              </w:tc>
              <w:tc>
                <w:tcPr>
                  <w:tcW w:w="1523" w:type="pct"/>
                  <w:tcBorders>
                    <w:top w:val="nil"/>
                    <w:left w:val="nil"/>
                    <w:bottom w:val="single" w:color="auto" w:sz="4" w:space="0"/>
                    <w:right w:val="single" w:color="auto" w:sz="4" w:space="0"/>
                  </w:tcBorders>
                  <w:shd w:val="clear" w:color="auto" w:fill="auto"/>
                  <w:noWrap/>
                  <w:vAlign w:val="center"/>
                </w:tcPr>
                <w:p w14:paraId="5F5DF60A">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直读光谱仪</w:t>
                  </w:r>
                </w:p>
              </w:tc>
              <w:tc>
                <w:tcPr>
                  <w:tcW w:w="1302" w:type="pct"/>
                  <w:tcBorders>
                    <w:top w:val="nil"/>
                    <w:left w:val="nil"/>
                    <w:bottom w:val="single" w:color="auto" w:sz="4" w:space="0"/>
                    <w:right w:val="single" w:color="auto" w:sz="4" w:space="0"/>
                  </w:tcBorders>
                  <w:shd w:val="clear" w:color="auto" w:fill="auto"/>
                  <w:noWrap/>
                  <w:vAlign w:val="center"/>
                </w:tcPr>
                <w:p w14:paraId="30C9598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Spectro lab</w:t>
                  </w:r>
                </w:p>
              </w:tc>
              <w:tc>
                <w:tcPr>
                  <w:tcW w:w="470" w:type="pct"/>
                  <w:tcBorders>
                    <w:top w:val="nil"/>
                    <w:left w:val="nil"/>
                    <w:bottom w:val="single" w:color="auto" w:sz="4" w:space="0"/>
                    <w:right w:val="single" w:color="auto" w:sz="4" w:space="0"/>
                  </w:tcBorders>
                  <w:shd w:val="clear" w:color="auto" w:fill="auto"/>
                  <w:noWrap/>
                  <w:vAlign w:val="center"/>
                </w:tcPr>
                <w:p w14:paraId="2E47A0D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noWrap/>
                  <w:vAlign w:val="center"/>
                </w:tcPr>
                <w:p w14:paraId="4F5B02F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670C22C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2DC1E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6E0A473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.2</w:t>
                  </w:r>
                </w:p>
              </w:tc>
              <w:tc>
                <w:tcPr>
                  <w:tcW w:w="1523" w:type="pct"/>
                  <w:tcBorders>
                    <w:top w:val="nil"/>
                    <w:left w:val="nil"/>
                    <w:bottom w:val="single" w:color="auto" w:sz="4" w:space="0"/>
                    <w:right w:val="single" w:color="auto" w:sz="4" w:space="0"/>
                  </w:tcBorders>
                  <w:shd w:val="clear" w:color="auto" w:fill="auto"/>
                  <w:noWrap/>
                  <w:vAlign w:val="center"/>
                </w:tcPr>
                <w:p w14:paraId="60B1E74D">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金相显微镜</w:t>
                  </w:r>
                </w:p>
              </w:tc>
              <w:tc>
                <w:tcPr>
                  <w:tcW w:w="1302" w:type="pct"/>
                  <w:tcBorders>
                    <w:top w:val="nil"/>
                    <w:left w:val="nil"/>
                    <w:bottom w:val="single" w:color="auto" w:sz="4" w:space="0"/>
                    <w:right w:val="single" w:color="auto" w:sz="4" w:space="0"/>
                  </w:tcBorders>
                  <w:shd w:val="clear" w:color="auto" w:fill="auto"/>
                  <w:noWrap/>
                  <w:vAlign w:val="center"/>
                </w:tcPr>
                <w:p w14:paraId="24906DA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奥林巴斯</w:t>
                  </w:r>
                </w:p>
              </w:tc>
              <w:tc>
                <w:tcPr>
                  <w:tcW w:w="470" w:type="pct"/>
                  <w:tcBorders>
                    <w:top w:val="nil"/>
                    <w:left w:val="nil"/>
                    <w:bottom w:val="single" w:color="auto" w:sz="4" w:space="0"/>
                    <w:right w:val="single" w:color="auto" w:sz="4" w:space="0"/>
                  </w:tcBorders>
                  <w:shd w:val="clear" w:color="auto" w:fill="auto"/>
                  <w:noWrap/>
                  <w:vAlign w:val="center"/>
                </w:tcPr>
                <w:p w14:paraId="4997860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noWrap/>
                  <w:vAlign w:val="center"/>
                </w:tcPr>
                <w:p w14:paraId="55B1B64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13F333C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BE0CA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5406C43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.3</w:t>
                  </w:r>
                </w:p>
              </w:tc>
              <w:tc>
                <w:tcPr>
                  <w:tcW w:w="1523" w:type="pct"/>
                  <w:tcBorders>
                    <w:top w:val="nil"/>
                    <w:left w:val="nil"/>
                    <w:bottom w:val="single" w:color="auto" w:sz="4" w:space="0"/>
                    <w:right w:val="single" w:color="auto" w:sz="4" w:space="0"/>
                  </w:tcBorders>
                  <w:shd w:val="clear" w:color="auto" w:fill="auto"/>
                  <w:noWrap/>
                  <w:vAlign w:val="center"/>
                </w:tcPr>
                <w:p w14:paraId="428B9EA9">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盐雾</w:t>
                  </w:r>
                  <w:r>
                    <w:rPr>
                      <w:rFonts w:hint="eastAsia" w:ascii="Times New Roman" w:hAnsi="Times New Roman" w:eastAsia="宋体" w:cs="Times New Roman"/>
                      <w:color w:val="auto"/>
                      <w:kern w:val="0"/>
                      <w:sz w:val="21"/>
                      <w:szCs w:val="21"/>
                      <w:lang w:eastAsia="zh-CN"/>
                    </w:rPr>
                    <w:t>实验</w:t>
                  </w:r>
                  <w:r>
                    <w:rPr>
                      <w:rFonts w:hint="default" w:ascii="Times New Roman" w:hAnsi="Times New Roman" w:eastAsia="宋体" w:cs="Times New Roman"/>
                      <w:color w:val="auto"/>
                      <w:kern w:val="0"/>
                      <w:sz w:val="21"/>
                      <w:szCs w:val="21"/>
                    </w:rPr>
                    <w:t>箱</w:t>
                  </w:r>
                </w:p>
              </w:tc>
              <w:tc>
                <w:tcPr>
                  <w:tcW w:w="1302" w:type="pct"/>
                  <w:tcBorders>
                    <w:top w:val="nil"/>
                    <w:left w:val="nil"/>
                    <w:bottom w:val="single" w:color="auto" w:sz="4" w:space="0"/>
                    <w:right w:val="single" w:color="auto" w:sz="4" w:space="0"/>
                  </w:tcBorders>
                  <w:shd w:val="clear" w:color="auto" w:fill="auto"/>
                  <w:noWrap/>
                  <w:vAlign w:val="center"/>
                </w:tcPr>
                <w:p w14:paraId="717992D9">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0.5M</w:t>
                  </w:r>
                  <w:r>
                    <w:rPr>
                      <w:rFonts w:hint="default" w:ascii="Times New Roman" w:hAnsi="Times New Roman" w:eastAsia="宋体" w:cs="Times New Roman"/>
                      <w:color w:val="auto"/>
                      <w:kern w:val="0"/>
                      <w:sz w:val="21"/>
                      <w:szCs w:val="21"/>
                      <w:vertAlign w:val="superscript"/>
                    </w:rPr>
                    <w:t>3</w:t>
                  </w:r>
                </w:p>
              </w:tc>
              <w:tc>
                <w:tcPr>
                  <w:tcW w:w="470" w:type="pct"/>
                  <w:tcBorders>
                    <w:top w:val="nil"/>
                    <w:left w:val="nil"/>
                    <w:bottom w:val="single" w:color="auto" w:sz="4" w:space="0"/>
                    <w:right w:val="single" w:color="auto" w:sz="4" w:space="0"/>
                  </w:tcBorders>
                  <w:shd w:val="clear" w:color="auto" w:fill="auto"/>
                  <w:noWrap/>
                  <w:vAlign w:val="center"/>
                </w:tcPr>
                <w:p w14:paraId="06E6344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noWrap/>
                  <w:vAlign w:val="center"/>
                </w:tcPr>
                <w:p w14:paraId="4169C698">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39564A7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500190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40CCC2C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.4</w:t>
                  </w:r>
                </w:p>
              </w:tc>
              <w:tc>
                <w:tcPr>
                  <w:tcW w:w="1523" w:type="pct"/>
                  <w:tcBorders>
                    <w:top w:val="nil"/>
                    <w:left w:val="nil"/>
                    <w:bottom w:val="single" w:color="auto" w:sz="4" w:space="0"/>
                    <w:right w:val="single" w:color="auto" w:sz="4" w:space="0"/>
                  </w:tcBorders>
                  <w:shd w:val="clear" w:color="auto" w:fill="auto"/>
                  <w:noWrap/>
                  <w:vAlign w:val="center"/>
                </w:tcPr>
                <w:p w14:paraId="29C3B99B">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布氏硬度计</w:t>
                  </w:r>
                </w:p>
              </w:tc>
              <w:tc>
                <w:tcPr>
                  <w:tcW w:w="1302" w:type="pct"/>
                  <w:tcBorders>
                    <w:top w:val="nil"/>
                    <w:left w:val="nil"/>
                    <w:bottom w:val="single" w:color="auto" w:sz="4" w:space="0"/>
                    <w:right w:val="single" w:color="auto" w:sz="4" w:space="0"/>
                  </w:tcBorders>
                  <w:shd w:val="clear" w:color="auto" w:fill="auto"/>
                  <w:noWrap/>
                  <w:vAlign w:val="center"/>
                </w:tcPr>
                <w:p w14:paraId="7651967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noWrap/>
                  <w:vAlign w:val="center"/>
                </w:tcPr>
                <w:p w14:paraId="37F6FBD1">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noWrap/>
                  <w:vAlign w:val="center"/>
                </w:tcPr>
                <w:p w14:paraId="7E93DF3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79DE4D0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D9F4E0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48354314">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.5</w:t>
                  </w:r>
                </w:p>
              </w:tc>
              <w:tc>
                <w:tcPr>
                  <w:tcW w:w="1523" w:type="pct"/>
                  <w:tcBorders>
                    <w:top w:val="nil"/>
                    <w:left w:val="nil"/>
                    <w:bottom w:val="single" w:color="auto" w:sz="4" w:space="0"/>
                    <w:right w:val="single" w:color="auto" w:sz="4" w:space="0"/>
                  </w:tcBorders>
                  <w:shd w:val="clear" w:color="auto" w:fill="auto"/>
                  <w:noWrap/>
                  <w:vAlign w:val="center"/>
                </w:tcPr>
                <w:p w14:paraId="1A7CA787">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电子分析天平</w:t>
                  </w:r>
                </w:p>
              </w:tc>
              <w:tc>
                <w:tcPr>
                  <w:tcW w:w="1302" w:type="pct"/>
                  <w:tcBorders>
                    <w:top w:val="nil"/>
                    <w:left w:val="nil"/>
                    <w:bottom w:val="single" w:color="auto" w:sz="4" w:space="0"/>
                    <w:right w:val="single" w:color="auto" w:sz="4" w:space="0"/>
                  </w:tcBorders>
                  <w:shd w:val="clear" w:color="auto" w:fill="auto"/>
                  <w:noWrap/>
                  <w:vAlign w:val="center"/>
                </w:tcPr>
                <w:p w14:paraId="71068FC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noWrap/>
                  <w:vAlign w:val="center"/>
                </w:tcPr>
                <w:p w14:paraId="157C498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noWrap/>
                  <w:vAlign w:val="center"/>
                </w:tcPr>
                <w:p w14:paraId="2DFEE5C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34947E7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8AD83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54FF272">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.6</w:t>
                  </w:r>
                </w:p>
              </w:tc>
              <w:tc>
                <w:tcPr>
                  <w:tcW w:w="1523" w:type="pct"/>
                  <w:tcBorders>
                    <w:top w:val="nil"/>
                    <w:left w:val="nil"/>
                    <w:bottom w:val="single" w:color="auto" w:sz="4" w:space="0"/>
                    <w:right w:val="single" w:color="auto" w:sz="4" w:space="0"/>
                  </w:tcBorders>
                  <w:shd w:val="clear" w:color="auto" w:fill="auto"/>
                  <w:noWrap/>
                  <w:vAlign w:val="center"/>
                </w:tcPr>
                <w:p w14:paraId="0770F7D5">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721分光光度计</w:t>
                  </w:r>
                </w:p>
              </w:tc>
              <w:tc>
                <w:tcPr>
                  <w:tcW w:w="1302" w:type="pct"/>
                  <w:tcBorders>
                    <w:top w:val="nil"/>
                    <w:left w:val="nil"/>
                    <w:bottom w:val="single" w:color="auto" w:sz="4" w:space="0"/>
                    <w:right w:val="single" w:color="auto" w:sz="4" w:space="0"/>
                  </w:tcBorders>
                  <w:shd w:val="clear" w:color="auto" w:fill="auto"/>
                  <w:noWrap/>
                  <w:vAlign w:val="center"/>
                </w:tcPr>
                <w:p w14:paraId="7BD5E5B6">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noWrap/>
                  <w:vAlign w:val="center"/>
                </w:tcPr>
                <w:p w14:paraId="28F882BF">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台</w:t>
                  </w:r>
                </w:p>
              </w:tc>
              <w:tc>
                <w:tcPr>
                  <w:tcW w:w="413" w:type="pct"/>
                  <w:tcBorders>
                    <w:top w:val="nil"/>
                    <w:left w:val="nil"/>
                    <w:bottom w:val="single" w:color="auto" w:sz="4" w:space="0"/>
                    <w:right w:val="single" w:color="auto" w:sz="4" w:space="0"/>
                  </w:tcBorders>
                  <w:shd w:val="clear" w:color="auto" w:fill="auto"/>
                  <w:noWrap/>
                  <w:vAlign w:val="center"/>
                </w:tcPr>
                <w:p w14:paraId="274A6F4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29985DB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FF0645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jc w:val="center"/>
              </w:trPr>
              <w:tc>
                <w:tcPr>
                  <w:tcW w:w="566" w:type="pct"/>
                  <w:tcBorders>
                    <w:top w:val="nil"/>
                    <w:bottom w:val="single" w:color="auto" w:sz="4" w:space="0"/>
                    <w:right w:val="single" w:color="auto" w:sz="4" w:space="0"/>
                  </w:tcBorders>
                  <w:shd w:val="clear" w:color="auto" w:fill="auto"/>
                  <w:vAlign w:val="center"/>
                </w:tcPr>
                <w:p w14:paraId="7907D04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default" w:ascii="Times New Roman" w:hAnsi="Times New Roman" w:eastAsia="宋体" w:cs="Times New Roman"/>
                      <w:color w:val="auto"/>
                      <w:kern w:val="0"/>
                      <w:sz w:val="21"/>
                      <w:szCs w:val="21"/>
                    </w:rPr>
                    <w:t>.7</w:t>
                  </w:r>
                </w:p>
              </w:tc>
              <w:tc>
                <w:tcPr>
                  <w:tcW w:w="1523" w:type="pct"/>
                  <w:tcBorders>
                    <w:top w:val="nil"/>
                    <w:left w:val="nil"/>
                    <w:bottom w:val="single" w:color="auto" w:sz="4" w:space="0"/>
                    <w:right w:val="single" w:color="auto" w:sz="4" w:space="0"/>
                  </w:tcBorders>
                  <w:shd w:val="clear" w:color="auto" w:fill="auto"/>
                  <w:noWrap/>
                  <w:vAlign w:val="center"/>
                </w:tcPr>
                <w:p w14:paraId="795033F0">
                  <w:pPr>
                    <w:keepNext w:val="0"/>
                    <w:keepLines w:val="0"/>
                    <w:pageBreakBefore w:val="0"/>
                    <w:widowControl/>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分析橱柜及玻璃仪器等</w:t>
                  </w:r>
                </w:p>
              </w:tc>
              <w:tc>
                <w:tcPr>
                  <w:tcW w:w="1302" w:type="pct"/>
                  <w:tcBorders>
                    <w:top w:val="nil"/>
                    <w:left w:val="nil"/>
                    <w:bottom w:val="single" w:color="auto" w:sz="4" w:space="0"/>
                    <w:right w:val="single" w:color="auto" w:sz="4" w:space="0"/>
                  </w:tcBorders>
                  <w:shd w:val="clear" w:color="auto" w:fill="auto"/>
                  <w:noWrap/>
                  <w:vAlign w:val="center"/>
                </w:tcPr>
                <w:p w14:paraId="2D15E90A">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470" w:type="pct"/>
                  <w:tcBorders>
                    <w:top w:val="nil"/>
                    <w:left w:val="nil"/>
                    <w:bottom w:val="single" w:color="auto" w:sz="4" w:space="0"/>
                    <w:right w:val="single" w:color="auto" w:sz="4" w:space="0"/>
                  </w:tcBorders>
                  <w:shd w:val="clear" w:color="auto" w:fill="auto"/>
                  <w:noWrap/>
                  <w:vAlign w:val="center"/>
                </w:tcPr>
                <w:p w14:paraId="5F732B6C">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套</w:t>
                  </w:r>
                </w:p>
              </w:tc>
              <w:tc>
                <w:tcPr>
                  <w:tcW w:w="413" w:type="pct"/>
                  <w:tcBorders>
                    <w:top w:val="nil"/>
                    <w:left w:val="nil"/>
                    <w:bottom w:val="single" w:color="auto" w:sz="4" w:space="0"/>
                    <w:right w:val="single" w:color="auto" w:sz="4" w:space="0"/>
                  </w:tcBorders>
                  <w:shd w:val="clear" w:color="auto" w:fill="auto"/>
                  <w:noWrap/>
                  <w:vAlign w:val="center"/>
                </w:tcPr>
                <w:p w14:paraId="791ED41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722" w:type="pct"/>
                  <w:tcBorders>
                    <w:top w:val="nil"/>
                    <w:left w:val="nil"/>
                    <w:bottom w:val="single" w:color="auto" w:sz="4" w:space="0"/>
                  </w:tcBorders>
                  <w:shd w:val="clear" w:color="auto" w:fill="auto"/>
                  <w:vAlign w:val="center"/>
                </w:tcPr>
                <w:p w14:paraId="463A771B">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bl>
          <w:p w14:paraId="74AB5F4D">
            <w:pPr>
              <w:pStyle w:val="8"/>
              <w:spacing w:after="120"/>
              <w:rPr>
                <w:rFonts w:hint="default" w:eastAsia="宋体"/>
                <w:color w:val="auto"/>
                <w:lang w:val="en-US" w:eastAsia="zh-CN"/>
              </w:rPr>
            </w:pPr>
            <w:r>
              <w:rPr>
                <w:rFonts w:hint="eastAsia"/>
                <w:color w:val="auto"/>
              </w:rPr>
              <w:t>六</w:t>
            </w:r>
            <w:r>
              <w:rPr>
                <w:color w:val="auto"/>
              </w:rPr>
              <w:t>、主要原辅材料</w:t>
            </w:r>
            <w:r>
              <w:rPr>
                <w:rFonts w:hint="eastAsia"/>
                <w:color w:val="auto"/>
                <w:lang w:eastAsia="zh-CN"/>
              </w:rPr>
              <w:t>、</w:t>
            </w:r>
            <w:r>
              <w:rPr>
                <w:color w:val="auto"/>
              </w:rPr>
              <w:t>能源消耗</w:t>
            </w:r>
            <w:r>
              <w:rPr>
                <w:rFonts w:hint="eastAsia"/>
                <w:color w:val="auto"/>
                <w:lang w:val="en-US" w:eastAsia="zh-CN"/>
              </w:rPr>
              <w:t>及平衡分析</w:t>
            </w:r>
          </w:p>
          <w:p w14:paraId="004D9872">
            <w:pPr>
              <w:widowControl w:val="0"/>
              <w:numPr>
                <w:ilvl w:val="0"/>
                <w:numId w:val="0"/>
              </w:numPr>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（1）主要原辅材料及</w:t>
            </w:r>
            <w:r>
              <w:rPr>
                <w:rFonts w:hint="default" w:ascii="Times New Roman" w:hAnsi="Times New Roman" w:cs="Times New Roman"/>
                <w:color w:val="auto"/>
              </w:rPr>
              <w:t>能源消耗</w:t>
            </w:r>
          </w:p>
          <w:p w14:paraId="1D1A1647">
            <w:pPr>
              <w:widowControl w:val="0"/>
              <w:numPr>
                <w:ilvl w:val="0"/>
                <w:numId w:val="0"/>
              </w:numPr>
              <w:ind w:firstLine="480" w:firstLineChars="200"/>
              <w:jc w:val="left"/>
              <w:rPr>
                <w:rFonts w:hint="eastAsia" w:cs="Times New Roman"/>
                <w:color w:val="auto"/>
                <w:sz w:val="24"/>
                <w:szCs w:val="24"/>
                <w:lang w:eastAsia="zh-CN"/>
              </w:rPr>
            </w:pPr>
            <w:r>
              <w:rPr>
                <w:rFonts w:hint="eastAsia" w:ascii="宋体" w:hAnsi="宋体" w:eastAsia="宋体" w:cs="宋体"/>
                <w:color w:val="auto"/>
                <w:sz w:val="24"/>
                <w:szCs w:val="24"/>
                <w:lang w:val="en-US" w:eastAsia="zh-CN"/>
              </w:rPr>
              <w:t>本</w:t>
            </w:r>
            <w:r>
              <w:rPr>
                <w:rFonts w:hint="default" w:ascii="Times New Roman" w:hAnsi="Times New Roman" w:eastAsia="宋体" w:cs="Times New Roman"/>
                <w:color w:val="auto"/>
                <w:sz w:val="24"/>
                <w:szCs w:val="24"/>
              </w:rPr>
              <w:t>项目以外购</w:t>
            </w:r>
            <w:r>
              <w:rPr>
                <w:rFonts w:hint="default" w:ascii="Times New Roman" w:hAnsi="Times New Roman" w:eastAsia="宋体" w:cs="Times New Roman"/>
                <w:color w:val="auto"/>
                <w:sz w:val="24"/>
                <w:szCs w:val="24"/>
                <w:highlight w:val="none"/>
              </w:rPr>
              <w:t>的</w:t>
            </w:r>
            <w:r>
              <w:rPr>
                <w:rFonts w:hint="eastAsia" w:cs="Times New Roman"/>
                <w:color w:val="auto"/>
                <w:sz w:val="24"/>
                <w:szCs w:val="24"/>
                <w:highlight w:val="none"/>
                <w:lang w:val="en-US" w:eastAsia="zh-CN"/>
              </w:rPr>
              <w:t>精镁</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镁锭或镁液</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为原料</w:t>
            </w:r>
            <w:r>
              <w:rPr>
                <w:rFonts w:hint="default" w:ascii="Times New Roman" w:hAnsi="Times New Roman" w:eastAsia="宋体" w:cs="Times New Roman"/>
                <w:color w:val="auto"/>
                <w:sz w:val="24"/>
                <w:szCs w:val="24"/>
              </w:rPr>
              <w:t>，添加铝锭、锌锭等其他原料生产镁合金制品，</w:t>
            </w:r>
            <w:r>
              <w:rPr>
                <w:rFonts w:ascii="宋体" w:hAnsi="宋体" w:eastAsia="宋体" w:cs="宋体"/>
                <w:color w:val="auto"/>
                <w:sz w:val="24"/>
                <w:szCs w:val="24"/>
                <w:highlight w:val="none"/>
              </w:rPr>
              <w:t>镁锭符合《原生镁锭》</w:t>
            </w:r>
            <w:r>
              <w:rPr>
                <w:rFonts w:hint="default" w:ascii="Times New Roman" w:hAnsi="Times New Roman" w:eastAsia="宋体" w:cs="Times New Roman"/>
                <w:color w:val="auto"/>
                <w:sz w:val="24"/>
                <w:szCs w:val="24"/>
                <w:highlight w:val="none"/>
              </w:rPr>
              <w:t>（GB/T3499-2011）</w:t>
            </w:r>
            <w:r>
              <w:rPr>
                <w:rFonts w:hint="eastAsia" w:ascii="宋体" w:hAnsi="宋体" w:eastAsia="宋体" w:cs="宋体"/>
                <w:color w:val="auto"/>
                <w:sz w:val="24"/>
                <w:szCs w:val="24"/>
                <w:highlight w:val="none"/>
                <w:lang w:val="en-US" w:eastAsia="zh-CN"/>
              </w:rPr>
              <w:t>要求，</w:t>
            </w:r>
            <w:r>
              <w:rPr>
                <w:rFonts w:hint="default" w:ascii="Times New Roman" w:hAnsi="Times New Roman" w:eastAsia="宋体" w:cs="Times New Roman"/>
                <w:color w:val="auto"/>
                <w:sz w:val="24"/>
                <w:szCs w:val="24"/>
              </w:rPr>
              <w:t>铝锭符合《重熔用铝锭》（GB/T1196-2017）要求，锌锭符合《锌锭》（GB/T470-2008）标准规定</w:t>
            </w:r>
            <w:r>
              <w:rPr>
                <w:rFonts w:hint="eastAsia" w:cs="Times New Roman"/>
                <w:color w:val="auto"/>
                <w:sz w:val="24"/>
                <w:szCs w:val="24"/>
                <w:lang w:eastAsia="zh-CN"/>
              </w:rPr>
              <w:t>。</w:t>
            </w:r>
          </w:p>
          <w:p w14:paraId="0999E679">
            <w:pPr>
              <w:numPr>
                <w:ilvl w:val="0"/>
                <w:numId w:val="0"/>
              </w:numPr>
              <w:ind w:firstLine="480" w:firstLineChars="200"/>
              <w:rPr>
                <w:rFonts w:hint="default" w:cs="Times New Roman"/>
                <w:color w:val="auto"/>
                <w:sz w:val="24"/>
                <w:szCs w:val="24"/>
                <w:highlight w:val="none"/>
                <w:lang w:val="en-US" w:eastAsia="zh-CN"/>
              </w:rPr>
            </w:pPr>
            <w:r>
              <w:rPr>
                <w:rFonts w:hint="eastAsia"/>
                <w:color w:val="auto"/>
                <w:highlight w:val="none"/>
                <w:lang w:val="en-US" w:eastAsia="zh-CN"/>
              </w:rPr>
              <w:t>项目原料</w:t>
            </w:r>
            <w:r>
              <w:rPr>
                <w:rFonts w:hint="eastAsia" w:cs="Times New Roman"/>
                <w:color w:val="auto"/>
                <w:sz w:val="24"/>
                <w:szCs w:val="24"/>
                <w:highlight w:val="none"/>
                <w:lang w:val="en-US" w:eastAsia="zh-CN"/>
              </w:rPr>
              <w:t>精镁</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镁锭或镁液</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消耗量15440t/a，来自恒生镁业公司，该公司年产精镁</w:t>
            </w:r>
            <w:r>
              <w:rPr>
                <w:rFonts w:hint="eastAsia" w:cs="Times New Roman"/>
                <w:color w:val="auto"/>
                <w:sz w:val="24"/>
                <w:szCs w:val="24"/>
                <w:highlight w:val="none"/>
                <w:lang w:val="en-US" w:eastAsia="zh-CN"/>
              </w:rPr>
              <w:t>2</w:t>
            </w:r>
            <w:r>
              <w:rPr>
                <w:rFonts w:hint="eastAsia" w:cs="Times New Roman"/>
                <w:color w:val="auto"/>
                <w:sz w:val="24"/>
                <w:szCs w:val="24"/>
                <w:highlight w:val="none"/>
                <w:lang w:val="en-US" w:eastAsia="zh-CN"/>
              </w:rPr>
              <w:t>万吨，完全可满足本项目生产需要。</w:t>
            </w:r>
            <w:r>
              <w:rPr>
                <w:rFonts w:hint="eastAsia" w:cs="Times New Roman"/>
                <w:color w:val="auto"/>
                <w:sz w:val="24"/>
                <w:szCs w:val="24"/>
                <w:highlight w:val="none"/>
                <w:lang w:val="en-US" w:eastAsia="zh-CN"/>
              </w:rPr>
              <w:t>此外，项目压铸件、镁合金颗粒另外购高品质镁合金作为原料。</w:t>
            </w:r>
          </w:p>
          <w:p w14:paraId="213DEAC6">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项目消耗的荒煤气来自恒生镁业公司兰炭炉，该公司年产兰炭60万吨，年产荒煤气6亿立方米，其中4.5亿立方米/年公司自身生产消耗，剩余荒煤气量为1.5亿立方米/年，本项目年消耗荒煤气量仅640万立方米，因此，该公司剩余荒煤气量完全可以满足项目生产需要。</w:t>
            </w:r>
          </w:p>
          <w:p w14:paraId="2F5AD122">
            <w:pPr>
              <w:numPr>
                <w:ilvl w:val="0"/>
                <w:numId w:val="0"/>
              </w:numPr>
              <w:ind w:firstLine="480" w:firstLineChars="200"/>
              <w:rPr>
                <w:rFonts w:hint="default"/>
                <w:color w:val="auto"/>
                <w:highlight w:val="none"/>
                <w:lang w:val="en-US" w:eastAsia="zh-CN"/>
              </w:rPr>
            </w:pPr>
            <w:r>
              <w:rPr>
                <w:rFonts w:hint="eastAsia"/>
                <w:color w:val="auto"/>
                <w:highlight w:val="none"/>
                <w:lang w:val="en-US" w:eastAsia="zh-CN"/>
              </w:rPr>
              <w:t>该公司已取得排污许可证等环保合法手续，经协商，该公司负责建设输气管道并办理相关环保手续，本项目可直接利用，本项目不设荒煤气柜。</w:t>
            </w:r>
          </w:p>
          <w:p w14:paraId="52370B8D">
            <w:pPr>
              <w:widowControl w:val="0"/>
              <w:numPr>
                <w:ilvl w:val="0"/>
                <w:numId w:val="0"/>
              </w:numPr>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项目主要原辅材料及</w:t>
            </w:r>
            <w:r>
              <w:rPr>
                <w:rFonts w:hint="default" w:ascii="Times New Roman" w:hAnsi="Times New Roman" w:eastAsia="宋体" w:cs="Times New Roman"/>
                <w:color w:val="auto"/>
                <w:sz w:val="24"/>
                <w:szCs w:val="24"/>
                <w:lang w:val="en-US" w:eastAsia="zh-CN"/>
              </w:rPr>
              <w:t>能源</w:t>
            </w:r>
            <w:r>
              <w:rPr>
                <w:rFonts w:hint="default" w:ascii="Times New Roman" w:hAnsi="Times New Roman" w:eastAsia="宋体" w:cs="Times New Roman"/>
                <w:color w:val="auto"/>
                <w:sz w:val="24"/>
                <w:szCs w:val="24"/>
              </w:rPr>
              <w:t>的种类及用量见表</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，主要原料成分见表</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，项目主要原辅材料理化性质见表</w:t>
            </w:r>
            <w:r>
              <w:rPr>
                <w:rFonts w:hint="default" w:ascii="Times New Roman" w:hAnsi="Times New Roman" w:eastAsia="宋体" w:cs="Times New Roman"/>
                <w:color w:val="auto"/>
                <w:sz w:val="24"/>
                <w:szCs w:val="24"/>
                <w:lang w:val="en-US" w:eastAsia="zh-CN"/>
              </w:rPr>
              <w:t>2-7</w:t>
            </w:r>
            <w:r>
              <w:rPr>
                <w:rFonts w:hint="eastAsia" w:cs="Times New Roman"/>
                <w:color w:val="auto"/>
                <w:sz w:val="24"/>
                <w:szCs w:val="24"/>
                <w:lang w:eastAsia="zh-CN"/>
              </w:rPr>
              <w:t>。</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荒煤气</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天然气组分见表</w:t>
            </w:r>
            <w:r>
              <w:rPr>
                <w:rFonts w:hint="default" w:ascii="Times New Roman" w:hAnsi="Times New Roman" w:eastAsia="宋体" w:cs="Times New Roman"/>
                <w:color w:val="auto"/>
                <w:sz w:val="24"/>
                <w:szCs w:val="24"/>
                <w:highlight w:val="none"/>
                <w:lang w:val="en-US" w:eastAsia="zh-CN"/>
              </w:rPr>
              <w:t>2-8</w:t>
            </w:r>
            <w:r>
              <w:rPr>
                <w:rFonts w:hint="eastAsia" w:ascii="Times New Roman" w:hAnsi="Times New Roman" w:eastAsia="宋体" w:cs="Times New Roman"/>
                <w:color w:val="auto"/>
                <w:sz w:val="24"/>
                <w:szCs w:val="24"/>
                <w:highlight w:val="none"/>
                <w:lang w:val="en-US" w:eastAsia="zh-CN"/>
              </w:rPr>
              <w:t>、表2-9</w:t>
            </w:r>
            <w:r>
              <w:rPr>
                <w:rFonts w:hint="default" w:ascii="Times New Roman" w:hAnsi="Times New Roman" w:eastAsia="宋体" w:cs="Times New Roman"/>
                <w:color w:val="auto"/>
                <w:sz w:val="24"/>
                <w:szCs w:val="24"/>
                <w:highlight w:val="none"/>
                <w:lang w:val="en-US" w:eastAsia="zh-CN"/>
              </w:rPr>
              <w:t>。</w:t>
            </w:r>
          </w:p>
          <w:p w14:paraId="6712749F">
            <w:pPr>
              <w:widowControl w:val="0"/>
              <w:numPr>
                <w:ilvl w:val="0"/>
                <w:numId w:val="0"/>
              </w:numPr>
              <w:ind w:firstLine="480" w:firstLineChars="200"/>
              <w:jc w:val="center"/>
              <w:rPr>
                <w:rFonts w:hint="eastAsia" w:ascii="黑体" w:hAnsi="黑体" w:eastAsia="黑体" w:cs="黑体"/>
                <w:b w:val="0"/>
                <w:bCs w:val="0"/>
                <w:color w:val="auto"/>
                <w:sz w:val="24"/>
                <w:szCs w:val="24"/>
              </w:rPr>
            </w:pPr>
            <w:r>
              <w:rPr>
                <w:rFonts w:hint="default" w:ascii="黑体" w:hAnsi="黑体" w:eastAsia="黑体" w:cs="黑体"/>
                <w:b w:val="0"/>
                <w:bCs w:val="0"/>
                <w:color w:val="auto"/>
                <w:sz w:val="24"/>
                <w:szCs w:val="24"/>
              </w:rPr>
              <w:t>表</w:t>
            </w:r>
            <w:r>
              <w:rPr>
                <w:rFonts w:hint="default" w:ascii="黑体" w:hAnsi="黑体" w:eastAsia="黑体" w:cs="黑体"/>
                <w:b w:val="0"/>
                <w:bCs w:val="0"/>
                <w:color w:val="auto"/>
                <w:sz w:val="24"/>
                <w:szCs w:val="24"/>
                <w:lang w:val="en-US" w:eastAsia="zh-CN"/>
              </w:rPr>
              <w:t xml:space="preserve">2-5  </w:t>
            </w:r>
            <w:r>
              <w:rPr>
                <w:rFonts w:hint="default" w:ascii="黑体" w:hAnsi="黑体" w:eastAsia="黑体" w:cs="黑体"/>
                <w:b w:val="0"/>
                <w:bCs w:val="0"/>
                <w:color w:val="auto"/>
                <w:sz w:val="24"/>
                <w:szCs w:val="24"/>
              </w:rPr>
              <w:t>项目主要原辅材料及燃料一览表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011"/>
              <w:gridCol w:w="1829"/>
              <w:gridCol w:w="3816"/>
            </w:tblGrid>
            <w:tr w14:paraId="2F47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tcPr>
                <w:p w14:paraId="651EA22B">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序号</w:t>
                  </w:r>
                </w:p>
              </w:tc>
              <w:tc>
                <w:tcPr>
                  <w:tcW w:w="1181" w:type="pct"/>
                </w:tcPr>
                <w:p w14:paraId="5C226326">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原辅料名称</w:t>
                  </w:r>
                </w:p>
              </w:tc>
              <w:tc>
                <w:tcPr>
                  <w:tcW w:w="1074" w:type="pct"/>
                </w:tcPr>
                <w:p w14:paraId="78240930">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年用量</w:t>
                  </w:r>
                </w:p>
              </w:tc>
              <w:tc>
                <w:tcPr>
                  <w:tcW w:w="2240" w:type="pct"/>
                </w:tcPr>
                <w:p w14:paraId="1FA8FEC2">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备注</w:t>
                  </w:r>
                </w:p>
              </w:tc>
            </w:tr>
            <w:tr w14:paraId="58D7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Align w:val="center"/>
                </w:tcPr>
                <w:p w14:paraId="1AB7801C">
                  <w:pPr>
                    <w:widowControl w:val="0"/>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81" w:type="pct"/>
                  <w:vAlign w:val="center"/>
                </w:tcPr>
                <w:p w14:paraId="7C54452A">
                  <w:pPr>
                    <w:widowControl w:val="0"/>
                    <w:numPr>
                      <w:ilvl w:val="0"/>
                      <w:numId w:val="0"/>
                    </w:numPr>
                    <w:jc w:val="center"/>
                    <w:rPr>
                      <w:rFonts w:hint="default" w:ascii="宋体" w:hAnsi="宋体" w:eastAsia="宋体" w:cs="宋体"/>
                      <w:color w:val="auto"/>
                      <w:sz w:val="21"/>
                      <w:szCs w:val="21"/>
                      <w:vertAlign w:val="baseline"/>
                      <w:lang w:val="en-US" w:eastAsia="zh-CN"/>
                    </w:rPr>
                  </w:pPr>
                  <w:r>
                    <w:rPr>
                      <w:rFonts w:hint="eastAsia" w:cs="Times New Roman"/>
                      <w:color w:val="auto"/>
                      <w:sz w:val="21"/>
                      <w:szCs w:val="21"/>
                      <w:highlight w:val="none"/>
                      <w:lang w:val="en-US" w:eastAsia="zh-CN"/>
                    </w:rPr>
                    <w:t>精镁</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镁锭或镁液</w:t>
                  </w:r>
                  <w:r>
                    <w:rPr>
                      <w:rFonts w:hint="eastAsia" w:cs="Times New Roman"/>
                      <w:color w:val="auto"/>
                      <w:sz w:val="21"/>
                      <w:szCs w:val="21"/>
                      <w:highlight w:val="none"/>
                      <w:lang w:eastAsia="zh-CN"/>
                    </w:rPr>
                    <w:t>）</w:t>
                  </w:r>
                </w:p>
              </w:tc>
              <w:tc>
                <w:tcPr>
                  <w:tcW w:w="1074" w:type="pct"/>
                  <w:vAlign w:val="center"/>
                </w:tcPr>
                <w:p w14:paraId="39673228">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kern w:val="0"/>
                      <w:sz w:val="21"/>
                      <w:szCs w:val="21"/>
                      <w:highlight w:val="none"/>
                    </w:rPr>
                    <w:t>1</w:t>
                  </w:r>
                  <w:r>
                    <w:rPr>
                      <w:rFonts w:hint="eastAsia" w:cs="Times New Roman"/>
                      <w:color w:val="auto"/>
                      <w:kern w:val="0"/>
                      <w:sz w:val="21"/>
                      <w:szCs w:val="21"/>
                      <w:highlight w:val="none"/>
                      <w:lang w:val="en-US" w:eastAsia="zh-CN"/>
                    </w:rPr>
                    <w:t>2958.48</w:t>
                  </w:r>
                  <w:r>
                    <w:rPr>
                      <w:rFonts w:hint="default" w:ascii="Times New Roman" w:hAnsi="Times New Roman" w:eastAsia="宋体" w:cs="Times New Roman"/>
                      <w:color w:val="auto"/>
                      <w:sz w:val="21"/>
                      <w:szCs w:val="21"/>
                      <w:highlight w:val="none"/>
                    </w:rPr>
                    <w:t>t</w:t>
                  </w:r>
                </w:p>
              </w:tc>
              <w:tc>
                <w:tcPr>
                  <w:tcW w:w="2240" w:type="pct"/>
                </w:tcPr>
                <w:p w14:paraId="404CE005">
                  <w:pPr>
                    <w:widowControl w:val="0"/>
                    <w:numPr>
                      <w:ilvl w:val="0"/>
                      <w:numId w:val="0"/>
                    </w:numPr>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外购</w:t>
                  </w:r>
                </w:p>
              </w:tc>
            </w:tr>
            <w:tr w14:paraId="73CD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shd w:val="clear" w:color="auto" w:fill="auto"/>
                  <w:vAlign w:val="center"/>
                </w:tcPr>
                <w:p w14:paraId="14015A47">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w:t>
                  </w:r>
                </w:p>
              </w:tc>
              <w:tc>
                <w:tcPr>
                  <w:tcW w:w="1181" w:type="pct"/>
                  <w:vAlign w:val="center"/>
                </w:tcPr>
                <w:p w14:paraId="1AB509FA">
                  <w:pPr>
                    <w:widowControl w:val="0"/>
                    <w:numPr>
                      <w:ilvl w:val="0"/>
                      <w:numId w:val="0"/>
                    </w:num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高品质镁合金</w:t>
                  </w:r>
                </w:p>
              </w:tc>
              <w:tc>
                <w:tcPr>
                  <w:tcW w:w="1074" w:type="pct"/>
                  <w:vAlign w:val="center"/>
                </w:tcPr>
                <w:p w14:paraId="12541A7A">
                  <w:pPr>
                    <w:widowControl w:val="0"/>
                    <w:numPr>
                      <w:ilvl w:val="0"/>
                      <w:numId w:val="0"/>
                    </w:numPr>
                    <w:jc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rPr>
                    <w:t>4028.47t</w:t>
                  </w:r>
                </w:p>
              </w:tc>
              <w:tc>
                <w:tcPr>
                  <w:tcW w:w="2240" w:type="pct"/>
                </w:tcPr>
                <w:p w14:paraId="75E02E66">
                  <w:pPr>
                    <w:widowControl w:val="0"/>
                    <w:numPr>
                      <w:ilvl w:val="0"/>
                      <w:numId w:val="0"/>
                    </w:numPr>
                    <w:jc w:val="left"/>
                    <w:rPr>
                      <w:rFonts w:hint="default" w:ascii="宋体" w:hAnsi="宋体" w:cs="宋体"/>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其中约25%为合金锭</w:t>
                  </w:r>
                  <w:r>
                    <w:rPr>
                      <w:rFonts w:hint="eastAsia" w:ascii="Times New Roman" w:hAnsi="Times New Roman" w:cs="Times New Roman"/>
                      <w:color w:val="auto"/>
                      <w:sz w:val="21"/>
                      <w:szCs w:val="21"/>
                      <w:vertAlign w:val="baseline"/>
                      <w:lang w:val="en-US" w:eastAsia="zh-CN"/>
                    </w:rPr>
                    <w:t>，其余为合金液，从客户指定厂家处外购</w:t>
                  </w:r>
                </w:p>
              </w:tc>
            </w:tr>
            <w:tr w14:paraId="3EBD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6E2DB522">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w:t>
                  </w:r>
                </w:p>
              </w:tc>
              <w:tc>
                <w:tcPr>
                  <w:tcW w:w="1181" w:type="pct"/>
                </w:tcPr>
                <w:p w14:paraId="5CECE885">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铝锭</w:t>
                  </w:r>
                </w:p>
              </w:tc>
              <w:tc>
                <w:tcPr>
                  <w:tcW w:w="1074" w:type="pct"/>
                  <w:vAlign w:val="center"/>
                </w:tcPr>
                <w:p w14:paraId="4C5F8855">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eastAsia" w:cs="Times New Roman"/>
                      <w:color w:val="auto"/>
                      <w:kern w:val="0"/>
                      <w:sz w:val="21"/>
                      <w:szCs w:val="21"/>
                      <w:lang w:val="en-US" w:eastAsia="zh-CN"/>
                    </w:rPr>
                    <w:t>3040</w:t>
                  </w:r>
                  <w:r>
                    <w:rPr>
                      <w:rFonts w:hint="default" w:ascii="Times New Roman" w:hAnsi="Times New Roman" w:eastAsia="宋体" w:cs="Times New Roman"/>
                      <w:color w:val="auto"/>
                      <w:sz w:val="21"/>
                      <w:szCs w:val="21"/>
                    </w:rPr>
                    <w:t>t</w:t>
                  </w:r>
                </w:p>
              </w:tc>
              <w:tc>
                <w:tcPr>
                  <w:tcW w:w="2240" w:type="pct"/>
                </w:tcPr>
                <w:p w14:paraId="0904B802">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外购</w:t>
                  </w:r>
                </w:p>
              </w:tc>
            </w:tr>
            <w:tr w14:paraId="42CF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41ED9D0E">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w:t>
                  </w:r>
                </w:p>
              </w:tc>
              <w:tc>
                <w:tcPr>
                  <w:tcW w:w="1181" w:type="pct"/>
                </w:tcPr>
                <w:p w14:paraId="7E543D02">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锌锭</w:t>
                  </w:r>
                </w:p>
              </w:tc>
              <w:tc>
                <w:tcPr>
                  <w:tcW w:w="1074" w:type="pct"/>
                  <w:vAlign w:val="center"/>
                </w:tcPr>
                <w:p w14:paraId="6EE3957D">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eastAsia" w:cs="Times New Roman"/>
                      <w:color w:val="auto"/>
                      <w:kern w:val="0"/>
                      <w:sz w:val="21"/>
                      <w:szCs w:val="21"/>
                      <w:lang w:val="en-US" w:eastAsia="zh-CN"/>
                    </w:rPr>
                    <w:t>91</w:t>
                  </w:r>
                  <w:r>
                    <w:rPr>
                      <w:rFonts w:hint="default" w:ascii="Times New Roman" w:hAnsi="Times New Roman" w:eastAsia="宋体" w:cs="Times New Roman"/>
                      <w:color w:val="auto"/>
                      <w:sz w:val="21"/>
                      <w:szCs w:val="21"/>
                    </w:rPr>
                    <w:t>t</w:t>
                  </w:r>
                </w:p>
              </w:tc>
              <w:tc>
                <w:tcPr>
                  <w:tcW w:w="2240" w:type="pct"/>
                </w:tcPr>
                <w:p w14:paraId="5B18E0F9">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外购</w:t>
                  </w:r>
                </w:p>
              </w:tc>
            </w:tr>
            <w:tr w14:paraId="7936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0BB12100">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5</w:t>
                  </w:r>
                </w:p>
              </w:tc>
              <w:tc>
                <w:tcPr>
                  <w:tcW w:w="1181" w:type="pct"/>
                </w:tcPr>
                <w:p w14:paraId="550AD498">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锰粉</w:t>
                  </w:r>
                </w:p>
              </w:tc>
              <w:tc>
                <w:tcPr>
                  <w:tcW w:w="1074" w:type="pct"/>
                  <w:vAlign w:val="center"/>
                </w:tcPr>
                <w:p w14:paraId="5995A0BE">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eastAsia" w:cs="Times New Roman"/>
                      <w:color w:val="auto"/>
                      <w:kern w:val="0"/>
                      <w:sz w:val="21"/>
                      <w:szCs w:val="21"/>
                      <w:lang w:val="en-US" w:eastAsia="zh-CN"/>
                    </w:rPr>
                    <w:t>72</w:t>
                  </w:r>
                  <w:r>
                    <w:rPr>
                      <w:rFonts w:hint="default" w:ascii="Times New Roman" w:hAnsi="Times New Roman" w:eastAsia="宋体" w:cs="Times New Roman"/>
                      <w:color w:val="auto"/>
                      <w:sz w:val="21"/>
                      <w:szCs w:val="21"/>
                    </w:rPr>
                    <w:t>t</w:t>
                  </w:r>
                </w:p>
              </w:tc>
              <w:tc>
                <w:tcPr>
                  <w:tcW w:w="2240" w:type="pct"/>
                </w:tcPr>
                <w:p w14:paraId="2E5B0223">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外购</w:t>
                  </w:r>
                </w:p>
              </w:tc>
            </w:tr>
            <w:tr w14:paraId="6015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1ADA69AD">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6</w:t>
                  </w:r>
                </w:p>
              </w:tc>
              <w:tc>
                <w:tcPr>
                  <w:tcW w:w="1181" w:type="pct"/>
                </w:tcPr>
                <w:p w14:paraId="04CB1245">
                  <w:pPr>
                    <w:widowControl w:val="0"/>
                    <w:numPr>
                      <w:ilvl w:val="0"/>
                      <w:numId w:val="0"/>
                    </w:numPr>
                    <w:jc w:val="center"/>
                    <w:rPr>
                      <w:rFonts w:ascii="宋体" w:hAnsi="宋体" w:eastAsia="宋体" w:cs="宋体"/>
                      <w:color w:val="auto"/>
                      <w:sz w:val="21"/>
                      <w:szCs w:val="21"/>
                      <w:highlight w:val="none"/>
                      <w:vertAlign w:val="baseline"/>
                    </w:rPr>
                  </w:pPr>
                  <w:r>
                    <w:rPr>
                      <w:rFonts w:hint="eastAsia" w:ascii="宋体" w:hAnsi="宋体" w:cs="宋体"/>
                      <w:color w:val="auto"/>
                      <w:sz w:val="21"/>
                      <w:szCs w:val="21"/>
                      <w:highlight w:val="none"/>
                      <w:lang w:eastAsia="zh-CN"/>
                    </w:rPr>
                    <w:t>熔炼</w:t>
                  </w:r>
                  <w:r>
                    <w:rPr>
                      <w:rFonts w:ascii="宋体" w:hAnsi="宋体" w:eastAsia="宋体" w:cs="宋体"/>
                      <w:color w:val="auto"/>
                      <w:sz w:val="21"/>
                      <w:szCs w:val="21"/>
                      <w:highlight w:val="none"/>
                    </w:rPr>
                    <w:t>熔剂</w:t>
                  </w:r>
                </w:p>
              </w:tc>
              <w:tc>
                <w:tcPr>
                  <w:tcW w:w="1074" w:type="pct"/>
                  <w:vAlign w:val="center"/>
                </w:tcPr>
                <w:p w14:paraId="48261903">
                  <w:pPr>
                    <w:widowControl w:val="0"/>
                    <w:numPr>
                      <w:ilvl w:val="0"/>
                      <w:numId w:val="0"/>
                    </w:numPr>
                    <w:jc w:val="center"/>
                    <w:rPr>
                      <w:rFonts w:hint="default" w:ascii="Times New Roman" w:hAnsi="Times New Roman" w:eastAsia="宋体" w:cs="Times New Roman"/>
                      <w:color w:val="auto"/>
                      <w:sz w:val="21"/>
                      <w:szCs w:val="21"/>
                      <w:highlight w:val="none"/>
                      <w:vertAlign w:val="baseline"/>
                    </w:rPr>
                  </w:pP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t</w:t>
                  </w:r>
                </w:p>
              </w:tc>
              <w:tc>
                <w:tcPr>
                  <w:tcW w:w="2240" w:type="pct"/>
                </w:tcPr>
                <w:p w14:paraId="371F4F33">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外购</w:t>
                  </w:r>
                </w:p>
              </w:tc>
            </w:tr>
            <w:tr w14:paraId="0F3D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0DF5A3C8">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7</w:t>
                  </w:r>
                </w:p>
              </w:tc>
              <w:tc>
                <w:tcPr>
                  <w:tcW w:w="1181" w:type="pct"/>
                </w:tcPr>
                <w:p w14:paraId="6FE54D3C">
                  <w:pPr>
                    <w:widowControl w:val="0"/>
                    <w:numPr>
                      <w:ilvl w:val="0"/>
                      <w:numId w:val="0"/>
                    </w:numPr>
                    <w:jc w:val="center"/>
                    <w:rPr>
                      <w:rFonts w:ascii="宋体" w:hAnsi="宋体" w:eastAsia="宋体" w:cs="宋体"/>
                      <w:color w:val="auto"/>
                      <w:sz w:val="21"/>
                      <w:szCs w:val="21"/>
                      <w:highlight w:val="none"/>
                      <w:vertAlign w:val="baseline"/>
                    </w:rPr>
                  </w:pPr>
                  <w:r>
                    <w:rPr>
                      <w:rFonts w:ascii="宋体" w:hAnsi="宋体" w:eastAsia="宋体" w:cs="宋体"/>
                      <w:color w:val="auto"/>
                      <w:sz w:val="21"/>
                      <w:szCs w:val="21"/>
                      <w:highlight w:val="none"/>
                    </w:rPr>
                    <w:t>覆盖熔剂</w:t>
                  </w:r>
                </w:p>
              </w:tc>
              <w:tc>
                <w:tcPr>
                  <w:tcW w:w="1074" w:type="pct"/>
                  <w:vAlign w:val="center"/>
                </w:tcPr>
                <w:p w14:paraId="087AB169">
                  <w:pPr>
                    <w:widowControl w:val="0"/>
                    <w:numPr>
                      <w:ilvl w:val="0"/>
                      <w:numId w:val="0"/>
                    </w:numPr>
                    <w:jc w:val="center"/>
                    <w:rPr>
                      <w:rFonts w:hint="default" w:ascii="Times New Roman" w:hAnsi="Times New Roman" w:eastAsia="宋体" w:cs="Times New Roman"/>
                      <w:color w:val="auto"/>
                      <w:sz w:val="21"/>
                      <w:szCs w:val="21"/>
                      <w:highlight w:val="none"/>
                      <w:vertAlign w:val="baseline"/>
                    </w:rPr>
                  </w:pP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t</w:t>
                  </w:r>
                </w:p>
              </w:tc>
              <w:tc>
                <w:tcPr>
                  <w:tcW w:w="2240" w:type="pct"/>
                </w:tcPr>
                <w:p w14:paraId="423311BD">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外购</w:t>
                  </w:r>
                </w:p>
              </w:tc>
            </w:tr>
            <w:tr w14:paraId="73A1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357E6920">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8</w:t>
                  </w:r>
                </w:p>
              </w:tc>
              <w:tc>
                <w:tcPr>
                  <w:tcW w:w="1181" w:type="pct"/>
                </w:tcPr>
                <w:p w14:paraId="675F6BB2">
                  <w:pPr>
                    <w:widowControl w:val="0"/>
                    <w:numPr>
                      <w:ilvl w:val="0"/>
                      <w:numId w:val="0"/>
                    </w:numPr>
                    <w:jc w:val="center"/>
                    <w:rPr>
                      <w:rFonts w:ascii="宋体" w:hAnsi="宋体" w:eastAsia="宋体" w:cs="宋体"/>
                      <w:color w:val="auto"/>
                      <w:sz w:val="21"/>
                      <w:szCs w:val="21"/>
                      <w:vertAlign w:val="baseline"/>
                    </w:rPr>
                  </w:pPr>
                  <w:r>
                    <w:rPr>
                      <w:rFonts w:hint="eastAsia" w:ascii="宋体" w:hAnsi="宋体" w:cs="宋体"/>
                      <w:color w:val="auto"/>
                      <w:sz w:val="21"/>
                      <w:szCs w:val="21"/>
                      <w:lang w:val="en-US" w:eastAsia="zh-CN"/>
                    </w:rPr>
                    <w:t>合金锭</w:t>
                  </w:r>
                  <w:r>
                    <w:rPr>
                      <w:rFonts w:ascii="宋体" w:hAnsi="宋体" w:eastAsia="宋体" w:cs="宋体"/>
                      <w:color w:val="auto"/>
                      <w:sz w:val="21"/>
                      <w:szCs w:val="21"/>
                    </w:rPr>
                    <w:t>脱模剂</w:t>
                  </w:r>
                </w:p>
              </w:tc>
              <w:tc>
                <w:tcPr>
                  <w:tcW w:w="1074" w:type="pct"/>
                  <w:vAlign w:val="center"/>
                </w:tcPr>
                <w:p w14:paraId="07994867">
                  <w:pPr>
                    <w:widowControl w:val="0"/>
                    <w:numPr>
                      <w:ilvl w:val="0"/>
                      <w:numId w:val="0"/>
                    </w:num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50kg</w:t>
                  </w:r>
                </w:p>
              </w:tc>
              <w:tc>
                <w:tcPr>
                  <w:tcW w:w="2240" w:type="pct"/>
                </w:tcPr>
                <w:p w14:paraId="1F2A84A4">
                  <w:pPr>
                    <w:widowControl w:val="0"/>
                    <w:numPr>
                      <w:ilvl w:val="0"/>
                      <w:numId w:val="0"/>
                    </w:num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lang w:val="en-US" w:eastAsia="zh-CN"/>
                    </w:rPr>
                    <w:t>袋装</w:t>
                  </w:r>
                  <w:r>
                    <w:rPr>
                      <w:rFonts w:hint="default" w:ascii="Times New Roman" w:hAnsi="Times New Roman" w:eastAsia="宋体" w:cs="Times New Roman"/>
                      <w:color w:val="auto"/>
                      <w:sz w:val="21"/>
                      <w:szCs w:val="21"/>
                      <w:highlight w:val="none"/>
                    </w:rPr>
                    <w:t>，每袋1</w:t>
                  </w:r>
                  <w:r>
                    <w:rPr>
                      <w:rFonts w:hint="eastAsia" w:ascii="Times New Roman" w:hAnsi="Times New Roman"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rPr>
                    <w:t>g</w:t>
                  </w:r>
                </w:p>
              </w:tc>
            </w:tr>
            <w:tr w14:paraId="43C9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440E0120">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9</w:t>
                  </w:r>
                </w:p>
              </w:tc>
              <w:tc>
                <w:tcPr>
                  <w:tcW w:w="1181" w:type="pct"/>
                  <w:vAlign w:val="top"/>
                </w:tcPr>
                <w:p w14:paraId="2380C134">
                  <w:pPr>
                    <w:widowControl w:val="0"/>
                    <w:numPr>
                      <w:ilvl w:val="0"/>
                      <w:numId w:val="0"/>
                    </w:numPr>
                    <w:ind w:left="0" w:leftChars="0"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lang w:val="en-US" w:eastAsia="zh-CN"/>
                    </w:rPr>
                    <w:t>压铸件</w:t>
                  </w:r>
                  <w:r>
                    <w:rPr>
                      <w:rFonts w:ascii="宋体" w:hAnsi="宋体" w:eastAsia="宋体" w:cs="宋体"/>
                      <w:color w:val="auto"/>
                      <w:sz w:val="21"/>
                      <w:szCs w:val="21"/>
                    </w:rPr>
                    <w:t>脱模剂</w:t>
                  </w:r>
                </w:p>
              </w:tc>
              <w:tc>
                <w:tcPr>
                  <w:tcW w:w="1074" w:type="pct"/>
                  <w:vAlign w:val="center"/>
                </w:tcPr>
                <w:p w14:paraId="5D90DF33">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22.5t</w:t>
                  </w:r>
                </w:p>
              </w:tc>
              <w:tc>
                <w:tcPr>
                  <w:tcW w:w="2240" w:type="pct"/>
                  <w:vAlign w:val="top"/>
                </w:tcPr>
                <w:p w14:paraId="43D13A46">
                  <w:pPr>
                    <w:widowControl w:val="0"/>
                    <w:numPr>
                      <w:ilvl w:val="0"/>
                      <w:numId w:val="0"/>
                    </w:numPr>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每桶50kg</w:t>
                  </w:r>
                </w:p>
              </w:tc>
            </w:tr>
            <w:tr w14:paraId="5EBC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22A2BDAE">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10</w:t>
                  </w:r>
                </w:p>
              </w:tc>
              <w:tc>
                <w:tcPr>
                  <w:tcW w:w="1181" w:type="pct"/>
                  <w:vAlign w:val="top"/>
                </w:tcPr>
                <w:p w14:paraId="1245DDFC">
                  <w:pPr>
                    <w:widowControl w:val="0"/>
                    <w:numPr>
                      <w:ilvl w:val="0"/>
                      <w:numId w:val="0"/>
                    </w:numPr>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水基切削液</w:t>
                  </w:r>
                </w:p>
              </w:tc>
              <w:tc>
                <w:tcPr>
                  <w:tcW w:w="1074" w:type="pct"/>
                  <w:vAlign w:val="center"/>
                </w:tcPr>
                <w:p w14:paraId="4F24F6DA">
                  <w:pPr>
                    <w:widowControl w:val="0"/>
                    <w:numPr>
                      <w:ilvl w:val="0"/>
                      <w:numId w:val="0"/>
                    </w:num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0.5t</w:t>
                  </w:r>
                </w:p>
              </w:tc>
              <w:tc>
                <w:tcPr>
                  <w:tcW w:w="2240" w:type="pct"/>
                  <w:vAlign w:val="top"/>
                </w:tcPr>
                <w:p w14:paraId="2B1D09F3">
                  <w:pPr>
                    <w:widowControl w:val="0"/>
                    <w:numPr>
                      <w:ilvl w:val="0"/>
                      <w:numId w:val="0"/>
                    </w:num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桶装，每桶25L</w:t>
                  </w:r>
                </w:p>
              </w:tc>
            </w:tr>
            <w:tr w14:paraId="2602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64A8B343">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11</w:t>
                  </w:r>
                </w:p>
              </w:tc>
              <w:tc>
                <w:tcPr>
                  <w:tcW w:w="1181" w:type="pct"/>
                </w:tcPr>
                <w:p w14:paraId="78BF33A9">
                  <w:pPr>
                    <w:widowControl w:val="0"/>
                    <w:numPr>
                      <w:ilvl w:val="0"/>
                      <w:numId w:val="0"/>
                    </w:numPr>
                    <w:jc w:val="center"/>
                    <w:rPr>
                      <w:rFonts w:ascii="宋体" w:hAnsi="宋体" w:eastAsia="宋体" w:cs="宋体"/>
                      <w:color w:val="auto"/>
                      <w:sz w:val="21"/>
                      <w:szCs w:val="21"/>
                      <w:highlight w:val="none"/>
                      <w:vertAlign w:val="baseline"/>
                    </w:rPr>
                  </w:pPr>
                  <w:r>
                    <w:rPr>
                      <w:rFonts w:ascii="宋体" w:hAnsi="宋体" w:eastAsia="宋体" w:cs="宋体"/>
                      <w:color w:val="auto"/>
                      <w:sz w:val="21"/>
                      <w:szCs w:val="21"/>
                      <w:highlight w:val="none"/>
                    </w:rPr>
                    <w:t>氮气</w:t>
                  </w:r>
                </w:p>
              </w:tc>
              <w:tc>
                <w:tcPr>
                  <w:tcW w:w="1074" w:type="pct"/>
                </w:tcPr>
                <w:p w14:paraId="1EB92279">
                  <w:pPr>
                    <w:widowControl w:val="0"/>
                    <w:numPr>
                      <w:ilvl w:val="0"/>
                      <w:numId w:val="0"/>
                    </w:num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40000万m</w:t>
                  </w:r>
                  <w:r>
                    <w:rPr>
                      <w:rFonts w:hint="default" w:ascii="Times New Roman" w:hAnsi="Times New Roman" w:eastAsia="宋体" w:cs="Times New Roman"/>
                      <w:color w:val="auto"/>
                      <w:sz w:val="21"/>
                      <w:szCs w:val="21"/>
                      <w:highlight w:val="none"/>
                      <w:vertAlign w:val="superscript"/>
                    </w:rPr>
                    <w:t>3</w:t>
                  </w:r>
                </w:p>
              </w:tc>
              <w:tc>
                <w:tcPr>
                  <w:tcW w:w="2240" w:type="pct"/>
                </w:tcPr>
                <w:p w14:paraId="470C2CF6">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自建的制氮系统</w:t>
                  </w:r>
                </w:p>
              </w:tc>
            </w:tr>
            <w:tr w14:paraId="0648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509DC708">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1181" w:type="pct"/>
                </w:tcPr>
                <w:p w14:paraId="207BA6E8">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新鲜水</w:t>
                  </w:r>
                </w:p>
              </w:tc>
              <w:tc>
                <w:tcPr>
                  <w:tcW w:w="1074" w:type="pct"/>
                </w:tcPr>
                <w:p w14:paraId="272EBB7F">
                  <w:pPr>
                    <w:widowControl w:val="0"/>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highlight w:val="none"/>
                      <w:lang w:val="en-US" w:eastAsia="zh-CN"/>
                    </w:rPr>
                    <w:t>1.2万</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2240" w:type="pct"/>
                </w:tcPr>
                <w:p w14:paraId="0C29D88B">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园区供水管网</w:t>
                  </w:r>
                </w:p>
              </w:tc>
            </w:tr>
            <w:tr w14:paraId="779A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1A101E12">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13</w:t>
                  </w:r>
                </w:p>
              </w:tc>
              <w:tc>
                <w:tcPr>
                  <w:tcW w:w="1181" w:type="pct"/>
                </w:tcPr>
                <w:p w14:paraId="10D2925E">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电</w:t>
                  </w:r>
                </w:p>
              </w:tc>
              <w:tc>
                <w:tcPr>
                  <w:tcW w:w="1074" w:type="pct"/>
                </w:tcPr>
                <w:p w14:paraId="706AE703">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639</w:t>
                  </w:r>
                  <w:r>
                    <w:rPr>
                      <w:rFonts w:hint="default" w:ascii="Times New Roman" w:hAnsi="Times New Roman" w:eastAsia="宋体" w:cs="Times New Roman"/>
                      <w:color w:val="auto"/>
                      <w:sz w:val="21"/>
                      <w:szCs w:val="21"/>
                    </w:rPr>
                    <w:t>万kWh</w:t>
                  </w:r>
                </w:p>
              </w:tc>
              <w:tc>
                <w:tcPr>
                  <w:tcW w:w="2240" w:type="pct"/>
                </w:tcPr>
                <w:p w14:paraId="4258592C">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区域电网</w:t>
                  </w:r>
                </w:p>
              </w:tc>
            </w:tr>
            <w:tr w14:paraId="1AF2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569F842F">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14</w:t>
                  </w:r>
                </w:p>
              </w:tc>
              <w:tc>
                <w:tcPr>
                  <w:tcW w:w="1181" w:type="pct"/>
                </w:tcPr>
                <w:p w14:paraId="1C69AF55">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天然气</w:t>
                  </w:r>
                </w:p>
              </w:tc>
              <w:tc>
                <w:tcPr>
                  <w:tcW w:w="1074" w:type="pct"/>
                </w:tcPr>
                <w:p w14:paraId="2E28017E">
                  <w:pPr>
                    <w:widowControl w:val="0"/>
                    <w:numPr>
                      <w:ilvl w:val="0"/>
                      <w:numId w:val="0"/>
                    </w:num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万</w:t>
                  </w: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2240" w:type="pct"/>
                </w:tcPr>
                <w:p w14:paraId="3B4B9257">
                  <w:pPr>
                    <w:widowControl w:val="0"/>
                    <w:numPr>
                      <w:ilvl w:val="0"/>
                      <w:numId w:val="0"/>
                    </w:numPr>
                    <w:jc w:val="center"/>
                    <w:rPr>
                      <w:rFonts w:hint="eastAsia" w:ascii="宋体" w:hAnsi="宋体" w:eastAsia="宋体" w:cs="宋体"/>
                      <w:color w:val="auto"/>
                      <w:sz w:val="21"/>
                      <w:szCs w:val="21"/>
                      <w:vertAlign w:val="baseline"/>
                      <w:lang w:eastAsia="zh-CN"/>
                    </w:rPr>
                  </w:pPr>
                  <w:r>
                    <w:rPr>
                      <w:rFonts w:ascii="宋体" w:hAnsi="宋体" w:eastAsia="宋体" w:cs="宋体"/>
                      <w:color w:val="auto"/>
                      <w:sz w:val="21"/>
                      <w:szCs w:val="21"/>
                    </w:rPr>
                    <w:t>园区天然管</w:t>
                  </w:r>
                  <w:r>
                    <w:rPr>
                      <w:rFonts w:hint="eastAsia" w:ascii="宋体" w:hAnsi="宋体" w:eastAsia="宋体" w:cs="宋体"/>
                      <w:color w:val="auto"/>
                      <w:sz w:val="21"/>
                      <w:szCs w:val="21"/>
                      <w:lang w:val="en-US" w:eastAsia="zh-CN"/>
                    </w:rPr>
                    <w:t>网</w:t>
                  </w:r>
                </w:p>
              </w:tc>
            </w:tr>
            <w:tr w14:paraId="6CF1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shd w:val="clear" w:color="auto" w:fill="auto"/>
                  <w:vAlign w:val="top"/>
                </w:tcPr>
                <w:p w14:paraId="38740048">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w:t>
                  </w:r>
                </w:p>
              </w:tc>
              <w:tc>
                <w:tcPr>
                  <w:tcW w:w="1181" w:type="pct"/>
                </w:tcPr>
                <w:p w14:paraId="09E01AD9">
                  <w:pPr>
                    <w:widowControl w:val="0"/>
                    <w:numPr>
                      <w:ilvl w:val="0"/>
                      <w:numId w:val="0"/>
                    </w:numPr>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荒煤气</w:t>
                  </w:r>
                </w:p>
              </w:tc>
              <w:tc>
                <w:tcPr>
                  <w:tcW w:w="1074" w:type="pct"/>
                  <w:vAlign w:val="top"/>
                </w:tcPr>
                <w:p w14:paraId="7AC19D48">
                  <w:pPr>
                    <w:widowControl w:val="0"/>
                    <w:numPr>
                      <w:ilvl w:val="0"/>
                      <w:numId w:val="0"/>
                    </w:num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cs="Times New Roman"/>
                      <w:color w:val="auto"/>
                      <w:sz w:val="21"/>
                      <w:szCs w:val="21"/>
                      <w:highlight w:val="none"/>
                      <w:lang w:val="en-US" w:eastAsia="zh-CN"/>
                    </w:rPr>
                    <w:t>640</w:t>
                  </w:r>
                  <w:r>
                    <w:rPr>
                      <w:rFonts w:hint="default" w:ascii="Times New Roman" w:hAnsi="Times New Roman" w:eastAsia="宋体" w:cs="Times New Roman"/>
                      <w:color w:val="auto"/>
                      <w:sz w:val="21"/>
                      <w:szCs w:val="21"/>
                      <w:highlight w:val="none"/>
                    </w:rPr>
                    <w:t>万</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2240" w:type="pct"/>
                  <w:vAlign w:val="top"/>
                </w:tcPr>
                <w:p w14:paraId="4C269655">
                  <w:pPr>
                    <w:widowControl w:val="0"/>
                    <w:numPr>
                      <w:ilvl w:val="0"/>
                      <w:numId w:val="0"/>
                    </w:numPr>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恒生镁业</w:t>
                  </w:r>
                  <w:r>
                    <w:rPr>
                      <w:rFonts w:hint="eastAsia" w:ascii="宋体" w:hAnsi="宋体" w:eastAsia="宋体" w:cs="宋体"/>
                      <w:color w:val="auto"/>
                      <w:sz w:val="21"/>
                      <w:szCs w:val="21"/>
                      <w:lang w:val="en-US" w:eastAsia="zh-CN"/>
                    </w:rPr>
                    <w:t>公司管道提供</w:t>
                  </w:r>
                </w:p>
              </w:tc>
            </w:tr>
          </w:tbl>
          <w:p w14:paraId="6D5D26DC">
            <w:pPr>
              <w:widowControl w:val="0"/>
              <w:numPr>
                <w:ilvl w:val="0"/>
                <w:numId w:val="0"/>
              </w:numPr>
              <w:ind w:firstLine="480" w:firstLineChars="20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表</w:t>
            </w:r>
            <w:r>
              <w:rPr>
                <w:rFonts w:hint="eastAsia" w:ascii="黑体" w:hAnsi="黑体" w:eastAsia="黑体" w:cs="黑体"/>
                <w:b w:val="0"/>
                <w:bCs w:val="0"/>
                <w:color w:val="auto"/>
                <w:sz w:val="24"/>
                <w:szCs w:val="24"/>
                <w:lang w:val="en-US" w:eastAsia="zh-CN"/>
              </w:rPr>
              <w:t xml:space="preserve">2-6  </w:t>
            </w:r>
            <w:r>
              <w:rPr>
                <w:rFonts w:hint="eastAsia" w:ascii="黑体" w:hAnsi="黑体" w:eastAsia="黑体" w:cs="黑体"/>
                <w:b w:val="0"/>
                <w:bCs w:val="0"/>
                <w:color w:val="auto"/>
                <w:sz w:val="24"/>
                <w:szCs w:val="24"/>
              </w:rPr>
              <w:t>主要原料成分表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68"/>
              <w:gridCol w:w="924"/>
              <w:gridCol w:w="912"/>
              <w:gridCol w:w="1026"/>
              <w:gridCol w:w="1026"/>
              <w:gridCol w:w="1026"/>
              <w:gridCol w:w="1026"/>
              <w:gridCol w:w="912"/>
            </w:tblGrid>
            <w:tr w14:paraId="2115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Pr>
                <w:p w14:paraId="2999AEB6">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原料名称</w:t>
                  </w:r>
                </w:p>
              </w:tc>
              <w:tc>
                <w:tcPr>
                  <w:tcW w:w="509" w:type="pct"/>
                  <w:vAlign w:val="center"/>
                </w:tcPr>
                <w:p w14:paraId="40D07A85">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Mg%</w:t>
                  </w:r>
                </w:p>
              </w:tc>
              <w:tc>
                <w:tcPr>
                  <w:tcW w:w="542" w:type="pct"/>
                  <w:vAlign w:val="center"/>
                </w:tcPr>
                <w:p w14:paraId="3BE99106">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Al%</w:t>
                  </w:r>
                </w:p>
              </w:tc>
              <w:tc>
                <w:tcPr>
                  <w:tcW w:w="535" w:type="pct"/>
                  <w:vAlign w:val="center"/>
                </w:tcPr>
                <w:p w14:paraId="41BB6C66">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Zn%</w:t>
                  </w:r>
                </w:p>
              </w:tc>
              <w:tc>
                <w:tcPr>
                  <w:tcW w:w="602" w:type="pct"/>
                  <w:vAlign w:val="center"/>
                </w:tcPr>
                <w:p w14:paraId="717919ED">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Fe%</w:t>
                  </w:r>
                </w:p>
              </w:tc>
              <w:tc>
                <w:tcPr>
                  <w:tcW w:w="602" w:type="pct"/>
                  <w:vAlign w:val="center"/>
                </w:tcPr>
                <w:p w14:paraId="36C65A77">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Si%</w:t>
                  </w:r>
                </w:p>
              </w:tc>
              <w:tc>
                <w:tcPr>
                  <w:tcW w:w="602" w:type="pct"/>
                  <w:vAlign w:val="center"/>
                </w:tcPr>
                <w:p w14:paraId="4C6CD466">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Cu%</w:t>
                  </w:r>
                </w:p>
              </w:tc>
              <w:tc>
                <w:tcPr>
                  <w:tcW w:w="602" w:type="pct"/>
                  <w:vAlign w:val="center"/>
                </w:tcPr>
                <w:p w14:paraId="615F8DC0">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Mn%</w:t>
                  </w:r>
                </w:p>
              </w:tc>
              <w:tc>
                <w:tcPr>
                  <w:tcW w:w="535" w:type="pct"/>
                  <w:vAlign w:val="center"/>
                </w:tcPr>
                <w:p w14:paraId="15DE37A4">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其他</w:t>
                  </w:r>
                </w:p>
              </w:tc>
            </w:tr>
            <w:tr w14:paraId="583D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Pr>
                <w:p w14:paraId="22B4E792">
                  <w:pPr>
                    <w:widowControl w:val="0"/>
                    <w:numPr>
                      <w:ilvl w:val="0"/>
                      <w:numId w:val="0"/>
                    </w:num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精镁</w:t>
                  </w:r>
                </w:p>
              </w:tc>
              <w:tc>
                <w:tcPr>
                  <w:tcW w:w="509" w:type="pct"/>
                  <w:vAlign w:val="top"/>
                </w:tcPr>
                <w:p w14:paraId="2353E569">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≥99.95</w:t>
                  </w:r>
                </w:p>
              </w:tc>
              <w:tc>
                <w:tcPr>
                  <w:tcW w:w="542" w:type="pct"/>
                  <w:vAlign w:val="top"/>
                </w:tcPr>
                <w:p w14:paraId="4F465D1C">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535" w:type="pct"/>
                  <w:vAlign w:val="top"/>
                </w:tcPr>
                <w:p w14:paraId="793F09EB">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02" w:type="pct"/>
                  <w:vAlign w:val="top"/>
                </w:tcPr>
                <w:p w14:paraId="4267B940">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602" w:type="pct"/>
                  <w:vAlign w:val="top"/>
                </w:tcPr>
                <w:p w14:paraId="3BC96A90">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602" w:type="pct"/>
                  <w:vAlign w:val="top"/>
                </w:tcPr>
                <w:p w14:paraId="6648BB2E">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02" w:type="pct"/>
                  <w:vAlign w:val="top"/>
                </w:tcPr>
                <w:p w14:paraId="2F0172C0">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535" w:type="pct"/>
                  <w:vAlign w:val="top"/>
                </w:tcPr>
                <w:p w14:paraId="056C01C7">
                  <w:pPr>
                    <w:widowControl w:val="0"/>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4A8E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Pr>
                <w:p w14:paraId="1D173615">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铝锭</w:t>
                  </w:r>
                </w:p>
              </w:tc>
              <w:tc>
                <w:tcPr>
                  <w:tcW w:w="509" w:type="pct"/>
                  <w:vAlign w:val="center"/>
                </w:tcPr>
                <w:p w14:paraId="21E53410">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≤0.02</w:t>
                  </w:r>
                </w:p>
              </w:tc>
              <w:tc>
                <w:tcPr>
                  <w:tcW w:w="542" w:type="pct"/>
                  <w:vAlign w:val="center"/>
                </w:tcPr>
                <w:p w14:paraId="60FBA547">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≥99.85</w:t>
                  </w:r>
                </w:p>
              </w:tc>
              <w:tc>
                <w:tcPr>
                  <w:tcW w:w="535" w:type="pct"/>
                  <w:vAlign w:val="center"/>
                </w:tcPr>
                <w:p w14:paraId="492D2007">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≤0.03</w:t>
                  </w:r>
                </w:p>
              </w:tc>
              <w:tc>
                <w:tcPr>
                  <w:tcW w:w="602" w:type="pct"/>
                  <w:vAlign w:val="center"/>
                </w:tcPr>
                <w:p w14:paraId="35A31EFD">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≤0.12</w:t>
                  </w:r>
                </w:p>
              </w:tc>
              <w:tc>
                <w:tcPr>
                  <w:tcW w:w="602" w:type="pct"/>
                  <w:vAlign w:val="center"/>
                </w:tcPr>
                <w:p w14:paraId="11B9DFAD">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≤0.08</w:t>
                  </w:r>
                </w:p>
              </w:tc>
              <w:tc>
                <w:tcPr>
                  <w:tcW w:w="602" w:type="pct"/>
                  <w:vAlign w:val="center"/>
                </w:tcPr>
                <w:p w14:paraId="12965CED">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≤0.03</w:t>
                  </w:r>
                </w:p>
              </w:tc>
              <w:tc>
                <w:tcPr>
                  <w:tcW w:w="602" w:type="pct"/>
                  <w:vAlign w:val="center"/>
                </w:tcPr>
                <w:p w14:paraId="17B32286">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w:t>
                  </w:r>
                </w:p>
              </w:tc>
              <w:tc>
                <w:tcPr>
                  <w:tcW w:w="535" w:type="pct"/>
                  <w:vAlign w:val="center"/>
                </w:tcPr>
                <w:p w14:paraId="671F2F80">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≤0.015</w:t>
                  </w:r>
                </w:p>
              </w:tc>
            </w:tr>
            <w:tr w14:paraId="36D0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Pr>
                <w:p w14:paraId="1B2FB80B">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锌锭</w:t>
                  </w:r>
                </w:p>
              </w:tc>
              <w:tc>
                <w:tcPr>
                  <w:tcW w:w="509" w:type="pct"/>
                  <w:vAlign w:val="center"/>
                </w:tcPr>
                <w:p w14:paraId="16F4956E">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w:t>
                  </w:r>
                </w:p>
              </w:tc>
              <w:tc>
                <w:tcPr>
                  <w:tcW w:w="542" w:type="pct"/>
                  <w:vAlign w:val="center"/>
                </w:tcPr>
                <w:p w14:paraId="3D168041">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≤0.002</w:t>
                  </w:r>
                </w:p>
              </w:tc>
              <w:tc>
                <w:tcPr>
                  <w:tcW w:w="535" w:type="pct"/>
                  <w:vAlign w:val="center"/>
                </w:tcPr>
                <w:p w14:paraId="699ED76B">
                  <w:pPr>
                    <w:widowControl w:val="0"/>
                    <w:numPr>
                      <w:ilvl w:val="0"/>
                      <w:numId w:val="0"/>
                    </w:numPr>
                    <w:spacing w:line="360" w:lineRule="auto"/>
                    <w:jc w:val="center"/>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≥99.9</w:t>
                  </w:r>
                  <w:r>
                    <w:rPr>
                      <w:rFonts w:hint="eastAsia" w:cs="Times New Roman"/>
                      <w:color w:val="auto"/>
                      <w:sz w:val="21"/>
                      <w:szCs w:val="21"/>
                      <w:lang w:val="en-US" w:eastAsia="zh-CN"/>
                    </w:rPr>
                    <w:t>5</w:t>
                  </w:r>
                </w:p>
              </w:tc>
              <w:tc>
                <w:tcPr>
                  <w:tcW w:w="602" w:type="pct"/>
                  <w:vAlign w:val="center"/>
                </w:tcPr>
                <w:p w14:paraId="3C02E336">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≤0.003</w:t>
                  </w:r>
                </w:p>
              </w:tc>
              <w:tc>
                <w:tcPr>
                  <w:tcW w:w="602" w:type="pct"/>
                  <w:vAlign w:val="center"/>
                </w:tcPr>
                <w:p w14:paraId="010CF523">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w:t>
                  </w:r>
                </w:p>
              </w:tc>
              <w:tc>
                <w:tcPr>
                  <w:tcW w:w="602" w:type="pct"/>
                  <w:vAlign w:val="center"/>
                </w:tcPr>
                <w:p w14:paraId="250004BC">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≤0.002</w:t>
                  </w:r>
                </w:p>
              </w:tc>
              <w:tc>
                <w:tcPr>
                  <w:tcW w:w="602" w:type="pct"/>
                  <w:vAlign w:val="center"/>
                </w:tcPr>
                <w:p w14:paraId="02FF2794">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w:t>
                  </w:r>
                </w:p>
              </w:tc>
              <w:tc>
                <w:tcPr>
                  <w:tcW w:w="535" w:type="pct"/>
                  <w:vAlign w:val="center"/>
                </w:tcPr>
                <w:p w14:paraId="4AF03BBC">
                  <w:pPr>
                    <w:widowControl w:val="0"/>
                    <w:numPr>
                      <w:ilvl w:val="0"/>
                      <w:numId w:val="0"/>
                    </w:numPr>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≤0.01</w:t>
                  </w:r>
                </w:p>
              </w:tc>
            </w:tr>
          </w:tbl>
          <w:p w14:paraId="78FFFC91">
            <w:pPr>
              <w:widowControl w:val="0"/>
              <w:numPr>
                <w:ilvl w:val="0"/>
                <w:numId w:val="0"/>
              </w:numPr>
              <w:jc w:val="center"/>
              <w:rPr>
                <w:rFonts w:ascii="宋体" w:hAnsi="宋体" w:eastAsia="宋体" w:cs="宋体"/>
                <w:color w:val="auto"/>
                <w:sz w:val="24"/>
                <w:szCs w:val="24"/>
              </w:rPr>
            </w:pPr>
            <w:r>
              <w:rPr>
                <w:rFonts w:hint="eastAsia" w:ascii="黑体" w:hAnsi="黑体" w:eastAsia="黑体" w:cs="黑体"/>
                <w:color w:val="auto"/>
                <w:sz w:val="24"/>
                <w:szCs w:val="24"/>
              </w:rPr>
              <w:t>表</w:t>
            </w:r>
            <w:r>
              <w:rPr>
                <w:rFonts w:hint="eastAsia" w:ascii="黑体" w:hAnsi="黑体" w:eastAsia="黑体" w:cs="黑体"/>
                <w:color w:val="auto"/>
                <w:sz w:val="24"/>
                <w:szCs w:val="24"/>
                <w:lang w:val="en-US" w:eastAsia="zh-CN"/>
              </w:rPr>
              <w:t xml:space="preserve">2-7  </w:t>
            </w:r>
            <w:r>
              <w:rPr>
                <w:rFonts w:hint="eastAsia" w:ascii="黑体" w:hAnsi="黑体" w:eastAsia="黑体" w:cs="黑体"/>
                <w:color w:val="auto"/>
                <w:sz w:val="24"/>
                <w:szCs w:val="24"/>
              </w:rPr>
              <w:t>项目主要原辅材料理化性质一览表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7027"/>
            </w:tblGrid>
            <w:tr w14:paraId="7790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Pr>
                <w:p w14:paraId="05D5977D">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名称</w:t>
                  </w:r>
                </w:p>
              </w:tc>
              <w:tc>
                <w:tcPr>
                  <w:tcW w:w="4125" w:type="pct"/>
                </w:tcPr>
                <w:p w14:paraId="046576C8">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理化特性</w:t>
                  </w:r>
                </w:p>
              </w:tc>
            </w:tr>
            <w:tr w14:paraId="7BD7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Align w:val="center"/>
                </w:tcPr>
                <w:p w14:paraId="0AB0236A">
                  <w:pPr>
                    <w:widowControl w:val="0"/>
                    <w:numPr>
                      <w:ilvl w:val="0"/>
                      <w:numId w:val="0"/>
                    </w:numPr>
                    <w:jc w:val="center"/>
                    <w:rPr>
                      <w:rFonts w:hint="eastAsia" w:ascii="宋体" w:hAnsi="宋体" w:eastAsia="宋体" w:cs="宋体"/>
                      <w:color w:val="auto"/>
                      <w:sz w:val="21"/>
                      <w:szCs w:val="21"/>
                      <w:highlight w:val="none"/>
                      <w:vertAlign w:val="baseline"/>
                      <w:lang w:eastAsia="zh-CN"/>
                    </w:rPr>
                  </w:pPr>
                  <w:r>
                    <w:rPr>
                      <w:rFonts w:hint="eastAsia" w:cs="Times New Roman"/>
                      <w:color w:val="auto"/>
                      <w:sz w:val="21"/>
                      <w:szCs w:val="21"/>
                      <w:highlight w:val="none"/>
                      <w:lang w:val="en-US" w:eastAsia="zh-CN"/>
                    </w:rPr>
                    <w:t>精镁</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镁锭或镁液，含镁99.95%以上</w:t>
                  </w:r>
                  <w:r>
                    <w:rPr>
                      <w:rFonts w:hint="eastAsia" w:cs="Times New Roman"/>
                      <w:color w:val="auto"/>
                      <w:sz w:val="21"/>
                      <w:szCs w:val="21"/>
                      <w:highlight w:val="none"/>
                      <w:lang w:eastAsia="zh-CN"/>
                    </w:rPr>
                    <w:t>）</w:t>
                  </w:r>
                </w:p>
              </w:tc>
              <w:tc>
                <w:tcPr>
                  <w:tcW w:w="4125" w:type="pct"/>
                  <w:vAlign w:val="center"/>
                </w:tcPr>
                <w:p w14:paraId="6DA0656F">
                  <w:pPr>
                    <w:widowControl w:val="0"/>
                    <w:numPr>
                      <w:ilvl w:val="0"/>
                      <w:numId w:val="0"/>
                    </w:numPr>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镁是一种银白色的轻质碱土金属，密度为1.735g/cm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，熔点为651°C，沸点为1107°C。镁化学性质活泼，能与酸反应生成氢气，具有一定的延展性和热消散性。当镁粉在空气中达到一定浓度时，可发生爆炸危险。项目所用</w:t>
                  </w:r>
                  <w:r>
                    <w:rPr>
                      <w:rFonts w:hint="eastAsia" w:ascii="Times New Roman" w:hAnsi="Times New Roman" w:eastAsia="宋体" w:cs="Times New Roman"/>
                      <w:color w:val="auto"/>
                      <w:sz w:val="21"/>
                      <w:szCs w:val="21"/>
                      <w:highlight w:val="none"/>
                      <w:lang w:val="en-US" w:eastAsia="zh-CN"/>
                    </w:rPr>
                    <w:t>粗镁为</w:t>
                  </w:r>
                  <w:r>
                    <w:rPr>
                      <w:rFonts w:hint="eastAsia" w:ascii="宋体" w:hAnsi="宋体" w:cs="宋体"/>
                      <w:color w:val="auto"/>
                      <w:sz w:val="21"/>
                      <w:szCs w:val="21"/>
                      <w:highlight w:val="none"/>
                      <w:lang w:val="en-US" w:eastAsia="zh-CN"/>
                    </w:rPr>
                    <w:t>恒生镁业</w:t>
                  </w:r>
                  <w:r>
                    <w:rPr>
                      <w:rFonts w:hint="eastAsia" w:ascii="宋体" w:hAnsi="宋体" w:eastAsia="宋体" w:cs="宋体"/>
                      <w:color w:val="auto"/>
                      <w:sz w:val="21"/>
                      <w:szCs w:val="21"/>
                      <w:highlight w:val="none"/>
                      <w:lang w:val="en-US" w:eastAsia="zh-CN"/>
                    </w:rPr>
                    <w:t>公司中间产品，呈桶装块状固体。</w:t>
                  </w:r>
                </w:p>
              </w:tc>
            </w:tr>
            <w:tr w14:paraId="16D6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Align w:val="center"/>
                </w:tcPr>
                <w:p w14:paraId="40462091">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铝锭</w:t>
                  </w:r>
                </w:p>
              </w:tc>
              <w:tc>
                <w:tcPr>
                  <w:tcW w:w="4125" w:type="pct"/>
                </w:tcPr>
                <w:p w14:paraId="1E943B55">
                  <w:pPr>
                    <w:widowControl w:val="0"/>
                    <w:numPr>
                      <w:ilvl w:val="0"/>
                      <w:numId w:val="0"/>
                    </w:numPr>
                    <w:jc w:val="left"/>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铝是一种银白色轻金属，有延展性，相对密度2.70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熔点660°C</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沸点2327°C。 在潮湿空气中能形成一层防止金属腐蚀的氧化膜。铝粉在空气中加热能猛烈燃烧，并发出眩目的白色火焰，具有易燃性。易溶于稀硫酸、硝酸、盐酸、氢氧化钠和氢氧化钾溶液，难溶于水，项目用铝锭符合《重熔用铝锭》（GB/T1196-2017） 中相关标准，铝含量不小于99.85%。</w:t>
                  </w:r>
                </w:p>
              </w:tc>
            </w:tr>
            <w:tr w14:paraId="447C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Pr>
                <w:p w14:paraId="4ED53BF1">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锌锭</w:t>
                  </w:r>
                </w:p>
              </w:tc>
              <w:tc>
                <w:tcPr>
                  <w:tcW w:w="4125" w:type="pct"/>
                </w:tcPr>
                <w:p w14:paraId="75E31467">
                  <w:pPr>
                    <w:widowControl w:val="0"/>
                    <w:numPr>
                      <w:ilvl w:val="0"/>
                      <w:numId w:val="0"/>
                    </w:numPr>
                    <w:jc w:val="left"/>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锌是一种青白色、光亮、具有反磁性的金属，密度为7.14g/cm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熔点为419.53°C，沸点为907°C。在常温下锌是硬而易碎的，但在100至150℃下会变得有韧性。当温度超过210°C时，锌又重新变脆，可以用敲打来粉碎它。锌的电导率居中。在所有金属中，它的熔点和沸点相对较低。项目所用锌锭，量不小于99.9</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p>
              </w:tc>
            </w:tr>
            <w:tr w14:paraId="04C8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Align w:val="center"/>
                </w:tcPr>
                <w:p w14:paraId="38813B1B">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锰粉</w:t>
                  </w:r>
                </w:p>
              </w:tc>
              <w:tc>
                <w:tcPr>
                  <w:tcW w:w="4125" w:type="pct"/>
                </w:tcPr>
                <w:p w14:paraId="42B1D5BE">
                  <w:pPr>
                    <w:widowControl w:val="0"/>
                    <w:numPr>
                      <w:ilvl w:val="0"/>
                      <w:numId w:val="0"/>
                    </w:numPr>
                    <w:jc w:val="left"/>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锰粉是一种灰色粉末粉末，密度为7.2g/cm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，熔点为1260°C，沸点为1900℃。</w:t>
                  </w:r>
                </w:p>
              </w:tc>
            </w:tr>
            <w:tr w14:paraId="1553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Align w:val="center"/>
                </w:tcPr>
                <w:p w14:paraId="74302035">
                  <w:pPr>
                    <w:widowControl w:val="0"/>
                    <w:numPr>
                      <w:ilvl w:val="0"/>
                      <w:numId w:val="0"/>
                    </w:numPr>
                    <w:jc w:val="center"/>
                    <w:rPr>
                      <w:rFonts w:hint="eastAsia" w:ascii="宋体" w:hAnsi="宋体" w:eastAsia="宋体" w:cs="宋体"/>
                      <w:color w:val="auto"/>
                      <w:sz w:val="21"/>
                      <w:szCs w:val="21"/>
                      <w:highlight w:val="none"/>
                      <w:vertAlign w:val="baseline"/>
                      <w:lang w:eastAsia="zh-CN"/>
                    </w:rPr>
                  </w:pPr>
                  <w:r>
                    <w:rPr>
                      <w:rFonts w:hint="eastAsia" w:ascii="宋体" w:hAnsi="宋体" w:cs="宋体"/>
                      <w:color w:val="auto"/>
                      <w:sz w:val="21"/>
                      <w:szCs w:val="21"/>
                      <w:highlight w:val="none"/>
                      <w:lang w:val="en-US" w:eastAsia="zh-CN"/>
                    </w:rPr>
                    <w:t>熔炼</w:t>
                  </w:r>
                  <w:r>
                    <w:rPr>
                      <w:rFonts w:ascii="宋体" w:hAnsi="宋体" w:eastAsia="宋体" w:cs="宋体"/>
                      <w:color w:val="auto"/>
                      <w:sz w:val="21"/>
                      <w:szCs w:val="21"/>
                      <w:highlight w:val="none"/>
                    </w:rPr>
                    <w:t>熔剂</w:t>
                  </w:r>
                </w:p>
              </w:tc>
              <w:tc>
                <w:tcPr>
                  <w:tcW w:w="4125" w:type="pct"/>
                </w:tcPr>
                <w:p w14:paraId="41481D3B">
                  <w:pPr>
                    <w:widowControl w:val="0"/>
                    <w:numPr>
                      <w:ilvl w:val="0"/>
                      <w:numId w:val="0"/>
                    </w:numPr>
                    <w:jc w:val="left"/>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主要成分</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氯化镁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主要作用</w:t>
                  </w:r>
                  <w:r>
                    <w:rPr>
                      <w:rFonts w:hint="eastAsia" w:cs="Times New Roman"/>
                      <w:color w:val="auto"/>
                      <w:sz w:val="21"/>
                      <w:szCs w:val="21"/>
                      <w:lang w:val="en-US" w:eastAsia="zh-CN"/>
                    </w:rPr>
                    <w:t>为</w:t>
                  </w:r>
                  <w:r>
                    <w:rPr>
                      <w:rFonts w:hint="default" w:ascii="Times New Roman" w:hAnsi="Times New Roman" w:eastAsia="宋体" w:cs="Times New Roman"/>
                      <w:color w:val="auto"/>
                      <w:sz w:val="21"/>
                      <w:szCs w:val="21"/>
                    </w:rPr>
                    <w:t>降低合金熔点和粘度，增加合金的流动性，使得杂质更好地分散、凝固，达到减少夹杂的作用，从而提高合金的质量和强度。</w:t>
                  </w:r>
                </w:p>
              </w:tc>
            </w:tr>
            <w:tr w14:paraId="21F7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Align w:val="center"/>
                </w:tcPr>
                <w:p w14:paraId="278B0ED3">
                  <w:pPr>
                    <w:widowControl w:val="0"/>
                    <w:numPr>
                      <w:ilvl w:val="0"/>
                      <w:numId w:val="0"/>
                    </w:numPr>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覆盖熔剂</w:t>
                  </w:r>
                </w:p>
              </w:tc>
              <w:tc>
                <w:tcPr>
                  <w:tcW w:w="4125" w:type="pct"/>
                </w:tcPr>
                <w:p w14:paraId="6A35576D">
                  <w:pPr>
                    <w:widowControl w:val="0"/>
                    <w:numPr>
                      <w:ilvl w:val="0"/>
                      <w:numId w:val="0"/>
                    </w:numPr>
                    <w:jc w:val="left"/>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主要成分为萤石（氟化钙）</w:t>
                  </w:r>
                  <w:r>
                    <w:rPr>
                      <w:rFonts w:hint="eastAsia" w:cs="Times New Roman"/>
                      <w:color w:val="auto"/>
                      <w:sz w:val="21"/>
                      <w:szCs w:val="21"/>
                      <w:lang w:eastAsia="zh-CN"/>
                    </w:rPr>
                    <w:t>，</w:t>
                  </w:r>
                  <w:r>
                    <w:rPr>
                      <w:rFonts w:hint="eastAsia" w:cs="Times New Roman"/>
                      <w:color w:val="auto"/>
                      <w:sz w:val="21"/>
                      <w:szCs w:val="21"/>
                      <w:lang w:val="en-US" w:eastAsia="zh-CN"/>
                    </w:rPr>
                    <w:t>主要功能为</w:t>
                  </w:r>
                  <w:r>
                    <w:rPr>
                      <w:rFonts w:hint="default" w:ascii="Times New Roman" w:hAnsi="Times New Roman" w:eastAsia="宋体" w:cs="Times New Roman"/>
                      <w:color w:val="auto"/>
                      <w:sz w:val="21"/>
                      <w:szCs w:val="21"/>
                    </w:rPr>
                    <w:t>促进合金的熔化和分散杂质，同时阻止</w:t>
                  </w:r>
                  <w:r>
                    <w:rPr>
                      <w:rFonts w:hint="eastAsia" w:cs="Times New Roman"/>
                      <w:color w:val="auto"/>
                      <w:sz w:val="21"/>
                      <w:szCs w:val="21"/>
                      <w:lang w:val="en-US" w:eastAsia="zh-CN"/>
                    </w:rPr>
                    <w:t>或</w:t>
                  </w:r>
                  <w:r>
                    <w:rPr>
                      <w:rFonts w:hint="default" w:ascii="Times New Roman" w:hAnsi="Times New Roman" w:eastAsia="宋体" w:cs="Times New Roman"/>
                      <w:color w:val="auto"/>
                      <w:sz w:val="21"/>
                      <w:szCs w:val="21"/>
                    </w:rPr>
                    <w:t>减少氧化反应的发生，提高合金的质量和性能。</w:t>
                  </w:r>
                </w:p>
              </w:tc>
            </w:tr>
            <w:tr w14:paraId="19E5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Align w:val="center"/>
                </w:tcPr>
                <w:p w14:paraId="2AB3F40D">
                  <w:pPr>
                    <w:widowControl w:val="0"/>
                    <w:numPr>
                      <w:ilvl w:val="0"/>
                      <w:numId w:val="0"/>
                    </w:numPr>
                    <w:jc w:val="center"/>
                    <w:rPr>
                      <w:rFonts w:ascii="宋体" w:hAnsi="宋体" w:eastAsia="宋体" w:cs="宋体"/>
                      <w:color w:val="auto"/>
                      <w:sz w:val="21"/>
                      <w:szCs w:val="21"/>
                      <w:vertAlign w:val="baseline"/>
                    </w:rPr>
                  </w:pPr>
                  <w:r>
                    <w:rPr>
                      <w:rFonts w:ascii="宋体" w:hAnsi="宋体" w:eastAsia="宋体" w:cs="宋体"/>
                      <w:color w:val="auto"/>
                      <w:sz w:val="21"/>
                      <w:szCs w:val="21"/>
                    </w:rPr>
                    <w:t>脱模剂</w:t>
                  </w:r>
                </w:p>
              </w:tc>
              <w:tc>
                <w:tcPr>
                  <w:tcW w:w="4125" w:type="pct"/>
                </w:tcPr>
                <w:p w14:paraId="39215B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highlight w:val="none"/>
                    </w:rPr>
                    <w:t>脱模剂</w:t>
                  </w:r>
                  <w:r>
                    <w:rPr>
                      <w:rFonts w:hint="eastAsia" w:cs="Times New Roman"/>
                      <w:color w:val="auto"/>
                      <w:sz w:val="21"/>
                      <w:szCs w:val="21"/>
                      <w:highlight w:val="none"/>
                      <w:lang w:val="en-US" w:eastAsia="zh-CN"/>
                    </w:rPr>
                    <w:t>为</w:t>
                  </w:r>
                  <w:r>
                    <w:rPr>
                      <w:rFonts w:ascii="Arial" w:hAnsi="Arial" w:eastAsia="Arial" w:cs="Arial"/>
                      <w:i w:val="0"/>
                      <w:iCs w:val="0"/>
                      <w:caps w:val="0"/>
                      <w:color w:val="auto"/>
                      <w:spacing w:val="0"/>
                      <w:sz w:val="21"/>
                      <w:szCs w:val="21"/>
                      <w:highlight w:val="none"/>
                      <w:shd w:val="clear" w:fill="FFFFFF"/>
                    </w:rPr>
                    <w:t>用于减少</w:t>
                  </w:r>
                  <w:r>
                    <w:rPr>
                      <w:rFonts w:hint="eastAsia" w:ascii="Arial" w:hAnsi="Arial" w:eastAsia="宋体" w:cs="Arial"/>
                      <w:i w:val="0"/>
                      <w:iCs w:val="0"/>
                      <w:caps w:val="0"/>
                      <w:color w:val="auto"/>
                      <w:spacing w:val="0"/>
                      <w:sz w:val="21"/>
                      <w:szCs w:val="21"/>
                      <w:highlight w:val="none"/>
                      <w:shd w:val="clear" w:fill="FFFFFF"/>
                      <w:lang w:val="en-US" w:eastAsia="zh-CN"/>
                    </w:rPr>
                    <w:t>脱模</w:t>
                  </w:r>
                  <w:r>
                    <w:rPr>
                      <w:rFonts w:ascii="Arial" w:hAnsi="Arial" w:eastAsia="Arial" w:cs="Arial"/>
                      <w:i w:val="0"/>
                      <w:iCs w:val="0"/>
                      <w:caps w:val="0"/>
                      <w:color w:val="auto"/>
                      <w:spacing w:val="0"/>
                      <w:sz w:val="21"/>
                      <w:szCs w:val="21"/>
                      <w:highlight w:val="none"/>
                      <w:shd w:val="clear" w:fill="FFFFFF"/>
                    </w:rPr>
                    <w:t>摩擦力的</w:t>
                  </w:r>
                  <w:r>
                    <w:rPr>
                      <w:rFonts w:hint="eastAsia" w:ascii="Arial" w:hAnsi="Arial" w:eastAsia="宋体" w:cs="Arial"/>
                      <w:i w:val="0"/>
                      <w:iCs w:val="0"/>
                      <w:caps w:val="0"/>
                      <w:color w:val="auto"/>
                      <w:spacing w:val="0"/>
                      <w:sz w:val="21"/>
                      <w:szCs w:val="21"/>
                      <w:highlight w:val="none"/>
                      <w:shd w:val="clear" w:fill="FFFFFF"/>
                      <w:lang w:val="en-US" w:eastAsia="zh-CN"/>
                    </w:rPr>
                    <w:t>物质，涂于模具表面，保证脱模顺利，防止脱模粘连导致的产品缺陷</w:t>
                  </w: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合金锭使用的脱模剂为粉末状，使用时按1:20比例加水调配为液体，主要成分为氮化硼，氮化硼耐高温，在项目工况下稳定；压铸件</w:t>
                  </w:r>
                  <w:r>
                    <w:rPr>
                      <w:rFonts w:hint="default" w:ascii="Times New Roman" w:hAnsi="Times New Roman" w:eastAsia="宋体" w:cs="Times New Roman"/>
                      <w:color w:val="auto"/>
                      <w:sz w:val="21"/>
                      <w:szCs w:val="21"/>
                      <w:highlight w:val="none"/>
                    </w:rPr>
                    <w:t>使用水性脱模剂</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为液体，</w:t>
                  </w:r>
                  <w:r>
                    <w:rPr>
                      <w:rFonts w:hint="default" w:ascii="Times New Roman" w:hAnsi="Times New Roman" w:eastAsia="宋体" w:cs="Times New Roman"/>
                      <w:color w:val="auto"/>
                      <w:sz w:val="21"/>
                      <w:szCs w:val="21"/>
                      <w:highlight w:val="none"/>
                    </w:rPr>
                    <w:t>主要成分为硅油</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对环境污染小。</w:t>
                  </w:r>
                </w:p>
              </w:tc>
            </w:tr>
          </w:tbl>
          <w:tbl>
            <w:tblPr>
              <w:tblStyle w:val="24"/>
              <w:tblpPr w:leftFromText="180" w:rightFromText="180" w:vertAnchor="text" w:horzAnchor="page" w:tblpXSpec="center" w:tblpY="449"/>
              <w:tblOverlap w:val="never"/>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869"/>
              <w:gridCol w:w="869"/>
              <w:gridCol w:w="869"/>
              <w:gridCol w:w="869"/>
              <w:gridCol w:w="869"/>
              <w:gridCol w:w="871"/>
              <w:gridCol w:w="1269"/>
              <w:gridCol w:w="1254"/>
            </w:tblGrid>
            <w:tr w14:paraId="474E6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9"/>
                  <w:tcBorders>
                    <w:top w:val="nil"/>
                    <w:right w:val="nil"/>
                    <w:tl2br w:val="nil"/>
                    <w:tr2bl w:val="nil"/>
                  </w:tcBorders>
                  <w:noWrap w:val="0"/>
                  <w:vAlign w:val="center"/>
                </w:tcPr>
                <w:p w14:paraId="0622FD47">
                  <w:pPr>
                    <w:widowControl w:val="0"/>
                    <w:numPr>
                      <w:ilvl w:val="0"/>
                      <w:numId w:val="0"/>
                    </w:numPr>
                    <w:jc w:val="center"/>
                    <w:rPr>
                      <w:rFonts w:ascii="Times New Roman" w:hAnsi="Times New Roman" w:eastAsia="宋体" w:cs="Times New Roman"/>
                      <w:color w:val="auto"/>
                      <w:sz w:val="21"/>
                      <w:szCs w:val="21"/>
                    </w:rPr>
                  </w:pPr>
                  <w:r>
                    <w:rPr>
                      <w:rFonts w:hint="eastAsia" w:ascii="黑体" w:hAnsi="黑体" w:eastAsia="黑体" w:cs="黑体"/>
                      <w:color w:val="auto"/>
                      <w:sz w:val="24"/>
                      <w:szCs w:val="24"/>
                    </w:rPr>
                    <w:t xml:space="preserve">表2-8  </w:t>
                  </w:r>
                  <w:r>
                    <w:rPr>
                      <w:rFonts w:hint="eastAsia" w:ascii="黑体" w:hAnsi="黑体" w:eastAsia="黑体" w:cs="黑体"/>
                      <w:color w:val="auto"/>
                      <w:sz w:val="24"/>
                      <w:szCs w:val="24"/>
                      <w:lang w:val="en-US" w:eastAsia="zh-CN"/>
                    </w:rPr>
                    <w:t>荒煤气</w:t>
                  </w:r>
                  <w:r>
                    <w:rPr>
                      <w:rFonts w:hint="eastAsia" w:ascii="黑体" w:hAnsi="黑体" w:eastAsia="黑体" w:cs="黑体"/>
                      <w:color w:val="auto"/>
                      <w:sz w:val="24"/>
                      <w:szCs w:val="24"/>
                    </w:rPr>
                    <w:t>成分</w:t>
                  </w:r>
                </w:p>
              </w:tc>
            </w:tr>
            <w:tr w14:paraId="0E9EC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0" w:type="pct"/>
                  <w:tcBorders>
                    <w:tl2br w:val="nil"/>
                    <w:tr2bl w:val="nil"/>
                  </w:tcBorders>
                  <w:noWrap w:val="0"/>
                  <w:vAlign w:val="center"/>
                </w:tcPr>
                <w:p w14:paraId="118CAE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成分</w:t>
                  </w:r>
                </w:p>
              </w:tc>
              <w:tc>
                <w:tcPr>
                  <w:tcW w:w="510" w:type="pct"/>
                  <w:tcBorders>
                    <w:tl2br w:val="nil"/>
                    <w:tr2bl w:val="nil"/>
                  </w:tcBorders>
                  <w:noWrap w:val="0"/>
                  <w:vAlign w:val="center"/>
                </w:tcPr>
                <w:p w14:paraId="76588D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2</w:t>
                  </w:r>
                </w:p>
              </w:tc>
              <w:tc>
                <w:tcPr>
                  <w:tcW w:w="510" w:type="pct"/>
                  <w:tcBorders>
                    <w:tl2br w:val="nil"/>
                    <w:tr2bl w:val="nil"/>
                  </w:tcBorders>
                  <w:noWrap w:val="0"/>
                  <w:vAlign w:val="center"/>
                </w:tcPr>
                <w:p w14:paraId="3C0603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2</w:t>
                  </w:r>
                </w:p>
              </w:tc>
              <w:tc>
                <w:tcPr>
                  <w:tcW w:w="510" w:type="pct"/>
                  <w:tcBorders>
                    <w:tl2br w:val="nil"/>
                    <w:tr2bl w:val="nil"/>
                  </w:tcBorders>
                  <w:noWrap w:val="0"/>
                  <w:vAlign w:val="center"/>
                </w:tcPr>
                <w:p w14:paraId="74FBB3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w:t>
                  </w:r>
                  <w:r>
                    <w:rPr>
                      <w:rFonts w:ascii="Times New Roman" w:hAnsi="Times New Roman" w:eastAsia="宋体" w:cs="Times New Roman"/>
                      <w:color w:val="auto"/>
                      <w:sz w:val="21"/>
                      <w:szCs w:val="21"/>
                      <w:vertAlign w:val="subscript"/>
                    </w:rPr>
                    <w:t>2</w:t>
                  </w:r>
                </w:p>
              </w:tc>
              <w:tc>
                <w:tcPr>
                  <w:tcW w:w="510" w:type="pct"/>
                  <w:tcBorders>
                    <w:tl2br w:val="nil"/>
                    <w:tr2bl w:val="nil"/>
                  </w:tcBorders>
                  <w:noWrap w:val="0"/>
                  <w:vAlign w:val="center"/>
                </w:tcPr>
                <w:p w14:paraId="5C815B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4</w:t>
                  </w:r>
                </w:p>
              </w:tc>
              <w:tc>
                <w:tcPr>
                  <w:tcW w:w="510" w:type="pct"/>
                  <w:tcBorders>
                    <w:tl2br w:val="nil"/>
                    <w:tr2bl w:val="nil"/>
                  </w:tcBorders>
                  <w:noWrap w:val="0"/>
                  <w:vAlign w:val="center"/>
                </w:tcPr>
                <w:p w14:paraId="7D440B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tc>
              <w:tc>
                <w:tcPr>
                  <w:tcW w:w="511" w:type="pct"/>
                  <w:tcBorders>
                    <w:tl2br w:val="nil"/>
                    <w:tr2bl w:val="nil"/>
                  </w:tcBorders>
                  <w:noWrap w:val="0"/>
                  <w:vAlign w:val="center"/>
                </w:tcPr>
                <w:p w14:paraId="093A5F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2</w:t>
                  </w:r>
                </w:p>
              </w:tc>
              <w:tc>
                <w:tcPr>
                  <w:tcW w:w="744" w:type="pct"/>
                  <w:tcBorders>
                    <w:tl2br w:val="nil"/>
                    <w:tr2bl w:val="nil"/>
                  </w:tcBorders>
                  <w:noWrap w:val="0"/>
                  <w:vAlign w:val="center"/>
                </w:tcPr>
                <w:p w14:paraId="764B28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总硫</w:t>
                  </w:r>
                </w:p>
                <w:p w14:paraId="2A4892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（mg/Nm³）</w:t>
                  </w:r>
                </w:p>
              </w:tc>
              <w:tc>
                <w:tcPr>
                  <w:tcW w:w="729" w:type="pct"/>
                  <w:tcBorders>
                    <w:tl2br w:val="nil"/>
                    <w:tr2bl w:val="nil"/>
                  </w:tcBorders>
                  <w:noWrap w:val="0"/>
                  <w:vAlign w:val="center"/>
                </w:tcPr>
                <w:p w14:paraId="595A27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Q</w:t>
                  </w:r>
                </w:p>
                <w:p w14:paraId="62C767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(kcal/Nm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r>
            <w:tr w14:paraId="15E32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60" w:type="pct"/>
                  <w:tcBorders>
                    <w:tl2br w:val="nil"/>
                    <w:tr2bl w:val="nil"/>
                  </w:tcBorders>
                  <w:noWrap w:val="0"/>
                  <w:vAlign w:val="center"/>
                </w:tcPr>
                <w:p w14:paraId="623FE7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组分（V%）</w:t>
                  </w:r>
                </w:p>
              </w:tc>
              <w:tc>
                <w:tcPr>
                  <w:tcW w:w="510" w:type="pct"/>
                  <w:tcBorders>
                    <w:tl2br w:val="nil"/>
                    <w:tr2bl w:val="nil"/>
                  </w:tcBorders>
                  <w:noWrap w:val="0"/>
                  <w:vAlign w:val="center"/>
                </w:tcPr>
                <w:p w14:paraId="70A21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25.9</w:t>
                  </w:r>
                </w:p>
              </w:tc>
              <w:tc>
                <w:tcPr>
                  <w:tcW w:w="510" w:type="pct"/>
                  <w:tcBorders>
                    <w:tl2br w:val="nil"/>
                    <w:tr2bl w:val="nil"/>
                  </w:tcBorders>
                  <w:noWrap w:val="0"/>
                  <w:vAlign w:val="center"/>
                </w:tcPr>
                <w:p w14:paraId="117E56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.2</w:t>
                  </w:r>
                </w:p>
              </w:tc>
              <w:tc>
                <w:tcPr>
                  <w:tcW w:w="510" w:type="pct"/>
                  <w:tcBorders>
                    <w:tl2br w:val="nil"/>
                    <w:tr2bl w:val="nil"/>
                  </w:tcBorders>
                  <w:noWrap w:val="0"/>
                  <w:vAlign w:val="center"/>
                </w:tcPr>
                <w:p w14:paraId="0F97B9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1.6</w:t>
                  </w:r>
                </w:p>
              </w:tc>
              <w:tc>
                <w:tcPr>
                  <w:tcW w:w="510" w:type="pct"/>
                  <w:tcBorders>
                    <w:tl2br w:val="nil"/>
                    <w:tr2bl w:val="nil"/>
                  </w:tcBorders>
                  <w:noWrap w:val="0"/>
                  <w:vAlign w:val="center"/>
                </w:tcPr>
                <w:p w14:paraId="0D6CB7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.8</w:t>
                  </w:r>
                </w:p>
              </w:tc>
              <w:tc>
                <w:tcPr>
                  <w:tcW w:w="510" w:type="pct"/>
                  <w:tcBorders>
                    <w:tl2br w:val="nil"/>
                    <w:tr2bl w:val="nil"/>
                  </w:tcBorders>
                  <w:noWrap w:val="0"/>
                  <w:vAlign w:val="center"/>
                </w:tcPr>
                <w:p w14:paraId="1369A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5.4</w:t>
                  </w:r>
                </w:p>
              </w:tc>
              <w:tc>
                <w:tcPr>
                  <w:tcW w:w="511" w:type="pct"/>
                  <w:tcBorders>
                    <w:tl2br w:val="nil"/>
                    <w:tr2bl w:val="nil"/>
                  </w:tcBorders>
                  <w:noWrap w:val="0"/>
                  <w:vAlign w:val="center"/>
                </w:tcPr>
                <w:p w14:paraId="05F5F6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744" w:type="pct"/>
                  <w:tcBorders>
                    <w:tl2br w:val="nil"/>
                    <w:tr2bl w:val="nil"/>
                  </w:tcBorders>
                  <w:noWrap w:val="0"/>
                  <w:vAlign w:val="center"/>
                </w:tcPr>
                <w:p w14:paraId="37ED6E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2300</w:t>
                  </w:r>
                </w:p>
              </w:tc>
              <w:tc>
                <w:tcPr>
                  <w:tcW w:w="729" w:type="pct"/>
                  <w:tcBorders>
                    <w:tl2br w:val="nil"/>
                    <w:tr2bl w:val="nil"/>
                  </w:tcBorders>
                  <w:noWrap w:val="0"/>
                  <w:vAlign w:val="center"/>
                </w:tcPr>
                <w:p w14:paraId="58B00A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910</w:t>
                  </w:r>
                </w:p>
              </w:tc>
            </w:tr>
          </w:tbl>
          <w:p w14:paraId="4877CC7F">
            <w:pPr>
              <w:widowControl w:val="0"/>
              <w:numPr>
                <w:ilvl w:val="0"/>
                <w:numId w:val="0"/>
              </w:numPr>
              <w:jc w:val="center"/>
              <w:rPr>
                <w:rFonts w:hint="eastAsia" w:ascii="黑体" w:hAnsi="黑体" w:eastAsia="黑体" w:cs="黑体"/>
                <w:color w:val="auto"/>
                <w:sz w:val="24"/>
                <w:szCs w:val="24"/>
              </w:rPr>
            </w:pPr>
            <w:r>
              <w:rPr>
                <w:rFonts w:hint="default" w:ascii="黑体" w:hAnsi="黑体" w:eastAsia="黑体" w:cs="黑体"/>
                <w:color w:val="auto"/>
                <w:sz w:val="24"/>
                <w:szCs w:val="24"/>
              </w:rPr>
              <w:t>表</w:t>
            </w:r>
            <w:r>
              <w:rPr>
                <w:rFonts w:hint="default" w:ascii="黑体" w:hAnsi="黑体" w:eastAsia="黑体" w:cs="黑体"/>
                <w:color w:val="auto"/>
                <w:sz w:val="24"/>
                <w:szCs w:val="24"/>
                <w:lang w:val="en-US" w:eastAsia="zh-CN"/>
              </w:rPr>
              <w:t>2-</w:t>
            </w:r>
            <w:r>
              <w:rPr>
                <w:rFonts w:hint="eastAsia" w:ascii="黑体" w:hAnsi="黑体" w:eastAsia="黑体" w:cs="黑体"/>
                <w:color w:val="auto"/>
                <w:sz w:val="24"/>
                <w:szCs w:val="24"/>
                <w:lang w:val="en-US" w:eastAsia="zh-CN"/>
              </w:rPr>
              <w:t>9</w:t>
            </w:r>
            <w:r>
              <w:rPr>
                <w:rFonts w:hint="default" w:ascii="黑体" w:hAnsi="黑体" w:eastAsia="黑体" w:cs="黑体"/>
                <w:color w:val="auto"/>
                <w:sz w:val="24"/>
                <w:szCs w:val="24"/>
              </w:rPr>
              <w:t xml:space="preserve"> </w:t>
            </w:r>
            <w:r>
              <w:rPr>
                <w:rFonts w:hint="eastAsia" w:ascii="黑体" w:hAnsi="黑体" w:eastAsia="黑体" w:cs="黑体"/>
                <w:color w:val="auto"/>
                <w:sz w:val="24"/>
                <w:szCs w:val="24"/>
                <w:lang w:val="en-US" w:eastAsia="zh-CN"/>
              </w:rPr>
              <w:t xml:space="preserve"> </w:t>
            </w:r>
            <w:r>
              <w:rPr>
                <w:rFonts w:hint="default" w:ascii="黑体" w:hAnsi="黑体" w:eastAsia="黑体" w:cs="黑体"/>
                <w:color w:val="auto"/>
                <w:sz w:val="24"/>
                <w:szCs w:val="24"/>
              </w:rPr>
              <w:t>项目天然气组分一览表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88"/>
              <w:gridCol w:w="1222"/>
              <w:gridCol w:w="956"/>
              <w:gridCol w:w="921"/>
              <w:gridCol w:w="865"/>
              <w:gridCol w:w="865"/>
              <w:gridCol w:w="921"/>
              <w:gridCol w:w="865"/>
            </w:tblGrid>
            <w:tr w14:paraId="46B3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7D7F8CFE">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组分</w:t>
                  </w:r>
                </w:p>
              </w:tc>
              <w:tc>
                <w:tcPr>
                  <w:tcW w:w="697" w:type="pct"/>
                  <w:vAlign w:val="center"/>
                </w:tcPr>
                <w:p w14:paraId="322C44AA">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总硫（mg/m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c>
                <w:tcPr>
                  <w:tcW w:w="717" w:type="pct"/>
                  <w:vAlign w:val="center"/>
                </w:tcPr>
                <w:p w14:paraId="453317AE">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硫化氢 （mg/m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tc>
              <w:tc>
                <w:tcPr>
                  <w:tcW w:w="561" w:type="pct"/>
                  <w:vAlign w:val="center"/>
                </w:tcPr>
                <w:p w14:paraId="5D14E96B">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氮气%</w:t>
                  </w:r>
                </w:p>
              </w:tc>
              <w:tc>
                <w:tcPr>
                  <w:tcW w:w="540" w:type="pct"/>
                  <w:vAlign w:val="center"/>
                </w:tcPr>
                <w:p w14:paraId="3375A902">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甲烷%</w:t>
                  </w:r>
                </w:p>
              </w:tc>
              <w:tc>
                <w:tcPr>
                  <w:tcW w:w="507" w:type="pct"/>
                  <w:vAlign w:val="center"/>
                </w:tcPr>
                <w:p w14:paraId="3A9CFC43">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乙烷%</w:t>
                  </w:r>
                </w:p>
              </w:tc>
              <w:tc>
                <w:tcPr>
                  <w:tcW w:w="507" w:type="pct"/>
                  <w:vAlign w:val="center"/>
                </w:tcPr>
                <w:p w14:paraId="300BC640">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丙烷%</w:t>
                  </w:r>
                </w:p>
              </w:tc>
              <w:tc>
                <w:tcPr>
                  <w:tcW w:w="540" w:type="pct"/>
                  <w:vAlign w:val="center"/>
                </w:tcPr>
                <w:p w14:paraId="073B7852">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正丁烷 %</w:t>
                  </w:r>
                </w:p>
              </w:tc>
              <w:tc>
                <w:tcPr>
                  <w:tcW w:w="507" w:type="pct"/>
                  <w:vAlign w:val="center"/>
                </w:tcPr>
                <w:p w14:paraId="108C9B0F">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异丁烷%</w:t>
                  </w:r>
                </w:p>
              </w:tc>
            </w:tr>
            <w:tr w14:paraId="783F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2AB7DF29">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含量</w:t>
                  </w:r>
                </w:p>
              </w:tc>
              <w:tc>
                <w:tcPr>
                  <w:tcW w:w="697" w:type="pct"/>
                  <w:vAlign w:val="center"/>
                </w:tcPr>
                <w:p w14:paraId="2644A448">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1.1</w:t>
                  </w:r>
                </w:p>
              </w:tc>
              <w:tc>
                <w:tcPr>
                  <w:tcW w:w="717" w:type="pct"/>
                  <w:vAlign w:val="center"/>
                </w:tcPr>
                <w:p w14:paraId="7A2F4F53">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0.62</w:t>
                  </w:r>
                </w:p>
              </w:tc>
              <w:tc>
                <w:tcPr>
                  <w:tcW w:w="561" w:type="pct"/>
                  <w:vAlign w:val="center"/>
                </w:tcPr>
                <w:p w14:paraId="29F3152B">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0.56</w:t>
                  </w:r>
                </w:p>
              </w:tc>
              <w:tc>
                <w:tcPr>
                  <w:tcW w:w="540" w:type="pct"/>
                  <w:vAlign w:val="center"/>
                </w:tcPr>
                <w:p w14:paraId="3999881B">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93.456</w:t>
                  </w:r>
                </w:p>
              </w:tc>
              <w:tc>
                <w:tcPr>
                  <w:tcW w:w="507" w:type="pct"/>
                  <w:vAlign w:val="center"/>
                </w:tcPr>
                <w:p w14:paraId="03209592">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3.690</w:t>
                  </w:r>
                </w:p>
              </w:tc>
              <w:tc>
                <w:tcPr>
                  <w:tcW w:w="507" w:type="pct"/>
                  <w:vAlign w:val="center"/>
                </w:tcPr>
                <w:p w14:paraId="0F4609A3">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0.488</w:t>
                  </w:r>
                </w:p>
              </w:tc>
              <w:tc>
                <w:tcPr>
                  <w:tcW w:w="540" w:type="pct"/>
                  <w:vAlign w:val="center"/>
                </w:tcPr>
                <w:p w14:paraId="5AF97AE3">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0.043</w:t>
                  </w:r>
                </w:p>
              </w:tc>
              <w:tc>
                <w:tcPr>
                  <w:tcW w:w="507" w:type="pct"/>
                  <w:vAlign w:val="center"/>
                </w:tcPr>
                <w:p w14:paraId="4EB03D41">
                  <w:pPr>
                    <w:widowControl w:val="0"/>
                    <w:numPr>
                      <w:ilvl w:val="0"/>
                      <w:numId w:val="0"/>
                    </w:numPr>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0.049</w:t>
                  </w:r>
                </w:p>
              </w:tc>
            </w:tr>
          </w:tbl>
          <w:p w14:paraId="4CCBA579">
            <w:pPr>
              <w:numPr>
                <w:ilvl w:val="0"/>
                <w:numId w:val="0"/>
              </w:numPr>
              <w:ind w:firstLine="720" w:firstLineChars="300"/>
              <w:rPr>
                <w:rFonts w:hint="eastAsia"/>
                <w:color w:val="auto"/>
                <w:lang w:val="en-US" w:eastAsia="zh-CN"/>
              </w:rPr>
            </w:pPr>
            <w:r>
              <w:rPr>
                <w:rFonts w:hint="eastAsia"/>
                <w:color w:val="auto"/>
                <w:lang w:val="en-US" w:eastAsia="zh-CN"/>
              </w:rPr>
              <w:t>（2）物料平衡</w:t>
            </w:r>
          </w:p>
          <w:p w14:paraId="469433D7">
            <w:pPr>
              <w:widowControl w:val="0"/>
              <w:numPr>
                <w:ilvl w:val="0"/>
                <w:numId w:val="0"/>
              </w:numPr>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项目物料平衡见表</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14:paraId="465C358A">
            <w:pPr>
              <w:widowControl w:val="0"/>
              <w:numPr>
                <w:ilvl w:val="0"/>
                <w:numId w:val="0"/>
              </w:numPr>
              <w:ind w:firstLine="480" w:firstLineChars="200"/>
              <w:jc w:val="center"/>
              <w:rPr>
                <w:rFonts w:hint="default" w:ascii="黑体" w:hAnsi="黑体" w:eastAsia="黑体" w:cs="黑体"/>
                <w:color w:val="auto"/>
                <w:sz w:val="24"/>
                <w:szCs w:val="24"/>
                <w:highlight w:val="none"/>
              </w:rPr>
            </w:pPr>
            <w:r>
              <w:rPr>
                <w:rFonts w:hint="default" w:ascii="黑体" w:hAnsi="黑体" w:eastAsia="黑体" w:cs="黑体"/>
                <w:color w:val="auto"/>
                <w:sz w:val="24"/>
                <w:szCs w:val="24"/>
                <w:highlight w:val="none"/>
              </w:rPr>
              <w:t>表</w:t>
            </w:r>
            <w:r>
              <w:rPr>
                <w:rFonts w:hint="default"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lang w:val="en-US" w:eastAsia="zh-CN"/>
              </w:rPr>
              <w:t>10</w:t>
            </w:r>
            <w:r>
              <w:rPr>
                <w:rFonts w:hint="default" w:ascii="黑体" w:hAnsi="黑体" w:eastAsia="黑体" w:cs="黑体"/>
                <w:color w:val="auto"/>
                <w:sz w:val="24"/>
                <w:szCs w:val="24"/>
                <w:highlight w:val="none"/>
              </w:rPr>
              <w:t xml:space="preserve"> </w:t>
            </w:r>
            <w:r>
              <w:rPr>
                <w:rFonts w:hint="eastAsia" w:ascii="黑体" w:hAnsi="黑体" w:eastAsia="黑体" w:cs="黑体"/>
                <w:color w:val="auto"/>
                <w:sz w:val="24"/>
                <w:szCs w:val="24"/>
                <w:highlight w:val="none"/>
                <w:lang w:val="en-US" w:eastAsia="zh-CN"/>
              </w:rPr>
              <w:t xml:space="preserve"> </w:t>
            </w:r>
            <w:r>
              <w:rPr>
                <w:rFonts w:hint="default" w:ascii="黑体" w:hAnsi="黑体" w:eastAsia="黑体" w:cs="黑体"/>
                <w:color w:val="auto"/>
                <w:sz w:val="24"/>
                <w:szCs w:val="24"/>
                <w:highlight w:val="none"/>
              </w:rPr>
              <w:t>项目物料平衡表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1585"/>
              <w:gridCol w:w="2760"/>
              <w:gridCol w:w="1724"/>
            </w:tblGrid>
            <w:tr w14:paraId="2B6D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0D6026C1">
                  <w:pPr>
                    <w:widowControl w:val="0"/>
                    <w:numPr>
                      <w:ilvl w:val="0"/>
                      <w:numId w:val="0"/>
                    </w:numPr>
                    <w:jc w:val="left"/>
                    <w:rPr>
                      <w:rFonts w:hint="default" w:ascii="Times New Roman" w:hAnsi="Times New Roman" w:eastAsia="宋体" w:cs="Times New Roman"/>
                      <w:color w:val="auto"/>
                      <w:sz w:val="21"/>
                      <w:szCs w:val="21"/>
                      <w:lang w:val="en-US" w:eastAsia="zh-CN"/>
                    </w:rPr>
                  </w:pPr>
                  <w:r>
                    <w:rPr>
                      <w:rFonts w:hint="eastAsia" w:ascii="黑体" w:hAnsi="黑体" w:eastAsia="黑体" w:cs="黑体"/>
                      <w:color w:val="auto"/>
                      <w:sz w:val="21"/>
                      <w:szCs w:val="21"/>
                      <w:lang w:val="en-US" w:eastAsia="zh-CN"/>
                    </w:rPr>
                    <w:t>一、镁合金锭</w:t>
                  </w:r>
                </w:p>
              </w:tc>
            </w:tr>
            <w:tr w14:paraId="7138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7" w:type="pct"/>
                  <w:gridSpan w:val="2"/>
                </w:tcPr>
                <w:p w14:paraId="08996EA9">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输入</w:t>
                  </w:r>
                </w:p>
              </w:tc>
              <w:tc>
                <w:tcPr>
                  <w:tcW w:w="2632" w:type="pct"/>
                  <w:gridSpan w:val="2"/>
                </w:tcPr>
                <w:p w14:paraId="1FB7AAAB">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输出</w:t>
                  </w:r>
                </w:p>
              </w:tc>
            </w:tr>
            <w:tr w14:paraId="55B6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tcPr>
                <w:p w14:paraId="1FAD857B">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原料名称</w:t>
                  </w:r>
                </w:p>
              </w:tc>
              <w:tc>
                <w:tcPr>
                  <w:tcW w:w="930" w:type="pct"/>
                </w:tcPr>
                <w:p w14:paraId="613284C1">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数量（t/a）</w:t>
                  </w:r>
                </w:p>
              </w:tc>
              <w:tc>
                <w:tcPr>
                  <w:tcW w:w="1620" w:type="pct"/>
                </w:tcPr>
                <w:p w14:paraId="0FD0BC65">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产品名称</w:t>
                  </w:r>
                </w:p>
              </w:tc>
              <w:tc>
                <w:tcPr>
                  <w:tcW w:w="1011" w:type="pct"/>
                </w:tcPr>
                <w:p w14:paraId="3AC53960">
                  <w:pPr>
                    <w:widowControl w:val="0"/>
                    <w:numPr>
                      <w:ilvl w:val="0"/>
                      <w:numId w:val="0"/>
                    </w:num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数量（t/a）</w:t>
                  </w:r>
                </w:p>
              </w:tc>
            </w:tr>
            <w:tr w14:paraId="14BA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vAlign w:val="center"/>
                </w:tcPr>
                <w:p w14:paraId="2645AEB7">
                  <w:pPr>
                    <w:widowControl w:val="0"/>
                    <w:numPr>
                      <w:ilvl w:val="0"/>
                      <w:numId w:val="0"/>
                    </w:numPr>
                    <w:jc w:val="center"/>
                    <w:rPr>
                      <w:rFonts w:hint="default" w:ascii="Times New Roman" w:hAnsi="Times New Roman" w:eastAsia="宋体" w:cs="Times New Roman"/>
                      <w:color w:val="auto"/>
                      <w:sz w:val="21"/>
                      <w:szCs w:val="21"/>
                      <w:highlight w:val="none"/>
                      <w:vertAlign w:val="baseline"/>
                      <w:lang w:eastAsia="zh-CN"/>
                    </w:rPr>
                  </w:pPr>
                  <w:r>
                    <w:rPr>
                      <w:rFonts w:hint="eastAsia" w:cs="Times New Roman"/>
                      <w:color w:val="auto"/>
                      <w:sz w:val="21"/>
                      <w:szCs w:val="21"/>
                      <w:highlight w:val="none"/>
                      <w:lang w:val="en-US" w:eastAsia="zh-CN"/>
                    </w:rPr>
                    <w:t>精</w:t>
                  </w:r>
                  <w:r>
                    <w:rPr>
                      <w:rFonts w:hint="default" w:ascii="Times New Roman" w:hAnsi="Times New Roman" w:eastAsia="宋体" w:cs="Times New Roman"/>
                      <w:color w:val="auto"/>
                      <w:sz w:val="21"/>
                      <w:szCs w:val="21"/>
                      <w:highlight w:val="none"/>
                      <w:lang w:val="en-US" w:eastAsia="zh-CN"/>
                    </w:rPr>
                    <w:t>镁</w:t>
                  </w:r>
                </w:p>
              </w:tc>
              <w:tc>
                <w:tcPr>
                  <w:tcW w:w="930" w:type="pct"/>
                  <w:vAlign w:val="center"/>
                </w:tcPr>
                <w:p w14:paraId="351B25B6">
                  <w:pPr>
                    <w:widowControl w:val="0"/>
                    <w:numPr>
                      <w:ilvl w:val="0"/>
                      <w:numId w:val="0"/>
                    </w:numPr>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12958.48</w:t>
                  </w:r>
                </w:p>
              </w:tc>
              <w:tc>
                <w:tcPr>
                  <w:tcW w:w="1620" w:type="pct"/>
                  <w:vAlign w:val="center"/>
                </w:tcPr>
                <w:p w14:paraId="31697902">
                  <w:pPr>
                    <w:widowControl w:val="0"/>
                    <w:numPr>
                      <w:ilvl w:val="0"/>
                      <w:numId w:val="0"/>
                    </w:num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镁合金锭</w:t>
                  </w:r>
                </w:p>
              </w:tc>
              <w:tc>
                <w:tcPr>
                  <w:tcW w:w="1011" w:type="pct"/>
                  <w:vAlign w:val="center"/>
                </w:tcPr>
                <w:p w14:paraId="79A62F82">
                  <w:pPr>
                    <w:widowControl w:val="0"/>
                    <w:numPr>
                      <w:ilvl w:val="0"/>
                      <w:numId w:val="0"/>
                    </w:num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16000</w:t>
                  </w:r>
                </w:p>
              </w:tc>
            </w:tr>
            <w:tr w14:paraId="3D5B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71EE425B">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铝锭</w:t>
                  </w:r>
                </w:p>
              </w:tc>
              <w:tc>
                <w:tcPr>
                  <w:tcW w:w="930" w:type="pct"/>
                  <w:shd w:val="clear" w:color="auto" w:fill="auto"/>
                  <w:vAlign w:val="center"/>
                </w:tcPr>
                <w:p w14:paraId="221AA374">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3040</w:t>
                  </w:r>
                </w:p>
              </w:tc>
              <w:tc>
                <w:tcPr>
                  <w:tcW w:w="1620" w:type="pct"/>
                  <w:shd w:val="clear" w:color="auto" w:fill="auto"/>
                  <w:vAlign w:val="center"/>
                </w:tcPr>
                <w:p w14:paraId="075ED39B">
                  <w:pPr>
                    <w:widowControl w:val="0"/>
                    <w:numPr>
                      <w:ilvl w:val="0"/>
                      <w:numId w:val="0"/>
                    </w:numPr>
                    <w:ind w:left="0" w:leftChars="0" w:firstLine="0" w:firstLineChars="0"/>
                    <w:jc w:val="center"/>
                    <w:rPr>
                      <w:color w:val="auto"/>
                    </w:rPr>
                  </w:pPr>
                  <w:r>
                    <w:rPr>
                      <w:rFonts w:hint="default" w:ascii="Times New Roman" w:hAnsi="Times New Roman" w:eastAsia="宋体" w:cs="Times New Roman"/>
                      <w:color w:val="auto"/>
                      <w:sz w:val="21"/>
                      <w:szCs w:val="21"/>
                      <w:highlight w:val="none"/>
                    </w:rPr>
                    <w:t>熔炼渣</w:t>
                  </w:r>
                </w:p>
              </w:tc>
              <w:tc>
                <w:tcPr>
                  <w:tcW w:w="1011" w:type="pct"/>
                  <w:shd w:val="clear" w:color="auto" w:fill="auto"/>
                  <w:vAlign w:val="center"/>
                </w:tcPr>
                <w:p w14:paraId="20528FAA">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46.4</w:t>
                  </w:r>
                </w:p>
              </w:tc>
            </w:tr>
            <w:tr w14:paraId="4D8E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5C3A8DE2">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锌锭</w:t>
                  </w:r>
                </w:p>
              </w:tc>
              <w:tc>
                <w:tcPr>
                  <w:tcW w:w="930" w:type="pct"/>
                  <w:shd w:val="clear" w:color="auto" w:fill="auto"/>
                  <w:vAlign w:val="center"/>
                </w:tcPr>
                <w:p w14:paraId="07BEFF95">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91</w:t>
                  </w:r>
                </w:p>
              </w:tc>
              <w:tc>
                <w:tcPr>
                  <w:tcW w:w="1620" w:type="pct"/>
                  <w:shd w:val="clear" w:color="auto" w:fill="auto"/>
                  <w:vAlign w:val="center"/>
                </w:tcPr>
                <w:p w14:paraId="55496EB2">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铸锭打磨</w:t>
                  </w:r>
                  <w:r>
                    <w:rPr>
                      <w:rFonts w:hint="eastAsia" w:ascii="Times New Roman" w:hAnsi="Times New Roman" w:eastAsia="宋体" w:cs="Times New Roman"/>
                      <w:color w:val="auto"/>
                      <w:sz w:val="21"/>
                      <w:szCs w:val="21"/>
                      <w:highlight w:val="none"/>
                      <w:lang w:val="en-US" w:eastAsia="zh-CN"/>
                    </w:rPr>
                    <w:t>水浴</w:t>
                  </w:r>
                  <w:r>
                    <w:rPr>
                      <w:rFonts w:hint="default" w:ascii="Times New Roman" w:hAnsi="Times New Roman" w:eastAsia="宋体" w:cs="Times New Roman"/>
                      <w:color w:val="auto"/>
                      <w:sz w:val="21"/>
                      <w:szCs w:val="21"/>
                      <w:highlight w:val="none"/>
                    </w:rPr>
                    <w:t>除尘渣</w:t>
                  </w:r>
                </w:p>
              </w:tc>
              <w:tc>
                <w:tcPr>
                  <w:tcW w:w="1011" w:type="pct"/>
                  <w:shd w:val="clear" w:color="auto" w:fill="auto"/>
                  <w:vAlign w:val="center"/>
                </w:tcPr>
                <w:p w14:paraId="2CFD56D7">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17.87</w:t>
                  </w:r>
                </w:p>
              </w:tc>
            </w:tr>
            <w:tr w14:paraId="69EE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398BE980">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锰粉</w:t>
                  </w:r>
                </w:p>
              </w:tc>
              <w:tc>
                <w:tcPr>
                  <w:tcW w:w="930" w:type="pct"/>
                  <w:shd w:val="clear" w:color="auto" w:fill="auto"/>
                  <w:vAlign w:val="center"/>
                </w:tcPr>
                <w:p w14:paraId="594FF8CB">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72</w:t>
                  </w:r>
                </w:p>
              </w:tc>
              <w:tc>
                <w:tcPr>
                  <w:tcW w:w="1620" w:type="pct"/>
                  <w:shd w:val="clear" w:color="auto" w:fill="auto"/>
                  <w:vAlign w:val="center"/>
                </w:tcPr>
                <w:p w14:paraId="2D39E3DC">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布袋收尘灰</w:t>
                  </w:r>
                </w:p>
              </w:tc>
              <w:tc>
                <w:tcPr>
                  <w:tcW w:w="1011" w:type="pct"/>
                  <w:shd w:val="clear" w:color="auto" w:fill="auto"/>
                  <w:vAlign w:val="center"/>
                </w:tcPr>
                <w:p w14:paraId="0ADA906A">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87.2</w:t>
                  </w:r>
                </w:p>
              </w:tc>
            </w:tr>
            <w:tr w14:paraId="5E4C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3FAD84D6">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熔炼熔剂</w:t>
                  </w:r>
                </w:p>
              </w:tc>
              <w:tc>
                <w:tcPr>
                  <w:tcW w:w="930" w:type="pct"/>
                  <w:shd w:val="clear" w:color="auto" w:fill="auto"/>
                  <w:vAlign w:val="center"/>
                </w:tcPr>
                <w:p w14:paraId="0E0ADFC8">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1620" w:type="pct"/>
                  <w:shd w:val="clear" w:color="auto" w:fill="auto"/>
                  <w:vAlign w:val="center"/>
                </w:tcPr>
                <w:p w14:paraId="24DE0AA8">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有组织废气排放</w:t>
                  </w:r>
                </w:p>
              </w:tc>
              <w:tc>
                <w:tcPr>
                  <w:tcW w:w="1011" w:type="pct"/>
                  <w:shd w:val="clear" w:color="auto" w:fill="auto"/>
                  <w:vAlign w:val="center"/>
                </w:tcPr>
                <w:p w14:paraId="6BFA69C3">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13.2</w:t>
                  </w:r>
                </w:p>
              </w:tc>
            </w:tr>
            <w:tr w14:paraId="27B6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71AD2481">
                  <w:pPr>
                    <w:widowControl w:val="0"/>
                    <w:numPr>
                      <w:ilvl w:val="0"/>
                      <w:numId w:val="0"/>
                    </w:numPr>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覆盖</w:t>
                  </w:r>
                  <w:r>
                    <w:rPr>
                      <w:rFonts w:hint="default" w:ascii="Times New Roman" w:hAnsi="Times New Roman" w:eastAsia="宋体" w:cs="Times New Roman"/>
                      <w:color w:val="auto"/>
                      <w:sz w:val="21"/>
                      <w:szCs w:val="21"/>
                      <w:highlight w:val="none"/>
                    </w:rPr>
                    <w:t>熔剂</w:t>
                  </w:r>
                </w:p>
              </w:tc>
              <w:tc>
                <w:tcPr>
                  <w:tcW w:w="930" w:type="pct"/>
                  <w:shd w:val="clear" w:color="auto" w:fill="auto"/>
                  <w:vAlign w:val="center"/>
                </w:tcPr>
                <w:p w14:paraId="76194830">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11</w:t>
                  </w:r>
                </w:p>
              </w:tc>
              <w:tc>
                <w:tcPr>
                  <w:tcW w:w="1620" w:type="pct"/>
                  <w:shd w:val="clear" w:color="auto" w:fill="auto"/>
                  <w:vAlign w:val="center"/>
                </w:tcPr>
                <w:p w14:paraId="4F9AAEA5">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无组织废气排放</w:t>
                  </w:r>
                </w:p>
              </w:tc>
              <w:tc>
                <w:tcPr>
                  <w:tcW w:w="1011" w:type="pct"/>
                  <w:shd w:val="clear" w:color="auto" w:fill="auto"/>
                  <w:vAlign w:val="center"/>
                </w:tcPr>
                <w:p w14:paraId="1930C9B1">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none"/>
                      <w:lang w:val="en-US" w:eastAsia="zh-CN"/>
                    </w:rPr>
                    <w:t>23.81</w:t>
                  </w:r>
                </w:p>
              </w:tc>
            </w:tr>
            <w:tr w14:paraId="380A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2D0E670E">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合计</w:t>
                  </w:r>
                </w:p>
              </w:tc>
              <w:tc>
                <w:tcPr>
                  <w:tcW w:w="930" w:type="pct"/>
                  <w:shd w:val="clear" w:color="auto" w:fill="auto"/>
                  <w:vAlign w:val="center"/>
                </w:tcPr>
                <w:p w14:paraId="106EB7AE">
                  <w:pPr>
                    <w:keepNext w:val="0"/>
                    <w:keepLines w:val="0"/>
                    <w:widowControl/>
                    <w:suppressLineNumbers w:val="0"/>
                    <w:ind w:left="0" w:leftChars="0" w:firstLine="0" w:firstLineChars="0"/>
                    <w:contextualSpacing w:val="0"/>
                    <w:jc w:val="center"/>
                    <w:textAlignment w:val="top"/>
                    <w:rPr>
                      <w:rFonts w:hint="default" w:ascii="Times New Roman" w:hAnsi="Times New Roman" w:eastAsia="宋体" w:cs="Times New Roman"/>
                      <w:i w:val="0"/>
                      <w:iCs w:val="0"/>
                      <w:color w:val="auto"/>
                      <w:kern w:val="2"/>
                      <w:sz w:val="21"/>
                      <w:szCs w:val="21"/>
                      <w:highlight w:val="yellow"/>
                      <w:u w:val="none"/>
                      <w:lang w:val="en-US" w:eastAsia="zh-CN" w:bidi="ar-SA"/>
                    </w:rPr>
                  </w:pPr>
                  <w:r>
                    <w:rPr>
                      <w:rFonts w:hint="eastAsia" w:cs="Times New Roman"/>
                      <w:i w:val="0"/>
                      <w:iCs w:val="0"/>
                      <w:color w:val="auto"/>
                      <w:kern w:val="0"/>
                      <w:sz w:val="21"/>
                      <w:szCs w:val="21"/>
                      <w:highlight w:val="none"/>
                      <w:u w:val="none"/>
                      <w:lang w:val="en-US" w:eastAsia="zh-CN" w:bidi="ar"/>
                    </w:rPr>
                    <w:t>16964</w:t>
                  </w:r>
                </w:p>
              </w:tc>
              <w:tc>
                <w:tcPr>
                  <w:tcW w:w="1620" w:type="pct"/>
                  <w:shd w:val="clear" w:color="auto" w:fill="auto"/>
                  <w:vAlign w:val="center"/>
                </w:tcPr>
                <w:p w14:paraId="3D175A36">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合计</w:t>
                  </w:r>
                </w:p>
              </w:tc>
              <w:tc>
                <w:tcPr>
                  <w:tcW w:w="1011" w:type="pct"/>
                  <w:shd w:val="clear" w:color="auto" w:fill="auto"/>
                  <w:vAlign w:val="center"/>
                </w:tcPr>
                <w:p w14:paraId="55F76D02">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i w:val="0"/>
                      <w:iCs w:val="0"/>
                      <w:color w:val="auto"/>
                      <w:kern w:val="0"/>
                      <w:sz w:val="21"/>
                      <w:szCs w:val="21"/>
                      <w:highlight w:val="none"/>
                      <w:u w:val="none"/>
                      <w:lang w:val="en-US" w:eastAsia="zh-CN" w:bidi="ar"/>
                    </w:rPr>
                    <w:t>16964</w:t>
                  </w:r>
                </w:p>
              </w:tc>
            </w:tr>
            <w:tr w14:paraId="2176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top"/>
                </w:tcPr>
                <w:p w14:paraId="1D71A54B">
                  <w:pPr>
                    <w:widowControl w:val="0"/>
                    <w:numPr>
                      <w:ilvl w:val="0"/>
                      <w:numId w:val="0"/>
                    </w:numPr>
                    <w:ind w:left="0" w:leftChars="0" w:firstLine="0" w:firstLineChars="0"/>
                    <w:jc w:val="left"/>
                    <w:rPr>
                      <w:rFonts w:hint="default" w:ascii="Times New Roman" w:hAnsi="Times New Roman" w:eastAsia="宋体" w:cs="Times New Roman"/>
                      <w:color w:val="auto"/>
                      <w:sz w:val="21"/>
                      <w:szCs w:val="21"/>
                      <w:lang w:val="en-US" w:eastAsia="zh-CN"/>
                    </w:rPr>
                  </w:pPr>
                  <w:r>
                    <w:rPr>
                      <w:rFonts w:hint="eastAsia" w:ascii="黑体" w:hAnsi="黑体" w:eastAsia="黑体" w:cs="黑体"/>
                      <w:color w:val="auto"/>
                      <w:sz w:val="21"/>
                      <w:szCs w:val="21"/>
                      <w:lang w:val="en-US" w:eastAsia="zh-CN"/>
                    </w:rPr>
                    <w:t>二、镁合金压铸件</w:t>
                  </w:r>
                </w:p>
              </w:tc>
            </w:tr>
            <w:tr w14:paraId="2B75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7" w:type="pct"/>
                  <w:gridSpan w:val="2"/>
                  <w:vAlign w:val="top"/>
                </w:tcPr>
                <w:p w14:paraId="1CA4A87B">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输入</w:t>
                  </w:r>
                </w:p>
              </w:tc>
              <w:tc>
                <w:tcPr>
                  <w:tcW w:w="2632" w:type="pct"/>
                  <w:gridSpan w:val="2"/>
                  <w:vAlign w:val="top"/>
                </w:tcPr>
                <w:p w14:paraId="2C659AC1">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输出</w:t>
                  </w:r>
                </w:p>
              </w:tc>
            </w:tr>
            <w:tr w14:paraId="182A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vAlign w:val="top"/>
                </w:tcPr>
                <w:p w14:paraId="42924C51">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原料名称</w:t>
                  </w:r>
                </w:p>
              </w:tc>
              <w:tc>
                <w:tcPr>
                  <w:tcW w:w="930" w:type="pct"/>
                  <w:vAlign w:val="top"/>
                </w:tcPr>
                <w:p w14:paraId="15626EF1">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数量（t/a）</w:t>
                  </w:r>
                </w:p>
              </w:tc>
              <w:tc>
                <w:tcPr>
                  <w:tcW w:w="1620" w:type="pct"/>
                  <w:vAlign w:val="top"/>
                </w:tcPr>
                <w:p w14:paraId="6B22AD5A">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产品名称</w:t>
                  </w:r>
                </w:p>
              </w:tc>
              <w:tc>
                <w:tcPr>
                  <w:tcW w:w="1011" w:type="pct"/>
                  <w:vAlign w:val="top"/>
                </w:tcPr>
                <w:p w14:paraId="2585C7F2">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数量（t/a）</w:t>
                  </w:r>
                </w:p>
              </w:tc>
            </w:tr>
            <w:tr w14:paraId="6107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133D1FDA">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高品质镁合金</w:t>
                  </w:r>
                </w:p>
              </w:tc>
              <w:tc>
                <w:tcPr>
                  <w:tcW w:w="930" w:type="pct"/>
                  <w:shd w:val="clear" w:color="auto" w:fill="auto"/>
                  <w:vAlign w:val="center"/>
                </w:tcPr>
                <w:p w14:paraId="55FEB071">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1805.15</w:t>
                  </w:r>
                </w:p>
              </w:tc>
              <w:tc>
                <w:tcPr>
                  <w:tcW w:w="1620" w:type="pct"/>
                  <w:vAlign w:val="center"/>
                </w:tcPr>
                <w:p w14:paraId="505A65FF">
                  <w:pPr>
                    <w:widowControl w:val="0"/>
                    <w:numPr>
                      <w:ilvl w:val="0"/>
                      <w:numId w:val="0"/>
                    </w:numPr>
                    <w:ind w:left="0" w:leftChars="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镁合金压铸件</w:t>
                  </w:r>
                </w:p>
              </w:tc>
              <w:tc>
                <w:tcPr>
                  <w:tcW w:w="1011" w:type="pct"/>
                  <w:vAlign w:val="center"/>
                </w:tcPr>
                <w:p w14:paraId="40BDCEE0">
                  <w:pPr>
                    <w:widowControl w:val="0"/>
                    <w:numPr>
                      <w:ilvl w:val="0"/>
                      <w:numId w:val="0"/>
                    </w:numPr>
                    <w:ind w:left="0" w:leftChars="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2000</w:t>
                  </w:r>
                </w:p>
              </w:tc>
            </w:tr>
            <w:tr w14:paraId="6E0E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73049995">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回收废压铸件、边角料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颗粒切削产生镁合金废料</w:t>
                  </w:r>
                  <w:r>
                    <w:rPr>
                      <w:rFonts w:hint="default" w:ascii="Times New Roman" w:hAnsi="Times New Roman" w:eastAsia="宋体" w:cs="Times New Roman"/>
                      <w:color w:val="auto"/>
                      <w:sz w:val="21"/>
                      <w:szCs w:val="21"/>
                      <w:highlight w:val="none"/>
                    </w:rPr>
                    <w:t>等</w:t>
                  </w:r>
                  <w:r>
                    <w:rPr>
                      <w:rFonts w:hint="eastAsia" w:cs="Times New Roman"/>
                      <w:color w:val="auto"/>
                      <w:sz w:val="21"/>
                      <w:szCs w:val="21"/>
                      <w:highlight w:val="none"/>
                      <w:lang w:val="en-US" w:eastAsia="zh-CN"/>
                    </w:rPr>
                    <w:t>镁合金废料</w:t>
                  </w:r>
                </w:p>
              </w:tc>
              <w:tc>
                <w:tcPr>
                  <w:tcW w:w="930" w:type="pct"/>
                  <w:shd w:val="clear" w:color="auto" w:fill="auto"/>
                  <w:vAlign w:val="center"/>
                </w:tcPr>
                <w:p w14:paraId="1D365EE7">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460</w:t>
                  </w:r>
                </w:p>
              </w:tc>
              <w:tc>
                <w:tcPr>
                  <w:tcW w:w="1620" w:type="pct"/>
                  <w:shd w:val="clear" w:color="auto" w:fill="auto"/>
                  <w:vAlign w:val="center"/>
                </w:tcPr>
                <w:p w14:paraId="2A08DAC0">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布袋除尘灰</w:t>
                  </w:r>
                </w:p>
              </w:tc>
              <w:tc>
                <w:tcPr>
                  <w:tcW w:w="1011" w:type="pct"/>
                  <w:shd w:val="clear" w:color="auto" w:fill="auto"/>
                  <w:vAlign w:val="center"/>
                </w:tcPr>
                <w:p w14:paraId="36B10574">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4.21</w:t>
                  </w:r>
                </w:p>
              </w:tc>
            </w:tr>
            <w:tr w14:paraId="10BC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777433EC">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930" w:type="pct"/>
                  <w:shd w:val="clear" w:color="auto" w:fill="auto"/>
                  <w:vAlign w:val="center"/>
                </w:tcPr>
                <w:p w14:paraId="160487CA">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620" w:type="pct"/>
                  <w:shd w:val="clear" w:color="auto" w:fill="auto"/>
                  <w:vAlign w:val="center"/>
                </w:tcPr>
                <w:p w14:paraId="78D16E94">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废压铸件、边角料等</w:t>
                  </w:r>
                  <w:r>
                    <w:rPr>
                      <w:rFonts w:hint="eastAsia" w:cs="Times New Roman"/>
                      <w:color w:val="auto"/>
                      <w:sz w:val="21"/>
                      <w:szCs w:val="21"/>
                      <w:highlight w:val="none"/>
                      <w:lang w:val="en-US" w:eastAsia="zh-CN"/>
                    </w:rPr>
                    <w:t>镁合金废料</w:t>
                  </w:r>
                </w:p>
              </w:tc>
              <w:tc>
                <w:tcPr>
                  <w:tcW w:w="1011" w:type="pct"/>
                  <w:shd w:val="clear" w:color="auto" w:fill="auto"/>
                  <w:vAlign w:val="center"/>
                </w:tcPr>
                <w:p w14:paraId="61C5D5D6">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260</w:t>
                  </w:r>
                </w:p>
              </w:tc>
            </w:tr>
            <w:tr w14:paraId="1C42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3A928FEF">
                  <w:pPr>
                    <w:widowControl w:val="0"/>
                    <w:numPr>
                      <w:ilvl w:val="0"/>
                      <w:numId w:val="0"/>
                    </w:numPr>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930" w:type="pct"/>
                  <w:shd w:val="clear" w:color="auto" w:fill="auto"/>
                  <w:vAlign w:val="center"/>
                </w:tcPr>
                <w:p w14:paraId="41CD7BFB">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620" w:type="pct"/>
                  <w:shd w:val="clear" w:color="auto" w:fill="auto"/>
                  <w:vAlign w:val="center"/>
                </w:tcPr>
                <w:p w14:paraId="02AE16F8">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有组织废气排放</w:t>
                  </w:r>
                </w:p>
              </w:tc>
              <w:tc>
                <w:tcPr>
                  <w:tcW w:w="1011" w:type="pct"/>
                  <w:shd w:val="clear" w:color="auto" w:fill="auto"/>
                  <w:vAlign w:val="center"/>
                </w:tcPr>
                <w:p w14:paraId="0B49B6B7">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none"/>
                      <w:lang w:val="en-US" w:eastAsia="zh-CN"/>
                    </w:rPr>
                    <w:t>0.43</w:t>
                  </w:r>
                </w:p>
              </w:tc>
            </w:tr>
            <w:tr w14:paraId="7A12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48E950EF">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p>
              </w:tc>
              <w:tc>
                <w:tcPr>
                  <w:tcW w:w="930" w:type="pct"/>
                  <w:shd w:val="clear" w:color="auto" w:fill="auto"/>
                  <w:vAlign w:val="center"/>
                </w:tcPr>
                <w:p w14:paraId="1FDAFB95">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p>
              </w:tc>
              <w:tc>
                <w:tcPr>
                  <w:tcW w:w="1620" w:type="pct"/>
                  <w:shd w:val="clear" w:color="auto" w:fill="auto"/>
                  <w:vAlign w:val="center"/>
                </w:tcPr>
                <w:p w14:paraId="0AAD7A9A">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无组织废气排放</w:t>
                  </w:r>
                </w:p>
              </w:tc>
              <w:tc>
                <w:tcPr>
                  <w:tcW w:w="1011" w:type="pct"/>
                  <w:shd w:val="clear" w:color="auto" w:fill="auto"/>
                  <w:vAlign w:val="center"/>
                </w:tcPr>
                <w:p w14:paraId="599A9F3F">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none"/>
                      <w:lang w:val="en-US" w:eastAsia="zh-CN"/>
                    </w:rPr>
                    <w:t>0.51</w:t>
                  </w:r>
                </w:p>
              </w:tc>
            </w:tr>
            <w:tr w14:paraId="38C8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7F43AA15">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合计</w:t>
                  </w:r>
                </w:p>
              </w:tc>
              <w:tc>
                <w:tcPr>
                  <w:tcW w:w="930" w:type="pct"/>
                  <w:shd w:val="clear" w:color="auto" w:fill="auto"/>
                  <w:vAlign w:val="center"/>
                </w:tcPr>
                <w:p w14:paraId="5AC272CD">
                  <w:pPr>
                    <w:keepNext w:val="0"/>
                    <w:keepLines w:val="0"/>
                    <w:widowControl/>
                    <w:suppressLineNumbers w:val="0"/>
                    <w:ind w:left="0" w:leftChars="0" w:firstLine="0" w:firstLineChars="0"/>
                    <w:contextualSpacing w:val="0"/>
                    <w:jc w:val="center"/>
                    <w:textAlignment w:val="top"/>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2265.33</w:t>
                  </w:r>
                </w:p>
              </w:tc>
              <w:tc>
                <w:tcPr>
                  <w:tcW w:w="1620" w:type="pct"/>
                  <w:shd w:val="clear" w:color="auto" w:fill="auto"/>
                  <w:vAlign w:val="center"/>
                </w:tcPr>
                <w:p w14:paraId="022BB7C4">
                  <w:pPr>
                    <w:widowControl w:val="0"/>
                    <w:numPr>
                      <w:ilvl w:val="0"/>
                      <w:numId w:val="0"/>
                    </w:numPr>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eastAsia="zh-CN"/>
                    </w:rPr>
                    <w:t>合计</w:t>
                  </w:r>
                </w:p>
              </w:tc>
              <w:tc>
                <w:tcPr>
                  <w:tcW w:w="1011" w:type="pct"/>
                  <w:shd w:val="clear" w:color="auto" w:fill="auto"/>
                  <w:vAlign w:val="center"/>
                </w:tcPr>
                <w:p w14:paraId="319FBB6B">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2265.33</w:t>
                  </w:r>
                </w:p>
              </w:tc>
            </w:tr>
            <w:tr w14:paraId="7E5C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top"/>
                </w:tcPr>
                <w:p w14:paraId="778B3FA2">
                  <w:pPr>
                    <w:widowControl w:val="0"/>
                    <w:numPr>
                      <w:ilvl w:val="0"/>
                      <w:numId w:val="0"/>
                    </w:numPr>
                    <w:ind w:left="0" w:leftChars="0" w:firstLine="0" w:firstLineChars="0"/>
                    <w:jc w:val="left"/>
                    <w:rPr>
                      <w:rFonts w:hint="default" w:ascii="Times New Roman" w:hAnsi="Times New Roman" w:eastAsia="宋体" w:cs="Times New Roman"/>
                      <w:color w:val="auto"/>
                      <w:sz w:val="21"/>
                      <w:szCs w:val="21"/>
                      <w:lang w:val="en-US" w:eastAsia="zh-CN"/>
                    </w:rPr>
                  </w:pPr>
                  <w:r>
                    <w:rPr>
                      <w:rFonts w:hint="eastAsia" w:ascii="黑体" w:hAnsi="黑体" w:eastAsia="黑体" w:cs="黑体"/>
                      <w:color w:val="auto"/>
                      <w:sz w:val="21"/>
                      <w:szCs w:val="21"/>
                      <w:lang w:val="en-US" w:eastAsia="zh-CN"/>
                    </w:rPr>
                    <w:t>三、镁合金颗粒</w:t>
                  </w:r>
                </w:p>
              </w:tc>
            </w:tr>
            <w:tr w14:paraId="6B3F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7" w:type="pct"/>
                  <w:gridSpan w:val="2"/>
                  <w:vAlign w:val="top"/>
                </w:tcPr>
                <w:p w14:paraId="57926336">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输入</w:t>
                  </w:r>
                </w:p>
              </w:tc>
              <w:tc>
                <w:tcPr>
                  <w:tcW w:w="2632" w:type="pct"/>
                  <w:gridSpan w:val="2"/>
                  <w:vAlign w:val="top"/>
                </w:tcPr>
                <w:p w14:paraId="4FC9D293">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输出</w:t>
                  </w:r>
                </w:p>
              </w:tc>
            </w:tr>
            <w:tr w14:paraId="78A0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vAlign w:val="top"/>
                </w:tcPr>
                <w:p w14:paraId="2B7B4B4E">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原料名称</w:t>
                  </w:r>
                </w:p>
              </w:tc>
              <w:tc>
                <w:tcPr>
                  <w:tcW w:w="930" w:type="pct"/>
                  <w:vAlign w:val="top"/>
                </w:tcPr>
                <w:p w14:paraId="3340B6F8">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数量（t/a）</w:t>
                  </w:r>
                </w:p>
              </w:tc>
              <w:tc>
                <w:tcPr>
                  <w:tcW w:w="1620" w:type="pct"/>
                  <w:vAlign w:val="top"/>
                </w:tcPr>
                <w:p w14:paraId="22A0DF37">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产品名称</w:t>
                  </w:r>
                </w:p>
              </w:tc>
              <w:tc>
                <w:tcPr>
                  <w:tcW w:w="1011" w:type="pct"/>
                  <w:vAlign w:val="top"/>
                </w:tcPr>
                <w:p w14:paraId="66450DF0">
                  <w:pPr>
                    <w:widowControl w:val="0"/>
                    <w:numPr>
                      <w:ilvl w:val="0"/>
                      <w:numId w:val="0"/>
                    </w:numPr>
                    <w:ind w:left="0" w:lef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数量（t/a）</w:t>
                  </w:r>
                </w:p>
              </w:tc>
            </w:tr>
            <w:tr w14:paraId="729C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63709E3D">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高品质镁合金</w:t>
                  </w:r>
                </w:p>
              </w:tc>
              <w:tc>
                <w:tcPr>
                  <w:tcW w:w="930" w:type="pct"/>
                  <w:shd w:val="clear" w:color="auto" w:fill="auto"/>
                  <w:vAlign w:val="center"/>
                </w:tcPr>
                <w:p w14:paraId="3C9C9120">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2223.32</w:t>
                  </w:r>
                </w:p>
              </w:tc>
              <w:tc>
                <w:tcPr>
                  <w:tcW w:w="1620" w:type="pct"/>
                  <w:vAlign w:val="center"/>
                </w:tcPr>
                <w:p w14:paraId="45E88BC1">
                  <w:pPr>
                    <w:widowControl w:val="0"/>
                    <w:numPr>
                      <w:ilvl w:val="0"/>
                      <w:numId w:val="0"/>
                    </w:numPr>
                    <w:ind w:left="0" w:leftChars="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镁合金压铸件</w:t>
                  </w:r>
                </w:p>
              </w:tc>
              <w:tc>
                <w:tcPr>
                  <w:tcW w:w="1011" w:type="pct"/>
                  <w:vAlign w:val="center"/>
                </w:tcPr>
                <w:p w14:paraId="1FC5A393">
                  <w:pPr>
                    <w:widowControl w:val="0"/>
                    <w:numPr>
                      <w:ilvl w:val="0"/>
                      <w:numId w:val="0"/>
                    </w:numPr>
                    <w:ind w:left="0" w:leftChars="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2000</w:t>
                  </w:r>
                </w:p>
              </w:tc>
            </w:tr>
            <w:tr w14:paraId="360B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172E5A6C">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930" w:type="pct"/>
                  <w:shd w:val="clear" w:color="auto" w:fill="auto"/>
                  <w:vAlign w:val="center"/>
                </w:tcPr>
                <w:p w14:paraId="1B61F7A2">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620" w:type="pct"/>
                  <w:shd w:val="clear" w:color="auto" w:fill="auto"/>
                  <w:vAlign w:val="center"/>
                </w:tcPr>
                <w:p w14:paraId="27A46D0C">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旋风收尘灰</w:t>
                  </w:r>
                </w:p>
              </w:tc>
              <w:tc>
                <w:tcPr>
                  <w:tcW w:w="1011" w:type="pct"/>
                  <w:shd w:val="clear" w:color="auto" w:fill="auto"/>
                  <w:vAlign w:val="center"/>
                </w:tcPr>
                <w:p w14:paraId="22368C1B">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13.99</w:t>
                  </w:r>
                </w:p>
              </w:tc>
            </w:tr>
            <w:tr w14:paraId="4D7B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08292354">
                  <w:pPr>
                    <w:widowControl w:val="0"/>
                    <w:numPr>
                      <w:ilvl w:val="0"/>
                      <w:numId w:val="0"/>
                    </w:numPr>
                    <w:ind w:left="0" w:leftChars="0" w:firstLine="0" w:firstLineChars="0"/>
                    <w:jc w:val="center"/>
                    <w:rPr>
                      <w:rFonts w:hint="eastAsia" w:cs="Times New Roman"/>
                      <w:color w:val="auto"/>
                      <w:sz w:val="21"/>
                      <w:szCs w:val="21"/>
                      <w:highlight w:val="none"/>
                      <w:lang w:val="en-US" w:eastAsia="zh-CN"/>
                    </w:rPr>
                  </w:pPr>
                </w:p>
              </w:tc>
              <w:tc>
                <w:tcPr>
                  <w:tcW w:w="930" w:type="pct"/>
                  <w:shd w:val="clear" w:color="auto" w:fill="auto"/>
                  <w:vAlign w:val="center"/>
                </w:tcPr>
                <w:p w14:paraId="1BAB109B">
                  <w:pPr>
                    <w:widowControl w:val="0"/>
                    <w:numPr>
                      <w:ilvl w:val="0"/>
                      <w:numId w:val="0"/>
                    </w:numPr>
                    <w:ind w:left="0" w:leftChars="0" w:firstLine="0" w:firstLineChars="0"/>
                    <w:jc w:val="center"/>
                    <w:rPr>
                      <w:rFonts w:hint="eastAsia" w:cs="Times New Roman"/>
                      <w:color w:val="auto"/>
                      <w:sz w:val="21"/>
                      <w:szCs w:val="21"/>
                      <w:highlight w:val="yellow"/>
                      <w:lang w:val="en-US" w:eastAsia="zh-CN"/>
                    </w:rPr>
                  </w:pPr>
                </w:p>
              </w:tc>
              <w:tc>
                <w:tcPr>
                  <w:tcW w:w="1620" w:type="pct"/>
                  <w:shd w:val="clear" w:color="auto" w:fill="auto"/>
                  <w:vAlign w:val="center"/>
                </w:tcPr>
                <w:p w14:paraId="76A9E8CA">
                  <w:pPr>
                    <w:widowControl w:val="0"/>
                    <w:numPr>
                      <w:ilvl w:val="0"/>
                      <w:numId w:val="0"/>
                    </w:numPr>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颗粒切削产线</w:t>
                  </w:r>
                  <w:r>
                    <w:rPr>
                      <w:rFonts w:hint="eastAsia" w:ascii="Times New Roman" w:hAnsi="Times New Roman" w:eastAsia="宋体" w:cs="Times New Roman"/>
                      <w:color w:val="auto"/>
                      <w:sz w:val="21"/>
                      <w:szCs w:val="21"/>
                      <w:highlight w:val="none"/>
                      <w:lang w:val="en-US" w:eastAsia="zh-CN"/>
                    </w:rPr>
                    <w:t>水浴</w:t>
                  </w:r>
                  <w:r>
                    <w:rPr>
                      <w:rFonts w:hint="default" w:ascii="Times New Roman" w:hAnsi="Times New Roman" w:eastAsia="宋体" w:cs="Times New Roman"/>
                      <w:color w:val="auto"/>
                      <w:sz w:val="21"/>
                      <w:szCs w:val="21"/>
                      <w:highlight w:val="none"/>
                    </w:rPr>
                    <w:t>除尘渣</w:t>
                  </w:r>
                </w:p>
              </w:tc>
              <w:tc>
                <w:tcPr>
                  <w:tcW w:w="1011" w:type="pct"/>
                  <w:shd w:val="clear" w:color="auto" w:fill="auto"/>
                  <w:vAlign w:val="center"/>
                </w:tcPr>
                <w:p w14:paraId="03D7DCDB">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7.00</w:t>
                  </w:r>
                </w:p>
              </w:tc>
            </w:tr>
            <w:tr w14:paraId="64F0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4ACD74BB">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930" w:type="pct"/>
                  <w:shd w:val="clear" w:color="auto" w:fill="auto"/>
                  <w:vAlign w:val="center"/>
                </w:tcPr>
                <w:p w14:paraId="0755E9DA">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620" w:type="pct"/>
                  <w:shd w:val="clear" w:color="auto" w:fill="auto"/>
                  <w:vAlign w:val="center"/>
                </w:tcPr>
                <w:p w14:paraId="19BB87DE">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颗粒切削产生镁合金废料</w:t>
                  </w:r>
                </w:p>
              </w:tc>
              <w:tc>
                <w:tcPr>
                  <w:tcW w:w="1011" w:type="pct"/>
                  <w:shd w:val="clear" w:color="auto" w:fill="auto"/>
                  <w:vAlign w:val="center"/>
                </w:tcPr>
                <w:p w14:paraId="4139B486">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200</w:t>
                  </w:r>
                </w:p>
              </w:tc>
            </w:tr>
            <w:tr w14:paraId="339C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603D0969">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p>
              </w:tc>
              <w:tc>
                <w:tcPr>
                  <w:tcW w:w="930" w:type="pct"/>
                  <w:shd w:val="clear" w:color="auto" w:fill="auto"/>
                  <w:vAlign w:val="center"/>
                </w:tcPr>
                <w:p w14:paraId="25C68C49">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p>
              </w:tc>
              <w:tc>
                <w:tcPr>
                  <w:tcW w:w="1620" w:type="pct"/>
                  <w:shd w:val="clear" w:color="auto" w:fill="auto"/>
                  <w:vAlign w:val="center"/>
                </w:tcPr>
                <w:p w14:paraId="61519E6A">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无组织废气排放</w:t>
                  </w:r>
                </w:p>
              </w:tc>
              <w:tc>
                <w:tcPr>
                  <w:tcW w:w="1011" w:type="pct"/>
                  <w:shd w:val="clear" w:color="auto" w:fill="auto"/>
                  <w:vAlign w:val="center"/>
                </w:tcPr>
                <w:p w14:paraId="36EEFE76">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yellow"/>
                      <w:vertAlign w:val="baseline"/>
                      <w:lang w:val="en-US" w:eastAsia="zh-CN" w:bidi="ar-SA"/>
                    </w:rPr>
                  </w:pPr>
                  <w:r>
                    <w:rPr>
                      <w:rFonts w:hint="eastAsia" w:cs="Times New Roman"/>
                      <w:color w:val="auto"/>
                      <w:sz w:val="21"/>
                      <w:szCs w:val="21"/>
                      <w:highlight w:val="none"/>
                      <w:lang w:val="en-US" w:eastAsia="zh-CN"/>
                    </w:rPr>
                    <w:t>2.33</w:t>
                  </w:r>
                </w:p>
              </w:tc>
            </w:tr>
            <w:tr w14:paraId="50DC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pct"/>
                  <w:shd w:val="clear" w:color="auto" w:fill="auto"/>
                  <w:vAlign w:val="center"/>
                </w:tcPr>
                <w:p w14:paraId="76164FFE">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合计</w:t>
                  </w:r>
                </w:p>
              </w:tc>
              <w:tc>
                <w:tcPr>
                  <w:tcW w:w="930" w:type="pct"/>
                  <w:shd w:val="clear" w:color="auto" w:fill="auto"/>
                  <w:vAlign w:val="center"/>
                </w:tcPr>
                <w:p w14:paraId="16696665">
                  <w:pPr>
                    <w:keepNext w:val="0"/>
                    <w:keepLines w:val="0"/>
                    <w:widowControl/>
                    <w:suppressLineNumbers w:val="0"/>
                    <w:ind w:left="0" w:leftChars="0" w:firstLine="0" w:firstLineChars="0"/>
                    <w:contextualSpacing w:val="0"/>
                    <w:jc w:val="center"/>
                    <w:textAlignment w:val="top"/>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2223.32</w:t>
                  </w:r>
                </w:p>
              </w:tc>
              <w:tc>
                <w:tcPr>
                  <w:tcW w:w="1620" w:type="pct"/>
                  <w:shd w:val="clear" w:color="auto" w:fill="auto"/>
                  <w:vAlign w:val="center"/>
                </w:tcPr>
                <w:p w14:paraId="0FB1E14B">
                  <w:pPr>
                    <w:widowControl w:val="0"/>
                    <w:numPr>
                      <w:ilvl w:val="0"/>
                      <w:numId w:val="0"/>
                    </w:numPr>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合计</w:t>
                  </w:r>
                </w:p>
              </w:tc>
              <w:tc>
                <w:tcPr>
                  <w:tcW w:w="1011" w:type="pct"/>
                  <w:shd w:val="clear" w:color="auto" w:fill="auto"/>
                  <w:vAlign w:val="center"/>
                </w:tcPr>
                <w:p w14:paraId="769BE32C">
                  <w:pPr>
                    <w:widowControl w:val="0"/>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2223.32</w:t>
                  </w:r>
                </w:p>
              </w:tc>
            </w:tr>
          </w:tbl>
          <w:p w14:paraId="16209C93">
            <w:pPr>
              <w:pStyle w:val="8"/>
              <w:pageBreakBefore w:val="0"/>
              <w:widowControl w:val="0"/>
              <w:kinsoku/>
              <w:wordWrap/>
              <w:overflowPunct/>
              <w:topLinePunct w:val="0"/>
              <w:autoSpaceDE/>
              <w:autoSpaceDN/>
              <w:bidi w:val="0"/>
              <w:adjustRightInd w:val="0"/>
              <w:snapToGrid w:val="0"/>
              <w:spacing w:after="0" w:afterLines="0" w:line="360" w:lineRule="auto"/>
              <w:textAlignment w:val="auto"/>
              <w:rPr>
                <w:rFonts w:hint="eastAsia" w:eastAsia="宋体"/>
                <w:color w:val="auto"/>
                <w:highlight w:val="none"/>
                <w:lang w:eastAsia="zh-CN"/>
              </w:rPr>
            </w:pPr>
            <w:r>
              <w:rPr>
                <w:rFonts w:hint="eastAsia"/>
                <w:color w:val="auto"/>
                <w:highlight w:val="none"/>
              </w:rPr>
              <w:t>七</w:t>
            </w:r>
            <w:r>
              <w:rPr>
                <w:color w:val="auto"/>
                <w:highlight w:val="none"/>
              </w:rPr>
              <w:t>、厂区平面</w:t>
            </w:r>
            <w:r>
              <w:rPr>
                <w:rFonts w:hint="eastAsia"/>
                <w:color w:val="auto"/>
                <w:highlight w:val="none"/>
                <w:lang w:val="en-US" w:eastAsia="zh-CN"/>
              </w:rPr>
              <w:t>布置</w:t>
            </w:r>
          </w:p>
          <w:p w14:paraId="3D2FFECC">
            <w:pPr>
              <w:widowControl w:val="0"/>
              <w:numPr>
                <w:ilvl w:val="0"/>
                <w:numId w:val="0"/>
              </w:num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厂区呈矩形，东北—西南向，压铸车间位于厂区西南。压铸车间向北有四个厂房：西南为镁合金锭熔炼车间，东南为机修、铸锭打磨、压铸件精整车间，西北为镁合金颗粒加工车间，东北为仓库。厂区东北为办公楼及水泵房，厂区平面布置</w:t>
            </w:r>
            <w:r>
              <w:rPr>
                <w:rFonts w:hint="eastAsia" w:ascii="宋体" w:hAnsi="宋体" w:eastAsia="宋体" w:cs="宋体"/>
                <w:color w:val="auto"/>
                <w:sz w:val="24"/>
                <w:szCs w:val="24"/>
                <w:highlight w:val="none"/>
              </w:rPr>
              <w:t>详见附图</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p>
          <w:p w14:paraId="48E6D4D9">
            <w:pPr>
              <w:pStyle w:val="8"/>
              <w:numPr>
                <w:ilvl w:val="0"/>
                <w:numId w:val="4"/>
              </w:numPr>
              <w:spacing w:after="120"/>
              <w:rPr>
                <w:rFonts w:hint="eastAsia"/>
                <w:color w:val="auto"/>
                <w:lang w:val="en-US" w:eastAsia="zh-CN"/>
              </w:rPr>
            </w:pPr>
            <w:r>
              <w:rPr>
                <w:rFonts w:hint="eastAsia"/>
                <w:color w:val="auto"/>
                <w:lang w:val="en-US" w:eastAsia="zh-CN"/>
              </w:rPr>
              <w:t>给排水</w:t>
            </w:r>
          </w:p>
          <w:p w14:paraId="75556E29">
            <w:pPr>
              <w:widowControl w:val="0"/>
              <w:numPr>
                <w:ilvl w:val="0"/>
                <w:numId w:val="0"/>
              </w:numPr>
              <w:ind w:firstLine="480" w:firstLineChars="200"/>
              <w:jc w:val="left"/>
              <w:rPr>
                <w:rFonts w:hint="default" w:ascii="Times New Roman" w:hAnsi="Times New Roman" w:eastAsia="宋体" w:cs="Times New Roman"/>
                <w:color w:val="auto"/>
                <w:sz w:val="24"/>
                <w:szCs w:val="24"/>
                <w:highlight w:val="none"/>
              </w:rPr>
            </w:pPr>
            <w:r>
              <w:rPr>
                <w:rFonts w:ascii="宋体" w:hAnsi="宋体" w:eastAsia="宋体" w:cs="宋体"/>
                <w:color w:val="auto"/>
                <w:sz w:val="24"/>
                <w:szCs w:val="24"/>
                <w:highlight w:val="none"/>
              </w:rPr>
              <w:t>项目生活用水和生产用水由园区供水管网提供。项目生产用水主要包括冷却</w:t>
            </w:r>
            <w:r>
              <w:rPr>
                <w:rFonts w:hint="eastAsia" w:ascii="宋体" w:hAnsi="宋体" w:cs="宋体"/>
                <w:color w:val="auto"/>
                <w:sz w:val="24"/>
                <w:szCs w:val="24"/>
                <w:highlight w:val="none"/>
                <w:lang w:val="en-US" w:eastAsia="zh-CN"/>
              </w:rPr>
              <w:t>用</w:t>
            </w:r>
            <w:r>
              <w:rPr>
                <w:rFonts w:ascii="宋体" w:hAnsi="宋体" w:eastAsia="宋体" w:cs="宋体"/>
                <w:color w:val="auto"/>
                <w:sz w:val="24"/>
                <w:szCs w:val="24"/>
                <w:highlight w:val="none"/>
              </w:rPr>
              <w:t>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湿式</w:t>
            </w:r>
            <w:r>
              <w:rPr>
                <w:rFonts w:hint="eastAsia" w:ascii="宋体" w:hAnsi="宋体" w:cs="宋体"/>
                <w:color w:val="auto"/>
                <w:sz w:val="24"/>
                <w:szCs w:val="24"/>
                <w:highlight w:val="none"/>
                <w:lang w:eastAsia="zh-CN"/>
              </w:rPr>
              <w:t>脱硫用水、</w:t>
            </w:r>
            <w:r>
              <w:rPr>
                <w:rFonts w:hint="eastAsia" w:ascii="宋体" w:hAnsi="宋体" w:cs="宋体"/>
                <w:color w:val="auto"/>
                <w:sz w:val="24"/>
                <w:szCs w:val="24"/>
                <w:highlight w:val="none"/>
                <w:lang w:val="en-US" w:eastAsia="zh-CN"/>
              </w:rPr>
              <w:t>水浴</w:t>
            </w:r>
            <w:r>
              <w:rPr>
                <w:rFonts w:ascii="宋体" w:hAnsi="宋体" w:eastAsia="宋体" w:cs="宋体"/>
                <w:color w:val="auto"/>
                <w:sz w:val="24"/>
                <w:szCs w:val="24"/>
                <w:highlight w:val="none"/>
              </w:rPr>
              <w:t>除尘</w:t>
            </w:r>
            <w:r>
              <w:rPr>
                <w:rFonts w:hint="eastAsia" w:ascii="宋体" w:hAnsi="宋体" w:cs="宋体"/>
                <w:color w:val="auto"/>
                <w:sz w:val="24"/>
                <w:szCs w:val="24"/>
                <w:highlight w:val="none"/>
                <w:lang w:val="en-US" w:eastAsia="zh-CN"/>
              </w:rPr>
              <w:t>用</w:t>
            </w:r>
            <w:r>
              <w:rPr>
                <w:rFonts w:ascii="宋体" w:hAnsi="宋体" w:eastAsia="宋体" w:cs="宋体"/>
                <w:color w:val="auto"/>
                <w:sz w:val="24"/>
                <w:szCs w:val="24"/>
                <w:highlight w:val="none"/>
              </w:rPr>
              <w:t>水</w:t>
            </w:r>
            <w:r>
              <w:rPr>
                <w:rFonts w:hint="eastAsia" w:ascii="宋体" w:hAnsi="宋体" w:cs="宋体"/>
                <w:color w:val="auto"/>
                <w:sz w:val="24"/>
                <w:szCs w:val="24"/>
                <w:highlight w:val="none"/>
                <w:lang w:val="en-US" w:eastAsia="zh-CN"/>
              </w:rPr>
              <w:t>以及合金锭脱模剂调配用水</w:t>
            </w:r>
            <w:r>
              <w:rPr>
                <w:rFonts w:ascii="宋体" w:hAnsi="宋体" w:eastAsia="宋体" w:cs="宋体"/>
                <w:color w:val="auto"/>
                <w:sz w:val="24"/>
                <w:szCs w:val="24"/>
                <w:highlight w:val="none"/>
              </w:rPr>
              <w:t>。项目水平</w:t>
            </w:r>
            <w:r>
              <w:rPr>
                <w:rFonts w:hint="default" w:ascii="Times New Roman" w:hAnsi="Times New Roman" w:eastAsia="宋体" w:cs="Times New Roman"/>
                <w:color w:val="auto"/>
                <w:sz w:val="24"/>
                <w:szCs w:val="24"/>
                <w:highlight w:val="none"/>
              </w:rPr>
              <w:t>衡见</w:t>
            </w:r>
            <w:r>
              <w:rPr>
                <w:rFonts w:hint="eastAsia" w:cs="Times New Roman"/>
                <w:color w:val="auto"/>
                <w:sz w:val="24"/>
                <w:szCs w:val="24"/>
                <w:highlight w:val="none"/>
                <w:lang w:val="en-US" w:eastAsia="zh-CN"/>
              </w:rPr>
              <w:t>表2-11及</w:t>
            </w:r>
            <w:r>
              <w:rPr>
                <w:rFonts w:hint="default" w:ascii="Times New Roman" w:hAnsi="Times New Roman" w:eastAsia="宋体" w:cs="Times New Roman"/>
                <w:color w:val="auto"/>
                <w:sz w:val="24"/>
                <w:szCs w:val="24"/>
                <w:highlight w:val="none"/>
              </w:rPr>
              <w:t>图2</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7ADAF9EF">
            <w:pPr>
              <w:widowControl w:val="0"/>
              <w:numPr>
                <w:ilvl w:val="0"/>
                <w:numId w:val="0"/>
              </w:numPr>
              <w:ind w:firstLine="480" w:firstLineChars="20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表2</w:t>
            </w:r>
            <w:r>
              <w:rPr>
                <w:rFonts w:hint="eastAsia" w:ascii="黑体" w:hAnsi="黑体" w:eastAsia="黑体" w:cs="黑体"/>
                <w:color w:val="auto"/>
                <w:sz w:val="24"/>
                <w:szCs w:val="24"/>
                <w:highlight w:val="none"/>
                <w:lang w:val="en-US" w:eastAsia="zh-CN"/>
              </w:rPr>
              <w:t>-11</w:t>
            </w:r>
            <w:r>
              <w:rPr>
                <w:rFonts w:hint="eastAsia" w:ascii="黑体" w:hAnsi="黑体" w:eastAsia="黑体" w:cs="黑体"/>
                <w:color w:val="auto"/>
                <w:sz w:val="24"/>
                <w:szCs w:val="24"/>
                <w:highlight w:val="none"/>
              </w:rPr>
              <w:t xml:space="preserve"> </w:t>
            </w: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项目用排水情况表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012"/>
              <w:gridCol w:w="1058"/>
              <w:gridCol w:w="993"/>
              <w:gridCol w:w="991"/>
              <w:gridCol w:w="656"/>
              <w:gridCol w:w="1020"/>
              <w:gridCol w:w="1602"/>
            </w:tblGrid>
            <w:tr w14:paraId="47AD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38BB2136">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类别</w:t>
                  </w:r>
                </w:p>
              </w:tc>
              <w:tc>
                <w:tcPr>
                  <w:tcW w:w="594" w:type="pct"/>
                  <w:vAlign w:val="center"/>
                </w:tcPr>
                <w:p w14:paraId="0E1462DF">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用水定额</w:t>
                  </w:r>
                </w:p>
              </w:tc>
              <w:tc>
                <w:tcPr>
                  <w:tcW w:w="621" w:type="pct"/>
                  <w:vAlign w:val="center"/>
                </w:tcPr>
                <w:p w14:paraId="61D85A95">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用水</w:t>
                  </w:r>
                </w:p>
                <w:p w14:paraId="32C10838">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参数</w:t>
                  </w:r>
                </w:p>
              </w:tc>
              <w:tc>
                <w:tcPr>
                  <w:tcW w:w="583" w:type="pct"/>
                  <w:vAlign w:val="center"/>
                </w:tcPr>
                <w:p w14:paraId="7F01B1BA">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p w14:paraId="2AC229C3">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用水量（m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582" w:type="pct"/>
                  <w:vAlign w:val="center"/>
                </w:tcPr>
                <w:p w14:paraId="5F3918B6">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w:t>
                  </w:r>
                </w:p>
                <w:p w14:paraId="0A2C2B4A">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水量（m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385" w:type="pct"/>
                  <w:vAlign w:val="center"/>
                </w:tcPr>
                <w:p w14:paraId="6E8F2912">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排水系数</w:t>
                  </w:r>
                </w:p>
              </w:tc>
              <w:tc>
                <w:tcPr>
                  <w:tcW w:w="599" w:type="pct"/>
                  <w:vAlign w:val="center"/>
                </w:tcPr>
                <w:p w14:paraId="58D45924">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排水量（m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940" w:type="pct"/>
                  <w:vAlign w:val="center"/>
                </w:tcPr>
                <w:p w14:paraId="59EE0FE3">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排水去向</w:t>
                  </w:r>
                </w:p>
              </w:tc>
            </w:tr>
            <w:tr w14:paraId="7AC4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6C6B0FD1">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冷却</w:t>
                  </w:r>
                  <w:r>
                    <w:rPr>
                      <w:rFonts w:hint="eastAsia" w:ascii="Times New Roman" w:hAnsi="Times New Roman" w:cs="Times New Roman"/>
                      <w:color w:val="auto"/>
                      <w:sz w:val="21"/>
                      <w:szCs w:val="21"/>
                      <w:highlight w:val="none"/>
                      <w:lang w:val="en-US" w:eastAsia="zh-CN"/>
                    </w:rPr>
                    <w:t>用</w:t>
                  </w:r>
                  <w:r>
                    <w:rPr>
                      <w:rFonts w:hint="default" w:ascii="Times New Roman" w:hAnsi="Times New Roman" w:eastAsia="宋体" w:cs="Times New Roman"/>
                      <w:color w:val="auto"/>
                      <w:sz w:val="21"/>
                      <w:szCs w:val="21"/>
                      <w:highlight w:val="none"/>
                    </w:rPr>
                    <w:t>水</w:t>
                  </w:r>
                </w:p>
              </w:tc>
              <w:tc>
                <w:tcPr>
                  <w:tcW w:w="594" w:type="pct"/>
                  <w:vAlign w:val="center"/>
                </w:tcPr>
                <w:p w14:paraId="5A15F9E5">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w:t>
                  </w:r>
                </w:p>
              </w:tc>
              <w:tc>
                <w:tcPr>
                  <w:tcW w:w="621" w:type="pct"/>
                  <w:vAlign w:val="center"/>
                </w:tcPr>
                <w:p w14:paraId="70E17497">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w:t>
                  </w:r>
                </w:p>
              </w:tc>
              <w:tc>
                <w:tcPr>
                  <w:tcW w:w="583" w:type="pct"/>
                  <w:vAlign w:val="center"/>
                </w:tcPr>
                <w:p w14:paraId="1697B32F">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10</w:t>
                  </w:r>
                </w:p>
              </w:tc>
              <w:tc>
                <w:tcPr>
                  <w:tcW w:w="582" w:type="pct"/>
                  <w:vAlign w:val="center"/>
                </w:tcPr>
                <w:p w14:paraId="10242B82">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400</w:t>
                  </w:r>
                </w:p>
              </w:tc>
              <w:tc>
                <w:tcPr>
                  <w:tcW w:w="385" w:type="pct"/>
                  <w:vAlign w:val="center"/>
                </w:tcPr>
                <w:p w14:paraId="7239B340">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w:t>
                  </w:r>
                </w:p>
              </w:tc>
              <w:tc>
                <w:tcPr>
                  <w:tcW w:w="599" w:type="pct"/>
                  <w:vAlign w:val="center"/>
                </w:tcPr>
                <w:p w14:paraId="42DB9EDE">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1</w:t>
                  </w:r>
                </w:p>
              </w:tc>
              <w:tc>
                <w:tcPr>
                  <w:tcW w:w="940" w:type="pct"/>
                  <w:vAlign w:val="center"/>
                </w:tcPr>
                <w:p w14:paraId="4F4F5493">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清净下水，用于厂区道路洒水抑尘， 不外排</w:t>
                  </w:r>
                </w:p>
              </w:tc>
            </w:tr>
            <w:tr w14:paraId="6DE8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66F110C2">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脱硫用水</w:t>
                  </w:r>
                </w:p>
              </w:tc>
              <w:tc>
                <w:tcPr>
                  <w:tcW w:w="594" w:type="pct"/>
                  <w:vAlign w:val="center"/>
                </w:tcPr>
                <w:p w14:paraId="10B488A6">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液气比10L/m</w:t>
                  </w:r>
                  <w:r>
                    <w:rPr>
                      <w:rFonts w:hint="eastAsia" w:cs="Times New Roman"/>
                      <w:color w:val="auto"/>
                      <w:sz w:val="21"/>
                      <w:szCs w:val="21"/>
                      <w:highlight w:val="none"/>
                      <w:vertAlign w:val="superscript"/>
                      <w:lang w:val="en-US" w:eastAsia="zh-CN"/>
                    </w:rPr>
                    <w:t>3</w:t>
                  </w:r>
                </w:p>
              </w:tc>
              <w:tc>
                <w:tcPr>
                  <w:tcW w:w="621" w:type="pct"/>
                  <w:vAlign w:val="center"/>
                </w:tcPr>
                <w:p w14:paraId="2A5543CD">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废气量4337m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583" w:type="pct"/>
                  <w:vAlign w:val="center"/>
                </w:tcPr>
                <w:p w14:paraId="4760C8C6">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582" w:type="pct"/>
                  <w:vAlign w:val="center"/>
                </w:tcPr>
                <w:p w14:paraId="4D00F185">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1020</w:t>
                  </w:r>
                </w:p>
              </w:tc>
              <w:tc>
                <w:tcPr>
                  <w:tcW w:w="385" w:type="pct"/>
                  <w:vAlign w:val="center"/>
                </w:tcPr>
                <w:p w14:paraId="1A20A611">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99" w:type="pct"/>
                  <w:vAlign w:val="center"/>
                </w:tcPr>
                <w:p w14:paraId="307EDEF6">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940" w:type="pct"/>
                  <w:vAlign w:val="center"/>
                </w:tcPr>
                <w:p w14:paraId="742BF05D">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废水经沉淀</w:t>
                  </w:r>
                  <w:r>
                    <w:rPr>
                      <w:rFonts w:hint="eastAsia" w:ascii="Times New Roman" w:hAnsi="Times New Roman" w:cs="Times New Roman"/>
                      <w:color w:val="auto"/>
                      <w:sz w:val="21"/>
                      <w:szCs w:val="21"/>
                      <w:highlight w:val="none"/>
                      <w:lang w:val="en-US" w:eastAsia="zh-CN"/>
                    </w:rPr>
                    <w:t>捞渣</w:t>
                  </w:r>
                  <w:r>
                    <w:rPr>
                      <w:rFonts w:hint="default" w:ascii="Times New Roman" w:hAnsi="Times New Roman" w:eastAsia="宋体" w:cs="Times New Roman"/>
                      <w:color w:val="auto"/>
                      <w:sz w:val="21"/>
                      <w:szCs w:val="21"/>
                      <w:highlight w:val="none"/>
                    </w:rPr>
                    <w:t>后</w:t>
                  </w:r>
                  <w:r>
                    <w:rPr>
                      <w:rFonts w:hint="eastAsia" w:ascii="Times New Roman" w:hAnsi="Times New Roman" w:cs="Times New Roman"/>
                      <w:color w:val="auto"/>
                      <w:sz w:val="21"/>
                      <w:szCs w:val="21"/>
                      <w:highlight w:val="none"/>
                      <w:lang w:val="en-US" w:eastAsia="zh-CN"/>
                    </w:rPr>
                    <w:t>清液</w:t>
                  </w:r>
                  <w:r>
                    <w:rPr>
                      <w:rFonts w:hint="default" w:ascii="Times New Roman" w:hAnsi="Times New Roman" w:eastAsia="宋体" w:cs="Times New Roman"/>
                      <w:color w:val="auto"/>
                      <w:sz w:val="21"/>
                      <w:szCs w:val="21"/>
                      <w:highlight w:val="none"/>
                    </w:rPr>
                    <w:t>循环利用，不外排</w:t>
                  </w:r>
                </w:p>
              </w:tc>
            </w:tr>
            <w:tr w14:paraId="7931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6E788ECD">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水浴除尘用水</w:t>
                  </w:r>
                </w:p>
              </w:tc>
              <w:tc>
                <w:tcPr>
                  <w:tcW w:w="594" w:type="pct"/>
                  <w:vAlign w:val="center"/>
                </w:tcPr>
                <w:p w14:paraId="19CFBACB">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w:t>
                  </w:r>
                </w:p>
              </w:tc>
              <w:tc>
                <w:tcPr>
                  <w:tcW w:w="621" w:type="pct"/>
                  <w:vAlign w:val="center"/>
                </w:tcPr>
                <w:p w14:paraId="3BEE771F">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w:t>
                  </w:r>
                </w:p>
              </w:tc>
              <w:tc>
                <w:tcPr>
                  <w:tcW w:w="583" w:type="pct"/>
                  <w:vAlign w:val="center"/>
                </w:tcPr>
                <w:p w14:paraId="1933367C">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2</w:t>
                  </w:r>
                </w:p>
              </w:tc>
              <w:tc>
                <w:tcPr>
                  <w:tcW w:w="582" w:type="pct"/>
                  <w:vAlign w:val="center"/>
                </w:tcPr>
                <w:p w14:paraId="2E167E6E">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w:t>
                  </w:r>
                </w:p>
              </w:tc>
              <w:tc>
                <w:tcPr>
                  <w:tcW w:w="385" w:type="pct"/>
                  <w:vAlign w:val="center"/>
                </w:tcPr>
                <w:p w14:paraId="5180FA9B">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w:t>
                  </w:r>
                </w:p>
              </w:tc>
              <w:tc>
                <w:tcPr>
                  <w:tcW w:w="599" w:type="pct"/>
                  <w:vAlign w:val="center"/>
                </w:tcPr>
                <w:p w14:paraId="06B8F725">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0</w:t>
                  </w:r>
                </w:p>
              </w:tc>
              <w:tc>
                <w:tcPr>
                  <w:tcW w:w="940" w:type="pct"/>
                  <w:vAlign w:val="center"/>
                </w:tcPr>
                <w:p w14:paraId="04D1B9BA">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废水经沉淀</w:t>
                  </w:r>
                  <w:r>
                    <w:rPr>
                      <w:rFonts w:hint="eastAsia" w:ascii="Times New Roman" w:hAnsi="Times New Roman" w:cs="Times New Roman"/>
                      <w:color w:val="auto"/>
                      <w:sz w:val="21"/>
                      <w:szCs w:val="21"/>
                      <w:highlight w:val="none"/>
                      <w:lang w:val="en-US" w:eastAsia="zh-CN"/>
                    </w:rPr>
                    <w:t>捞渣</w:t>
                  </w:r>
                  <w:r>
                    <w:rPr>
                      <w:rFonts w:hint="default" w:ascii="Times New Roman" w:hAnsi="Times New Roman" w:eastAsia="宋体" w:cs="Times New Roman"/>
                      <w:color w:val="auto"/>
                      <w:sz w:val="21"/>
                      <w:szCs w:val="21"/>
                      <w:highlight w:val="none"/>
                    </w:rPr>
                    <w:t>后</w:t>
                  </w:r>
                  <w:r>
                    <w:rPr>
                      <w:rFonts w:hint="eastAsia" w:ascii="Times New Roman" w:hAnsi="Times New Roman" w:cs="Times New Roman"/>
                      <w:color w:val="auto"/>
                      <w:sz w:val="21"/>
                      <w:szCs w:val="21"/>
                      <w:highlight w:val="none"/>
                      <w:lang w:val="en-US" w:eastAsia="zh-CN"/>
                    </w:rPr>
                    <w:t>清液</w:t>
                  </w:r>
                  <w:r>
                    <w:rPr>
                      <w:rFonts w:hint="default" w:ascii="Times New Roman" w:hAnsi="Times New Roman" w:eastAsia="宋体" w:cs="Times New Roman"/>
                      <w:color w:val="auto"/>
                      <w:sz w:val="21"/>
                      <w:szCs w:val="21"/>
                      <w:highlight w:val="none"/>
                    </w:rPr>
                    <w:t>循环利用，不外排</w:t>
                  </w:r>
                </w:p>
              </w:tc>
            </w:tr>
            <w:tr w14:paraId="2CE9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7E426BB5">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rPr>
                  </w:pPr>
                  <w:r>
                    <w:rPr>
                      <w:rFonts w:hint="eastAsia" w:ascii="宋体" w:hAnsi="宋体" w:cs="宋体"/>
                      <w:color w:val="auto"/>
                      <w:sz w:val="21"/>
                      <w:szCs w:val="21"/>
                      <w:highlight w:val="none"/>
                      <w:lang w:val="en-US" w:eastAsia="zh-CN"/>
                    </w:rPr>
                    <w:t>合金锭脱模剂调配用水</w:t>
                  </w:r>
                </w:p>
              </w:tc>
              <w:tc>
                <w:tcPr>
                  <w:tcW w:w="1215" w:type="pct"/>
                  <w:gridSpan w:val="2"/>
                  <w:vAlign w:val="center"/>
                </w:tcPr>
                <w:p w14:paraId="7BDCC2B2">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脱模剂按1:20比例加水调配</w:t>
                  </w:r>
                </w:p>
              </w:tc>
              <w:tc>
                <w:tcPr>
                  <w:tcW w:w="583" w:type="pct"/>
                  <w:vAlign w:val="center"/>
                </w:tcPr>
                <w:p w14:paraId="5DD6CFE7">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0.003</w:t>
                  </w:r>
                </w:p>
              </w:tc>
              <w:tc>
                <w:tcPr>
                  <w:tcW w:w="582" w:type="pct"/>
                  <w:vAlign w:val="center"/>
                </w:tcPr>
                <w:p w14:paraId="00B9EA60">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385" w:type="pct"/>
                  <w:vAlign w:val="center"/>
                </w:tcPr>
                <w:p w14:paraId="7E1489FC">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99" w:type="pct"/>
                  <w:vAlign w:val="center"/>
                </w:tcPr>
                <w:p w14:paraId="6CCF18FB">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940" w:type="pct"/>
                  <w:vAlign w:val="center"/>
                </w:tcPr>
                <w:p w14:paraId="0B43E19C">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全部蒸发损失</w:t>
                  </w:r>
                </w:p>
              </w:tc>
            </w:tr>
            <w:tr w14:paraId="2543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280E0316">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生活用水</w:t>
                  </w:r>
                </w:p>
              </w:tc>
              <w:tc>
                <w:tcPr>
                  <w:tcW w:w="594" w:type="pct"/>
                  <w:shd w:val="clear" w:color="auto" w:fill="auto"/>
                  <w:vAlign w:val="center"/>
                </w:tcPr>
                <w:p w14:paraId="2078F119">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en-US" w:bidi="ar-SA"/>
                    </w:rPr>
                  </w:pPr>
                  <w:r>
                    <w:rPr>
                      <w:rFonts w:hint="default" w:ascii="Times New Roman" w:hAnsi="Times New Roman" w:eastAsia="宋体" w:cs="Times New Roman"/>
                      <w:color w:val="auto"/>
                      <w:sz w:val="21"/>
                      <w:szCs w:val="21"/>
                      <w:highlight w:val="none"/>
                    </w:rPr>
                    <w:t>65L/d·人</w:t>
                  </w:r>
                </w:p>
              </w:tc>
              <w:tc>
                <w:tcPr>
                  <w:tcW w:w="621" w:type="pct"/>
                  <w:shd w:val="clear" w:color="auto" w:fill="auto"/>
                  <w:vAlign w:val="center"/>
                </w:tcPr>
                <w:p w14:paraId="4936BFBF">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en-US" w:bidi="ar-SA"/>
                    </w:rPr>
                  </w:pPr>
                  <w:r>
                    <w:rPr>
                      <w:rFonts w:hint="default" w:ascii="Times New Roman" w:hAnsi="Times New Roman" w:eastAsia="宋体" w:cs="Times New Roman"/>
                      <w:color w:val="auto"/>
                      <w:sz w:val="21"/>
                      <w:szCs w:val="21"/>
                      <w:highlight w:val="none"/>
                    </w:rPr>
                    <w:t>136人</w:t>
                  </w:r>
                </w:p>
              </w:tc>
              <w:tc>
                <w:tcPr>
                  <w:tcW w:w="583" w:type="pct"/>
                  <w:shd w:val="clear" w:color="auto" w:fill="auto"/>
                  <w:vAlign w:val="center"/>
                </w:tcPr>
                <w:p w14:paraId="380D69FD">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en-US" w:bidi="ar-SA"/>
                    </w:rPr>
                  </w:pPr>
                  <w:r>
                    <w:rPr>
                      <w:rFonts w:hint="default" w:ascii="Times New Roman" w:hAnsi="Times New Roman" w:eastAsia="宋体" w:cs="Times New Roman"/>
                      <w:color w:val="auto"/>
                      <w:sz w:val="21"/>
                      <w:szCs w:val="21"/>
                      <w:highlight w:val="none"/>
                    </w:rPr>
                    <w:t>8.84</w:t>
                  </w:r>
                </w:p>
              </w:tc>
              <w:tc>
                <w:tcPr>
                  <w:tcW w:w="582" w:type="pct"/>
                  <w:shd w:val="clear" w:color="auto" w:fill="auto"/>
                  <w:vAlign w:val="center"/>
                </w:tcPr>
                <w:p w14:paraId="587E72FD">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0</w:t>
                  </w:r>
                </w:p>
              </w:tc>
              <w:tc>
                <w:tcPr>
                  <w:tcW w:w="385" w:type="pct"/>
                  <w:vAlign w:val="center"/>
                </w:tcPr>
                <w:p w14:paraId="57970028">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c>
                <w:tcPr>
                  <w:tcW w:w="599" w:type="pct"/>
                  <w:vAlign w:val="center"/>
                </w:tcPr>
                <w:p w14:paraId="6A16AFEF">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7.07</w:t>
                  </w:r>
                </w:p>
              </w:tc>
              <w:tc>
                <w:tcPr>
                  <w:tcW w:w="940" w:type="pct"/>
                  <w:vAlign w:val="center"/>
                </w:tcPr>
                <w:p w14:paraId="52A0B436">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经厂区化粪池处理后，进入园区污水管网</w:t>
                  </w:r>
                </w:p>
              </w:tc>
            </w:tr>
          </w:tbl>
          <w:p w14:paraId="134AAA09">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color w:val="auto"/>
              </w:rPr>
            </w:pPr>
          </w:p>
          <w:p w14:paraId="57AE9D2F">
            <w:pPr>
              <w:ind w:firstLine="0" w:firstLineChars="0"/>
              <w:jc w:val="center"/>
              <w:rPr>
                <w:color w:val="auto"/>
              </w:rPr>
            </w:pPr>
            <w:r>
              <w:rPr>
                <w:color w:val="auto"/>
              </w:rPr>
              <mc:AlternateContent>
                <mc:Choice Requires="wpc">
                  <w:drawing>
                    <wp:inline distT="0" distB="0" distL="0" distR="0">
                      <wp:extent cx="4939665" cy="5010150"/>
                      <wp:effectExtent l="0" t="0" r="13335" b="0"/>
                      <wp:docPr id="194690666"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65624320" name="矩形 265624320"/>
                              <wps:cNvSpPr/>
                              <wps:spPr>
                                <a:xfrm>
                                  <a:off x="128270" y="1918970"/>
                                  <a:ext cx="494665" cy="23558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A392BD7">
                                    <w:pPr>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新鲜水</w:t>
                                    </w:r>
                                  </w:p>
                                </w:txbxContent>
                              </wps:txbx>
                              <wps:bodyPr rot="0" spcFirstLastPara="0" vertOverflow="overflow" horzOverflow="overflow" vert="horz" wrap="square" lIns="36000" tIns="0" rIns="36000" bIns="0" numCol="1" spcCol="0" rtlCol="0" fromWordArt="0" anchor="ctr" anchorCtr="0" forceAA="0" compatLnSpc="1">
                                <a:noAutofit/>
                              </wps:bodyPr>
                            </wps:wsp>
                            <wps:wsp>
                              <wps:cNvPr id="1524412745" name="矩形 1524412745"/>
                              <wps:cNvSpPr/>
                              <wps:spPr>
                                <a:xfrm>
                                  <a:off x="1845945" y="2879725"/>
                                  <a:ext cx="805180" cy="2349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881790A">
                                    <w:pPr>
                                      <w:spacing w:line="240" w:lineRule="auto"/>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水浴除尘用水</w:t>
                                    </w:r>
                                  </w:p>
                                </w:txbxContent>
                              </wps:txbx>
                              <wps:bodyPr rot="0" spcFirstLastPara="0" vert="horz" wrap="square" lIns="36000" tIns="0" rIns="36000" bIns="0" numCol="1" spcCol="0" rtlCol="0" fromWordArt="0" anchor="ctr" anchorCtr="0" forceAA="0" compatLnSpc="1">
                                <a:noAutofit/>
                              </wps:bodyPr>
                            </wps:wsp>
                            <wps:wsp>
                              <wps:cNvPr id="736399990" name="矩形 736399990"/>
                              <wps:cNvSpPr/>
                              <wps:spPr>
                                <a:xfrm>
                                  <a:off x="1750695" y="869950"/>
                                  <a:ext cx="553720" cy="2349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40069BA">
                                    <w:pPr>
                                      <w:spacing w:line="240" w:lineRule="auto"/>
                                      <w:ind w:firstLine="0" w:firstLineChars="0"/>
                                      <w:jc w:val="center"/>
                                      <w:rPr>
                                        <w:rFonts w:hint="eastAsia" w:eastAsia="宋体"/>
                                        <w:color w:val="000000"/>
                                        <w:sz w:val="18"/>
                                        <w:szCs w:val="18"/>
                                        <w:lang w:eastAsia="zh-CN"/>
                                      </w:rPr>
                                    </w:pPr>
                                    <w:r>
                                      <w:rPr>
                                        <w:rFonts w:hint="eastAsia"/>
                                        <w:color w:val="000000"/>
                                        <w:sz w:val="18"/>
                                        <w:szCs w:val="18"/>
                                        <w:lang w:val="en-US" w:eastAsia="zh-CN"/>
                                      </w:rPr>
                                      <w:t>冷却用水</w:t>
                                    </w:r>
                                  </w:p>
                                </w:txbxContent>
                              </wps:txbx>
                              <wps:bodyPr rot="0" spcFirstLastPara="0" vert="horz" wrap="square" lIns="36000" tIns="0" rIns="36000" bIns="0" numCol="1" spcCol="0" rtlCol="0" fromWordArt="0" anchor="ctr" anchorCtr="0" forceAA="0" compatLnSpc="1">
                                <a:noAutofit/>
                              </wps:bodyPr>
                            </wps:wsp>
                            <wps:wsp>
                              <wps:cNvPr id="134923059" name="矩形 134923059"/>
                              <wps:cNvSpPr/>
                              <wps:spPr>
                                <a:xfrm>
                                  <a:off x="3025775" y="1647825"/>
                                  <a:ext cx="927735" cy="2349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08586016">
                                    <w:pPr>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厂区化粪池</w:t>
                                    </w:r>
                                  </w:p>
                                </w:txbxContent>
                              </wps:txbx>
                              <wps:bodyPr rot="0" spcFirstLastPara="0" vert="horz" wrap="square" lIns="36000" tIns="0" rIns="36000" bIns="0" numCol="1" spcCol="0" rtlCol="0" fromWordArt="0" anchor="ctr" anchorCtr="0" forceAA="0" compatLnSpc="1">
                                <a:noAutofit/>
                              </wps:bodyPr>
                            </wps:wsp>
                            <wps:wsp>
                              <wps:cNvPr id="1035544" name="矩形 1035544"/>
                              <wps:cNvSpPr/>
                              <wps:spPr>
                                <a:xfrm>
                                  <a:off x="3103880" y="2414905"/>
                                  <a:ext cx="812800" cy="23495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3B671">
                                    <w:pPr>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园区污水管网</w:t>
                                    </w:r>
                                  </w:p>
                                </w:txbxContent>
                              </wps:txbx>
                              <wps:bodyPr rot="0" spcFirstLastPara="0" vert="horz" wrap="square" lIns="36000" tIns="0" rIns="36000" bIns="0" numCol="1" spcCol="0" rtlCol="0" fromWordArt="0" anchor="ctr" anchorCtr="0" forceAA="0" compatLnSpc="1">
                                <a:noAutofit/>
                              </wps:bodyPr>
                            </wps:wsp>
                            <wps:wsp>
                              <wps:cNvPr id="1685259876" name="文本框 1685259876"/>
                              <wps:cNvSpPr txBox="1"/>
                              <wps:spPr>
                                <a:xfrm>
                                  <a:off x="1341755" y="845820"/>
                                  <a:ext cx="234950" cy="180975"/>
                                </a:xfrm>
                                <a:prstGeom prst="rect">
                                  <a:avLst/>
                                </a:prstGeom>
                                <a:solidFill>
                                  <a:schemeClr val="lt1"/>
                                </a:solidFill>
                                <a:ln w="6350">
                                  <a:noFill/>
                                </a:ln>
                              </wps:spPr>
                              <wps:txbx>
                                <w:txbxContent>
                                  <w:p w14:paraId="0D9BD367">
                                    <w:pPr>
                                      <w:ind w:firstLine="180" w:firstLineChars="100"/>
                                      <w:rPr>
                                        <w:rFonts w:hint="default" w:eastAsia="宋体"/>
                                        <w:lang w:val="en-US" w:eastAsia="zh-CN"/>
                                      </w:rPr>
                                    </w:pPr>
                                    <w:r>
                                      <w:rPr>
                                        <w:rFonts w:hint="eastAsia"/>
                                        <w:sz w:val="18"/>
                                        <w:szCs w:val="18"/>
                                        <w:lang w:val="en-US" w:eastAsia="zh-CN"/>
                                      </w:rPr>
                                      <w:t>10</w:t>
                                    </w:r>
                                  </w:p>
                                </w:txbxContent>
                              </wps:txbx>
                              <wps:bodyPr rot="0" spcFirstLastPara="0" vertOverflow="overflow" horzOverflow="overflow" vert="horz" wrap="square" lIns="0" tIns="0" rIns="0" bIns="0" numCol="1" spcCol="0" rtlCol="0" fromWordArt="0" anchor="t" anchorCtr="0" forceAA="0" compatLnSpc="1">
                                <a:noAutofit/>
                              </wps:bodyPr>
                            </wps:wsp>
                            <wps:wsp>
                              <wps:cNvPr id="108556808" name="直接箭头连接符 108556808"/>
                              <wps:cNvCnPr/>
                              <wps:spPr>
                                <a:xfrm flipV="1">
                                  <a:off x="1274445" y="1747520"/>
                                  <a:ext cx="626745" cy="10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1085553" name="直接箭头连接符 1721085553"/>
                              <wps:cNvCnPr/>
                              <wps:spPr>
                                <a:xfrm>
                                  <a:off x="2646045" y="1769745"/>
                                  <a:ext cx="368935"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3226404" name="连接符: 肘形 1533226404"/>
                              <wps:cNvCnPr>
                                <a:stCxn id="18" idx="1"/>
                                <a:endCxn id="736399990" idx="0"/>
                              </wps:cNvCnPr>
                              <wps:spPr>
                                <a:xfrm rot="10800000" flipV="1">
                                  <a:off x="2027555" y="238125"/>
                                  <a:ext cx="1152525" cy="63182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1768145" name="文本框 1"/>
                              <wps:cNvSpPr txBox="1"/>
                              <wps:spPr>
                                <a:xfrm>
                                  <a:off x="1487170" y="1599565"/>
                                  <a:ext cx="470535" cy="190500"/>
                                </a:xfrm>
                                <a:prstGeom prst="rect">
                                  <a:avLst/>
                                </a:prstGeom>
                                <a:noFill/>
                                <a:ln w="6350">
                                  <a:noFill/>
                                </a:ln>
                              </wps:spPr>
                              <wps:txbx>
                                <w:txbxContent>
                                  <w:p w14:paraId="0A8CA58D">
                                    <w:pPr>
                                      <w:ind w:firstLine="0" w:firstLineChars="0"/>
                                      <w:rPr>
                                        <w:rFonts w:hint="default" w:eastAsia="宋体"/>
                                        <w:sz w:val="18"/>
                                        <w:szCs w:val="18"/>
                                        <w:lang w:val="en-US" w:eastAsia="zh-CN"/>
                                      </w:rPr>
                                    </w:pPr>
                                    <w:r>
                                      <w:rPr>
                                        <w:rFonts w:hint="eastAsia"/>
                                        <w:sz w:val="18"/>
                                        <w:szCs w:val="18"/>
                                        <w:lang w:val="en-US" w:eastAsia="zh-CN"/>
                                      </w:rPr>
                                      <w:t>8.84</w:t>
                                    </w:r>
                                  </w:p>
                                </w:txbxContent>
                              </wps:txbx>
                              <wps:bodyPr rot="0" spcFirstLastPara="0" vert="horz" wrap="square" lIns="0" tIns="0" rIns="0" bIns="0" numCol="1" spcCol="0" rtlCol="0" fromWordArt="0" anchor="t" anchorCtr="0" forceAA="0" compatLnSpc="1">
                                <a:noAutofit/>
                              </wps:bodyPr>
                            </wps:wsp>
                            <wps:wsp>
                              <wps:cNvPr id="406367526" name="文本框 1"/>
                              <wps:cNvSpPr txBox="1"/>
                              <wps:spPr>
                                <a:xfrm>
                                  <a:off x="3276600" y="597535"/>
                                  <a:ext cx="601345" cy="199390"/>
                                </a:xfrm>
                                <a:prstGeom prst="rect">
                                  <a:avLst/>
                                </a:prstGeom>
                                <a:solidFill>
                                  <a:schemeClr val="lt1"/>
                                </a:solidFill>
                                <a:ln w="6350">
                                  <a:noFill/>
                                </a:ln>
                              </wps:spPr>
                              <wps:txbx>
                                <w:txbxContent>
                                  <w:p w14:paraId="1E253841">
                                    <w:pPr>
                                      <w:ind w:firstLine="0" w:firstLineChars="0"/>
                                      <w:jc w:val="center"/>
                                      <w:rPr>
                                        <w:rFonts w:hint="default" w:eastAsia="宋体"/>
                                        <w:sz w:val="18"/>
                                        <w:szCs w:val="18"/>
                                        <w:lang w:val="en-US" w:eastAsia="zh-CN"/>
                                      </w:rPr>
                                    </w:pPr>
                                    <w:r>
                                      <w:rPr>
                                        <w:rFonts w:hint="eastAsia"/>
                                        <w:sz w:val="18"/>
                                        <w:szCs w:val="18"/>
                                        <w:lang w:val="en-US" w:eastAsia="zh-CN"/>
                                      </w:rPr>
                                      <w:t>循环400</w:t>
                                    </w:r>
                                  </w:p>
                                </w:txbxContent>
                              </wps:txbx>
                              <wps:bodyPr rot="0" spcFirstLastPara="0" vert="horz" wrap="square" lIns="0" tIns="0" rIns="0" bIns="0" numCol="1" spcCol="0" rtlCol="0" fromWordArt="0" anchor="t" anchorCtr="0" forceAA="0" compatLnSpc="1">
                                <a:noAutofit/>
                              </wps:bodyPr>
                            </wps:wsp>
                            <wps:wsp>
                              <wps:cNvPr id="1465749018" name="文本框 1"/>
                              <wps:cNvSpPr txBox="1"/>
                              <wps:spPr>
                                <a:xfrm>
                                  <a:off x="2432685" y="1274445"/>
                                  <a:ext cx="463550" cy="138430"/>
                                </a:xfrm>
                                <a:prstGeom prst="rect">
                                  <a:avLst/>
                                </a:prstGeom>
                                <a:solidFill>
                                  <a:schemeClr val="lt1"/>
                                </a:solidFill>
                                <a:ln w="6350">
                                  <a:noFill/>
                                </a:ln>
                              </wps:spPr>
                              <wps:txbx>
                                <w:txbxContent>
                                  <w:p w14:paraId="5DF5E186">
                                    <w:pPr>
                                      <w:ind w:firstLine="0" w:firstLineChars="0"/>
                                      <w:rPr>
                                        <w:rFonts w:hint="default" w:eastAsia="宋体"/>
                                        <w:sz w:val="18"/>
                                        <w:szCs w:val="18"/>
                                        <w:lang w:val="en-US" w:eastAsia="zh-CN"/>
                                      </w:rPr>
                                    </w:pPr>
                                    <w:r>
                                      <w:rPr>
                                        <w:rFonts w:hint="eastAsia"/>
                                        <w:sz w:val="18"/>
                                        <w:szCs w:val="18"/>
                                        <w:lang w:val="en-US" w:eastAsia="zh-CN"/>
                                      </w:rPr>
                                      <w:t>损失1.77</w:t>
                                    </w:r>
                                  </w:p>
                                </w:txbxContent>
                              </wps:txbx>
                              <wps:bodyPr rot="0" spcFirstLastPara="0" vert="horz" wrap="none" lIns="0" tIns="0" rIns="0" bIns="0" numCol="1" spcCol="0" rtlCol="0" fromWordArt="0" anchor="t" anchorCtr="0" forceAA="0" compatLnSpc="1">
                                <a:noAutofit/>
                              </wps:bodyPr>
                            </wps:wsp>
                            <wps:wsp>
                              <wps:cNvPr id="174850531" name="文本框 1"/>
                              <wps:cNvSpPr txBox="1"/>
                              <wps:spPr>
                                <a:xfrm>
                                  <a:off x="2727325" y="1618615"/>
                                  <a:ext cx="227965" cy="190500"/>
                                </a:xfrm>
                                <a:prstGeom prst="rect">
                                  <a:avLst/>
                                </a:prstGeom>
                                <a:noFill/>
                                <a:ln w="6350">
                                  <a:noFill/>
                                </a:ln>
                              </wps:spPr>
                              <wps:txbx>
                                <w:txbxContent>
                                  <w:p w14:paraId="0FC9C5D0">
                                    <w:pPr>
                                      <w:ind w:firstLine="0" w:firstLineChars="0"/>
                                      <w:rPr>
                                        <w:rFonts w:hint="default" w:eastAsia="宋体"/>
                                        <w:sz w:val="18"/>
                                        <w:szCs w:val="18"/>
                                        <w:lang w:val="en-US" w:eastAsia="zh-CN"/>
                                      </w:rPr>
                                    </w:pPr>
                                    <w:r>
                                      <w:rPr>
                                        <w:rFonts w:hint="eastAsia"/>
                                        <w:sz w:val="18"/>
                                        <w:szCs w:val="18"/>
                                        <w:lang w:val="en-US" w:eastAsia="zh-CN"/>
                                      </w:rPr>
                                      <w:t>7.07</w:t>
                                    </w:r>
                                  </w:p>
                                </w:txbxContent>
                              </wps:txbx>
                              <wps:bodyPr rot="0" spcFirstLastPara="0" vert="horz" wrap="square" lIns="0" tIns="0" rIns="0" bIns="0" numCol="1" spcCol="0" rtlCol="0" fromWordArt="0" anchor="t" anchorCtr="0" forceAA="0" compatLnSpc="1">
                                <a:noAutofit/>
                              </wps:bodyPr>
                            </wps:wsp>
                            <wps:wsp>
                              <wps:cNvPr id="521933394" name="文本框 1"/>
                              <wps:cNvSpPr txBox="1"/>
                              <wps:spPr>
                                <a:xfrm>
                                  <a:off x="4631350" y="1796030"/>
                                  <a:ext cx="311150" cy="190500"/>
                                </a:xfrm>
                                <a:prstGeom prst="rect">
                                  <a:avLst/>
                                </a:prstGeom>
                                <a:solidFill>
                                  <a:schemeClr val="lt1"/>
                                </a:solidFill>
                                <a:ln w="6350">
                                  <a:noFill/>
                                </a:ln>
                              </wps:spPr>
                              <wps:txbx>
                                <w:txbxContent>
                                  <w:p w14:paraId="4E1EC922">
                                    <w:pPr>
                                      <w:rPr>
                                        <w:rFonts w:hint="eastAsia"/>
                                      </w:rPr>
                                    </w:pPr>
                                  </w:p>
                                </w:txbxContent>
                              </wps:txbx>
                              <wps:bodyPr rot="0" spcFirstLastPara="0" vert="horz" wrap="none" lIns="0" tIns="0" rIns="0" bIns="0" numCol="1" spcCol="0" rtlCol="0" fromWordArt="0" anchor="t" anchorCtr="0" forceAA="0" compatLnSpc="1">
                                <a:noAutofit/>
                              </wps:bodyPr>
                            </wps:wsp>
                            <wps:wsp>
                              <wps:cNvPr id="17" name="直接箭头连接符 17"/>
                              <wps:cNvCnPr/>
                              <wps:spPr>
                                <a:xfrm flipV="1">
                                  <a:off x="1265555" y="989965"/>
                                  <a:ext cx="494030" cy="635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8" name="矩形 18"/>
                              <wps:cNvSpPr/>
                              <wps:spPr>
                                <a:xfrm>
                                  <a:off x="3180080" y="92710"/>
                                  <a:ext cx="822960" cy="29019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1242C4B">
                                    <w:pPr>
                                      <w:spacing w:line="240" w:lineRule="auto"/>
                                      <w:ind w:firstLine="0" w:firstLineChars="0"/>
                                      <w:jc w:val="center"/>
                                      <w:rPr>
                                        <w:rFonts w:hint="eastAsia" w:eastAsia="宋体"/>
                                        <w:color w:val="000000"/>
                                        <w:sz w:val="18"/>
                                        <w:szCs w:val="18"/>
                                        <w:lang w:eastAsia="zh-CN"/>
                                      </w:rPr>
                                    </w:pPr>
                                    <w:r>
                                      <w:rPr>
                                        <w:rFonts w:hint="eastAsia"/>
                                        <w:color w:val="000000"/>
                                        <w:sz w:val="18"/>
                                        <w:szCs w:val="18"/>
                                        <w:lang w:eastAsia="zh-CN"/>
                                      </w:rPr>
                                      <w:t>循环水</w:t>
                                    </w:r>
                                  </w:p>
                                </w:txbxContent>
                              </wps:txbx>
                              <wps:bodyPr rot="0" spcFirstLastPara="0" vert="horz" wrap="square" lIns="36000" tIns="0" rIns="36000" bIns="0" numCol="1" spcCol="0" rtlCol="0" fromWordArt="0" anchor="ctr" anchorCtr="0" forceAA="0" compatLnSpc="1">
                                <a:noAutofit/>
                              </wps:bodyPr>
                            </wps:wsp>
                            <wps:wsp>
                              <wps:cNvPr id="20" name="直接箭头连接符 20"/>
                              <wps:cNvCnPr/>
                              <wps:spPr>
                                <a:xfrm flipV="1">
                                  <a:off x="3587115" y="398145"/>
                                  <a:ext cx="4445" cy="6026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文本框 1"/>
                              <wps:cNvSpPr txBox="1"/>
                              <wps:spPr>
                                <a:xfrm>
                                  <a:off x="2381250" y="70485"/>
                                  <a:ext cx="434975" cy="190500"/>
                                </a:xfrm>
                                <a:prstGeom prst="rect">
                                  <a:avLst/>
                                </a:prstGeom>
                                <a:noFill/>
                                <a:ln w="6350">
                                  <a:noFill/>
                                </a:ln>
                              </wps:spPr>
                              <wps:txbx>
                                <w:txbxContent>
                                  <w:p w14:paraId="4B954D53">
                                    <w:pPr>
                                      <w:ind w:firstLine="0" w:firstLineChars="0"/>
                                      <w:jc w:val="center"/>
                                      <w:rPr>
                                        <w:rFonts w:hint="default" w:eastAsia="宋体"/>
                                        <w:sz w:val="18"/>
                                        <w:szCs w:val="18"/>
                                        <w:lang w:val="en-US" w:eastAsia="zh-CN"/>
                                      </w:rPr>
                                    </w:pPr>
                                    <w:r>
                                      <w:rPr>
                                        <w:rFonts w:hint="eastAsia"/>
                                        <w:sz w:val="18"/>
                                        <w:szCs w:val="18"/>
                                        <w:lang w:eastAsia="zh-CN"/>
                                      </w:rPr>
                                      <w:t>循环</w:t>
                                    </w:r>
                                    <w:r>
                                      <w:rPr>
                                        <w:rFonts w:hint="eastAsia"/>
                                        <w:sz w:val="18"/>
                                        <w:szCs w:val="18"/>
                                        <w:lang w:val="en-US" w:eastAsia="zh-CN"/>
                                      </w:rPr>
                                      <w:t>400</w:t>
                                    </w:r>
                                  </w:p>
                                </w:txbxContent>
                              </wps:txbx>
                              <wps:bodyPr rot="0" spcFirstLastPara="0" vert="horz" wrap="none" lIns="0" tIns="0" rIns="0" bIns="0" numCol="1" spcCol="0" rtlCol="0" fromWordArt="0" anchor="t" anchorCtr="0" forceAA="0" compatLnSpc="1">
                                <a:noAutofit/>
                              </wps:bodyPr>
                            </wps:wsp>
                            <wps:wsp>
                              <wps:cNvPr id="22" name="直接箭头连接符 22"/>
                              <wps:cNvCnPr/>
                              <wps:spPr>
                                <a:xfrm flipH="1">
                                  <a:off x="2235200" y="1431925"/>
                                  <a:ext cx="269240" cy="20637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5" name="矩形 25"/>
                              <wps:cNvSpPr/>
                              <wps:spPr>
                                <a:xfrm>
                                  <a:off x="1894205" y="1639570"/>
                                  <a:ext cx="753110" cy="2349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9561A03">
                                    <w:pPr>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生活用水</w:t>
                                    </w:r>
                                  </w:p>
                                </w:txbxContent>
                              </wps:txbx>
                              <wps:bodyPr rot="0" spcFirstLastPara="0" vert="horz" wrap="square" lIns="36000" tIns="0" rIns="36000" bIns="0" numCol="1" spcCol="0" rtlCol="0" fromWordArt="0" anchor="ctr" anchorCtr="0" forceAA="0" compatLnSpc="1">
                                <a:noAutofit/>
                              </wps:bodyPr>
                            </wps:wsp>
                            <wps:wsp>
                              <wps:cNvPr id="26" name="直接箭头连接符 26"/>
                              <wps:cNvCnPr/>
                              <wps:spPr>
                                <a:xfrm flipH="1" flipV="1">
                                  <a:off x="3505835" y="1878330"/>
                                  <a:ext cx="5080" cy="534670"/>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27" name="文本框 1"/>
                              <wps:cNvSpPr txBox="1"/>
                              <wps:spPr>
                                <a:xfrm>
                                  <a:off x="3298190" y="2004695"/>
                                  <a:ext cx="206375" cy="190500"/>
                                </a:xfrm>
                                <a:prstGeom prst="rect">
                                  <a:avLst/>
                                </a:prstGeom>
                                <a:noFill/>
                                <a:ln w="6350">
                                  <a:noFill/>
                                </a:ln>
                              </wps:spPr>
                              <wps:txbx>
                                <w:txbxContent>
                                  <w:p w14:paraId="170E226B">
                                    <w:pPr>
                                      <w:ind w:firstLine="0" w:firstLineChars="0"/>
                                      <w:rPr>
                                        <w:rFonts w:hint="default" w:eastAsia="宋体"/>
                                        <w:sz w:val="18"/>
                                        <w:szCs w:val="18"/>
                                        <w:lang w:val="en-US" w:eastAsia="zh-CN"/>
                                      </w:rPr>
                                    </w:pPr>
                                    <w:r>
                                      <w:rPr>
                                        <w:rFonts w:hint="eastAsia"/>
                                        <w:sz w:val="18"/>
                                        <w:szCs w:val="18"/>
                                        <w:lang w:val="en-US" w:eastAsia="zh-CN"/>
                                      </w:rPr>
                                      <w:t>7.07</w:t>
                                    </w:r>
                                  </w:p>
                                </w:txbxContent>
                              </wps:txbx>
                              <wps:bodyPr rot="0" spcFirstLastPara="0" vert="horz" wrap="none" lIns="0" tIns="0" rIns="0" bIns="0" numCol="1" spcCol="0" rtlCol="0" fromWordArt="0" anchor="t" anchorCtr="0" forceAA="0" compatLnSpc="1">
                                <a:noAutofit/>
                              </wps:bodyPr>
                            </wps:wsp>
                            <wps:wsp>
                              <wps:cNvPr id="43" name="直接连接符 43"/>
                              <wps:cNvCnPr>
                                <a:stCxn id="736399990" idx="3"/>
                              </wps:cNvCnPr>
                              <wps:spPr>
                                <a:xfrm flipV="1">
                                  <a:off x="2304415" y="981710"/>
                                  <a:ext cx="2074545" cy="5715"/>
                                </a:xfrm>
                                <a:prstGeom prst="line">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4" name="文本框 1"/>
                              <wps:cNvSpPr txBox="1"/>
                              <wps:spPr>
                                <a:xfrm>
                                  <a:off x="2386330" y="508635"/>
                                  <a:ext cx="453390" cy="194945"/>
                                </a:xfrm>
                                <a:prstGeom prst="rect">
                                  <a:avLst/>
                                </a:prstGeom>
                                <a:solidFill>
                                  <a:schemeClr val="lt1"/>
                                </a:solidFill>
                                <a:ln w="6350">
                                  <a:noFill/>
                                </a:ln>
                              </wps:spPr>
                              <wps:txbx>
                                <w:txbxContent>
                                  <w:p w14:paraId="1A16608D">
                                    <w:pPr>
                                      <w:ind w:firstLine="0" w:firstLineChars="0"/>
                                      <w:rPr>
                                        <w:rFonts w:hint="default" w:eastAsia="宋体"/>
                                        <w:sz w:val="18"/>
                                        <w:szCs w:val="18"/>
                                        <w:lang w:val="en-US" w:eastAsia="zh-CN"/>
                                      </w:rPr>
                                    </w:pPr>
                                    <w:r>
                                      <w:rPr>
                                        <w:rFonts w:hint="eastAsia"/>
                                        <w:sz w:val="18"/>
                                        <w:szCs w:val="18"/>
                                        <w:lang w:val="en-US" w:eastAsia="zh-CN"/>
                                      </w:rPr>
                                      <w:t>损失9</w:t>
                                    </w:r>
                                  </w:p>
                                </w:txbxContent>
                              </wps:txbx>
                              <wps:bodyPr rot="0" spcFirstLastPara="0" vert="horz" wrap="square" lIns="0" tIns="0" rIns="0" bIns="0" numCol="1" spcCol="0" rtlCol="0" fromWordArt="0" anchor="t" anchorCtr="0" forceAA="0" compatLnSpc="1">
                                <a:noAutofit/>
                              </wps:bodyPr>
                            </wps:wsp>
                            <wps:wsp>
                              <wps:cNvPr id="45" name="直接箭头连接符 45"/>
                              <wps:cNvCnPr/>
                              <wps:spPr>
                                <a:xfrm flipH="1">
                                  <a:off x="2188845" y="666115"/>
                                  <a:ext cx="269240" cy="20637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46" name="直接箭头连接符 46"/>
                              <wps:cNvCnPr/>
                              <wps:spPr>
                                <a:xfrm>
                                  <a:off x="1265555" y="2996565"/>
                                  <a:ext cx="58928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文本框 1"/>
                              <wps:cNvSpPr txBox="1"/>
                              <wps:spPr>
                                <a:xfrm>
                                  <a:off x="1490345" y="2846705"/>
                                  <a:ext cx="470535" cy="190500"/>
                                </a:xfrm>
                                <a:prstGeom prst="rect">
                                  <a:avLst/>
                                </a:prstGeom>
                                <a:noFill/>
                                <a:ln w="6350">
                                  <a:noFill/>
                                </a:ln>
                              </wps:spPr>
                              <wps:txbx>
                                <w:txbxContent>
                                  <w:p w14:paraId="62001A74">
                                    <w:pPr>
                                      <w:ind w:firstLine="0" w:firstLineChars="0"/>
                                      <w:rPr>
                                        <w:rFonts w:hint="default" w:eastAsia="宋体"/>
                                        <w:sz w:val="18"/>
                                        <w:szCs w:val="18"/>
                                        <w:lang w:val="en-US" w:eastAsia="zh-CN"/>
                                      </w:rPr>
                                    </w:pPr>
                                    <w:r>
                                      <w:rPr>
                                        <w:rFonts w:hint="eastAsia"/>
                                        <w:sz w:val="18"/>
                                        <w:szCs w:val="18"/>
                                        <w:lang w:val="en-US" w:eastAsia="zh-CN"/>
                                      </w:rPr>
                                      <w:t>0.2</w:t>
                                    </w:r>
                                  </w:p>
                                </w:txbxContent>
                              </wps:txbx>
                              <wps:bodyPr rot="0" spcFirstLastPara="0" vert="horz" wrap="square" lIns="0" tIns="0" rIns="0" bIns="0" numCol="1" spcCol="0" rtlCol="0" fromWordArt="0" anchor="t" anchorCtr="0" forceAA="0" compatLnSpc="1">
                                <a:noAutofit/>
                              </wps:bodyPr>
                            </wps:wsp>
                            <wps:wsp>
                              <wps:cNvPr id="48" name="文本框 1"/>
                              <wps:cNvSpPr txBox="1"/>
                              <wps:spPr>
                                <a:xfrm>
                                  <a:off x="2429510" y="2509520"/>
                                  <a:ext cx="406400" cy="223520"/>
                                </a:xfrm>
                                <a:prstGeom prst="rect">
                                  <a:avLst/>
                                </a:prstGeom>
                                <a:solidFill>
                                  <a:schemeClr val="lt1"/>
                                </a:solidFill>
                                <a:ln w="6350">
                                  <a:noFill/>
                                </a:ln>
                              </wps:spPr>
                              <wps:txbx>
                                <w:txbxContent>
                                  <w:p w14:paraId="20995901">
                                    <w:pPr>
                                      <w:ind w:firstLine="0" w:firstLineChars="0"/>
                                      <w:rPr>
                                        <w:rFonts w:hint="default" w:eastAsia="宋体"/>
                                        <w:sz w:val="18"/>
                                        <w:szCs w:val="18"/>
                                        <w:lang w:val="en-US" w:eastAsia="zh-CN"/>
                                      </w:rPr>
                                    </w:pPr>
                                    <w:r>
                                      <w:rPr>
                                        <w:rFonts w:hint="eastAsia"/>
                                        <w:sz w:val="18"/>
                                        <w:szCs w:val="18"/>
                                        <w:lang w:val="en-US" w:eastAsia="zh-CN"/>
                                      </w:rPr>
                                      <w:t>损失0.2</w:t>
                                    </w:r>
                                  </w:p>
                                </w:txbxContent>
                              </wps:txbx>
                              <wps:bodyPr rot="0" spcFirstLastPara="0" vert="horz" wrap="none" lIns="0" tIns="0" rIns="0" bIns="0" numCol="1" spcCol="0" rtlCol="0" fromWordArt="0" anchor="t" anchorCtr="0" forceAA="0" compatLnSpc="1">
                                <a:noAutofit/>
                              </wps:bodyPr>
                            </wps:wsp>
                            <wps:wsp>
                              <wps:cNvPr id="49" name="直接箭头连接符 49"/>
                              <wps:cNvCnPr/>
                              <wps:spPr>
                                <a:xfrm flipH="1">
                                  <a:off x="2232025" y="2667000"/>
                                  <a:ext cx="269240" cy="20637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50" name="肘形连接符 50"/>
                              <wps:cNvCnPr>
                                <a:stCxn id="1524412745" idx="2"/>
                                <a:endCxn id="1524412745" idx="3"/>
                              </wps:cNvCnPr>
                              <wps:spPr>
                                <a:xfrm rot="5400000" flipH="1" flipV="1">
                                  <a:off x="2391410" y="2854325"/>
                                  <a:ext cx="117475" cy="402590"/>
                                </a:xfrm>
                                <a:prstGeom prst="bentConnector4">
                                  <a:avLst>
                                    <a:gd name="adj1" fmla="val -202432"/>
                                    <a:gd name="adj2" fmla="val 242981"/>
                                  </a:avLst>
                                </a:prstGeom>
                                <a:ln>
                                  <a:solidFill>
                                    <a:schemeClr val="tx1"/>
                                  </a:solidFill>
                                  <a:headEnd type="none"/>
                                  <a:tailEnd type="arrow"/>
                                </a:ln>
                              </wps:spPr>
                              <wps:style>
                                <a:lnRef idx="2">
                                  <a:schemeClr val="accent1"/>
                                </a:lnRef>
                                <a:fillRef idx="0">
                                  <a:srgbClr val="FFFFFF"/>
                                </a:fillRef>
                                <a:effectRef idx="0">
                                  <a:srgbClr val="FFFFFF"/>
                                </a:effectRef>
                                <a:fontRef idx="minor">
                                  <a:schemeClr val="tx1"/>
                                </a:fontRef>
                              </wps:style>
                              <wps:bodyPr/>
                            </wps:wsp>
                            <wps:wsp>
                              <wps:cNvPr id="51" name="文本框 1"/>
                              <wps:cNvSpPr txBox="1"/>
                              <wps:spPr>
                                <a:xfrm>
                                  <a:off x="2621915" y="3062605"/>
                                  <a:ext cx="601345" cy="199390"/>
                                </a:xfrm>
                                <a:prstGeom prst="rect">
                                  <a:avLst/>
                                </a:prstGeom>
                                <a:noFill/>
                                <a:ln w="6350">
                                  <a:noFill/>
                                </a:ln>
                              </wps:spPr>
                              <wps:txbx>
                                <w:txbxContent>
                                  <w:p w14:paraId="2DAFBEDC">
                                    <w:pPr>
                                      <w:ind w:firstLine="0" w:firstLineChars="0"/>
                                      <w:jc w:val="center"/>
                                      <w:rPr>
                                        <w:rFonts w:hint="default" w:eastAsia="宋体"/>
                                        <w:sz w:val="18"/>
                                        <w:szCs w:val="18"/>
                                        <w:lang w:val="en-US" w:eastAsia="zh-CN"/>
                                      </w:rPr>
                                    </w:pPr>
                                    <w:r>
                                      <w:rPr>
                                        <w:rFonts w:hint="eastAsia"/>
                                        <w:sz w:val="18"/>
                                        <w:szCs w:val="18"/>
                                        <w:lang w:val="en-US" w:eastAsia="zh-CN"/>
                                      </w:rPr>
                                      <w:t>循环10</w:t>
                                    </w:r>
                                  </w:p>
                                </w:txbxContent>
                              </wps:txbx>
                              <wps:bodyPr rot="0" spcFirstLastPara="0" vert="horz" wrap="square" lIns="0" tIns="0" rIns="0" bIns="0" numCol="1" spcCol="0" rtlCol="0" fromWordArt="0" anchor="t" anchorCtr="0" forceAA="0" compatLnSpc="1">
                                <a:noAutofit/>
                              </wps:bodyPr>
                            </wps:wsp>
                            <wps:wsp>
                              <wps:cNvPr id="52" name="矩形 52"/>
                              <wps:cNvSpPr/>
                              <wps:spPr>
                                <a:xfrm>
                                  <a:off x="1815465" y="4671695"/>
                                  <a:ext cx="805180" cy="31242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C80A3C8">
                                    <w:pPr>
                                      <w:spacing w:line="240" w:lineRule="auto"/>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合金锭脱模剂调配用水</w:t>
                                    </w:r>
                                  </w:p>
                                </w:txbxContent>
                              </wps:txbx>
                              <wps:bodyPr rot="0" spcFirstLastPara="0" vert="horz" wrap="square" lIns="36000" tIns="0" rIns="36000" bIns="0" numCol="1" spcCol="0" rtlCol="0" fromWordArt="0" anchor="ctr" anchorCtr="0" forceAA="0" compatLnSpc="1">
                                <a:noAutofit/>
                              </wps:bodyPr>
                            </wps:wsp>
                            <wps:wsp>
                              <wps:cNvPr id="53" name="直接箭头连接符 53"/>
                              <wps:cNvCnPr/>
                              <wps:spPr>
                                <a:xfrm flipH="1">
                                  <a:off x="2466340" y="4470400"/>
                                  <a:ext cx="269240" cy="20637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wps:spPr>
                                <a:xfrm flipV="1">
                                  <a:off x="1270635" y="4822825"/>
                                  <a:ext cx="549275" cy="10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文本框 1"/>
                              <wps:cNvSpPr txBox="1"/>
                              <wps:spPr>
                                <a:xfrm>
                                  <a:off x="1302385" y="4647565"/>
                                  <a:ext cx="518795" cy="190500"/>
                                </a:xfrm>
                                <a:prstGeom prst="rect">
                                  <a:avLst/>
                                </a:prstGeom>
                                <a:noFill/>
                                <a:ln w="6350">
                                  <a:noFill/>
                                </a:ln>
                              </wps:spPr>
                              <wps:txbx>
                                <w:txbxContent>
                                  <w:p w14:paraId="2F360F55">
                                    <w:pPr>
                                      <w:ind w:firstLine="180" w:firstLineChars="100"/>
                                      <w:rPr>
                                        <w:rFonts w:hint="default" w:eastAsia="宋体"/>
                                        <w:sz w:val="18"/>
                                        <w:szCs w:val="18"/>
                                        <w:lang w:val="en-US" w:eastAsia="zh-CN"/>
                                      </w:rPr>
                                    </w:pPr>
                                    <w:r>
                                      <w:rPr>
                                        <w:rFonts w:hint="eastAsia"/>
                                        <w:sz w:val="18"/>
                                        <w:szCs w:val="18"/>
                                        <w:lang w:val="en-US" w:eastAsia="zh-CN"/>
                                      </w:rPr>
                                      <w:t>0.003</w:t>
                                    </w:r>
                                  </w:p>
                                </w:txbxContent>
                              </wps:txbx>
                              <wps:bodyPr rot="0" spcFirstLastPara="0" vert="horz" wrap="square" lIns="0" tIns="0" rIns="0" bIns="0" numCol="1" spcCol="0" rtlCol="0" fromWordArt="0" anchor="t" anchorCtr="0" forceAA="0" compatLnSpc="1">
                                <a:noAutofit/>
                              </wps:bodyPr>
                            </wps:wsp>
                            <wps:wsp>
                              <wps:cNvPr id="56" name="文本框 1"/>
                              <wps:cNvSpPr txBox="1"/>
                              <wps:spPr>
                                <a:xfrm>
                                  <a:off x="2717800" y="4305935"/>
                                  <a:ext cx="692150" cy="204470"/>
                                </a:xfrm>
                                <a:prstGeom prst="rect">
                                  <a:avLst/>
                                </a:prstGeom>
                                <a:solidFill>
                                  <a:schemeClr val="lt1"/>
                                </a:solidFill>
                                <a:ln w="6350">
                                  <a:noFill/>
                                </a:ln>
                              </wps:spPr>
                              <wps:txbx>
                                <w:txbxContent>
                                  <w:p w14:paraId="6655E8EA">
                                    <w:pPr>
                                      <w:ind w:firstLine="0" w:firstLineChars="0"/>
                                      <w:rPr>
                                        <w:rFonts w:hint="default" w:eastAsia="宋体"/>
                                        <w:sz w:val="18"/>
                                        <w:szCs w:val="18"/>
                                        <w:lang w:val="en-US" w:eastAsia="zh-CN"/>
                                      </w:rPr>
                                    </w:pPr>
                                    <w:r>
                                      <w:rPr>
                                        <w:rFonts w:hint="eastAsia"/>
                                        <w:sz w:val="18"/>
                                        <w:szCs w:val="18"/>
                                        <w:lang w:val="en-US" w:eastAsia="zh-CN"/>
                                      </w:rPr>
                                      <w:t>损失0.003</w:t>
                                    </w:r>
                                  </w:p>
                                </w:txbxContent>
                              </wps:txbx>
                              <wps:bodyPr rot="0" spcFirstLastPara="0" vert="horz" wrap="square" lIns="0" tIns="0" rIns="0" bIns="0" numCol="1" spcCol="0" rtlCol="0" fromWordArt="0" anchor="t" anchorCtr="0" forceAA="0" compatLnSpc="1">
                                <a:noAutofit/>
                              </wps:bodyPr>
                            </wps:wsp>
                            <wps:wsp>
                              <wps:cNvPr id="57" name="直接连接符 57"/>
                              <wps:cNvCnPr/>
                              <wps:spPr>
                                <a:xfrm>
                                  <a:off x="1265555" y="996315"/>
                                  <a:ext cx="14605" cy="38188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8" name="直接箭头连接符 58"/>
                              <wps:cNvCnPr>
                                <a:stCxn id="265624320" idx="3"/>
                              </wps:cNvCnPr>
                              <wps:spPr>
                                <a:xfrm flipV="1">
                                  <a:off x="622935" y="2024380"/>
                                  <a:ext cx="640080" cy="1270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9" name="文本框 59"/>
                              <wps:cNvSpPr txBox="1"/>
                              <wps:spPr>
                                <a:xfrm>
                                  <a:off x="737870" y="1895475"/>
                                  <a:ext cx="382905" cy="198120"/>
                                </a:xfrm>
                                <a:prstGeom prst="rect">
                                  <a:avLst/>
                                </a:prstGeom>
                                <a:noFill/>
                                <a:ln w="6350">
                                  <a:noFill/>
                                </a:ln>
                              </wps:spPr>
                              <wps:txbx>
                                <w:txbxContent>
                                  <w:p w14:paraId="72D36DB8">
                                    <w:pPr>
                                      <w:ind w:firstLine="0" w:firstLineChars="0"/>
                                      <w:rPr>
                                        <w:rFonts w:hint="default" w:eastAsia="宋体"/>
                                        <w:lang w:val="en-US" w:eastAsia="zh-CN"/>
                                      </w:rPr>
                                    </w:pPr>
                                    <w:r>
                                      <w:rPr>
                                        <w:rFonts w:hint="eastAsia"/>
                                        <w:sz w:val="18"/>
                                        <w:szCs w:val="18"/>
                                        <w:lang w:val="en-US" w:eastAsia="zh-CN"/>
                                      </w:rPr>
                                      <w:t>40.043</w:t>
                                    </w:r>
                                  </w:p>
                                </w:txbxContent>
                              </wps:txbx>
                              <wps:bodyPr rot="0" spcFirstLastPara="0" vertOverflow="overflow" horzOverflow="overflow" vert="horz" wrap="square" lIns="0" tIns="0" rIns="0" bIns="0" numCol="1" spcCol="0" rtlCol="0" fromWordArt="0" anchor="t" anchorCtr="0" forceAA="0" compatLnSpc="1">
                                <a:noAutofit/>
                              </wps:bodyPr>
                            </wps:wsp>
                            <wps:wsp>
                              <wps:cNvPr id="1" name="文本框 1"/>
                              <wps:cNvSpPr txBox="1"/>
                              <wps:spPr>
                                <a:xfrm>
                                  <a:off x="4329430" y="909320"/>
                                  <a:ext cx="610235" cy="372110"/>
                                </a:xfrm>
                                <a:prstGeom prst="rect">
                                  <a:avLst/>
                                </a:prstGeom>
                                <a:noFill/>
                                <a:ln w="6350">
                                  <a:noFill/>
                                </a:ln>
                              </wps:spPr>
                              <wps:txbx>
                                <w:txbxContent>
                                  <w:p w14:paraId="70D04D58">
                                    <w:pPr>
                                      <w:ind w:firstLine="0" w:firstLineChars="0"/>
                                      <w:jc w:val="center"/>
                                      <w:rPr>
                                        <w:rFonts w:hint="default" w:eastAsia="宋体"/>
                                        <w:sz w:val="18"/>
                                        <w:szCs w:val="18"/>
                                        <w:lang w:val="en-US" w:eastAsia="zh-CN"/>
                                      </w:rPr>
                                    </w:pPr>
                                    <w:r>
                                      <w:rPr>
                                        <w:rFonts w:hint="eastAsia"/>
                                        <w:sz w:val="18"/>
                                        <w:szCs w:val="18"/>
                                        <w:lang w:val="en-US" w:eastAsia="zh-CN"/>
                                      </w:rPr>
                                      <w:t>洒水抑尘</w:t>
                                    </w:r>
                                  </w:p>
                                </w:txbxContent>
                              </wps:txbx>
                              <wps:bodyPr rot="0" spcFirstLastPara="0" vert="horz" wrap="square" lIns="0" tIns="0" rIns="0" bIns="0" numCol="1" spcCol="0" rtlCol="0" fromWordArt="0" anchor="t" anchorCtr="0" forceAA="0" compatLnSpc="1">
                                <a:noAutofit/>
                              </wps:bodyPr>
                            </wps:wsp>
                            <wps:wsp>
                              <wps:cNvPr id="5" name="文本框 5"/>
                              <wps:cNvSpPr txBox="1"/>
                              <wps:spPr>
                                <a:xfrm>
                                  <a:off x="3967480" y="843915"/>
                                  <a:ext cx="63500" cy="190500"/>
                                </a:xfrm>
                                <a:prstGeom prst="rect">
                                  <a:avLst/>
                                </a:prstGeom>
                                <a:noFill/>
                                <a:ln w="6350">
                                  <a:noFill/>
                                </a:ln>
                              </wps:spPr>
                              <wps:txbx>
                                <w:txbxContent>
                                  <w:p w14:paraId="40A804E2">
                                    <w:pPr>
                                      <w:ind w:firstLine="0" w:firstLineChars="0"/>
                                      <w:rPr>
                                        <w:rFonts w:hint="default" w:eastAsia="宋体"/>
                                        <w:lang w:val="en-US" w:eastAsia="zh-CN"/>
                                      </w:rPr>
                                    </w:pPr>
                                    <w:r>
                                      <w:rPr>
                                        <w:rFonts w:hint="eastAsia"/>
                                        <w:sz w:val="18"/>
                                        <w:szCs w:val="18"/>
                                        <w:lang w:val="en-US" w:eastAsia="zh-CN"/>
                                      </w:rPr>
                                      <w:t>1</w:t>
                                    </w:r>
                                  </w:p>
                                </w:txbxContent>
                              </wps:txbx>
                              <wps:bodyPr rot="0" spcFirstLastPara="0" vertOverflow="overflow" horzOverflow="overflow" vert="horz" wrap="none" lIns="0" tIns="0" rIns="0" bIns="0" numCol="1" spcCol="0" rtlCol="0" fromWordArt="0" anchor="t" anchorCtr="0" forceAA="0" compatLnSpc="1">
                                <a:noAutofit/>
                              </wps:bodyPr>
                            </wps:wsp>
                            <wps:wsp>
                              <wps:cNvPr id="4" name="直接箭头连接符 4"/>
                              <wps:cNvCnPr/>
                              <wps:spPr>
                                <a:xfrm>
                                  <a:off x="1284605" y="3923030"/>
                                  <a:ext cx="58928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矩形 6"/>
                              <wps:cNvSpPr/>
                              <wps:spPr>
                                <a:xfrm>
                                  <a:off x="1875155" y="3808730"/>
                                  <a:ext cx="805180" cy="2349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0B356379">
                                    <w:pPr>
                                      <w:spacing w:line="240" w:lineRule="auto"/>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脱硫用水</w:t>
                                    </w:r>
                                  </w:p>
                                </w:txbxContent>
                              </wps:txbx>
                              <wps:bodyPr rot="0" spcFirstLastPara="0" vert="horz" wrap="square" lIns="36000" tIns="0" rIns="36000" bIns="0" numCol="1" spcCol="0" rtlCol="0" fromWordArt="0" anchor="ctr" anchorCtr="0" forceAA="0" compatLnSpc="1">
                                <a:noAutofit/>
                              </wps:bodyPr>
                            </wps:wsp>
                            <wps:wsp>
                              <wps:cNvPr id="7" name="直接箭头连接符 7"/>
                              <wps:cNvCnPr/>
                              <wps:spPr>
                                <a:xfrm flipH="1">
                                  <a:off x="2227580" y="3608705"/>
                                  <a:ext cx="269240" cy="206375"/>
                                </a:xfrm>
                                <a:prstGeom prst="straightConnector1">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8" name="文本框 1"/>
                              <wps:cNvSpPr txBox="1"/>
                              <wps:spPr>
                                <a:xfrm>
                                  <a:off x="2399030" y="3479165"/>
                                  <a:ext cx="568960" cy="223520"/>
                                </a:xfrm>
                                <a:prstGeom prst="rect">
                                  <a:avLst/>
                                </a:prstGeom>
                                <a:noFill/>
                                <a:ln w="6350">
                                  <a:noFill/>
                                </a:ln>
                              </wps:spPr>
                              <wps:txbx>
                                <w:txbxContent>
                                  <w:p w14:paraId="0B3E1F24">
                                    <w:pPr>
                                      <w:ind w:firstLine="180" w:firstLineChars="100"/>
                                      <w:rPr>
                                        <w:rFonts w:hint="default" w:eastAsia="宋体"/>
                                        <w:sz w:val="18"/>
                                        <w:szCs w:val="18"/>
                                        <w:lang w:val="en-US" w:eastAsia="zh-CN"/>
                                      </w:rPr>
                                    </w:pPr>
                                    <w:r>
                                      <w:rPr>
                                        <w:rFonts w:hint="eastAsia"/>
                                        <w:sz w:val="18"/>
                                        <w:szCs w:val="18"/>
                                        <w:lang w:val="en-US" w:eastAsia="zh-CN"/>
                                      </w:rPr>
                                      <w:t>损失21</w:t>
                                    </w:r>
                                  </w:p>
                                </w:txbxContent>
                              </wps:txbx>
                              <wps:bodyPr rot="0" spcFirstLastPara="0" vert="horz" wrap="square" lIns="0" tIns="0" rIns="0" bIns="0" numCol="1" spcCol="0" rtlCol="0" fromWordArt="0" anchor="t" anchorCtr="0" forceAA="0" compatLnSpc="1">
                                <a:noAutofit/>
                              </wps:bodyPr>
                            </wps:wsp>
                            <wps:wsp>
                              <wps:cNvPr id="15" name="文本框 1"/>
                              <wps:cNvSpPr txBox="1"/>
                              <wps:spPr>
                                <a:xfrm>
                                  <a:off x="1427480" y="3789680"/>
                                  <a:ext cx="470535" cy="190500"/>
                                </a:xfrm>
                                <a:prstGeom prst="rect">
                                  <a:avLst/>
                                </a:prstGeom>
                                <a:noFill/>
                                <a:ln w="6350">
                                  <a:noFill/>
                                </a:ln>
                              </wps:spPr>
                              <wps:txbx>
                                <w:txbxContent>
                                  <w:p w14:paraId="34D70575">
                                    <w:pPr>
                                      <w:ind w:firstLine="0" w:firstLineChars="0"/>
                                      <w:rPr>
                                        <w:rFonts w:hint="default" w:eastAsia="宋体"/>
                                        <w:sz w:val="18"/>
                                        <w:szCs w:val="18"/>
                                        <w:lang w:val="en-US" w:eastAsia="zh-CN"/>
                                      </w:rPr>
                                    </w:pPr>
                                    <w:r>
                                      <w:rPr>
                                        <w:rFonts w:hint="eastAsia"/>
                                        <w:sz w:val="18"/>
                                        <w:szCs w:val="18"/>
                                        <w:lang w:val="en-US" w:eastAsia="zh-CN"/>
                                      </w:rPr>
                                      <w:t xml:space="preserve"> 21</w:t>
                                    </w:r>
                                  </w:p>
                                </w:txbxContent>
                              </wps:txbx>
                              <wps:bodyPr rot="0" spcFirstLastPara="0" vert="horz" wrap="square" lIns="0" tIns="0" rIns="0" bIns="0" numCol="1" spcCol="0" rtlCol="0" fromWordArt="0" anchor="t" anchorCtr="0" forceAA="0" compatLnSpc="1">
                                <a:noAutofit/>
                              </wps:bodyPr>
                            </wps:wsp>
                            <wps:wsp>
                              <wps:cNvPr id="16" name="肘形连接符 16"/>
                              <wps:cNvCnPr/>
                              <wps:spPr>
                                <a:xfrm rot="5400000" flipH="1" flipV="1">
                                  <a:off x="2437130" y="3780155"/>
                                  <a:ext cx="117475" cy="402590"/>
                                </a:xfrm>
                                <a:prstGeom prst="bentConnector4">
                                  <a:avLst>
                                    <a:gd name="adj1" fmla="val -202432"/>
                                    <a:gd name="adj2" fmla="val 242981"/>
                                  </a:avLst>
                                </a:prstGeom>
                                <a:ln>
                                  <a:solidFill>
                                    <a:schemeClr val="tx1"/>
                                  </a:solidFill>
                                  <a:headEnd type="none"/>
                                  <a:tailEnd type="arrow"/>
                                </a:ln>
                              </wps:spPr>
                              <wps:style>
                                <a:lnRef idx="2">
                                  <a:schemeClr val="accent1"/>
                                </a:lnRef>
                                <a:fillRef idx="0">
                                  <a:srgbClr val="FFFFFF"/>
                                </a:fillRef>
                                <a:effectRef idx="0">
                                  <a:srgbClr val="FFFFFF"/>
                                </a:effectRef>
                                <a:fontRef idx="minor">
                                  <a:schemeClr val="tx1"/>
                                </a:fontRef>
                              </wps:style>
                              <wps:bodyPr/>
                            </wps:wsp>
                            <wps:wsp>
                              <wps:cNvPr id="19" name="文本框 1"/>
                              <wps:cNvSpPr txBox="1"/>
                              <wps:spPr>
                                <a:xfrm>
                                  <a:off x="2709545" y="3943985"/>
                                  <a:ext cx="601345" cy="199390"/>
                                </a:xfrm>
                                <a:prstGeom prst="rect">
                                  <a:avLst/>
                                </a:prstGeom>
                                <a:noFill/>
                                <a:ln w="6350">
                                  <a:noFill/>
                                </a:ln>
                              </wps:spPr>
                              <wps:txbx>
                                <w:txbxContent>
                                  <w:p w14:paraId="460B73DF">
                                    <w:pPr>
                                      <w:ind w:firstLine="0" w:firstLineChars="0"/>
                                      <w:jc w:val="center"/>
                                      <w:rPr>
                                        <w:rFonts w:hint="default" w:eastAsia="宋体"/>
                                        <w:sz w:val="18"/>
                                        <w:szCs w:val="18"/>
                                        <w:lang w:val="en-US" w:eastAsia="zh-CN"/>
                                      </w:rPr>
                                    </w:pPr>
                                    <w:r>
                                      <w:rPr>
                                        <w:rFonts w:hint="eastAsia"/>
                                        <w:sz w:val="18"/>
                                        <w:szCs w:val="18"/>
                                        <w:lang w:val="en-US" w:eastAsia="zh-CN"/>
                                      </w:rPr>
                                      <w:t>循环1020</w:t>
                                    </w:r>
                                  </w:p>
                                </w:txbxContent>
                              </wps:txbx>
                              <wps:bodyPr rot="0" spcFirstLastPara="0" vert="horz" wrap="square" lIns="0" tIns="0" rIns="0" bIns="0" numCol="1" spcCol="0" rtlCol="0" fromWordArt="0" anchor="t" anchorCtr="0" forceAA="0" compatLnSpc="1">
                                <a:noAutofit/>
                              </wps:bodyPr>
                            </wps:wsp>
                          </wpc:wpc>
                        </a:graphicData>
                      </a:graphic>
                    </wp:inline>
                  </w:drawing>
                </mc:Choice>
                <mc:Fallback>
                  <w:pict>
                    <v:group id="画布 1" o:spid="_x0000_s1026" o:spt="203" style="height:394.5pt;width:388.95pt;" coordsize="4939665,5010150" editas="canvas" o:gfxdata="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">
                      <o:lock v:ext="edit" aspectratio="f"/>
                      <v:shape id="画布 1" o:spid="_x0000_s1026" style="position:absolute;left:0;top:0;height:5010150;width:4939665;" fillcolor="#FFFFFF" filled="t" stroked="f" coordsize="21600,21600" o:gfxdata="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">
                        <v:fill on="t" focussize="0,0"/>
                        <v:stroke on="f"/>
                        <v:imagedata o:title=""/>
                        <o:lock v:ext="edit" aspectratio="t"/>
                      </v:shape>
                      <v:rect id="_x0000_s1026" o:spid="_x0000_s1026" o:spt="1" style="position:absolute;left:128270;top:1918970;height:235585;width:494665;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LZ0FkdMAAAAFAQAADwAA&#10;AAAAAAABACAAAAAiAAAAZHJzL2Rvd25yZXYueG1sUEsBAhQAFAAAAAgAh07iQDPJLSONAgAACAUA&#10;AA4AAAAAAAAAAQAgAAAAIgEAAGRycy9lMm9Eb2MueG1sUEsFBgAAAAAGAAYAWQEAACEGAAAAAA==&#10;">
                        <v:fill on="f" focussize="0,0"/>
                        <v:stroke weight="0.5pt" color="#223F59 [3204]" miterlimit="8" joinstyle="miter"/>
                        <v:imagedata o:title=""/>
                        <o:lock v:ext="edit" aspectratio="f"/>
                        <v:textbox inset="1mm,0mm,1mm,0mm">
                          <w:txbxContent>
                            <w:p w14:paraId="2A392BD7">
                              <w:pPr>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新鲜水</w:t>
                              </w:r>
                            </w:p>
                          </w:txbxContent>
                        </v:textbox>
                      </v:rect>
                      <v:rect id="_x0000_s1026" o:spid="_x0000_s1026" o:spt="1" style="position:absolute;left:1845945;top:2879725;height:234950;width:805180;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2dBZHTAAAABQEAAA8AAAAAAAAAAQAgAAAAIgAA&#10;AGRycy9kb3ducmV2LnhtbFBLAQIUABQAAAAIAIdO4kD93jDwfwIAANsEAAAOAAAAAAAAAAEAIAAA&#10;ACIBAABkcnMvZTJvRG9jLnhtbFBLBQYAAAAABgAGAFkBAAATBgAAAAA=&#10;">
                        <v:fill on="f" focussize="0,0"/>
                        <v:stroke weight="0.5pt" color="#223F59 [3204]" miterlimit="8" joinstyle="miter"/>
                        <v:imagedata o:title=""/>
                        <o:lock v:ext="edit" aspectratio="f"/>
                        <v:textbox inset="1mm,0mm,1mm,0mm">
                          <w:txbxContent>
                            <w:p w14:paraId="3881790A">
                              <w:pPr>
                                <w:spacing w:line="240" w:lineRule="auto"/>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水浴除尘用水</w:t>
                              </w:r>
                            </w:p>
                          </w:txbxContent>
                        </v:textbox>
                      </v:rect>
                      <v:rect id="_x0000_s1026" o:spid="_x0000_s1026" o:spt="1" style="position:absolute;left:1750695;top:869950;height:234950;width:553720;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Z0FkdMAAAAFAQAADwAAAAAAAAABACAAAAAiAAAAZHJz&#10;L2Rvd25yZXYueG1sUEsBAhQAFAAAAAgAh07iQA7gQlZ7AgAA2AQAAA4AAAAAAAAAAQAgAAAAIgEA&#10;AGRycy9lMm9Eb2MueG1sUEsFBgAAAAAGAAYAWQEAAA8GAAAAAA==&#10;">
                        <v:fill on="f" focussize="0,0"/>
                        <v:stroke weight="0.5pt" color="#223F59 [3204]" miterlimit="8" joinstyle="miter"/>
                        <v:imagedata o:title=""/>
                        <o:lock v:ext="edit" aspectratio="f"/>
                        <v:textbox inset="1mm,0mm,1mm,0mm">
                          <w:txbxContent>
                            <w:p w14:paraId="140069BA">
                              <w:pPr>
                                <w:spacing w:line="240" w:lineRule="auto"/>
                                <w:ind w:firstLine="0" w:firstLineChars="0"/>
                                <w:jc w:val="center"/>
                                <w:rPr>
                                  <w:rFonts w:hint="eastAsia" w:eastAsia="宋体"/>
                                  <w:color w:val="000000"/>
                                  <w:sz w:val="18"/>
                                  <w:szCs w:val="18"/>
                                  <w:lang w:eastAsia="zh-CN"/>
                                </w:rPr>
                              </w:pPr>
                              <w:r>
                                <w:rPr>
                                  <w:rFonts w:hint="eastAsia"/>
                                  <w:color w:val="000000"/>
                                  <w:sz w:val="18"/>
                                  <w:szCs w:val="18"/>
                                  <w:lang w:val="en-US" w:eastAsia="zh-CN"/>
                                </w:rPr>
                                <w:t>冷却用水</w:t>
                              </w:r>
                            </w:p>
                          </w:txbxContent>
                        </v:textbox>
                      </v:rect>
                      <v:rect id="_x0000_s1026" o:spid="_x0000_s1026" o:spt="1" style="position:absolute;left:3025775;top:1647825;height:234950;width:927735;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&#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tnQWR0wAAAAUBAAAPAAAAAAAAAAEAIAAAACIAAABk&#10;cnMvZG93bnJldi54bWxQSwECFAAUAAAACACHTuJAhncLJX0CAADZBAAADgAAAAAAAAABACAAAAAi&#10;AQAAZHJzL2Uyb0RvYy54bWxQSwUGAAAAAAYABgBZAQAAEQYAAAAA&#10;">
                        <v:fill on="f" focussize="0,0"/>
                        <v:stroke weight="0.5pt" color="#223F59 [3204]" miterlimit="8" joinstyle="miter"/>
                        <v:imagedata o:title=""/>
                        <o:lock v:ext="edit" aspectratio="f"/>
                        <v:textbox inset="1mm,0mm,1mm,0mm">
                          <w:txbxContent>
                            <w:p w14:paraId="08586016">
                              <w:pPr>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厂区化粪池</w:t>
                              </w:r>
                            </w:p>
                          </w:txbxContent>
                        </v:textbox>
                      </v:rect>
                      <v:rect id="_x0000_s1026" o:spid="_x0000_s1026" o:spt="1" style="position:absolute;left:3103880;top:2414905;height:234950;width:812800;v-text-anchor:middle;" filled="f" stroked="f" coordsize="21600,21600" o:gfxdata="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9ByX1QAA&#10;AAUBAAAPAAAAAAAAAAEAIAAAACIAAABkcnMvZG93bnJldi54bWxQSwECFAAUAAAACACHTuJAhO7n&#10;G1oCAACLBAAADgAAAAAAAAABACAAAAAkAQAAZHJzL2Uyb0RvYy54bWxQSwUGAAAAAAYABgBZAQAA&#10;8AUAAAAA&#10;">
                        <v:fill on="f" focussize="0,0"/>
                        <v:stroke on="f" weight="0.5pt" miterlimit="8" joinstyle="miter"/>
                        <v:imagedata o:title=""/>
                        <o:lock v:ext="edit" aspectratio="f"/>
                        <v:textbox inset="1mm,0mm,1mm,0mm">
                          <w:txbxContent>
                            <w:p w14:paraId="0A23B671">
                              <w:pPr>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园区污水管网</w:t>
                              </w:r>
                            </w:p>
                          </w:txbxContent>
                        </v:textbox>
                      </v:rect>
                      <v:shape id="_x0000_s1026" o:spid="_x0000_s1026" o:spt="202" type="#_x0000_t202" style="position:absolute;left:1341755;top:845820;height:180975;width:234950;" fillcolor="#FFFFFF [3201]" filled="t" stroked="f" coordsize="21600,21600" o:gfxdata="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E5k40wAAAAUB&#10;AAAPAAAAAAAAAAEAIAAAACIAAABkcnMvZG93bnJldi54bWxQSwECFAAUAAAACACHTuJAdqZVc1kC&#10;AACbBAAADgAAAAAAAAABACAAAAAiAQAAZHJzL2Uyb0RvYy54bWxQSwUGAAAAAAYABgBZAQAA7QUA&#10;AAAA&#10;">
                        <v:fill on="t" focussize="0,0"/>
                        <v:stroke on="f" weight="0.5pt"/>
                        <v:imagedata o:title=""/>
                        <o:lock v:ext="edit" aspectratio="f"/>
                        <v:textbox inset="0mm,0mm,0mm,0mm">
                          <w:txbxContent>
                            <w:p w14:paraId="0D9BD367">
                              <w:pPr>
                                <w:ind w:firstLine="180" w:firstLineChars="100"/>
                                <w:rPr>
                                  <w:rFonts w:hint="default" w:eastAsia="宋体"/>
                                  <w:lang w:val="en-US" w:eastAsia="zh-CN"/>
                                </w:rPr>
                              </w:pPr>
                              <w:r>
                                <w:rPr>
                                  <w:rFonts w:hint="eastAsia"/>
                                  <w:sz w:val="18"/>
                                  <w:szCs w:val="18"/>
                                  <w:lang w:val="en-US" w:eastAsia="zh-CN"/>
                                </w:rPr>
                                <w:t>10</w:t>
                              </w:r>
                            </w:p>
                          </w:txbxContent>
                        </v:textbox>
                      </v:shape>
                      <v:shape id="_x0000_s1026" o:spid="_x0000_s1026" o:spt="32" type="#_x0000_t32" style="position:absolute;left:1274445;top:1747520;flip:y;height:10795;width:626745;" filled="f" stroked="t" coordsize="21600,21600" o:gfxdata="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8lcr1QAA&#10;AAUBAAAPAAAAAAAAAAEAIAAAACIAAABkcnMvZG93bnJldi54bWxQSwECFAAUAAAACACHTuJAJPQz&#10;mSECAAAKBAAADgAAAAAAAAABACAAAAAkAQAAZHJzL2Uyb0RvYy54bWxQSwUGAAAAAAYABgBZAQAA&#10;twUAAAAA&#10;">
                        <v:fill on="f" focussize="0,0"/>
                        <v:stroke weight="0.5pt" color="#000000 [3213]" miterlimit="8" joinstyle="miter" endarrow="block"/>
                        <v:imagedata o:title=""/>
                        <o:lock v:ext="edit" aspectratio="f"/>
                      </v:shape>
                      <v:shape id="_x0000_s1026" o:spid="_x0000_s1026" o:spt="32" type="#_x0000_t32" style="position:absolute;left:2646045;top:1769745;height:3175;width:368935;" filled="f" stroked="t" coordsize="21600,21600" o:gfxdata="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xaOMNMAAAAFAQAA&#10;DwAAAAAAAAABACAAAAAiAAAAZHJzL2Rvd25yZXYueG1sUEsBAhQAFAAAAAgAh07iQPBBHvUeAgAA&#10;AQQAAA4AAAAAAAAAAQAgAAAAIgEAAGRycy9lMm9Eb2MueG1sUEsFBgAAAAAGAAYAWQEAALIFAAAA&#10;AA==&#10;">
                        <v:fill on="f" focussize="0,0"/>
                        <v:stroke weight="0.5pt" color="#000000 [3213]" miterlimit="8" joinstyle="miter" endarrow="block"/>
                        <v:imagedata o:title=""/>
                        <o:lock v:ext="edit" aspectratio="f"/>
                      </v:shape>
                      <v:shape id="连接符: 肘形 1533226404" o:spid="_x0000_s1026" o:spt="33" type="#_x0000_t33" style="position:absolute;left:2027555;top:238125;flip:y;height:631825;width:1152525;rotation:11796480f;" filled="f" stroked="t" coordsize="21600,21600" o:gfxdata="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qq+idYAAAAFAQAADwAAAAAAAAABACAA&#10;AAAiAAAAZHJzL2Rvd25yZXYueG1sUEsBAhQAFAAAAAgAh07iQCWbrQRIAgAAXQQAAA4AAAAAAAAA&#10;AQAgAAAAJQEAAGRycy9lMm9Eb2MueG1sUEsFBgAAAAAGAAYAWQEAAN8FAAAAAA==&#10;">
                        <v:fill on="f" focussize="0,0"/>
                        <v:stroke weight="0.5pt" color="#000000 [3213]" miterlimit="8" joinstyle="miter" endarrow="block"/>
                        <v:imagedata o:title=""/>
                        <o:lock v:ext="edit" aspectratio="f"/>
                      </v:shape>
                      <v:shape id="文本框 1" o:spid="_x0000_s1026" o:spt="202" type="#_x0000_t202" style="position:absolute;left:1487170;top:1599565;height:190500;width:47053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Y9MeNUAAAAFAQAADwAAAAAAAAABACAAAAAiAAAAZHJzL2Rvd25yZXYueG1sUEsB&#10;AhQAFAAAAAgAh07iQEflarQxAgAAOQQAAA4AAAAAAAAAAQAgAAAAJAEAAGRycy9lMm9Eb2MueG1s&#10;UEsFBgAAAAAGAAYAWQEAAMcFAAAAAA==&#10;">
                        <v:fill on="f" focussize="0,0"/>
                        <v:stroke on="f" weight="0.5pt"/>
                        <v:imagedata o:title=""/>
                        <o:lock v:ext="edit" aspectratio="f"/>
                        <v:textbox inset="0mm,0mm,0mm,0mm">
                          <w:txbxContent>
                            <w:p w14:paraId="0A8CA58D">
                              <w:pPr>
                                <w:ind w:firstLine="0" w:firstLineChars="0"/>
                                <w:rPr>
                                  <w:rFonts w:hint="default" w:eastAsia="宋体"/>
                                  <w:sz w:val="18"/>
                                  <w:szCs w:val="18"/>
                                  <w:lang w:val="en-US" w:eastAsia="zh-CN"/>
                                </w:rPr>
                              </w:pPr>
                              <w:r>
                                <w:rPr>
                                  <w:rFonts w:hint="eastAsia"/>
                                  <w:sz w:val="18"/>
                                  <w:szCs w:val="18"/>
                                  <w:lang w:val="en-US" w:eastAsia="zh-CN"/>
                                </w:rPr>
                                <w:t>8.84</w:t>
                              </w:r>
                            </w:p>
                          </w:txbxContent>
                        </v:textbox>
                      </v:shape>
                      <v:shape id="文本框 1" o:spid="_x0000_s1026" o:spt="202" type="#_x0000_t202" style="position:absolute;left:3276600;top:597535;height:199390;width:601345;" fillcolor="#FFFFFF [3201]" filled="t" stroked="f" coordsize="21600,21600" o:gfxdata="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E5k40wAAAAUBAAAPAAAAAAAAAAEAIAAA&#10;ACIAAABkcnMvZG93bnJldi54bWxQSwECFAAUAAAACACHTuJAaXvBGkoCAABhBAAADgAAAAAAAAAB&#10;ACAAAAAiAQAAZHJzL2Uyb0RvYy54bWxQSwUGAAAAAAYABgBZAQAA3gUAAAAA&#10;">
                        <v:fill on="t" focussize="0,0"/>
                        <v:stroke on="f" weight="0.5pt"/>
                        <v:imagedata o:title=""/>
                        <o:lock v:ext="edit" aspectratio="f"/>
                        <v:textbox inset="0mm,0mm,0mm,0mm">
                          <w:txbxContent>
                            <w:p w14:paraId="1E253841">
                              <w:pPr>
                                <w:ind w:firstLine="0" w:firstLineChars="0"/>
                                <w:jc w:val="center"/>
                                <w:rPr>
                                  <w:rFonts w:hint="default" w:eastAsia="宋体"/>
                                  <w:sz w:val="18"/>
                                  <w:szCs w:val="18"/>
                                  <w:lang w:val="en-US" w:eastAsia="zh-CN"/>
                                </w:rPr>
                              </w:pPr>
                              <w:r>
                                <w:rPr>
                                  <w:rFonts w:hint="eastAsia"/>
                                  <w:sz w:val="18"/>
                                  <w:szCs w:val="18"/>
                                  <w:lang w:val="en-US" w:eastAsia="zh-CN"/>
                                </w:rPr>
                                <w:t>循环400</w:t>
                              </w:r>
                            </w:p>
                          </w:txbxContent>
                        </v:textbox>
                      </v:shape>
                      <v:shape id="文本框 1" o:spid="_x0000_s1026" o:spt="202" type="#_x0000_t202" style="position:absolute;left:2432685;top:1274445;height:138430;width:463550;mso-wrap-style:none;" fillcolor="#FFFFFF [3201]" filled="t" stroked="f" coordsize="21600,21600" o:gfxdata="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OiVu1QAAAAUBAAAPAAAAAAAAAAEAIAAA&#10;ACIAAABkcnMvZG93bnJldi54bWxQSwECFAAUAAAACACHTuJAAIFZ5EgCAABhBAAADgAAAAAAAAAB&#10;ACAAAAAkAQAAZHJzL2Uyb0RvYy54bWxQSwUGAAAAAAYABgBZAQAA3gUAAAAA&#10;">
                        <v:fill on="t" focussize="0,0"/>
                        <v:stroke on="f" weight="0.5pt"/>
                        <v:imagedata o:title=""/>
                        <o:lock v:ext="edit" aspectratio="f"/>
                        <v:textbox inset="0mm,0mm,0mm,0mm">
                          <w:txbxContent>
                            <w:p w14:paraId="5DF5E186">
                              <w:pPr>
                                <w:ind w:firstLine="0" w:firstLineChars="0"/>
                                <w:rPr>
                                  <w:rFonts w:hint="default" w:eastAsia="宋体"/>
                                  <w:sz w:val="18"/>
                                  <w:szCs w:val="18"/>
                                  <w:lang w:val="en-US" w:eastAsia="zh-CN"/>
                                </w:rPr>
                              </w:pPr>
                              <w:r>
                                <w:rPr>
                                  <w:rFonts w:hint="eastAsia"/>
                                  <w:sz w:val="18"/>
                                  <w:szCs w:val="18"/>
                                  <w:lang w:val="en-US" w:eastAsia="zh-CN"/>
                                </w:rPr>
                                <w:t>损失1.77</w:t>
                              </w:r>
                            </w:p>
                          </w:txbxContent>
                        </v:textbox>
                      </v:shape>
                      <v:shape id="文本框 1" o:spid="_x0000_s1026" o:spt="202" type="#_x0000_t202" style="position:absolute;left:2727325;top:1618615;height:190500;width:22796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Y9MeNUAAAAFAQAADwAAAAAAAAABACAAAAAiAAAAZHJzL2Rvd25yZXYueG1sUEsB&#10;AhQAFAAAAAgAh07iQLhB3EcxAgAAOQQAAA4AAAAAAAAAAQAgAAAAJAEAAGRycy9lMm9Eb2MueG1s&#10;UEsFBgAAAAAGAAYAWQEAAMcFAAAAAA==&#10;">
                        <v:fill on="f" focussize="0,0"/>
                        <v:stroke on="f" weight="0.5pt"/>
                        <v:imagedata o:title=""/>
                        <o:lock v:ext="edit" aspectratio="f"/>
                        <v:textbox inset="0mm,0mm,0mm,0mm">
                          <w:txbxContent>
                            <w:p w14:paraId="0FC9C5D0">
                              <w:pPr>
                                <w:ind w:firstLine="0" w:firstLineChars="0"/>
                                <w:rPr>
                                  <w:rFonts w:hint="default" w:eastAsia="宋体"/>
                                  <w:sz w:val="18"/>
                                  <w:szCs w:val="18"/>
                                  <w:lang w:val="en-US" w:eastAsia="zh-CN"/>
                                </w:rPr>
                              </w:pPr>
                              <w:r>
                                <w:rPr>
                                  <w:rFonts w:hint="eastAsia"/>
                                  <w:sz w:val="18"/>
                                  <w:szCs w:val="18"/>
                                  <w:lang w:val="en-US" w:eastAsia="zh-CN"/>
                                </w:rPr>
                                <w:t>7.07</w:t>
                              </w:r>
                            </w:p>
                          </w:txbxContent>
                        </v:textbox>
                      </v:shape>
                      <v:shape id="文本框 1" o:spid="_x0000_s1026" o:spt="202" type="#_x0000_t202" style="position:absolute;left:4631350;top:1796030;height:190500;width:311150;mso-wrap-style:none;" fillcolor="#FFFFFF [3201]" filled="t" stroked="f" coordsize="21600,21600" o:gfxdata="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OiVu1QAAAAUBAAAPAAAAAAAAAAEAIAAAACIAAABk&#10;cnMvZG93bnJldi54bWxQSwECFAAUAAAACACHTuJAVyz160ICAABgBAAADgAAAAAAAAABACAAAAAk&#10;AQAAZHJzL2Uyb0RvYy54bWxQSwUGAAAAAAYABgBZAQAA2AUAAAAA&#10;">
                        <v:fill on="t" focussize="0,0"/>
                        <v:stroke on="f" weight="0.5pt"/>
                        <v:imagedata o:title=""/>
                        <o:lock v:ext="edit" aspectratio="f"/>
                        <v:textbox inset="0mm,0mm,0mm,0mm">
                          <w:txbxContent>
                            <w:p w14:paraId="4E1EC922">
                              <w:pPr>
                                <w:rPr>
                                  <w:rFonts w:hint="eastAsia"/>
                                </w:rPr>
                              </w:pPr>
                            </w:p>
                          </w:txbxContent>
                        </v:textbox>
                      </v:shape>
                      <v:shape id="_x0000_s1026" o:spid="_x0000_s1026" o:spt="32" type="#_x0000_t32" style="position:absolute;left:1265555;top:989965;flip:y;height:6350;width:494030;" filled="f" stroked="t" coordsize="21600,21600" o:gfxdata="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QUGM3TAAAABQEAAA8AAAAAAAAAAQAgAAAAIgAAAGRycy9kb3ducmV2LnhtbFBLAQIUABQA&#10;AAAIAIdO4kBXRoOlLgIAACUEAAAOAAAAAAAAAAEAIAAAACIBAABkcnMvZTJvRG9jLnhtbFBLBQYA&#10;AAAABgAGAFkBAADCBQAAAAA=&#10;">
                        <v:fill on="f" focussize="0,0"/>
                        <v:stroke weight="1pt" color="#000000 [3213]" miterlimit="8" joinstyle="miter" endarrow="block"/>
                        <v:imagedata o:title=""/>
                        <o:lock v:ext="edit" aspectratio="f"/>
                      </v:shape>
                      <v:rect id="_x0000_s1026" o:spid="_x0000_s1026" o:spt="1" style="position:absolute;left:3180080;top:92710;height:290195;width:822960;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tnQWR0wAAAAUBAAAPAAAAAAAAAAEAIAAAACIAAABkcnMvZG93bnJl&#10;di54bWxQSwECFAAUAAAACACHTuJAEN/DwXQCAADJBAAADgAAAAAAAAABACAAAAAiAQAAZHJzL2Uy&#10;b0RvYy54bWxQSwUGAAAAAAYABgBZAQAACAYAAAAA&#10;">
                        <v:fill on="f" focussize="0,0"/>
                        <v:stroke weight="0.5pt" color="#223F59 [3204]" miterlimit="8" joinstyle="miter"/>
                        <v:imagedata o:title=""/>
                        <o:lock v:ext="edit" aspectratio="f"/>
                        <v:textbox inset="1mm,0mm,1mm,0mm">
                          <w:txbxContent>
                            <w:p w14:paraId="51242C4B">
                              <w:pPr>
                                <w:spacing w:line="240" w:lineRule="auto"/>
                                <w:ind w:firstLine="0" w:firstLineChars="0"/>
                                <w:jc w:val="center"/>
                                <w:rPr>
                                  <w:rFonts w:hint="eastAsia" w:eastAsia="宋体"/>
                                  <w:color w:val="000000"/>
                                  <w:sz w:val="18"/>
                                  <w:szCs w:val="18"/>
                                  <w:lang w:eastAsia="zh-CN"/>
                                </w:rPr>
                              </w:pPr>
                              <w:r>
                                <w:rPr>
                                  <w:rFonts w:hint="eastAsia"/>
                                  <w:color w:val="000000"/>
                                  <w:sz w:val="18"/>
                                  <w:szCs w:val="18"/>
                                  <w:lang w:eastAsia="zh-CN"/>
                                </w:rPr>
                                <w:t>循环水</w:t>
                              </w:r>
                            </w:p>
                          </w:txbxContent>
                        </v:textbox>
                      </v:rect>
                      <v:shape id="_x0000_s1026" o:spid="_x0000_s1026" o:spt="32" type="#_x0000_t32" style="position:absolute;left:3587115;top:398145;flip:y;height:602615;width:4445;" filled="f" stroked="t" coordsize="21600,21600" o:gfxdata="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fJXK9UAAAAFAQAADwAA&#10;AAAAAAABACAAAAAiAAAAZHJzL2Rvd25yZXYueG1sUEsBAhQAFAAAAAgAh07iQICd55cZAgAA+gMA&#10;AA4AAAAAAAAAAQAgAAAAJAEAAGRycy9lMm9Eb2MueG1sUEsFBgAAAAAGAAYAWQEAAK8FAAAAAA==&#10;">
                        <v:fill on="f" focussize="0,0"/>
                        <v:stroke weight="0.5pt" color="#000000 [3213]" miterlimit="8" joinstyle="miter" endarrow="block"/>
                        <v:imagedata o:title=""/>
                        <o:lock v:ext="edit" aspectratio="f"/>
                      </v:shape>
                      <v:shape id="文本框 1" o:spid="_x0000_s1026" o:spt="202" type="#_x0000_t202" style="position:absolute;left:2381250;top:70485;height:190500;width:434975;mso-wrap-style:none;" filled="f" stroked="f" coordsize="21600,21600" o:gfxdata="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TQlPfVAAAABQEAAA8AAAAAAAAAAQAgAAAAIgAAAGRycy9kb3ducmV2LnhtbFBLAQIUABQAAAAI&#10;AIdO4kAqrhtsKQIAAC4EAAAOAAAAAAAAAAEAIAAAACQBAABkcnMvZTJvRG9jLnhtbFBLBQYAAAAA&#10;BgAGAFkBAAC/BQAAAAA=&#10;">
                        <v:fill on="f" focussize="0,0"/>
                        <v:stroke on="f" weight="0.5pt"/>
                        <v:imagedata o:title=""/>
                        <o:lock v:ext="edit" aspectratio="f"/>
                        <v:textbox inset="0mm,0mm,0mm,0mm">
                          <w:txbxContent>
                            <w:p w14:paraId="4B954D53">
                              <w:pPr>
                                <w:ind w:firstLine="0" w:firstLineChars="0"/>
                                <w:jc w:val="center"/>
                                <w:rPr>
                                  <w:rFonts w:hint="default" w:eastAsia="宋体"/>
                                  <w:sz w:val="18"/>
                                  <w:szCs w:val="18"/>
                                  <w:lang w:val="en-US" w:eastAsia="zh-CN"/>
                                </w:rPr>
                              </w:pPr>
                              <w:r>
                                <w:rPr>
                                  <w:rFonts w:hint="eastAsia"/>
                                  <w:sz w:val="18"/>
                                  <w:szCs w:val="18"/>
                                  <w:lang w:eastAsia="zh-CN"/>
                                </w:rPr>
                                <w:t>循环</w:t>
                              </w:r>
                              <w:r>
                                <w:rPr>
                                  <w:rFonts w:hint="eastAsia"/>
                                  <w:sz w:val="18"/>
                                  <w:szCs w:val="18"/>
                                  <w:lang w:val="en-US" w:eastAsia="zh-CN"/>
                                </w:rPr>
                                <w:t>400</w:t>
                              </w:r>
                            </w:p>
                          </w:txbxContent>
                        </v:textbox>
                      </v:shape>
                      <v:shape id="_x0000_s1026" o:spid="_x0000_s1026" o:spt="32" type="#_x0000_t32" style="position:absolute;left:2235200;top:1431925;flip:x;height:206375;width:269240;" filled="f" stroked="t" coordsize="21600,21600" o:gfxdata="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njCNdYAAAAFAQAADwAAAAAAAAABACAAAAAiAAAAZHJzL2Rvd25yZXYueG1sUEsB&#10;AhQAFAAAAAgAh07iQOgCJ7QwAgAAJwQAAA4AAAAAAAAAAQAgAAAAJQEAAGRycy9lMm9Eb2MueG1s&#10;UEsFBgAAAAAGAAYAWQEAAMcFAAAAAA==&#10;">
                        <v:fill on="f" focussize="0,0"/>
                        <v:stroke weight="0.5pt" color="#000000 [3213]" miterlimit="8" joinstyle="miter" startarrow="block"/>
                        <v:imagedata o:title=""/>
                        <o:lock v:ext="edit" aspectratio="f"/>
                      </v:shape>
                      <v:rect id="_x0000_s1026" o:spid="_x0000_s1026" o:spt="1" style="position:absolute;left:1894205;top:1639570;height:234950;width:753110;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Z0FkdMAAAAFAQAADwAAAAAAAAABACAAAAAiAAAAZHJzL2Rvd25y&#10;ZXYueG1sUEsBAhQAFAAAAAgAh07iQHsYxmd1AgAAywQAAA4AAAAAAAAAAQAgAAAAIgEAAGRycy9l&#10;Mm9Eb2MueG1sUEsFBgAAAAAGAAYAWQEAAAkGAAAAAA==&#10;">
                        <v:fill on="f" focussize="0,0"/>
                        <v:stroke weight="0.5pt" color="#223F59 [3204]" miterlimit="8" joinstyle="miter"/>
                        <v:imagedata o:title=""/>
                        <o:lock v:ext="edit" aspectratio="f"/>
                        <v:textbox inset="1mm,0mm,1mm,0mm">
                          <w:txbxContent>
                            <w:p w14:paraId="69561A03">
                              <w:pPr>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生活用水</w:t>
                              </w:r>
                            </w:p>
                          </w:txbxContent>
                        </v:textbox>
                      </v:rect>
                      <v:shape id="_x0000_s1026" o:spid="_x0000_s1026" o:spt="32" type="#_x0000_t32" style="position:absolute;left:3505835;top:1878330;flip:x y;height:534670;width:5080;" filled="f" stroked="t" coordsize="21600,21600" o:gfxdata="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ysqOvXAAAABQEAAA8AAAAAAAAAAQAgAAAAIgAAAGRycy9kb3ducmV2&#10;LnhtbFBLAQIUABQAAAAIAIdO4kBjLlY4NgIAAC8EAAAOAAAAAAAAAAEAIAAAACYBAABkcnMvZTJv&#10;RG9jLnhtbFBLBQYAAAAABgAGAFkBAADOBQAAAAA=&#10;">
                        <v:fill on="f" focussize="0,0"/>
                        <v:stroke weight="0.5pt" color="#000000 [3213]" miterlimit="8" joinstyle="miter" startarrow="block"/>
                        <v:imagedata o:title=""/>
                        <o:lock v:ext="edit" aspectratio="f"/>
                      </v:shape>
                      <v:shape id="文本框 1" o:spid="_x0000_s1026" o:spt="202" type="#_x0000_t202" style="position:absolute;left:3298190;top:2004695;height:190500;width:206375;mso-wrap-style:none;" filled="f" stroked="f" coordsize="21600,21600" o:gfxdata="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TQlPfVAAAABQEAAA8AAAAAAAAAAQAgAAAAIgAAAGRycy9kb3ducmV2LnhtbFBLAQIUABQA&#10;AAAIAIdO4kDsukQ3LAIAADAEAAAOAAAAAAAAAAEAIAAAACQBAABkcnMvZTJvRG9jLnhtbFBLBQYA&#10;AAAABgAGAFkBAADCBQAAAAA=&#10;">
                        <v:fill on="f" focussize="0,0"/>
                        <v:stroke on="f" weight="0.5pt"/>
                        <v:imagedata o:title=""/>
                        <o:lock v:ext="edit" aspectratio="f"/>
                        <v:textbox inset="0mm,0mm,0mm,0mm">
                          <w:txbxContent>
                            <w:p w14:paraId="170E226B">
                              <w:pPr>
                                <w:ind w:firstLine="0" w:firstLineChars="0"/>
                                <w:rPr>
                                  <w:rFonts w:hint="default" w:eastAsia="宋体"/>
                                  <w:sz w:val="18"/>
                                  <w:szCs w:val="18"/>
                                  <w:lang w:val="en-US" w:eastAsia="zh-CN"/>
                                </w:rPr>
                              </w:pPr>
                              <w:r>
                                <w:rPr>
                                  <w:rFonts w:hint="eastAsia"/>
                                  <w:sz w:val="18"/>
                                  <w:szCs w:val="18"/>
                                  <w:lang w:val="en-US" w:eastAsia="zh-CN"/>
                                </w:rPr>
                                <w:t>7.07</w:t>
                              </w:r>
                            </w:p>
                          </w:txbxContent>
                        </v:textbox>
                      </v:shape>
                      <v:line id="_x0000_s1026" o:spid="_x0000_s1026" o:spt="20" style="position:absolute;left:2304415;top:981710;flip:y;height:5715;width:2074545;" filled="f" stroked="t" coordsize="21600,21600" o:gfxdata="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fGiU9UAAAAFAQAADwAAAAAAAAABACAAAAAiAAAAZHJzL2Rvd25yZXYueG1s&#10;UEsBAhQAFAAAAAgAh07iQE+YOEo0AgAAQAQAAA4AAAAAAAAAAQAgAAAAJAEAAGRycy9lMm9Eb2Mu&#10;eG1sUEsFBgAAAAAGAAYAWQEAAMoFAAAAAA==&#10;">
                        <v:fill on="f" focussize="0,0"/>
                        <v:stroke weight="1pt" color="#000000 [3213]" miterlimit="8" joinstyle="miter" endarrow="block"/>
                        <v:imagedata o:title=""/>
                        <o:lock v:ext="edit" aspectratio="f"/>
                      </v:line>
                      <v:shape id="文本框 1" o:spid="_x0000_s1026" o:spt="202" type="#_x0000_t202" style="position:absolute;left:2386330;top:508635;height:194945;width:453390;" fillcolor="#FFFFFF [3201]" filled="t" stroked="f" coordsize="21600,21600" o:gfxdata="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E5k40wAAAAUBAAAPAAAAAAAAAAEAIAAAACIAAABkcnMv&#10;ZG93bnJldi54bWxQSwECFAAUAAAACACHTuJAgYgpHUECAABaBAAADgAAAAAAAAABACAAAAAiAQAA&#10;ZHJzL2Uyb0RvYy54bWxQSwUGAAAAAAYABgBZAQAA1QUAAAAA&#10;">
                        <v:fill on="t" focussize="0,0"/>
                        <v:stroke on="f" weight="0.5pt"/>
                        <v:imagedata o:title=""/>
                        <o:lock v:ext="edit" aspectratio="f"/>
                        <v:textbox inset="0mm,0mm,0mm,0mm">
                          <w:txbxContent>
                            <w:p w14:paraId="1A16608D">
                              <w:pPr>
                                <w:ind w:firstLine="0" w:firstLineChars="0"/>
                                <w:rPr>
                                  <w:rFonts w:hint="default" w:eastAsia="宋体"/>
                                  <w:sz w:val="18"/>
                                  <w:szCs w:val="18"/>
                                  <w:lang w:val="en-US" w:eastAsia="zh-CN"/>
                                </w:rPr>
                              </w:pPr>
                              <w:r>
                                <w:rPr>
                                  <w:rFonts w:hint="eastAsia"/>
                                  <w:sz w:val="18"/>
                                  <w:szCs w:val="18"/>
                                  <w:lang w:val="en-US" w:eastAsia="zh-CN"/>
                                </w:rPr>
                                <w:t>损失9</w:t>
                              </w:r>
                            </w:p>
                          </w:txbxContent>
                        </v:textbox>
                      </v:shape>
                      <v:shape id="_x0000_s1026" o:spid="_x0000_s1026" o:spt="32" type="#_x0000_t32" style="position:absolute;left:2188845;top:666115;flip:x;height:206375;width:269240;" filled="f" stroked="t" coordsize="21600,21600" o:gfxdata="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J4wjXWAAAABQEAAA8AAAAAAAAAAQAgAAAAIgAAAGRycy9kb3ducmV2LnhtbFBL&#10;AQIUABQAAAAIAIdO4kCPDPf4MQIAACYEAAAOAAAAAAAAAAEAIAAAACUBAABkcnMvZTJvRG9jLnht&#10;bFBLBQYAAAAABgAGAFkBAADIBQAAAAA=&#10;">
                        <v:fill on="f" focussize="0,0"/>
                        <v:stroke weight="0.5pt" color="#000000 [3213]" miterlimit="8" joinstyle="miter" startarrow="block"/>
                        <v:imagedata o:title=""/>
                        <o:lock v:ext="edit" aspectratio="f"/>
                      </v:shape>
                      <v:shape id="_x0000_s1026" o:spid="_x0000_s1026" o:spt="32" type="#_x0000_t32" style="position:absolute;left:1265555;top:2996565;height:6985;width:589280;" filled="f" stroked="t" coordsize="21600,21600" o:gfxdata="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Fo4w0wAAAAUBAAAPAAAAAAAAAAEA&#10;IAAAACIAAABkcnMvZG93bnJldi54bWxQSwECFAAUAAAACACHTuJACl2TXxQCAADxAwAADgAAAAAA&#10;AAABACAAAAAiAQAAZHJzL2Uyb0RvYy54bWxQSwUGAAAAAAYABgBZAQAAqAUAAAAA&#10;">
                        <v:fill on="f" focussize="0,0"/>
                        <v:stroke weight="0.5pt" color="#000000 [3213]" miterlimit="8" joinstyle="miter" endarrow="block"/>
                        <v:imagedata o:title=""/>
                        <o:lock v:ext="edit" aspectratio="f"/>
                      </v:shape>
                      <v:shape id="文本框 1" o:spid="_x0000_s1026" o:spt="202" type="#_x0000_t202" style="position:absolute;left:1490345;top:2846705;height:190500;width:47053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Y9MeNUAAAAFAQAADwAAAAAAAAABACAAAAAiAAAAZHJzL2Rvd25yZXYueG1sUEsBAhQA&#10;FAAAAAgAh07iQMr/AvUuAgAAMgQAAA4AAAAAAAAAAQAgAAAAJAEAAGRycy9lMm9Eb2MueG1sUEsF&#10;BgAAAAAGAAYAWQEAAMQFAAAAAA==&#10;">
                        <v:fill on="f" focussize="0,0"/>
                        <v:stroke on="f" weight="0.5pt"/>
                        <v:imagedata o:title=""/>
                        <o:lock v:ext="edit" aspectratio="f"/>
                        <v:textbox inset="0mm,0mm,0mm,0mm">
                          <w:txbxContent>
                            <w:p w14:paraId="62001A74">
                              <w:pPr>
                                <w:ind w:firstLine="0" w:firstLineChars="0"/>
                                <w:rPr>
                                  <w:rFonts w:hint="default" w:eastAsia="宋体"/>
                                  <w:sz w:val="18"/>
                                  <w:szCs w:val="18"/>
                                  <w:lang w:val="en-US" w:eastAsia="zh-CN"/>
                                </w:rPr>
                              </w:pPr>
                              <w:r>
                                <w:rPr>
                                  <w:rFonts w:hint="eastAsia"/>
                                  <w:sz w:val="18"/>
                                  <w:szCs w:val="18"/>
                                  <w:lang w:val="en-US" w:eastAsia="zh-CN"/>
                                </w:rPr>
                                <w:t>0.2</w:t>
                              </w:r>
                            </w:p>
                          </w:txbxContent>
                        </v:textbox>
                      </v:shape>
                      <v:shape id="文本框 1" o:spid="_x0000_s1026" o:spt="202" type="#_x0000_t202" style="position:absolute;left:2429510;top:2509520;height:223520;width:406400;mso-wrap-style:none;" fillcolor="#FFFFFF [3201]" filled="t" stroked="f" coordsize="21600,21600" o:gfxdata="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jolbtUAAAAFAQAADwAAAAAAAAABACAAAAAiAAAAZHJzL2Rv&#10;d25yZXYueG1sUEsBAhQAFAAAAAgAh07iQKIHTLk9AgAAWQQAAA4AAAAAAAAAAQAgAAAAJAEAAGRy&#10;cy9lMm9Eb2MueG1sUEsFBgAAAAAGAAYAWQEAANMFAAAAAA==&#10;">
                        <v:fill on="t" focussize="0,0"/>
                        <v:stroke on="f" weight="0.5pt"/>
                        <v:imagedata o:title=""/>
                        <o:lock v:ext="edit" aspectratio="f"/>
                        <v:textbox inset="0mm,0mm,0mm,0mm">
                          <w:txbxContent>
                            <w:p w14:paraId="20995901">
                              <w:pPr>
                                <w:ind w:firstLine="0" w:firstLineChars="0"/>
                                <w:rPr>
                                  <w:rFonts w:hint="default" w:eastAsia="宋体"/>
                                  <w:sz w:val="18"/>
                                  <w:szCs w:val="18"/>
                                  <w:lang w:val="en-US" w:eastAsia="zh-CN"/>
                                </w:rPr>
                              </w:pPr>
                              <w:r>
                                <w:rPr>
                                  <w:rFonts w:hint="eastAsia"/>
                                  <w:sz w:val="18"/>
                                  <w:szCs w:val="18"/>
                                  <w:lang w:val="en-US" w:eastAsia="zh-CN"/>
                                </w:rPr>
                                <w:t>损失0.2</w:t>
                              </w:r>
                            </w:p>
                          </w:txbxContent>
                        </v:textbox>
                      </v:shape>
                      <v:shape id="_x0000_s1026" o:spid="_x0000_s1026" o:spt="32" type="#_x0000_t32" style="position:absolute;left:2232025;top:2667000;flip:x;height:206375;width:269240;" filled="f" stroked="t" coordsize="21600,21600" o:gfxdata="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J4wjXWAAAABQEAAA8AAAAAAAAAAQAgAAAAIgAAAGRycy9kb3ducmV2LnhtbFBL&#10;AQIUABQAAAAIAIdO4kDm5A3SMQIAACcEAAAOAAAAAAAAAAEAIAAAACUBAABkcnMvZTJvRG9jLnht&#10;bFBLBQYAAAAABgAGAFkBAADIBQAAAAA=&#10;">
                        <v:fill on="f" focussize="0,0"/>
                        <v:stroke weight="0.5pt" color="#000000 [3213]" miterlimit="8" joinstyle="miter" startarrow="block"/>
                        <v:imagedata o:title=""/>
                        <o:lock v:ext="edit" aspectratio="f"/>
                      </v:shape>
                      <v:shape id="_x0000_s1026" o:spid="_x0000_s1026" o:spt="35" type="#_x0000_t35" style="position:absolute;left:2391410;top:2854325;flip:x y;height:402590;width:117475;rotation:5898240f;" filled="f" stroked="t" coordsize="21600,21600" o:gfxdata="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mVJoG0wAAAAUBAAAPAAAAAAAAAAEAIAAAACIAAABkcnMvZG93bnJl&#10;di54bWxQSwECFAAUAAAACACHTuJA1bL4hXQCAADHBAAADgAAAAAAAAABACAAAAAiAQAAZHJzL2Uy&#10;b0RvYy54bWxQSwUGAAAAAAYABgBZAQAACAYAAAAA&#10;" adj="-43725,52484">
                        <v:fill on="f" focussize="0,0"/>
                        <v:stroke weight="1pt" color="#000000 [3213]" miterlimit="8" joinstyle="miter" endarrow="open"/>
                        <v:imagedata o:title=""/>
                        <o:lock v:ext="edit" aspectratio="f"/>
                      </v:shape>
                      <v:shape id="文本框 1" o:spid="_x0000_s1026" o:spt="202" type="#_x0000_t202" style="position:absolute;left:2621915;top:3062605;height:199390;width:60134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j0x41QAAAAUBAAAPAAAAAAAAAAEAIAAAACIAAABkcnMvZG93bnJldi54bWxQSwECFAAU&#10;AAAACACHTuJAKM9epS0CAAAyBAAADgAAAAAAAAABACAAAAAkAQAAZHJzL2Uyb0RvYy54bWxQSwUG&#10;AAAAAAYABgBZAQAAwwUAAAAA&#10;">
                        <v:fill on="f" focussize="0,0"/>
                        <v:stroke on="f" weight="0.5pt"/>
                        <v:imagedata o:title=""/>
                        <o:lock v:ext="edit" aspectratio="f"/>
                        <v:textbox inset="0mm,0mm,0mm,0mm">
                          <w:txbxContent>
                            <w:p w14:paraId="2DAFBEDC">
                              <w:pPr>
                                <w:ind w:firstLine="0" w:firstLineChars="0"/>
                                <w:jc w:val="center"/>
                                <w:rPr>
                                  <w:rFonts w:hint="default" w:eastAsia="宋体"/>
                                  <w:sz w:val="18"/>
                                  <w:szCs w:val="18"/>
                                  <w:lang w:val="en-US" w:eastAsia="zh-CN"/>
                                </w:rPr>
                              </w:pPr>
                              <w:r>
                                <w:rPr>
                                  <w:rFonts w:hint="eastAsia"/>
                                  <w:sz w:val="18"/>
                                  <w:szCs w:val="18"/>
                                  <w:lang w:val="en-US" w:eastAsia="zh-CN"/>
                                </w:rPr>
                                <w:t>循环10</w:t>
                              </w:r>
                            </w:p>
                          </w:txbxContent>
                        </v:textbox>
                      </v:shape>
                      <v:rect id="_x0000_s1026" o:spid="_x0000_s1026" o:spt="1" style="position:absolute;left:1815465;top:4671695;height:312420;width:805180;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Z0FkdMAAAAFAQAADwAAAAAAAAABACAAAAAiAAAAZHJzL2Rv&#10;d25yZXYueG1sUEsBAhQAFAAAAAgAh07iQLKWAad4AgAAywQAAA4AAAAAAAAAAQAgAAAAIgEAAGRy&#10;cy9lMm9Eb2MueG1sUEsFBgAAAAAGAAYAWQEAAAwGAAAAAA==&#10;">
                        <v:fill on="f" focussize="0,0"/>
                        <v:stroke weight="0.5pt" color="#223F59 [3204]" miterlimit="8" joinstyle="miter"/>
                        <v:imagedata o:title=""/>
                        <o:lock v:ext="edit" aspectratio="f"/>
                        <v:textbox inset="1mm,0mm,1mm,0mm">
                          <w:txbxContent>
                            <w:p w14:paraId="3C80A3C8">
                              <w:pPr>
                                <w:spacing w:line="240" w:lineRule="auto"/>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合金锭脱模剂调配用水</w:t>
                              </w:r>
                            </w:p>
                          </w:txbxContent>
                        </v:textbox>
                      </v:rect>
                      <v:shape id="_x0000_s1026" o:spid="_x0000_s1026" o:spt="32" type="#_x0000_t32" style="position:absolute;left:2466340;top:4470400;flip:x;height:206375;width:269240;" filled="f" stroked="t" coordsize="21600,21600" o:gfxdata="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J4wjXWAAAABQEAAA8AAAAAAAAAAQAgAAAAIgAAAGRycy9kb3ducmV2LnhtbFBL&#10;AQIUABQAAAAIAIdO4kAYKUlaMQIAACcEAAAOAAAAAAAAAAEAIAAAACUBAABkcnMvZTJvRG9jLnht&#10;bFBLBQYAAAAABgAGAFkBAADIBQAAAAA=&#10;">
                        <v:fill on="f" focussize="0,0"/>
                        <v:stroke weight="0.5pt" color="#000000 [3213]" miterlimit="8" joinstyle="miter" startarrow="block"/>
                        <v:imagedata o:title=""/>
                        <o:lock v:ext="edit" aspectratio="f"/>
                      </v:shape>
                      <v:shape id="_x0000_s1026" o:spid="_x0000_s1026" o:spt="32" type="#_x0000_t32" style="position:absolute;left:1270635;top:4822825;flip:y;height:10795;width:549275;" filled="f" stroked="t" coordsize="21600,21600" o:gfxdata="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8lcr1QAAAAUB&#10;AAAPAAAAAAAAAAEAIAAAACIAAABkcnMvZG93bnJldi54bWxQSwECFAAUAAAACACHTuJA/Vbg/x4C&#10;AAD8AwAADgAAAAAAAAABACAAAAAkAQAAZHJzL2Uyb0RvYy54bWxQSwUGAAAAAAYABgBZAQAAtAUA&#10;AAAA&#10;">
                        <v:fill on="f" focussize="0,0"/>
                        <v:stroke weight="0.5pt" color="#000000 [3213]" miterlimit="8" joinstyle="miter" endarrow="block"/>
                        <v:imagedata o:title=""/>
                        <o:lock v:ext="edit" aspectratio="f"/>
                      </v:shape>
                      <v:shape id="文本框 1" o:spid="_x0000_s1026" o:spt="202" type="#_x0000_t202" style="position:absolute;left:1302385;top:4647565;height:190500;width:51879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WPTHjVAAAABQEAAA8AAAAAAAAAAQAgAAAAIgAAAGRycy9kb3ducmV2LnhtbFBLAQIU&#10;ABQAAAAIAIdO4kCW8BRFLwIAADIEAAAOAAAAAAAAAAEAIAAAACQBAABkcnMvZTJvRG9jLnhtbFBL&#10;BQYAAAAABgAGAFkBAADFBQAAAAA=&#10;">
                        <v:fill on="f" focussize="0,0"/>
                        <v:stroke on="f" weight="0.5pt"/>
                        <v:imagedata o:title=""/>
                        <o:lock v:ext="edit" aspectratio="f"/>
                        <v:textbox inset="0mm,0mm,0mm,0mm">
                          <w:txbxContent>
                            <w:p w14:paraId="2F360F55">
                              <w:pPr>
                                <w:ind w:firstLine="180" w:firstLineChars="100"/>
                                <w:rPr>
                                  <w:rFonts w:hint="default" w:eastAsia="宋体"/>
                                  <w:sz w:val="18"/>
                                  <w:szCs w:val="18"/>
                                  <w:lang w:val="en-US" w:eastAsia="zh-CN"/>
                                </w:rPr>
                              </w:pPr>
                              <w:r>
                                <w:rPr>
                                  <w:rFonts w:hint="eastAsia"/>
                                  <w:sz w:val="18"/>
                                  <w:szCs w:val="18"/>
                                  <w:lang w:val="en-US" w:eastAsia="zh-CN"/>
                                </w:rPr>
                                <w:t>0.003</w:t>
                              </w:r>
                            </w:p>
                          </w:txbxContent>
                        </v:textbox>
                      </v:shape>
                      <v:shape id="文本框 1" o:spid="_x0000_s1026" o:spt="202" type="#_x0000_t202" style="position:absolute;left:2717800;top:4305935;height:204470;width:692150;" fillcolor="#FFFFFF [3201]" filled="t" stroked="f" coordsize="21600,21600" o:gfxdata="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MTmTjTAAAABQEAAA8AAAAAAAAAAQAgAAAAIgAAAGRy&#10;cy9kb3ducmV2LnhtbFBLAQIUABQAAAAIAIdO4kANN+SWQwIAAFsEAAAOAAAAAAAAAAEAIAAAACIB&#10;AABkcnMvZTJvRG9jLnhtbFBLBQYAAAAABgAGAFkBAADXBQAAAAA=&#10;">
                        <v:fill on="t" focussize="0,0"/>
                        <v:stroke on="f" weight="0.5pt"/>
                        <v:imagedata o:title=""/>
                        <o:lock v:ext="edit" aspectratio="f"/>
                        <v:textbox inset="0mm,0mm,0mm,0mm">
                          <w:txbxContent>
                            <w:p w14:paraId="6655E8EA">
                              <w:pPr>
                                <w:ind w:firstLine="0" w:firstLineChars="0"/>
                                <w:rPr>
                                  <w:rFonts w:hint="default" w:eastAsia="宋体"/>
                                  <w:sz w:val="18"/>
                                  <w:szCs w:val="18"/>
                                  <w:lang w:val="en-US" w:eastAsia="zh-CN"/>
                                </w:rPr>
                              </w:pPr>
                              <w:r>
                                <w:rPr>
                                  <w:rFonts w:hint="eastAsia"/>
                                  <w:sz w:val="18"/>
                                  <w:szCs w:val="18"/>
                                  <w:lang w:val="en-US" w:eastAsia="zh-CN"/>
                                </w:rPr>
                                <w:t>损失0.003</w:t>
                              </w:r>
                            </w:p>
                          </w:txbxContent>
                        </v:textbox>
                      </v:shape>
                      <v:line id="_x0000_s1026" o:spid="_x0000_s1026" o:spt="20" style="position:absolute;left:1265555;top:996315;height:3818890;width:14605;" filled="f" stroked="t" coordsize="21600,21600" o:gfxdata="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YIkA1gAAAAUBAAAPAAAAAAAAAAEAIAAAACIAAABkcnMvZG93bnJldi54bWxQSwECFAAU&#10;AAAACACHTuJAuNmRp/MBAADDAwAADgAAAAAAAAABACAAAAAlAQAAZHJzL2Uyb0RvYy54bWxQSwUG&#10;AAAAAAYABgBZAQAAigUAAAAA&#10;">
                        <v:fill on="f" focussize="0,0"/>
                        <v:stroke weight="1pt" color="#000000 [3213]" miterlimit="8" joinstyle="miter"/>
                        <v:imagedata o:title=""/>
                        <o:lock v:ext="edit" aspectratio="f"/>
                      </v:line>
                      <v:shape id="_x0000_s1026" o:spid="_x0000_s1026" o:spt="32" type="#_x0000_t32" style="position:absolute;left:622935;top:2024380;flip:y;height:12700;width:640080;" filled="f" stroked="t" coordsize="21600,21600" o:gfxdata="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&#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FBjN0wAAAAUBAAAPAAAAAAAAAAEAIAAAACIAAABk&#10;cnMvZG93bnJldi54bWxQSwECFAAUAAAACACHTuJAjbH7LEQCAABUBAAADgAAAAAAAAABACAAAAAi&#10;AQAAZHJzL2Uyb0RvYy54bWxQSwUGAAAAAAYABgBZAQAA2AUAAAAA&#10;">
                        <v:fill on="f" focussize="0,0"/>
                        <v:stroke weight="1pt" color="#000000 [3213]" miterlimit="8" joinstyle="miter" endarrow="block"/>
                        <v:imagedata o:title=""/>
                        <o:lock v:ext="edit" aspectratio="f"/>
                      </v:shape>
                      <v:shape id="_x0000_s1026" o:spid="_x0000_s1026" o:spt="202" type="#_x0000_t202" style="position:absolute;left:737870;top:1895475;height:198120;width:38290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Y9MeNUAAAAFAQAADwAAAAAAAAABACAAAAAiAAAAZHJz&#10;L2Rvd25yZXYueG1sUEsBAhQAFAAAAAgAh07iQBpgUAFAAgAAYgQAAA4AAAAAAAAAAQAgAAAAJAEA&#10;AGRycy9lMm9Eb2MueG1sUEsFBgAAAAAGAAYAWQEAANYFAAAAAA==&#10;">
                        <v:fill on="f" focussize="0,0"/>
                        <v:stroke on="f" weight="0.5pt"/>
                        <v:imagedata o:title=""/>
                        <o:lock v:ext="edit" aspectratio="f"/>
                        <v:textbox inset="0mm,0mm,0mm,0mm">
                          <w:txbxContent>
                            <w:p w14:paraId="72D36DB8">
                              <w:pPr>
                                <w:ind w:firstLine="0" w:firstLineChars="0"/>
                                <w:rPr>
                                  <w:rFonts w:hint="default" w:eastAsia="宋体"/>
                                  <w:lang w:val="en-US" w:eastAsia="zh-CN"/>
                                </w:rPr>
                              </w:pPr>
                              <w:r>
                                <w:rPr>
                                  <w:rFonts w:hint="eastAsia"/>
                                  <w:sz w:val="18"/>
                                  <w:szCs w:val="18"/>
                                  <w:lang w:val="en-US" w:eastAsia="zh-CN"/>
                                </w:rPr>
                                <w:t>40.043</w:t>
                              </w:r>
                            </w:p>
                          </w:txbxContent>
                        </v:textbox>
                      </v:shape>
                      <v:shape id="_x0000_s1026" o:spid="_x0000_s1026" o:spt="202" type="#_x0000_t202" style="position:absolute;left:4329430;top:909320;height:372110;width:61023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WPTHjVAAAABQEAAA8AAAAAAAAAAQAgAAAAIgAAAGRycy9kb3ducmV2LnhtbFBLAQIUABQAAAAI&#10;AIdO4kBNgVHvKQIAADAEAAAOAAAAAAAAAAEAIAAAACQBAABkcnMvZTJvRG9jLnhtbFBLBQYAAAAA&#10;BgAGAFkBAAC/BQAAAAA=&#10;">
                        <v:fill on="f" focussize="0,0"/>
                        <v:stroke on="f" weight="0.5pt"/>
                        <v:imagedata o:title=""/>
                        <o:lock v:ext="edit" aspectratio="f"/>
                        <v:textbox inset="0mm,0mm,0mm,0mm">
                          <w:txbxContent>
                            <w:p w14:paraId="70D04D58">
                              <w:pPr>
                                <w:ind w:firstLine="0" w:firstLineChars="0"/>
                                <w:jc w:val="center"/>
                                <w:rPr>
                                  <w:rFonts w:hint="default" w:eastAsia="宋体"/>
                                  <w:sz w:val="18"/>
                                  <w:szCs w:val="18"/>
                                  <w:lang w:val="en-US" w:eastAsia="zh-CN"/>
                                </w:rPr>
                              </w:pPr>
                              <w:r>
                                <w:rPr>
                                  <w:rFonts w:hint="eastAsia"/>
                                  <w:sz w:val="18"/>
                                  <w:szCs w:val="18"/>
                                  <w:lang w:val="en-US" w:eastAsia="zh-CN"/>
                                </w:rPr>
                                <w:t>洒水抑尘</w:t>
                              </w:r>
                            </w:p>
                          </w:txbxContent>
                        </v:textbox>
                      </v:shape>
                      <v:shape id="_x0000_s1026" o:spid="_x0000_s1026" o:spt="202" type="#_x0000_t202" style="position:absolute;left:3967480;top:843915;height:190500;width:63500;mso-wrap-style:none;" filled="f" stroked="f" coordsize="21600,21600" o:gfxdata="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NCU99UAAAAFAQAADwAAAAAAAAABACAAAAAiAAAAZHJzL2Rvd25yZXYu&#10;eG1sUEsBAhQAFAAAAAgAh07iQP3pzPg3AgAAXQQAAA4AAAAAAAAAAQAgAAAAJAEAAGRycy9lMm9E&#10;b2MueG1sUEsFBgAAAAAGAAYAWQEAAM0FAAAAAA==&#10;">
                        <v:fill on="f" focussize="0,0"/>
                        <v:stroke on="f" weight="0.5pt"/>
                        <v:imagedata o:title=""/>
                        <o:lock v:ext="edit" aspectratio="f"/>
                        <v:textbox inset="0mm,0mm,0mm,0mm">
                          <w:txbxContent>
                            <w:p w14:paraId="40A804E2">
                              <w:pPr>
                                <w:ind w:firstLine="0" w:firstLineChars="0"/>
                                <w:rPr>
                                  <w:rFonts w:hint="default" w:eastAsia="宋体"/>
                                  <w:lang w:val="en-US" w:eastAsia="zh-CN"/>
                                </w:rPr>
                              </w:pPr>
                              <w:r>
                                <w:rPr>
                                  <w:rFonts w:hint="eastAsia"/>
                                  <w:sz w:val="18"/>
                                  <w:szCs w:val="18"/>
                                  <w:lang w:val="en-US" w:eastAsia="zh-CN"/>
                                </w:rPr>
                                <w:t>1</w:t>
                              </w:r>
                            </w:p>
                          </w:txbxContent>
                        </v:textbox>
                      </v:shape>
                      <v:shape id="_x0000_s1026" o:spid="_x0000_s1026" o:spt="32" type="#_x0000_t32" style="position:absolute;left:1284605;top:3923030;height:6985;width:589280;" filled="f" stroked="t" coordsize="21600,21600" o:gfxdata="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Fo4w0wAAAAUBAAAPAAAAAAAAAAEA&#10;IAAAACIAAABkcnMvZG93bnJldi54bWxQSwECFAAUAAAACACHTuJA+IkDKRQCAADvAwAADgAAAAAA&#10;AAABACAAAAAiAQAAZHJzL2Uyb0RvYy54bWxQSwUGAAAAAAYABgBZAQAAqAUAAAAA&#10;">
                        <v:fill on="f" focussize="0,0"/>
                        <v:stroke weight="0.5pt" color="#000000 [3213]" miterlimit="8" joinstyle="miter" endarrow="block"/>
                        <v:imagedata o:title=""/>
                        <o:lock v:ext="edit" aspectratio="f"/>
                      </v:shape>
                      <v:rect id="_x0000_s1026" o:spid="_x0000_s1026" o:spt="1" style="position:absolute;left:1875155;top:3808730;height:234950;width:805180;v-text-anchor:middle;" filled="f" stroked="t" coordsize="21600,21600" o:gfxdata="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2dBZHTAAAABQEAAA8AAAAAAAAAAQAgAAAAIgAAAGRycy9kb3du&#10;cmV2LnhtbFBLAQIUABQAAAAIAIdO4kDix31EdgIAAMkEAAAOAAAAAAAAAAEAIAAAACIBAABkcnMv&#10;ZTJvRG9jLnhtbFBLBQYAAAAABgAGAFkBAAAKBgAAAAA=&#10;">
                        <v:fill on="f" focussize="0,0"/>
                        <v:stroke weight="0.5pt" color="#223F59 [3204]" miterlimit="8" joinstyle="miter"/>
                        <v:imagedata o:title=""/>
                        <o:lock v:ext="edit" aspectratio="f"/>
                        <v:textbox inset="1mm,0mm,1mm,0mm">
                          <w:txbxContent>
                            <w:p w14:paraId="0B356379">
                              <w:pPr>
                                <w:spacing w:line="240" w:lineRule="auto"/>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脱硫用水</w:t>
                              </w:r>
                            </w:p>
                          </w:txbxContent>
                        </v:textbox>
                      </v:rect>
                      <v:shape id="_x0000_s1026" o:spid="_x0000_s1026" o:spt="32" type="#_x0000_t32" style="position:absolute;left:2227580;top:3608705;flip:x;height:206375;width:269240;" filled="f" stroked="t" coordsize="21600,21600" o:gfxdata="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eMI11gAAAAUBAAAPAAAAAAAAAAEAIAAAACIAAABkcnMvZG93bnJldi54bWxQ&#10;SwECFAAUAAAACACHTuJAEffp/DICAAAlBAAADgAAAAAAAAABACAAAAAlAQAAZHJzL2Uyb0RvYy54&#10;bWxQSwUGAAAAAAYABgBZAQAAyQUAAAAA&#10;">
                        <v:fill on="f" focussize="0,0"/>
                        <v:stroke weight="0.5pt" color="#000000 [3213]" miterlimit="8" joinstyle="miter" startarrow="block"/>
                        <v:imagedata o:title=""/>
                        <o:lock v:ext="edit" aspectratio="f"/>
                      </v:shape>
                      <v:shape id="文本框 1" o:spid="_x0000_s1026" o:spt="202" type="#_x0000_t202" style="position:absolute;left:2399030;top:3479165;height:223520;width:568960;"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Y9MeNUAAAAFAQAADwAAAAAAAAABACAAAAAiAAAAZHJzL2Rvd25yZXYueG1sUEsBAhQA&#10;FAAAAAgAh07iQGMGR0suAgAAMQQAAA4AAAAAAAAAAQAgAAAAJAEAAGRycy9lMm9Eb2MueG1sUEsF&#10;BgAAAAAGAAYAWQEAAMQFAAAAAA==&#10;">
                        <v:fill on="f" focussize="0,0"/>
                        <v:stroke on="f" weight="0.5pt"/>
                        <v:imagedata o:title=""/>
                        <o:lock v:ext="edit" aspectratio="f"/>
                        <v:textbox inset="0mm,0mm,0mm,0mm">
                          <w:txbxContent>
                            <w:p w14:paraId="0B3E1F24">
                              <w:pPr>
                                <w:ind w:firstLine="180" w:firstLineChars="100"/>
                                <w:rPr>
                                  <w:rFonts w:hint="default" w:eastAsia="宋体"/>
                                  <w:sz w:val="18"/>
                                  <w:szCs w:val="18"/>
                                  <w:lang w:val="en-US" w:eastAsia="zh-CN"/>
                                </w:rPr>
                              </w:pPr>
                              <w:r>
                                <w:rPr>
                                  <w:rFonts w:hint="eastAsia"/>
                                  <w:sz w:val="18"/>
                                  <w:szCs w:val="18"/>
                                  <w:lang w:val="en-US" w:eastAsia="zh-CN"/>
                                </w:rPr>
                                <w:t>损失21</w:t>
                              </w:r>
                            </w:p>
                          </w:txbxContent>
                        </v:textbox>
                      </v:shape>
                      <v:shape id="文本框 1" o:spid="_x0000_s1026" o:spt="202" type="#_x0000_t202" style="position:absolute;left:1427480;top:3789680;height:190500;width:47053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Y9MeNUAAAAFAQAADwAAAAAAAAABACAAAAAiAAAAZHJzL2Rvd25yZXYueG1sUEsBAhQAFAAA&#10;AAgAh07iQC8SN2UrAgAAMgQAAA4AAAAAAAAAAQAgAAAAJAEAAGRycy9lMm9Eb2MueG1sUEsFBgAA&#10;AAAGAAYAWQEAAMEFAAAAAA==&#10;">
                        <v:fill on="f" focussize="0,0"/>
                        <v:stroke on="f" weight="0.5pt"/>
                        <v:imagedata o:title=""/>
                        <o:lock v:ext="edit" aspectratio="f"/>
                        <v:textbox inset="0mm,0mm,0mm,0mm">
                          <w:txbxContent>
                            <w:p w14:paraId="34D70575">
                              <w:pPr>
                                <w:ind w:firstLine="0" w:firstLineChars="0"/>
                                <w:rPr>
                                  <w:rFonts w:hint="default" w:eastAsia="宋体"/>
                                  <w:sz w:val="18"/>
                                  <w:szCs w:val="18"/>
                                  <w:lang w:val="en-US" w:eastAsia="zh-CN"/>
                                </w:rPr>
                              </w:pPr>
                              <w:r>
                                <w:rPr>
                                  <w:rFonts w:hint="eastAsia"/>
                                  <w:sz w:val="18"/>
                                  <w:szCs w:val="18"/>
                                  <w:lang w:val="en-US" w:eastAsia="zh-CN"/>
                                </w:rPr>
                                <w:t xml:space="preserve"> 21</w:t>
                              </w:r>
                            </w:p>
                          </w:txbxContent>
                        </v:textbox>
                      </v:shape>
                      <v:shape id="_x0000_s1026" o:spid="_x0000_s1026" o:spt="35" type="#_x0000_t35" style="position:absolute;left:2437130;top:3780155;flip:x y;height:402590;width:117475;rotation:5898240f;" filled="f" stroked="t" coordsize="21600,21600" o:gfxdata="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ZUmgbTAAAABQEAAA8A&#10;AAAAAAAAAQAgAAAAIgAAAGRycy9kb3ducmV2LnhtbFBLAQIUABQAAAAIAIdO4kBEYCyPVQIAAHUE&#10;AAAOAAAAAAAAAAEAIAAAACIBAABkcnMvZTJvRG9jLnhtbFBLBQYAAAAABgAGAFkBAADpBQAAAAA=&#10;" adj="-43725,52484">
                        <v:fill on="f" focussize="0,0"/>
                        <v:stroke weight="1pt" color="#000000 [3213]" miterlimit="8" joinstyle="miter" endarrow="open"/>
                        <v:imagedata o:title=""/>
                        <o:lock v:ext="edit" aspectratio="f"/>
                      </v:shape>
                      <v:shape id="文本框 1" o:spid="_x0000_s1026" o:spt="202" type="#_x0000_t202" style="position:absolute;left:2709545;top:3943985;height:199390;width:601345;" filled="f" stroked="f" coordsize="21600,21600" o:gfxdata="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j0x41QAAAAUBAAAPAAAAAAAAAAEAIAAAACIAAABkcnMvZG93bnJldi54bWxQSwECFAAU&#10;AAAACACHTuJAEtXR1S0CAAAyBAAADgAAAAAAAAABACAAAAAkAQAAZHJzL2Uyb0RvYy54bWxQSwUG&#10;AAAAAAYABgBZAQAAwwUAAAAA&#10;">
                        <v:fill on="f" focussize="0,0"/>
                        <v:stroke on="f" weight="0.5pt"/>
                        <v:imagedata o:title=""/>
                        <o:lock v:ext="edit" aspectratio="f"/>
                        <v:textbox inset="0mm,0mm,0mm,0mm">
                          <w:txbxContent>
                            <w:p w14:paraId="460B73DF">
                              <w:pPr>
                                <w:ind w:firstLine="0" w:firstLineChars="0"/>
                                <w:jc w:val="center"/>
                                <w:rPr>
                                  <w:rFonts w:hint="default" w:eastAsia="宋体"/>
                                  <w:sz w:val="18"/>
                                  <w:szCs w:val="18"/>
                                  <w:lang w:val="en-US" w:eastAsia="zh-CN"/>
                                </w:rPr>
                              </w:pPr>
                              <w:r>
                                <w:rPr>
                                  <w:rFonts w:hint="eastAsia"/>
                                  <w:sz w:val="18"/>
                                  <w:szCs w:val="18"/>
                                  <w:lang w:val="en-US" w:eastAsia="zh-CN"/>
                                </w:rPr>
                                <w:t>循环1020</w:t>
                              </w:r>
                            </w:p>
                          </w:txbxContent>
                        </v:textbox>
                      </v:shape>
                      <w10:wrap type="none"/>
                      <w10:anchorlock/>
                    </v:group>
                  </w:pict>
                </mc:Fallback>
              </mc:AlternateContent>
            </w:r>
          </w:p>
          <w:p w14:paraId="68815015">
            <w:pPr>
              <w:ind w:firstLine="0" w:firstLineChars="0"/>
              <w:jc w:val="center"/>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图2-1  项目水平衡图</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单位：m</w:t>
            </w:r>
            <w:r>
              <w:rPr>
                <w:rFonts w:hint="eastAsia" w:ascii="黑体" w:hAnsi="黑体" w:eastAsia="黑体" w:cs="黑体"/>
                <w:b w:val="0"/>
                <w:bCs w:val="0"/>
                <w:color w:val="auto"/>
                <w:sz w:val="24"/>
                <w:szCs w:val="24"/>
                <w:highlight w:val="none"/>
                <w:vertAlign w:val="superscript"/>
              </w:rPr>
              <w:t>3</w:t>
            </w:r>
            <w:r>
              <w:rPr>
                <w:rFonts w:hint="eastAsia" w:ascii="黑体" w:hAnsi="黑体" w:eastAsia="黑体" w:cs="黑体"/>
                <w:b w:val="0"/>
                <w:bCs w:val="0"/>
                <w:color w:val="auto"/>
                <w:sz w:val="24"/>
                <w:szCs w:val="24"/>
                <w:highlight w:val="none"/>
              </w:rPr>
              <w:t>/d</w:t>
            </w:r>
          </w:p>
          <w:p w14:paraId="2447FA99">
            <w:pPr>
              <w:pStyle w:val="8"/>
              <w:spacing w:after="120"/>
              <w:rPr>
                <w:color w:val="auto"/>
              </w:rPr>
            </w:pPr>
            <w:r>
              <w:rPr>
                <w:rFonts w:hint="eastAsia"/>
                <w:color w:val="auto"/>
              </w:rPr>
              <w:t>九、</w:t>
            </w:r>
            <w:r>
              <w:rPr>
                <w:color w:val="auto"/>
              </w:rPr>
              <w:t>劳动定员及工作制度</w:t>
            </w:r>
          </w:p>
          <w:p w14:paraId="20C8B87F">
            <w:pPr>
              <w:widowControl w:val="0"/>
              <w:numPr>
                <w:ilvl w:val="0"/>
                <w:numId w:val="0"/>
              </w:numPr>
              <w:ind w:firstLine="480" w:firstLineChars="200"/>
              <w:jc w:val="left"/>
              <w:rPr>
                <w:rFonts w:ascii="宋体" w:hAnsi="宋体" w:eastAsia="宋体" w:cs="宋体"/>
                <w:color w:val="auto"/>
                <w:sz w:val="24"/>
                <w:szCs w:val="24"/>
              </w:rPr>
            </w:pPr>
            <w:r>
              <w:rPr>
                <w:rFonts w:ascii="宋体" w:hAnsi="宋体" w:eastAsia="宋体" w:cs="宋体"/>
                <w:color w:val="auto"/>
                <w:sz w:val="24"/>
                <w:szCs w:val="24"/>
              </w:rPr>
              <w:t>项目劳动定员</w:t>
            </w:r>
            <w:r>
              <w:rPr>
                <w:rFonts w:hint="default" w:ascii="Times New Roman" w:hAnsi="Times New Roman" w:eastAsia="宋体" w:cs="Times New Roman"/>
                <w:color w:val="auto"/>
                <w:sz w:val="24"/>
                <w:szCs w:val="24"/>
              </w:rPr>
              <w:t>136人，年工作</w:t>
            </w:r>
            <w:r>
              <w:rPr>
                <w:rFonts w:hint="default" w:ascii="Times New Roman" w:hAnsi="Times New Roman" w:eastAsia="宋体" w:cs="Times New Roman"/>
                <w:color w:val="auto"/>
                <w:sz w:val="24"/>
                <w:szCs w:val="24"/>
                <w:highlight w:val="none"/>
              </w:rPr>
              <w:t>300天，</w:t>
            </w:r>
            <w:r>
              <w:rPr>
                <w:rFonts w:hint="eastAsia" w:cs="Times New Roman"/>
                <w:color w:val="auto"/>
                <w:sz w:val="24"/>
                <w:szCs w:val="24"/>
                <w:highlight w:val="none"/>
                <w:lang w:val="en-US" w:eastAsia="zh-CN"/>
              </w:rPr>
              <w:t>除铸锭打磨、合金颗粒切削产线为每日1班外，其他工艺均为</w:t>
            </w:r>
            <w:r>
              <w:rPr>
                <w:rFonts w:hint="default" w:ascii="Times New Roman" w:hAnsi="Times New Roman" w:eastAsia="宋体" w:cs="Times New Roman"/>
                <w:color w:val="auto"/>
                <w:sz w:val="24"/>
                <w:szCs w:val="24"/>
                <w:highlight w:val="none"/>
              </w:rPr>
              <w:t>每日3班，每班8小</w:t>
            </w:r>
            <w:r>
              <w:rPr>
                <w:rFonts w:ascii="宋体" w:hAnsi="宋体" w:eastAsia="宋体" w:cs="宋体"/>
                <w:color w:val="auto"/>
                <w:sz w:val="24"/>
                <w:szCs w:val="24"/>
                <w:highlight w:val="none"/>
              </w:rPr>
              <w:t>时工作制。</w:t>
            </w:r>
          </w:p>
        </w:tc>
      </w:tr>
      <w:tr w14:paraId="44A0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94" w:hRule="atLeast"/>
        </w:trPr>
        <w:tc>
          <w:tcPr>
            <w:tcW w:w="624" w:type="dxa"/>
            <w:tcBorders>
              <w:top w:val="single" w:color="auto" w:sz="4" w:space="0"/>
              <w:left w:val="single" w:color="auto" w:sz="4" w:space="0"/>
              <w:bottom w:val="single" w:color="auto" w:sz="4" w:space="0"/>
              <w:right w:val="single" w:color="auto" w:sz="4" w:space="0"/>
            </w:tcBorders>
            <w:vAlign w:val="center"/>
          </w:tcPr>
          <w:p w14:paraId="5DE33A95">
            <w:pPr>
              <w:ind w:firstLine="0" w:firstLineChars="0"/>
              <w:jc w:val="center"/>
              <w:rPr>
                <w:b/>
                <w:color w:val="auto"/>
              </w:rPr>
            </w:pPr>
            <w:r>
              <w:rPr>
                <w:rFonts w:hint="eastAsia"/>
                <w:b/>
                <w:color w:val="auto"/>
              </w:rPr>
              <w:t>工艺流程和产排污环节</w:t>
            </w:r>
          </w:p>
        </w:tc>
        <w:tc>
          <w:tcPr>
            <w:tcW w:w="8584" w:type="dxa"/>
            <w:tcBorders>
              <w:top w:val="single" w:color="auto" w:sz="4" w:space="0"/>
              <w:left w:val="single" w:color="auto" w:sz="4" w:space="0"/>
              <w:bottom w:val="single" w:color="auto" w:sz="4" w:space="0"/>
              <w:right w:val="single" w:color="auto" w:sz="4" w:space="0"/>
            </w:tcBorders>
          </w:tcPr>
          <w:p w14:paraId="09F1F25B">
            <w:pPr>
              <w:pStyle w:val="8"/>
              <w:spacing w:after="120"/>
              <w:rPr>
                <w:color w:val="auto"/>
              </w:rPr>
            </w:pPr>
            <w:r>
              <w:rPr>
                <w:rFonts w:hint="eastAsia"/>
                <w:color w:val="auto"/>
              </w:rPr>
              <w:t>一、施工期</w:t>
            </w:r>
          </w:p>
          <w:p w14:paraId="56F0E6A7">
            <w:pPr>
              <w:ind w:firstLine="480"/>
              <w:rPr>
                <w:color w:val="auto"/>
              </w:rPr>
            </w:pPr>
            <w:r>
              <w:rPr>
                <w:rFonts w:hint="eastAsia"/>
                <w:color w:val="auto"/>
              </w:rPr>
              <w:t>项目</w:t>
            </w:r>
            <w:r>
              <w:rPr>
                <w:rFonts w:hint="eastAsia"/>
                <w:color w:val="auto"/>
                <w:lang w:val="en-US" w:eastAsia="zh-CN"/>
              </w:rPr>
              <w:t>租赁</w:t>
            </w:r>
            <w:r>
              <w:rPr>
                <w:rFonts w:hint="eastAsia"/>
                <w:color w:val="auto"/>
              </w:rPr>
              <w:t>现有</w:t>
            </w:r>
            <w:r>
              <w:rPr>
                <w:rFonts w:hint="eastAsia"/>
                <w:color w:val="auto"/>
                <w:lang w:val="en-US" w:eastAsia="zh-CN"/>
              </w:rPr>
              <w:t>建筑物</w:t>
            </w:r>
            <w:r>
              <w:rPr>
                <w:rFonts w:hint="eastAsia"/>
                <w:color w:val="auto"/>
              </w:rPr>
              <w:t>建设，施工期主要为设备的进场、安装及调试，施工工序简单，产生的主要污染物有施工人员生活污水、设备安装调试噪声、废弃包装材料等，施工期较短，产生的污染会随着施工期的结束而消失。</w:t>
            </w:r>
          </w:p>
          <w:p w14:paraId="62ECA784">
            <w:pPr>
              <w:ind w:firstLine="480"/>
              <w:rPr>
                <w:color w:val="auto"/>
              </w:rPr>
            </w:pPr>
            <w:r>
              <w:rPr>
                <w:rFonts w:hint="eastAsia"/>
                <w:color w:val="auto"/>
              </w:rPr>
              <w:t>本项目施工期产污环节如下：</w:t>
            </w:r>
          </w:p>
          <w:p w14:paraId="0A7C717B">
            <w:pPr>
              <w:ind w:firstLine="480"/>
              <w:rPr>
                <w:color w:val="auto"/>
              </w:rPr>
            </w:pPr>
            <w:r>
              <w:rPr>
                <w:rFonts w:hint="eastAsia"/>
                <w:color w:val="auto"/>
              </w:rPr>
              <w:t>废气：施工期产生的废气主要为设备安装等活动所引起的扬尘；施工运输车辆通过便道行驶产生的扬尘，运输车辆、施工机械排出的尾气，主要污染因子为CO、NOx、THC等。施工期较短，施工结束后对环境的影响即可消失，对环境影响较小。</w:t>
            </w:r>
          </w:p>
          <w:p w14:paraId="36A7B24F">
            <w:pPr>
              <w:ind w:firstLine="480"/>
              <w:rPr>
                <w:color w:val="auto"/>
              </w:rPr>
            </w:pPr>
            <w:r>
              <w:rPr>
                <w:rFonts w:hint="eastAsia"/>
                <w:color w:val="auto"/>
              </w:rPr>
              <w:t>废水：施工期废水主要来源于施工人员产生的生活污水，主要污染因子为COD、BOD</w:t>
            </w:r>
            <w:r>
              <w:rPr>
                <w:rFonts w:hint="eastAsia"/>
                <w:color w:val="auto"/>
                <w:vertAlign w:val="subscript"/>
              </w:rPr>
              <w:t>5</w:t>
            </w:r>
            <w:r>
              <w:rPr>
                <w:rFonts w:hint="eastAsia"/>
                <w:color w:val="auto"/>
              </w:rPr>
              <w:t>、SS及氨氮等。依托</w:t>
            </w:r>
            <w:r>
              <w:rPr>
                <w:rFonts w:hint="eastAsia"/>
                <w:color w:val="auto"/>
                <w:lang w:val="en-US" w:eastAsia="zh-CN"/>
              </w:rPr>
              <w:t>厂区已有化粪池处理后，</w:t>
            </w:r>
            <w:r>
              <w:rPr>
                <w:rFonts w:hint="eastAsia"/>
                <w:color w:val="auto"/>
              </w:rPr>
              <w:t>经管网进入</w:t>
            </w:r>
            <w:r>
              <w:rPr>
                <w:rFonts w:hint="eastAsia"/>
                <w:color w:val="auto"/>
                <w:lang w:val="en-US" w:eastAsia="zh-CN"/>
              </w:rPr>
              <w:t>园</w:t>
            </w:r>
            <w:r>
              <w:rPr>
                <w:rFonts w:hint="eastAsia"/>
                <w:color w:val="auto"/>
              </w:rPr>
              <w:t>区污水处理厂处理。</w:t>
            </w:r>
          </w:p>
          <w:p w14:paraId="745A4395">
            <w:pPr>
              <w:ind w:firstLine="480"/>
              <w:rPr>
                <w:color w:val="auto"/>
              </w:rPr>
            </w:pPr>
            <w:r>
              <w:rPr>
                <w:rFonts w:hint="eastAsia"/>
                <w:color w:val="auto"/>
              </w:rPr>
              <w:t>噪声：施工期噪声主要来自各种设备安装时的机械噪声和运输车辆产生的交通噪声，噪声级在70～95dB(A)之间。安装设备时应</w:t>
            </w:r>
            <w:r>
              <w:rPr>
                <w:rFonts w:hint="eastAsia"/>
                <w:color w:val="auto"/>
                <w:lang w:val="en-US" w:eastAsia="zh-CN"/>
              </w:rPr>
              <w:t>尽量</w:t>
            </w:r>
            <w:r>
              <w:rPr>
                <w:rFonts w:hint="eastAsia"/>
                <w:color w:val="auto"/>
              </w:rPr>
              <w:t>选择白天，同时应控制大型机械设备使用力度，尽量控制噪声</w:t>
            </w:r>
            <w:r>
              <w:rPr>
                <w:rFonts w:hint="eastAsia"/>
                <w:color w:val="auto"/>
                <w:lang w:val="en-US" w:eastAsia="zh-CN"/>
              </w:rPr>
              <w:t>排放</w:t>
            </w:r>
            <w:r>
              <w:rPr>
                <w:rFonts w:hint="eastAsia"/>
                <w:color w:val="auto"/>
              </w:rPr>
              <w:t>。</w:t>
            </w:r>
          </w:p>
          <w:p w14:paraId="64B6F8F6">
            <w:pPr>
              <w:ind w:firstLine="480"/>
              <w:rPr>
                <w:color w:val="auto"/>
                <w:highlight w:val="none"/>
              </w:rPr>
            </w:pPr>
            <w:r>
              <w:rPr>
                <w:rFonts w:hint="eastAsia"/>
                <w:color w:val="auto"/>
              </w:rPr>
              <w:t>固废：施工期固体废物主要为安装</w:t>
            </w:r>
            <w:r>
              <w:rPr>
                <w:rFonts w:hint="eastAsia"/>
                <w:color w:val="auto"/>
                <w:highlight w:val="none"/>
              </w:rPr>
              <w:t>人员的生活垃圾</w:t>
            </w:r>
            <w:r>
              <w:rPr>
                <w:rFonts w:hint="eastAsia"/>
                <w:color w:val="auto"/>
                <w:highlight w:val="none"/>
                <w:lang w:val="en-US" w:eastAsia="zh-CN"/>
              </w:rPr>
              <w:t>和</w:t>
            </w:r>
            <w:r>
              <w:rPr>
                <w:rFonts w:hint="eastAsia"/>
                <w:color w:val="auto"/>
                <w:highlight w:val="none"/>
              </w:rPr>
              <w:t>设备包装材料等。</w:t>
            </w:r>
          </w:p>
          <w:p w14:paraId="14441BDE">
            <w:pPr>
              <w:pStyle w:val="8"/>
              <w:spacing w:after="120"/>
              <w:rPr>
                <w:color w:val="auto"/>
              </w:rPr>
            </w:pPr>
            <w:r>
              <w:rPr>
                <w:rFonts w:hint="eastAsia"/>
                <w:color w:val="auto"/>
              </w:rPr>
              <w:t>二、运营期</w:t>
            </w:r>
          </w:p>
          <w:p w14:paraId="25D62AC0">
            <w:pPr>
              <w:pStyle w:val="9"/>
              <w:spacing w:after="120"/>
              <w:ind w:firstLine="482"/>
              <w:rPr>
                <w:color w:val="auto"/>
                <w:highlight w:val="none"/>
              </w:rPr>
            </w:pPr>
            <w:r>
              <w:rPr>
                <w:rFonts w:hint="eastAsia"/>
                <w:color w:val="auto"/>
                <w:highlight w:val="none"/>
              </w:rPr>
              <w:t>1</w:t>
            </w:r>
            <w:r>
              <w:rPr>
                <w:color w:val="auto"/>
                <w:highlight w:val="none"/>
              </w:rPr>
              <w:t>.</w:t>
            </w:r>
            <w:r>
              <w:rPr>
                <w:rFonts w:hint="eastAsia"/>
                <w:color w:val="auto"/>
                <w:highlight w:val="none"/>
              </w:rPr>
              <w:t>运营期工艺流程</w:t>
            </w:r>
          </w:p>
          <w:p w14:paraId="0A661962">
            <w:pPr>
              <w:pStyle w:val="6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2" w:firstLineChars="200"/>
              <w:jc w:val="both"/>
              <w:textAlignment w:val="baseline"/>
              <w:outlineLvl w:val="9"/>
              <w:rPr>
                <w:color w:val="auto"/>
                <w:sz w:val="24"/>
                <w:szCs w:val="24"/>
              </w:rPr>
            </w:pPr>
            <w:r>
              <w:rPr>
                <w:color w:val="auto"/>
                <w:spacing w:val="-2"/>
                <w:sz w:val="24"/>
                <w:szCs w:val="24"/>
              </w:rPr>
              <w:t>项目采用</w:t>
            </w:r>
            <w:r>
              <w:rPr>
                <w:rFonts w:hint="eastAsia" w:cs="Times New Roman"/>
                <w:color w:val="auto"/>
                <w:sz w:val="24"/>
                <w:szCs w:val="24"/>
                <w:highlight w:val="none"/>
                <w:lang w:val="en-US" w:eastAsia="zh-CN"/>
              </w:rPr>
              <w:t>精镁</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镁锭或镁液</w:t>
            </w:r>
            <w:r>
              <w:rPr>
                <w:rFonts w:hint="eastAsia" w:cs="Times New Roman"/>
                <w:color w:val="auto"/>
                <w:sz w:val="24"/>
                <w:szCs w:val="24"/>
                <w:highlight w:val="none"/>
                <w:lang w:eastAsia="zh-CN"/>
              </w:rPr>
              <w:t>）</w:t>
            </w:r>
            <w:r>
              <w:rPr>
                <w:color w:val="auto"/>
                <w:spacing w:val="-2"/>
                <w:sz w:val="24"/>
                <w:szCs w:val="24"/>
              </w:rPr>
              <w:t>为原料，以氮气为保护气体，添加铝锭、锌锭等通过熔化、铸造生</w:t>
            </w:r>
            <w:r>
              <w:rPr>
                <w:color w:val="auto"/>
                <w:spacing w:val="-1"/>
                <w:sz w:val="24"/>
                <w:szCs w:val="24"/>
              </w:rPr>
              <w:t>产镁合金</w:t>
            </w:r>
            <w:r>
              <w:rPr>
                <w:rFonts w:hint="eastAsia"/>
                <w:color w:val="auto"/>
                <w:spacing w:val="-1"/>
                <w:sz w:val="24"/>
                <w:szCs w:val="24"/>
                <w:lang w:eastAsia="zh-CN"/>
              </w:rPr>
              <w:t>；</w:t>
            </w:r>
            <w:r>
              <w:rPr>
                <w:rFonts w:hint="eastAsia"/>
                <w:color w:val="auto"/>
                <w:spacing w:val="-1"/>
                <w:sz w:val="24"/>
                <w:szCs w:val="24"/>
                <w:lang w:val="en-US" w:eastAsia="zh-CN"/>
              </w:rPr>
              <w:t>以外购高品质镁合金为原料通过压铸、切削等工艺制造镁合金压铸件和镁合金颗粒，</w:t>
            </w:r>
            <w:r>
              <w:rPr>
                <w:color w:val="auto"/>
                <w:spacing w:val="-1"/>
                <w:sz w:val="24"/>
                <w:szCs w:val="24"/>
              </w:rPr>
              <w:t>主要包括熔炼、保温、铸造、压铸、包装等工序。</w:t>
            </w:r>
          </w:p>
          <w:p w14:paraId="476FA089">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color w:val="auto"/>
                <w:sz w:val="24"/>
                <w:szCs w:val="24"/>
              </w:rPr>
            </w:pPr>
            <w:r>
              <w:rPr>
                <w:color w:val="auto"/>
                <w:spacing w:val="-1"/>
                <w:sz w:val="24"/>
                <w:szCs w:val="24"/>
              </w:rPr>
              <w:t>⑴ 镁合金锭生产工艺流程</w:t>
            </w:r>
          </w:p>
          <w:p w14:paraId="185A7969">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jc w:val="both"/>
              <w:textAlignment w:val="baseline"/>
              <w:outlineLvl w:val="9"/>
              <w:rPr>
                <w:color w:val="auto"/>
                <w:sz w:val="24"/>
                <w:szCs w:val="24"/>
              </w:rPr>
            </w:pPr>
            <w:r>
              <w:rPr>
                <w:color w:val="auto"/>
                <w:spacing w:val="-4"/>
                <w:sz w:val="24"/>
                <w:szCs w:val="24"/>
              </w:rPr>
              <w:t>①</w:t>
            </w:r>
            <w:r>
              <w:rPr>
                <w:color w:val="auto"/>
                <w:spacing w:val="10"/>
                <w:sz w:val="24"/>
                <w:szCs w:val="24"/>
              </w:rPr>
              <w:t xml:space="preserve"> </w:t>
            </w:r>
            <w:r>
              <w:rPr>
                <w:color w:val="auto"/>
                <w:spacing w:val="-4"/>
                <w:sz w:val="24"/>
                <w:szCs w:val="24"/>
              </w:rPr>
              <w:t>熔炼工序</w:t>
            </w:r>
          </w:p>
          <w:p w14:paraId="7C63BCCD">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outlineLvl w:val="9"/>
              <w:rPr>
                <w:rFonts w:hint="eastAsia" w:ascii="宋体" w:hAnsi="宋体" w:eastAsia="宋体" w:cs="宋体"/>
                <w:color w:val="auto"/>
                <w:spacing w:val="-2"/>
                <w:sz w:val="24"/>
                <w:szCs w:val="24"/>
                <w:lang w:val="en-US" w:eastAsia="zh-CN"/>
              </w:rPr>
            </w:pPr>
            <w:r>
              <w:rPr>
                <w:rFonts w:hint="eastAsia" w:cs="Times New Roman"/>
                <w:color w:val="auto"/>
                <w:sz w:val="24"/>
                <w:szCs w:val="24"/>
                <w:highlight w:val="none"/>
                <w:lang w:val="en-US" w:eastAsia="zh-CN"/>
              </w:rPr>
              <w:t>精镁</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镁锭或镁液</w:t>
            </w:r>
            <w:r>
              <w:rPr>
                <w:rFonts w:hint="eastAsia" w:cs="Times New Roman"/>
                <w:color w:val="auto"/>
                <w:sz w:val="24"/>
                <w:szCs w:val="24"/>
                <w:highlight w:val="none"/>
                <w:lang w:eastAsia="zh-CN"/>
              </w:rPr>
              <w:t>）</w:t>
            </w:r>
            <w:r>
              <w:rPr>
                <w:color w:val="auto"/>
                <w:spacing w:val="-2"/>
                <w:sz w:val="24"/>
                <w:szCs w:val="24"/>
              </w:rPr>
              <w:t>、铝锭、锌锭按一定配比，经过自动进料系统加入密闭式熔炼</w:t>
            </w:r>
            <w:r>
              <w:rPr>
                <w:color w:val="auto"/>
                <w:spacing w:val="-6"/>
                <w:sz w:val="24"/>
                <w:szCs w:val="24"/>
              </w:rPr>
              <w:t>炉，</w:t>
            </w:r>
            <w:r>
              <w:rPr>
                <w:rFonts w:hint="eastAsia" w:ascii="宋体" w:hAnsi="宋体" w:eastAsia="宋体" w:cs="宋体"/>
                <w:color w:val="auto"/>
                <w:spacing w:val="-2"/>
                <w:sz w:val="24"/>
                <w:szCs w:val="24"/>
                <w:lang w:val="en-US" w:eastAsia="zh-CN"/>
              </w:rPr>
              <w:t>该熔炼炉属于</w:t>
            </w:r>
            <w:r>
              <w:rPr>
                <w:rFonts w:hint="eastAsia" w:ascii="宋体" w:hAnsi="宋体" w:eastAsia="宋体" w:cs="宋体"/>
                <w:color w:val="auto"/>
                <w:spacing w:val="-2"/>
                <w:sz w:val="24"/>
                <w:szCs w:val="24"/>
                <w:lang w:val="en-US" w:eastAsia="zh-CN"/>
              </w:rPr>
              <w:t>燃气圆形</w:t>
            </w:r>
            <w:r>
              <w:rPr>
                <w:rFonts w:hint="eastAsia" w:cs="宋体"/>
                <w:color w:val="auto"/>
                <w:spacing w:val="-2"/>
                <w:sz w:val="24"/>
                <w:szCs w:val="24"/>
                <w:lang w:val="en-US" w:eastAsia="zh-CN"/>
              </w:rPr>
              <w:t>坩埚</w:t>
            </w:r>
            <w:r>
              <w:rPr>
                <w:rFonts w:hint="eastAsia" w:ascii="宋体" w:hAnsi="宋体" w:eastAsia="宋体" w:cs="宋体"/>
                <w:color w:val="auto"/>
                <w:spacing w:val="-2"/>
                <w:sz w:val="24"/>
                <w:szCs w:val="24"/>
                <w:lang w:val="en-US" w:eastAsia="zh-CN"/>
              </w:rPr>
              <w:t>炉</w:t>
            </w:r>
            <w:r>
              <w:rPr>
                <w:rFonts w:hint="eastAsia" w:ascii="宋体" w:hAnsi="宋体" w:eastAsia="宋体" w:cs="宋体"/>
                <w:color w:val="auto"/>
                <w:spacing w:val="-2"/>
                <w:sz w:val="24"/>
                <w:szCs w:val="24"/>
                <w:lang w:val="en-US" w:eastAsia="zh-CN"/>
              </w:rPr>
              <w:t>，</w:t>
            </w:r>
            <w:r>
              <w:rPr>
                <w:rFonts w:hint="eastAsia"/>
                <w:color w:val="auto"/>
                <w:spacing w:val="-6"/>
                <w:sz w:val="24"/>
                <w:szCs w:val="24"/>
                <w:lang w:val="en-US" w:eastAsia="zh-CN"/>
              </w:rPr>
              <w:t>熔</w:t>
            </w:r>
            <w:r>
              <w:rPr>
                <w:rFonts w:hint="eastAsia" w:ascii="宋体" w:hAnsi="宋体" w:eastAsia="宋体" w:cs="宋体"/>
                <w:color w:val="auto"/>
                <w:spacing w:val="-2"/>
                <w:sz w:val="24"/>
                <w:szCs w:val="24"/>
                <w:lang w:val="en-US" w:eastAsia="zh-CN"/>
              </w:rPr>
              <w:t>炼炉以恒生镁业公司荒煤气为燃料。</w:t>
            </w:r>
          </w:p>
          <w:p w14:paraId="6BC0FDDB">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56" w:firstLineChars="200"/>
              <w:jc w:val="both"/>
              <w:textAlignment w:val="baseline"/>
              <w:outlineLvl w:val="9"/>
              <w:rPr>
                <w:rFonts w:hint="eastAsia"/>
                <w:color w:val="auto"/>
                <w:spacing w:val="-1"/>
                <w:sz w:val="24"/>
                <w:szCs w:val="24"/>
                <w:highlight w:val="none"/>
                <w:lang w:eastAsia="zh-CN"/>
              </w:rPr>
            </w:pPr>
            <w:r>
              <w:rPr>
                <w:rFonts w:hint="eastAsia"/>
                <w:color w:val="auto"/>
                <w:spacing w:val="-6"/>
                <w:sz w:val="24"/>
                <w:szCs w:val="24"/>
                <w:lang w:val="en-US" w:eastAsia="zh-CN"/>
              </w:rPr>
              <w:t>加料</w:t>
            </w:r>
            <w:r>
              <w:rPr>
                <w:color w:val="auto"/>
                <w:spacing w:val="-6"/>
                <w:sz w:val="24"/>
                <w:szCs w:val="24"/>
              </w:rPr>
              <w:t>后</w:t>
            </w:r>
            <w:r>
              <w:rPr>
                <w:rFonts w:hint="eastAsia"/>
                <w:color w:val="auto"/>
                <w:spacing w:val="-6"/>
                <w:sz w:val="24"/>
                <w:szCs w:val="24"/>
                <w:lang w:eastAsia="zh-CN"/>
              </w:rPr>
              <w:t>，</w:t>
            </w:r>
            <w:r>
              <w:rPr>
                <w:rFonts w:hint="eastAsia"/>
                <w:color w:val="auto"/>
                <w:spacing w:val="-6"/>
                <w:sz w:val="24"/>
                <w:szCs w:val="24"/>
                <w:lang w:val="en-US" w:eastAsia="zh-CN"/>
              </w:rPr>
              <w:t>向熔炼炉</w:t>
            </w:r>
            <w:r>
              <w:rPr>
                <w:color w:val="auto"/>
                <w:spacing w:val="-6"/>
                <w:sz w:val="24"/>
                <w:szCs w:val="24"/>
              </w:rPr>
              <w:t>通入保护气体（氮气），并对原料进行预热</w:t>
            </w:r>
            <w:r>
              <w:rPr>
                <w:rFonts w:hint="eastAsia"/>
                <w:color w:val="auto"/>
                <w:spacing w:val="-6"/>
                <w:sz w:val="24"/>
                <w:szCs w:val="24"/>
                <w:lang w:eastAsia="zh-CN"/>
              </w:rPr>
              <w:t>。</w:t>
            </w:r>
            <w:r>
              <w:rPr>
                <w:color w:val="auto"/>
                <w:spacing w:val="-6"/>
                <w:sz w:val="24"/>
                <w:szCs w:val="24"/>
              </w:rPr>
              <w:t>预热结束后密闭熔炼，</w:t>
            </w:r>
            <w:r>
              <w:rPr>
                <w:color w:val="auto"/>
                <w:spacing w:val="-2"/>
                <w:sz w:val="24"/>
                <w:szCs w:val="24"/>
              </w:rPr>
              <w:t>熔炼温度为</w:t>
            </w:r>
            <w:r>
              <w:rPr>
                <w:rFonts w:ascii="Times New Roman" w:hAnsi="Times New Roman" w:eastAsia="Times New Roman" w:cs="Times New Roman"/>
                <w:color w:val="auto"/>
                <w:spacing w:val="-2"/>
                <w:sz w:val="24"/>
                <w:szCs w:val="24"/>
              </w:rPr>
              <w:t>670-690</w:t>
            </w:r>
            <w:r>
              <w:rPr>
                <w:color w:val="auto"/>
                <w:spacing w:val="-2"/>
                <w:sz w:val="24"/>
                <w:szCs w:val="24"/>
              </w:rPr>
              <w:t>℃</w:t>
            </w:r>
            <w:r>
              <w:rPr>
                <w:color w:val="auto"/>
                <w:spacing w:val="-81"/>
                <w:sz w:val="24"/>
                <w:szCs w:val="24"/>
              </w:rPr>
              <w:t xml:space="preserve"> </w:t>
            </w:r>
            <w:r>
              <w:rPr>
                <w:color w:val="auto"/>
                <w:spacing w:val="-2"/>
                <w:sz w:val="24"/>
                <w:szCs w:val="24"/>
              </w:rPr>
              <w:t>,待炉料熔化后，升温至</w:t>
            </w:r>
            <w:r>
              <w:rPr>
                <w:rFonts w:ascii="Times New Roman" w:hAnsi="Times New Roman" w:eastAsia="Times New Roman" w:cs="Times New Roman"/>
                <w:color w:val="auto"/>
                <w:spacing w:val="-2"/>
                <w:sz w:val="24"/>
                <w:szCs w:val="24"/>
              </w:rPr>
              <w:t>720</w:t>
            </w:r>
            <w:r>
              <w:rPr>
                <w:color w:val="auto"/>
                <w:spacing w:val="-2"/>
                <w:sz w:val="24"/>
                <w:szCs w:val="24"/>
              </w:rPr>
              <w:t>℃</w:t>
            </w:r>
            <w:r>
              <w:rPr>
                <w:color w:val="auto"/>
                <w:spacing w:val="-94"/>
                <w:sz w:val="24"/>
                <w:szCs w:val="24"/>
              </w:rPr>
              <w:t xml:space="preserve"> </w:t>
            </w:r>
            <w:r>
              <w:rPr>
                <w:color w:val="auto"/>
                <w:spacing w:val="-2"/>
                <w:sz w:val="24"/>
                <w:szCs w:val="24"/>
              </w:rPr>
              <w:t>,加入锰粉</w:t>
            </w:r>
            <w:r>
              <w:rPr>
                <w:color w:val="auto"/>
                <w:spacing w:val="-1"/>
                <w:sz w:val="24"/>
                <w:szCs w:val="24"/>
                <w:highlight w:val="none"/>
              </w:rPr>
              <w:t>，</w:t>
            </w:r>
            <w:r>
              <w:rPr>
                <w:rFonts w:hint="eastAsia"/>
                <w:color w:val="auto"/>
                <w:spacing w:val="-1"/>
                <w:sz w:val="24"/>
                <w:szCs w:val="24"/>
                <w:highlight w:val="none"/>
                <w:lang w:val="en-US" w:eastAsia="zh-CN"/>
              </w:rPr>
              <w:t>开始熔炼；然后</w:t>
            </w:r>
            <w:r>
              <w:rPr>
                <w:color w:val="auto"/>
                <w:spacing w:val="-1"/>
                <w:sz w:val="24"/>
                <w:szCs w:val="24"/>
                <w:highlight w:val="none"/>
              </w:rPr>
              <w:t>将熔炼温度升温至</w:t>
            </w:r>
            <w:r>
              <w:rPr>
                <w:rFonts w:ascii="Times New Roman" w:hAnsi="Times New Roman" w:eastAsia="Times New Roman" w:cs="Times New Roman"/>
                <w:color w:val="auto"/>
                <w:spacing w:val="-1"/>
                <w:sz w:val="24"/>
                <w:szCs w:val="24"/>
                <w:highlight w:val="none"/>
              </w:rPr>
              <w:t>740</w:t>
            </w:r>
            <w:r>
              <w:rPr>
                <w:color w:val="auto"/>
                <w:spacing w:val="-1"/>
                <w:sz w:val="24"/>
                <w:szCs w:val="24"/>
                <w:highlight w:val="none"/>
              </w:rPr>
              <w:t>℃</w:t>
            </w:r>
            <w:r>
              <w:rPr>
                <w:color w:val="auto"/>
                <w:spacing w:val="-94"/>
                <w:sz w:val="24"/>
                <w:szCs w:val="24"/>
                <w:highlight w:val="none"/>
              </w:rPr>
              <w:t xml:space="preserve"> </w:t>
            </w:r>
            <w:r>
              <w:rPr>
                <w:color w:val="auto"/>
                <w:spacing w:val="-1"/>
                <w:sz w:val="24"/>
                <w:szCs w:val="24"/>
                <w:highlight w:val="none"/>
              </w:rPr>
              <w:t>,加入</w:t>
            </w:r>
            <w:r>
              <w:rPr>
                <w:rFonts w:hint="eastAsia"/>
                <w:color w:val="auto"/>
                <w:spacing w:val="-1"/>
                <w:sz w:val="24"/>
                <w:szCs w:val="24"/>
                <w:highlight w:val="none"/>
                <w:lang w:eastAsia="zh-CN"/>
              </w:rPr>
              <w:t>熔炼</w:t>
            </w:r>
            <w:r>
              <w:rPr>
                <w:color w:val="auto"/>
                <w:spacing w:val="-1"/>
                <w:sz w:val="24"/>
                <w:szCs w:val="24"/>
                <w:highlight w:val="none"/>
              </w:rPr>
              <w:t>熔剂和</w:t>
            </w:r>
            <w:r>
              <w:rPr>
                <w:rFonts w:hint="eastAsia"/>
                <w:color w:val="auto"/>
                <w:spacing w:val="-1"/>
                <w:sz w:val="24"/>
                <w:szCs w:val="24"/>
                <w:highlight w:val="none"/>
                <w:lang w:val="en-US" w:eastAsia="zh-CN"/>
              </w:rPr>
              <w:t>覆盖熔剂</w:t>
            </w:r>
            <w:r>
              <w:rPr>
                <w:color w:val="auto"/>
                <w:spacing w:val="-1"/>
                <w:sz w:val="24"/>
                <w:szCs w:val="24"/>
                <w:highlight w:val="none"/>
              </w:rPr>
              <w:t>，</w:t>
            </w:r>
            <w:r>
              <w:rPr>
                <w:rFonts w:hint="eastAsia"/>
                <w:color w:val="auto"/>
                <w:spacing w:val="-1"/>
                <w:sz w:val="24"/>
                <w:szCs w:val="24"/>
                <w:highlight w:val="none"/>
                <w:lang w:val="en-US" w:eastAsia="zh-CN"/>
              </w:rPr>
              <w:t>继续</w:t>
            </w:r>
            <w:r>
              <w:rPr>
                <w:rFonts w:hint="eastAsia"/>
                <w:color w:val="auto"/>
                <w:spacing w:val="-1"/>
                <w:sz w:val="24"/>
                <w:szCs w:val="24"/>
                <w:highlight w:val="none"/>
                <w:lang w:eastAsia="zh-CN"/>
              </w:rPr>
              <w:t>熔炼。</w:t>
            </w:r>
          </w:p>
          <w:p w14:paraId="4A4CF364">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color w:val="auto"/>
                <w:spacing w:val="-2"/>
                <w:sz w:val="24"/>
                <w:szCs w:val="24"/>
              </w:rPr>
            </w:pPr>
            <w:r>
              <w:rPr>
                <w:rFonts w:hint="eastAsia"/>
                <w:color w:val="auto"/>
                <w:spacing w:val="-1"/>
                <w:sz w:val="24"/>
                <w:szCs w:val="24"/>
                <w:highlight w:val="none"/>
                <w:lang w:eastAsia="zh-CN"/>
              </w:rPr>
              <w:t>熔炼</w:t>
            </w:r>
            <w:r>
              <w:rPr>
                <w:color w:val="auto"/>
                <w:spacing w:val="-1"/>
                <w:sz w:val="24"/>
                <w:szCs w:val="24"/>
                <w:highlight w:val="none"/>
              </w:rPr>
              <w:t>结束后通过</w:t>
            </w:r>
            <w:r>
              <w:rPr>
                <w:color w:val="auto"/>
                <w:spacing w:val="-2"/>
                <w:sz w:val="24"/>
                <w:szCs w:val="24"/>
                <w:highlight w:val="none"/>
              </w:rPr>
              <w:t>光电直读光谱仪检测熔体的变质效果，当</w:t>
            </w:r>
            <w:r>
              <w:rPr>
                <w:color w:val="auto"/>
                <w:spacing w:val="-1"/>
                <w:sz w:val="24"/>
                <w:szCs w:val="24"/>
                <w:highlight w:val="none"/>
              </w:rPr>
              <w:t>化学成分不合格时，反复加入合金成分进</w:t>
            </w:r>
            <w:r>
              <w:rPr>
                <w:color w:val="auto"/>
                <w:spacing w:val="-1"/>
                <w:sz w:val="24"/>
                <w:szCs w:val="24"/>
              </w:rPr>
              <w:t>行</w:t>
            </w:r>
            <w:r>
              <w:rPr>
                <w:color w:val="auto"/>
                <w:spacing w:val="-2"/>
                <w:sz w:val="24"/>
                <w:szCs w:val="24"/>
              </w:rPr>
              <w:t>调整，直至检测合格为止。</w:t>
            </w:r>
          </w:p>
          <w:p w14:paraId="2D1661B0">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color w:val="auto"/>
                <w:spacing w:val="-6"/>
                <w:sz w:val="24"/>
                <w:szCs w:val="24"/>
              </w:rPr>
            </w:pPr>
            <w:r>
              <w:rPr>
                <w:color w:val="auto"/>
                <w:spacing w:val="-2"/>
                <w:sz w:val="24"/>
                <w:szCs w:val="24"/>
              </w:rPr>
              <w:t>检测合格后</w:t>
            </w:r>
            <w:r>
              <w:rPr>
                <w:rFonts w:hint="eastAsia"/>
                <w:color w:val="auto"/>
                <w:spacing w:val="-2"/>
                <w:sz w:val="24"/>
                <w:szCs w:val="24"/>
                <w:lang w:val="en-US" w:eastAsia="zh-CN"/>
              </w:rPr>
              <w:t>加入覆盖熔剂</w:t>
            </w:r>
            <w:r>
              <w:rPr>
                <w:color w:val="auto"/>
                <w:spacing w:val="-2"/>
                <w:sz w:val="24"/>
                <w:szCs w:val="24"/>
              </w:rPr>
              <w:t>将</w:t>
            </w:r>
            <w:r>
              <w:rPr>
                <w:color w:val="auto"/>
                <w:spacing w:val="1"/>
                <w:sz w:val="24"/>
                <w:szCs w:val="24"/>
              </w:rPr>
              <w:t>熔体温度降低到</w:t>
            </w:r>
            <w:r>
              <w:rPr>
                <w:rFonts w:ascii="Times New Roman" w:hAnsi="Times New Roman" w:eastAsia="Times New Roman" w:cs="Times New Roman"/>
                <w:color w:val="auto"/>
                <w:spacing w:val="1"/>
                <w:sz w:val="24"/>
                <w:szCs w:val="24"/>
              </w:rPr>
              <w:t>680</w:t>
            </w:r>
            <w:r>
              <w:rPr>
                <w:color w:val="auto"/>
                <w:spacing w:val="1"/>
                <w:sz w:val="24"/>
                <w:szCs w:val="24"/>
              </w:rPr>
              <w:t>℃左右，搅拌均匀后，通过转液泵将合金化的镁</w:t>
            </w:r>
            <w:r>
              <w:rPr>
                <w:color w:val="auto"/>
                <w:spacing w:val="-1"/>
                <w:sz w:val="24"/>
                <w:szCs w:val="24"/>
              </w:rPr>
              <w:t>液转移至</w:t>
            </w:r>
            <w:r>
              <w:rPr>
                <w:rFonts w:hint="default" w:ascii="Times New Roman" w:hAnsi="Times New Roman" w:eastAsia="宋体" w:cs="Times New Roman"/>
                <w:color w:val="auto"/>
                <w:spacing w:val="-6"/>
                <w:sz w:val="24"/>
                <w:szCs w:val="24"/>
                <w:lang w:val="en-US" w:eastAsia="zh-CN"/>
              </w:rPr>
              <w:t>电热保温炉内保温，温度为650-670℃</w:t>
            </w:r>
            <w:r>
              <w:rPr>
                <w:color w:val="auto"/>
                <w:spacing w:val="-93"/>
                <w:sz w:val="24"/>
                <w:szCs w:val="24"/>
              </w:rPr>
              <w:t xml:space="preserve"> </w:t>
            </w:r>
            <w:r>
              <w:rPr>
                <w:color w:val="auto"/>
                <w:spacing w:val="-1"/>
                <w:sz w:val="24"/>
                <w:szCs w:val="24"/>
              </w:rPr>
              <w:t>,再通过转液泵定时定量自动转</w:t>
            </w:r>
            <w:r>
              <w:rPr>
                <w:color w:val="auto"/>
                <w:spacing w:val="-2"/>
                <w:sz w:val="24"/>
                <w:szCs w:val="24"/>
              </w:rPr>
              <w:t>移至</w:t>
            </w:r>
            <w:r>
              <w:rPr>
                <w:rFonts w:hint="eastAsia"/>
                <w:color w:val="auto"/>
                <w:spacing w:val="-2"/>
                <w:sz w:val="24"/>
                <w:szCs w:val="24"/>
                <w:lang w:val="en-US" w:eastAsia="zh-CN"/>
              </w:rPr>
              <w:t>浇铸</w:t>
            </w:r>
            <w:r>
              <w:rPr>
                <w:color w:val="auto"/>
                <w:spacing w:val="-6"/>
                <w:sz w:val="24"/>
                <w:szCs w:val="24"/>
              </w:rPr>
              <w:t>工序。</w:t>
            </w:r>
          </w:p>
          <w:p w14:paraId="52E79081">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56" w:firstLineChars="200"/>
              <w:jc w:val="both"/>
              <w:textAlignment w:val="baseline"/>
              <w:outlineLvl w:val="9"/>
              <w:rPr>
                <w:rFonts w:hint="default" w:eastAsia="宋体"/>
                <w:color w:val="auto"/>
                <w:spacing w:val="-6"/>
                <w:sz w:val="24"/>
                <w:szCs w:val="24"/>
                <w:lang w:val="en-US" w:eastAsia="zh-CN"/>
              </w:rPr>
            </w:pPr>
            <w:r>
              <w:rPr>
                <w:rFonts w:hint="eastAsia"/>
                <w:color w:val="auto"/>
                <w:spacing w:val="-6"/>
                <w:sz w:val="24"/>
                <w:szCs w:val="24"/>
                <w:lang w:val="en-US" w:eastAsia="zh-CN"/>
              </w:rPr>
              <w:t>熔炼过程中，在炉中会有炉渣产生，即熔炼渣，其主要成分为</w:t>
            </w:r>
            <w:r>
              <w:rPr>
                <w:color w:val="auto"/>
                <w:spacing w:val="-2"/>
                <w:sz w:val="24"/>
                <w:szCs w:val="24"/>
                <w:highlight w:val="none"/>
              </w:rPr>
              <w:t>熔</w:t>
            </w:r>
            <w:r>
              <w:rPr>
                <w:color w:val="auto"/>
                <w:spacing w:val="-1"/>
                <w:sz w:val="24"/>
                <w:szCs w:val="24"/>
                <w:highlight w:val="none"/>
              </w:rPr>
              <w:t>剂</w:t>
            </w:r>
            <w:r>
              <w:rPr>
                <w:rFonts w:hint="eastAsia"/>
                <w:color w:val="auto"/>
                <w:spacing w:val="-1"/>
                <w:sz w:val="24"/>
                <w:szCs w:val="24"/>
                <w:highlight w:val="none"/>
                <w:lang w:val="en-US" w:eastAsia="zh-CN"/>
              </w:rPr>
              <w:t>以及少量的氧化镁、氧化铝、二氧化硅等杂质，需要扒渣（清除炉渣）保证产品品质。扒渣为人工用铲或勺从熔炼炉扒渣口处扒出。</w:t>
            </w:r>
          </w:p>
          <w:p w14:paraId="1643F645">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56" w:firstLineChars="200"/>
              <w:jc w:val="both"/>
              <w:textAlignment w:val="baseline"/>
              <w:outlineLvl w:val="9"/>
              <w:rPr>
                <w:rFonts w:hint="eastAsia" w:ascii="Times New Roman" w:hAnsi="Times New Roman" w:cs="Times New Roman"/>
                <w:color w:val="auto"/>
                <w:spacing w:val="-2"/>
                <w:sz w:val="24"/>
                <w:szCs w:val="24"/>
                <w:highlight w:val="none"/>
                <w:lang w:val="en-US" w:eastAsia="zh-CN"/>
              </w:rPr>
            </w:pPr>
            <w:r>
              <w:rPr>
                <w:rFonts w:hint="eastAsia"/>
                <w:color w:val="auto"/>
                <w:spacing w:val="-6"/>
                <w:sz w:val="24"/>
                <w:szCs w:val="24"/>
                <w:lang w:val="en-US" w:eastAsia="zh-CN"/>
              </w:rPr>
              <w:t>本工序熔炼主要产生的污染物包括熔炼自身产生的颗粒物以及燃料荒煤气燃烧产生的颗粒物、二氧化硫和氮氧化物；另有辅料产生的少量氟化物</w:t>
            </w:r>
            <w:r>
              <w:rPr>
                <w:rFonts w:hint="default" w:ascii="Times New Roman" w:hAnsi="Times New Roman" w:cs="Times New Roman"/>
                <w:color w:val="auto"/>
                <w:spacing w:val="-6"/>
                <w:sz w:val="24"/>
                <w:szCs w:val="24"/>
                <w:lang w:val="en-US" w:eastAsia="zh-CN"/>
              </w:rPr>
              <w:t>、HCl，</w:t>
            </w:r>
            <w:r>
              <w:rPr>
                <w:rFonts w:hint="eastAsia" w:ascii="Times New Roman" w:hAnsi="Times New Roman" w:cs="Times New Roman"/>
                <w:color w:val="auto"/>
                <w:spacing w:val="-6"/>
                <w:sz w:val="24"/>
                <w:szCs w:val="24"/>
                <w:lang w:val="en-US" w:eastAsia="zh-CN"/>
              </w:rPr>
              <w:t>属于酸性气体，</w:t>
            </w:r>
            <w:r>
              <w:rPr>
                <w:rFonts w:hint="eastAsia"/>
                <w:color w:val="auto"/>
                <w:spacing w:val="-6"/>
                <w:sz w:val="24"/>
                <w:szCs w:val="24"/>
                <w:lang w:val="en-US" w:eastAsia="zh-CN"/>
              </w:rPr>
              <w:t>产生机制如下：辅料中的覆盖熔剂（主要成分为氟化钙）会部分与原料镁杂质中的</w:t>
            </w:r>
            <w:r>
              <w:rPr>
                <w:rFonts w:hint="eastAsia"/>
                <w:color w:val="auto"/>
                <w:spacing w:val="-6"/>
                <w:sz w:val="24"/>
                <w:szCs w:val="24"/>
                <w:highlight w:val="none"/>
                <w:lang w:val="en-US" w:eastAsia="zh-CN"/>
              </w:rPr>
              <w:t>二氧化硅</w:t>
            </w:r>
            <w:r>
              <w:rPr>
                <w:rFonts w:hint="eastAsia"/>
                <w:color w:val="auto"/>
                <w:spacing w:val="-6"/>
                <w:sz w:val="24"/>
                <w:szCs w:val="24"/>
                <w:lang w:val="en-US" w:eastAsia="zh-CN"/>
              </w:rPr>
              <w:t>反应产生废气产生氟化物；辅料中的</w:t>
            </w:r>
            <w:r>
              <w:rPr>
                <w:rFonts w:hint="eastAsia" w:ascii="Times New Roman" w:hAnsi="Times New Roman" w:eastAsia="宋体" w:cs="Times New Roman"/>
                <w:color w:val="auto"/>
                <w:spacing w:val="-2"/>
                <w:sz w:val="24"/>
                <w:szCs w:val="24"/>
                <w:highlight w:val="none"/>
                <w:lang w:eastAsia="zh-CN"/>
              </w:rPr>
              <w:t>熔剂</w:t>
            </w:r>
            <w:r>
              <w:rPr>
                <w:rFonts w:hint="eastAsia" w:ascii="Times New Roman" w:hAnsi="Times New Roman" w:cs="Times New Roman"/>
                <w:color w:val="auto"/>
                <w:spacing w:val="-2"/>
                <w:sz w:val="24"/>
                <w:szCs w:val="24"/>
                <w:highlight w:val="none"/>
                <w:lang w:eastAsia="zh-CN"/>
              </w:rPr>
              <w:t>（</w:t>
            </w:r>
            <w:r>
              <w:rPr>
                <w:rFonts w:hint="eastAsia" w:ascii="Times New Roman" w:hAnsi="Times New Roman" w:cs="Times New Roman"/>
                <w:color w:val="auto"/>
                <w:spacing w:val="-2"/>
                <w:sz w:val="24"/>
                <w:szCs w:val="24"/>
                <w:highlight w:val="none"/>
                <w:lang w:val="en-US" w:eastAsia="zh-CN"/>
              </w:rPr>
              <w:t>主要成分为氯化镁</w:t>
            </w:r>
            <w:r>
              <w:rPr>
                <w:rFonts w:hint="eastAsia" w:ascii="Times New Roman" w:hAnsi="Times New Roman"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lang w:eastAsia="zh-CN"/>
              </w:rPr>
              <w:t>和物料水分</w:t>
            </w:r>
            <w:r>
              <w:rPr>
                <w:rFonts w:hint="eastAsia" w:ascii="Times New Roman" w:hAnsi="Times New Roman" w:cs="Times New Roman"/>
                <w:color w:val="auto"/>
                <w:spacing w:val="-2"/>
                <w:sz w:val="24"/>
                <w:szCs w:val="24"/>
                <w:highlight w:val="none"/>
                <w:lang w:val="en-US" w:eastAsia="zh-CN"/>
              </w:rPr>
              <w:t>会部分反应</w:t>
            </w:r>
            <w:r>
              <w:rPr>
                <w:rFonts w:hint="eastAsia" w:ascii="Times New Roman" w:hAnsi="Times New Roman" w:eastAsia="宋体" w:cs="Times New Roman"/>
                <w:color w:val="auto"/>
                <w:spacing w:val="-2"/>
                <w:sz w:val="24"/>
                <w:szCs w:val="24"/>
                <w:highlight w:val="none"/>
                <w:lang w:eastAsia="zh-CN"/>
              </w:rPr>
              <w:t>产生</w:t>
            </w:r>
            <w:r>
              <w:rPr>
                <w:rFonts w:hint="eastAsia" w:ascii="Times New Roman" w:hAnsi="Times New Roman" w:eastAsia="宋体" w:cs="Times New Roman"/>
                <w:color w:val="auto"/>
                <w:spacing w:val="-2"/>
                <w:sz w:val="24"/>
                <w:szCs w:val="24"/>
                <w:highlight w:val="none"/>
                <w:lang w:val="en-US" w:eastAsia="zh-CN"/>
              </w:rPr>
              <w:t>HCl</w:t>
            </w:r>
            <w:r>
              <w:rPr>
                <w:rFonts w:hint="eastAsia" w:ascii="Times New Roman" w:hAnsi="Times New Roman" w:cs="Times New Roman"/>
                <w:color w:val="auto"/>
                <w:spacing w:val="-2"/>
                <w:sz w:val="24"/>
                <w:szCs w:val="24"/>
                <w:highlight w:val="none"/>
                <w:lang w:val="en-US" w:eastAsia="zh-CN"/>
              </w:rPr>
              <w:t>，主要化学反应方程式如下：</w:t>
            </w:r>
          </w:p>
          <w:p w14:paraId="06E4C3EB">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cs="Times New Roman"/>
                <w:color w:val="auto"/>
                <w:spacing w:val="-2"/>
                <w:sz w:val="24"/>
                <w:szCs w:val="24"/>
                <w:highlight w:val="none"/>
                <w:lang w:val="en-US" w:eastAsia="zh-CN"/>
              </w:rPr>
            </w:pPr>
            <w:r>
              <w:rPr>
                <w:rFonts w:hint="eastAsia" w:ascii="Times New Roman" w:hAnsi="Times New Roman" w:cs="Times New Roman"/>
                <w:color w:val="auto"/>
                <w:spacing w:val="-2"/>
                <w:sz w:val="24"/>
                <w:szCs w:val="24"/>
                <w:highlight w:val="none"/>
                <w:lang w:val="en-US" w:eastAsia="zh-CN"/>
              </w:rPr>
              <w:t>高温条件下：2CaF</w:t>
            </w:r>
            <w:r>
              <w:rPr>
                <w:rFonts w:hint="eastAsia" w:ascii="Times New Roman" w:hAnsi="Times New Roman" w:cs="Times New Roman"/>
                <w:color w:val="auto"/>
                <w:spacing w:val="-2"/>
                <w:sz w:val="24"/>
                <w:szCs w:val="24"/>
                <w:highlight w:val="none"/>
                <w:vertAlign w:val="subscript"/>
                <w:lang w:val="en-US" w:eastAsia="zh-CN"/>
              </w:rPr>
              <w:t>2</w:t>
            </w:r>
            <w:r>
              <w:rPr>
                <w:rFonts w:hint="eastAsia" w:ascii="Times New Roman" w:hAnsi="Times New Roman" w:cs="Times New Roman"/>
                <w:color w:val="auto"/>
                <w:spacing w:val="-2"/>
                <w:sz w:val="24"/>
                <w:szCs w:val="24"/>
                <w:highlight w:val="none"/>
                <w:lang w:val="en-US" w:eastAsia="zh-CN"/>
              </w:rPr>
              <w:t>+</w:t>
            </w:r>
            <w:r>
              <w:rPr>
                <w:rFonts w:hint="default" w:ascii="Times New Roman" w:hAnsi="Times New Roman" w:cs="Times New Roman"/>
                <w:color w:val="auto"/>
                <w:spacing w:val="-2"/>
                <w:sz w:val="24"/>
                <w:szCs w:val="24"/>
                <w:highlight w:val="none"/>
                <w:lang w:val="en-US" w:eastAsia="zh-CN"/>
              </w:rPr>
              <w:t>Si</w:t>
            </w:r>
            <w:r>
              <w:rPr>
                <w:rFonts w:hint="eastAsia" w:ascii="Times New Roman" w:hAnsi="Times New Roman" w:cs="Times New Roman"/>
                <w:color w:val="auto"/>
                <w:spacing w:val="-2"/>
                <w:sz w:val="24"/>
                <w:szCs w:val="24"/>
                <w:highlight w:val="none"/>
                <w:lang w:val="en-US" w:eastAsia="zh-CN"/>
              </w:rPr>
              <w:t>O</w:t>
            </w:r>
            <w:r>
              <w:rPr>
                <w:rFonts w:hint="eastAsia" w:ascii="Times New Roman" w:hAnsi="Times New Roman" w:cs="Times New Roman"/>
                <w:color w:val="auto"/>
                <w:spacing w:val="-2"/>
                <w:sz w:val="24"/>
                <w:szCs w:val="24"/>
                <w:highlight w:val="none"/>
                <w:vertAlign w:val="subscript"/>
                <w:lang w:val="en-US" w:eastAsia="zh-CN"/>
              </w:rPr>
              <w:t>2</w:t>
            </w:r>
            <w:r>
              <w:rPr>
                <w:rFonts w:hint="eastAsia" w:ascii="Times New Roman" w:hAnsi="Times New Roman" w:cs="Times New Roman"/>
                <w:color w:val="auto"/>
                <w:spacing w:val="-2"/>
                <w:sz w:val="24"/>
                <w:szCs w:val="24"/>
                <w:highlight w:val="none"/>
                <w:lang w:val="en-US" w:eastAsia="zh-CN"/>
              </w:rPr>
              <w:t>→SiF4↑+2CaO</w:t>
            </w:r>
          </w:p>
          <w:p w14:paraId="5CAE32E1">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eastAsia" w:ascii="Times New Roman" w:hAnsi="Times New Roman" w:cs="Times New Roman"/>
                <w:color w:val="auto"/>
                <w:spacing w:val="-2"/>
                <w:sz w:val="24"/>
                <w:szCs w:val="24"/>
                <w:highlight w:val="none"/>
                <w:lang w:val="en-US" w:eastAsia="zh-CN"/>
              </w:rPr>
            </w:pPr>
            <w:r>
              <w:rPr>
                <w:rFonts w:hint="eastAsia" w:ascii="Times New Roman" w:hAnsi="Times New Roman" w:cs="Times New Roman"/>
                <w:color w:val="auto"/>
                <w:spacing w:val="-2"/>
                <w:sz w:val="24"/>
                <w:szCs w:val="24"/>
                <w:highlight w:val="none"/>
                <w:lang w:val="en-US" w:eastAsia="zh-CN"/>
              </w:rPr>
              <w:t>高温熔融条件下：</w:t>
            </w:r>
            <w:r>
              <w:rPr>
                <w:rFonts w:hint="default" w:ascii="Times New Roman" w:hAnsi="Times New Roman" w:cs="Times New Roman"/>
                <w:color w:val="auto"/>
                <w:spacing w:val="-2"/>
                <w:sz w:val="24"/>
                <w:szCs w:val="24"/>
                <w:highlight w:val="none"/>
                <w:lang w:val="en-US" w:eastAsia="zh-CN"/>
              </w:rPr>
              <w:t>Cl</w:t>
            </w:r>
            <w:r>
              <w:rPr>
                <w:rFonts w:hint="eastAsia" w:ascii="Times New Roman" w:hAnsi="Times New Roman" w:cs="Times New Roman"/>
                <w:color w:val="auto"/>
                <w:spacing w:val="-2"/>
                <w:sz w:val="24"/>
                <w:szCs w:val="24"/>
                <w:highlight w:val="none"/>
                <w:vertAlign w:val="superscript"/>
                <w:lang w:val="en-US" w:eastAsia="zh-CN"/>
              </w:rPr>
              <w:t>-</w:t>
            </w:r>
            <w:r>
              <w:rPr>
                <w:rFonts w:hint="default" w:ascii="Times New Roman" w:hAnsi="Times New Roman" w:cs="Times New Roman"/>
                <w:color w:val="auto"/>
                <w:spacing w:val="-2"/>
                <w:sz w:val="24"/>
                <w:szCs w:val="24"/>
                <w:highlight w:val="none"/>
                <w:lang w:val="en-US" w:eastAsia="zh-CN"/>
              </w:rPr>
              <w:t>+H</w:t>
            </w:r>
            <w:r>
              <w:rPr>
                <w:rFonts w:hint="default" w:ascii="Times New Roman" w:hAnsi="Times New Roman" w:cs="Times New Roman"/>
                <w:color w:val="auto"/>
                <w:spacing w:val="-2"/>
                <w:sz w:val="24"/>
                <w:szCs w:val="24"/>
                <w:highlight w:val="none"/>
                <w:vertAlign w:val="subscript"/>
                <w:lang w:val="en-US" w:eastAsia="zh-CN"/>
              </w:rPr>
              <w:t>2</w:t>
            </w:r>
            <w:r>
              <w:rPr>
                <w:rFonts w:hint="default" w:ascii="Times New Roman" w:hAnsi="Times New Roman" w:cs="Times New Roman"/>
                <w:color w:val="auto"/>
                <w:spacing w:val="-2"/>
                <w:sz w:val="24"/>
                <w:szCs w:val="24"/>
                <w:highlight w:val="none"/>
                <w:lang w:val="en-US" w:eastAsia="zh-CN"/>
              </w:rPr>
              <w:t>O=OH</w:t>
            </w:r>
            <w:r>
              <w:rPr>
                <w:rFonts w:hint="eastAsia" w:ascii="Times New Roman" w:hAnsi="Times New Roman" w:cs="Times New Roman"/>
                <w:color w:val="auto"/>
                <w:spacing w:val="-2"/>
                <w:sz w:val="24"/>
                <w:szCs w:val="24"/>
                <w:highlight w:val="none"/>
                <w:vertAlign w:val="superscript"/>
                <w:lang w:val="en-US" w:eastAsia="zh-CN"/>
              </w:rPr>
              <w:t>-</w:t>
            </w:r>
            <w:r>
              <w:rPr>
                <w:rFonts w:hint="default" w:ascii="Times New Roman" w:hAnsi="Times New Roman" w:cs="Times New Roman"/>
                <w:color w:val="auto"/>
                <w:spacing w:val="-2"/>
                <w:sz w:val="24"/>
                <w:szCs w:val="24"/>
                <w:highlight w:val="none"/>
                <w:lang w:val="en-US" w:eastAsia="zh-CN"/>
              </w:rPr>
              <w:t>+HCl</w:t>
            </w:r>
            <w:r>
              <w:rPr>
                <w:rFonts w:hint="eastAsia" w:ascii="Times New Roman" w:hAnsi="Times New Roman" w:cs="Times New Roman"/>
                <w:color w:val="auto"/>
                <w:spacing w:val="-2"/>
                <w:sz w:val="24"/>
                <w:szCs w:val="24"/>
                <w:highlight w:val="none"/>
                <w:lang w:val="en-US" w:eastAsia="zh-CN"/>
              </w:rPr>
              <w:t>↑</w:t>
            </w:r>
          </w:p>
          <w:p w14:paraId="1C6F0145">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56" w:firstLineChars="200"/>
              <w:jc w:val="both"/>
              <w:textAlignment w:val="baseline"/>
              <w:outlineLvl w:val="9"/>
              <w:rPr>
                <w:rFonts w:hint="default"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项目熔炼炉为封闭设备，废气主要在炉盖、扒渣口处逸散</w:t>
            </w:r>
            <w:r>
              <w:rPr>
                <w:rFonts w:hint="eastAsia"/>
                <w:color w:val="auto"/>
                <w:spacing w:val="2"/>
                <w:lang w:eastAsia="zh-CN"/>
              </w:rPr>
              <w:t>，</w:t>
            </w:r>
            <w:r>
              <w:rPr>
                <w:rFonts w:hint="eastAsia"/>
                <w:color w:val="auto"/>
                <w:spacing w:val="2"/>
                <w:lang w:val="en-US" w:eastAsia="zh-CN"/>
              </w:rPr>
              <w:t>集气罩设在</w:t>
            </w:r>
            <w:r>
              <w:rPr>
                <w:rFonts w:hint="eastAsia" w:ascii="宋体" w:hAnsi="宋体" w:eastAsia="宋体" w:cs="宋体"/>
                <w:color w:val="auto"/>
                <w:spacing w:val="-6"/>
                <w:sz w:val="24"/>
                <w:szCs w:val="24"/>
                <w:lang w:val="en-US" w:eastAsia="zh-CN"/>
              </w:rPr>
              <w:t>炉盖、扒渣口</w:t>
            </w:r>
            <w:r>
              <w:rPr>
                <w:rFonts w:hint="eastAsia"/>
                <w:color w:val="auto"/>
                <w:spacing w:val="2"/>
                <w:lang w:val="en-US" w:eastAsia="zh-CN"/>
              </w:rPr>
              <w:t>周围</w:t>
            </w:r>
            <w:r>
              <w:rPr>
                <w:rFonts w:hint="eastAsia"/>
                <w:color w:val="auto"/>
                <w:spacing w:val="2"/>
                <w:lang w:eastAsia="zh-CN"/>
              </w:rPr>
              <w:t>。</w:t>
            </w:r>
          </w:p>
          <w:p w14:paraId="3713D221">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jc w:val="both"/>
              <w:textAlignment w:val="baseline"/>
              <w:outlineLvl w:val="9"/>
              <w:rPr>
                <w:color w:val="auto"/>
                <w:sz w:val="24"/>
                <w:szCs w:val="24"/>
              </w:rPr>
            </w:pPr>
            <w:r>
              <w:rPr>
                <w:color w:val="auto"/>
                <w:spacing w:val="-4"/>
                <w:sz w:val="24"/>
                <w:szCs w:val="24"/>
              </w:rPr>
              <w:t>②</w:t>
            </w:r>
            <w:r>
              <w:rPr>
                <w:color w:val="auto"/>
                <w:spacing w:val="11"/>
                <w:sz w:val="24"/>
                <w:szCs w:val="24"/>
              </w:rPr>
              <w:t xml:space="preserve"> </w:t>
            </w:r>
            <w:r>
              <w:rPr>
                <w:rFonts w:hint="eastAsia"/>
                <w:color w:val="auto"/>
                <w:spacing w:val="-4"/>
                <w:sz w:val="24"/>
                <w:szCs w:val="24"/>
                <w:lang w:val="en-US" w:eastAsia="zh-CN"/>
              </w:rPr>
              <w:t>浇铸</w:t>
            </w:r>
            <w:r>
              <w:rPr>
                <w:color w:val="auto"/>
                <w:spacing w:val="-4"/>
                <w:sz w:val="24"/>
                <w:szCs w:val="24"/>
              </w:rPr>
              <w:t>工序</w:t>
            </w:r>
          </w:p>
          <w:p w14:paraId="7D97F5E6">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56" w:firstLineChars="200"/>
              <w:jc w:val="both"/>
              <w:textAlignment w:val="baseline"/>
              <w:outlineLvl w:val="9"/>
              <w:rPr>
                <w:rFonts w:hint="eastAsia"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铸锭机内先刷涂脱模剂，然后将经检测合格的镁液通过浇铸泵浇铸到铸锭机内，浇铸温度为</w:t>
            </w:r>
            <w:r>
              <w:rPr>
                <w:rFonts w:hint="default" w:ascii="Times New Roman" w:hAnsi="Times New Roman" w:eastAsia="宋体" w:cs="Times New Roman"/>
                <w:color w:val="auto"/>
                <w:spacing w:val="-6"/>
                <w:sz w:val="24"/>
                <w:szCs w:val="24"/>
                <w:lang w:val="en-US" w:eastAsia="zh-CN"/>
              </w:rPr>
              <w:t>630℃-650℃</w:t>
            </w:r>
            <w:r>
              <w:rPr>
                <w:rFonts w:hint="eastAsia" w:ascii="宋体" w:hAnsi="宋体" w:eastAsia="宋体" w:cs="宋体"/>
                <w:color w:val="auto"/>
                <w:spacing w:val="-6"/>
                <w:sz w:val="24"/>
                <w:szCs w:val="24"/>
                <w:lang w:val="en-US" w:eastAsia="zh-CN"/>
              </w:rPr>
              <w:t>左右，浇铸过程开启</w:t>
            </w:r>
            <w:r>
              <w:rPr>
                <w:rFonts w:hint="eastAsia" w:cs="宋体"/>
                <w:color w:val="auto"/>
                <w:spacing w:val="-6"/>
                <w:sz w:val="24"/>
                <w:szCs w:val="24"/>
                <w:lang w:val="en-US" w:eastAsia="zh-CN"/>
              </w:rPr>
              <w:t>氮气</w:t>
            </w:r>
            <w:r>
              <w:rPr>
                <w:rFonts w:hint="eastAsia" w:ascii="宋体" w:hAnsi="宋体" w:eastAsia="宋体" w:cs="宋体"/>
                <w:color w:val="auto"/>
                <w:spacing w:val="-6"/>
                <w:sz w:val="24"/>
                <w:szCs w:val="24"/>
                <w:lang w:val="en-US" w:eastAsia="zh-CN"/>
              </w:rPr>
              <w:t>保护系统，防止形成空烧。浇铸模具底部设置有水冷系统，浇铸完毕后，镁液全部结晶后，停止冷却，打开模具取出镁合金锭。</w:t>
            </w:r>
          </w:p>
          <w:p w14:paraId="158B6A06">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56" w:firstLineChars="200"/>
              <w:jc w:val="both"/>
              <w:textAlignment w:val="baseline"/>
              <w:outlineLvl w:val="9"/>
              <w:rPr>
                <w:rFonts w:hint="default"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 xml:space="preserve">铸锭机脱模剂主要成分为氮化硼，化学性质稳定，在成型工序 </w:t>
            </w:r>
            <w:r>
              <w:rPr>
                <w:rFonts w:hint="default" w:ascii="Times New Roman" w:hAnsi="Times New Roman" w:eastAsia="宋体" w:cs="Times New Roman"/>
                <w:color w:val="auto"/>
                <w:spacing w:val="-6"/>
                <w:sz w:val="24"/>
                <w:szCs w:val="24"/>
                <w:lang w:val="en-US" w:eastAsia="zh-CN"/>
              </w:rPr>
              <w:t>630℃-650℃</w:t>
            </w:r>
            <w:r>
              <w:rPr>
                <w:rFonts w:hint="eastAsia" w:ascii="宋体" w:hAnsi="宋体" w:eastAsia="宋体" w:cs="宋体"/>
                <w:color w:val="auto"/>
                <w:spacing w:val="-6"/>
                <w:sz w:val="24"/>
                <w:szCs w:val="24"/>
                <w:lang w:val="en-US" w:eastAsia="zh-CN"/>
              </w:rPr>
              <w:t>条件下不发生化学反应，不产生污染物</w:t>
            </w:r>
            <w:r>
              <w:rPr>
                <w:rFonts w:hint="eastAsia" w:cs="宋体"/>
                <w:color w:val="auto"/>
                <w:spacing w:val="-6"/>
                <w:sz w:val="24"/>
                <w:szCs w:val="24"/>
                <w:lang w:val="en-US" w:eastAsia="zh-CN"/>
              </w:rPr>
              <w:t>，浇铸过程污染物主要为颗粒物。</w:t>
            </w:r>
          </w:p>
          <w:p w14:paraId="4224BA1A">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92" w:firstLineChars="200"/>
              <w:jc w:val="both"/>
              <w:textAlignment w:val="baseline"/>
              <w:outlineLvl w:val="9"/>
              <w:rPr>
                <w:rFonts w:hint="eastAsia" w:ascii="宋体" w:hAnsi="宋体" w:eastAsia="宋体" w:cs="宋体"/>
                <w:color w:val="auto"/>
                <w:spacing w:val="-6"/>
                <w:sz w:val="24"/>
                <w:szCs w:val="24"/>
                <w:lang w:val="en-US" w:eastAsia="zh-CN"/>
              </w:rPr>
            </w:pPr>
            <w:r>
              <w:rPr>
                <w:color w:val="auto"/>
                <w:spacing w:val="3"/>
              </w:rPr>
              <w:t>项目铸锭机为封闭式结构，除浇铸口外全部</w:t>
            </w:r>
            <w:r>
              <w:rPr>
                <w:color w:val="auto"/>
                <w:spacing w:val="2"/>
              </w:rPr>
              <w:t>采用封闭罩封闭，</w:t>
            </w:r>
            <w:r>
              <w:rPr>
                <w:rFonts w:hint="eastAsia"/>
                <w:color w:val="auto"/>
                <w:spacing w:val="2"/>
                <w:lang w:eastAsia="zh-CN"/>
              </w:rPr>
              <w:t>浇铸废气会从浇铸口溢出，</w:t>
            </w:r>
            <w:r>
              <w:rPr>
                <w:rFonts w:hint="eastAsia"/>
                <w:color w:val="auto"/>
                <w:spacing w:val="2"/>
                <w:lang w:val="en-US" w:eastAsia="zh-CN"/>
              </w:rPr>
              <w:t>集气罩设在浇铸口周围</w:t>
            </w:r>
            <w:r>
              <w:rPr>
                <w:rFonts w:hint="eastAsia"/>
                <w:color w:val="auto"/>
                <w:spacing w:val="2"/>
                <w:lang w:eastAsia="zh-CN"/>
              </w:rPr>
              <w:t>。</w:t>
            </w:r>
          </w:p>
          <w:p w14:paraId="164B8E3E">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92" w:firstLineChars="200"/>
              <w:jc w:val="both"/>
              <w:textAlignment w:val="baseline"/>
              <w:outlineLvl w:val="9"/>
              <w:rPr>
                <w:rFonts w:hint="default" w:ascii="Times New Roman" w:hAnsi="Times New Roman" w:eastAsia="宋体" w:cs="Times New Roman"/>
                <w:color w:val="auto"/>
                <w:spacing w:val="3"/>
                <w:lang w:val="en-US" w:eastAsia="zh-CN"/>
              </w:rPr>
            </w:pPr>
            <w:r>
              <w:rPr>
                <w:rFonts w:hint="eastAsia" w:ascii="宋体" w:hAnsi="宋体" w:eastAsia="宋体" w:cs="宋体"/>
                <w:color w:val="auto"/>
                <w:spacing w:val="3"/>
                <w:lang w:val="en-US" w:eastAsia="zh-CN"/>
              </w:rPr>
              <w:t>熔炼、浇铸废气经集气罩收集后与燃气燃烧废气汇总，然后经干式</w:t>
            </w:r>
            <w:r>
              <w:rPr>
                <w:rFonts w:hint="eastAsia" w:cs="宋体"/>
                <w:color w:val="auto"/>
                <w:spacing w:val="3"/>
                <w:lang w:val="en-US" w:eastAsia="zh-CN"/>
              </w:rPr>
              <w:t>脱硫</w:t>
            </w:r>
            <w:r>
              <w:rPr>
                <w:rFonts w:hint="eastAsia" w:ascii="宋体" w:hAnsi="宋体" w:eastAsia="宋体" w:cs="宋体"/>
                <w:color w:val="auto"/>
                <w:spacing w:val="3"/>
                <w:lang w:val="en-US" w:eastAsia="zh-CN"/>
              </w:rPr>
              <w:t>脱酸+布袋除尘</w:t>
            </w:r>
            <w:r>
              <w:rPr>
                <w:rFonts w:hint="eastAsia" w:cs="宋体"/>
                <w:color w:val="auto"/>
                <w:spacing w:val="3"/>
                <w:lang w:val="en-US" w:eastAsia="zh-CN"/>
              </w:rPr>
              <w:t>+湿式脱硫脱酸</w:t>
            </w:r>
            <w:r>
              <w:rPr>
                <w:rFonts w:hint="eastAsia" w:ascii="宋体" w:hAnsi="宋体" w:eastAsia="宋体" w:cs="宋体"/>
                <w:color w:val="auto"/>
                <w:spacing w:val="3"/>
                <w:lang w:val="en-US" w:eastAsia="zh-CN"/>
              </w:rPr>
              <w:t>处理后经</w:t>
            </w:r>
            <w:r>
              <w:rPr>
                <w:rFonts w:hint="default" w:ascii="Times New Roman" w:hAnsi="Times New Roman" w:eastAsia="宋体" w:cs="Times New Roman"/>
                <w:color w:val="auto"/>
                <w:spacing w:val="3"/>
                <w:lang w:val="en-US" w:eastAsia="zh-CN"/>
              </w:rPr>
              <w:t>15m高排气筒排放。</w:t>
            </w:r>
          </w:p>
          <w:p w14:paraId="51AD0AE8">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 xml:space="preserve">③ </w:t>
            </w:r>
            <w:r>
              <w:rPr>
                <w:rFonts w:hint="default" w:ascii="Times New Roman" w:hAnsi="Times New Roman" w:cs="Times New Roman"/>
                <w:color w:val="auto"/>
                <w:spacing w:val="-2"/>
                <w:sz w:val="24"/>
                <w:szCs w:val="24"/>
                <w:lang w:val="en-US" w:eastAsia="zh-CN"/>
              </w:rPr>
              <w:t>打磨</w:t>
            </w:r>
            <w:r>
              <w:rPr>
                <w:rFonts w:hint="default" w:ascii="Times New Roman" w:hAnsi="Times New Roman" w:cs="Times New Roman"/>
                <w:color w:val="auto"/>
                <w:spacing w:val="-2"/>
                <w:sz w:val="24"/>
                <w:szCs w:val="24"/>
              </w:rPr>
              <w:t>工序</w:t>
            </w:r>
          </w:p>
          <w:p w14:paraId="553615E8">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pacing w:val="-1"/>
                <w:sz w:val="24"/>
                <w:szCs w:val="24"/>
                <w:lang w:val="en-US" w:eastAsia="zh-CN"/>
              </w:rPr>
              <w:t>成型后的镁合金锭，</w:t>
            </w:r>
            <w:r>
              <w:rPr>
                <w:rFonts w:hint="default" w:ascii="Times New Roman" w:hAnsi="Times New Roman" w:cs="Times New Roman"/>
                <w:color w:val="auto"/>
                <w:spacing w:val="-1"/>
                <w:sz w:val="24"/>
                <w:szCs w:val="24"/>
              </w:rPr>
              <w:t>采用</w:t>
            </w:r>
            <w:r>
              <w:rPr>
                <w:rFonts w:hint="default" w:ascii="Times New Roman" w:hAnsi="Times New Roman" w:cs="Times New Roman"/>
                <w:color w:val="auto"/>
                <w:spacing w:val="-1"/>
                <w:sz w:val="24"/>
                <w:szCs w:val="24"/>
                <w:lang w:val="en-US" w:eastAsia="zh-CN"/>
              </w:rPr>
              <w:t>打磨</w:t>
            </w:r>
            <w:r>
              <w:rPr>
                <w:rFonts w:hint="default" w:ascii="Times New Roman" w:hAnsi="Times New Roman" w:cs="Times New Roman"/>
                <w:color w:val="auto"/>
                <w:spacing w:val="-1"/>
                <w:sz w:val="24"/>
                <w:szCs w:val="24"/>
              </w:rPr>
              <w:t>机去除镁合金锭表面毛刺，使其光滑平整</w:t>
            </w:r>
            <w:r>
              <w:rPr>
                <w:rFonts w:hint="default" w:ascii="Times New Roman" w:hAnsi="Times New Roman" w:cs="Times New Roman"/>
                <w:color w:val="auto"/>
                <w:spacing w:val="-1"/>
                <w:sz w:val="24"/>
                <w:szCs w:val="24"/>
                <w:lang w:eastAsia="zh-CN"/>
              </w:rPr>
              <w:t>，</w:t>
            </w:r>
            <w:r>
              <w:rPr>
                <w:rFonts w:hint="default" w:ascii="Times New Roman" w:hAnsi="Times New Roman" w:cs="Times New Roman"/>
                <w:color w:val="auto"/>
                <w:spacing w:val="-1"/>
                <w:sz w:val="24"/>
                <w:szCs w:val="24"/>
                <w:lang w:val="en-US" w:eastAsia="zh-CN"/>
              </w:rPr>
              <w:t>打磨有粉尘产生，采用水浴除尘</w:t>
            </w:r>
            <w:r>
              <w:rPr>
                <w:rFonts w:hint="default" w:ascii="Times New Roman" w:hAnsi="Times New Roman" w:eastAsia="宋体" w:cs="Times New Roman"/>
                <w:color w:val="auto"/>
                <w:spacing w:val="3"/>
                <w:lang w:val="en-US" w:eastAsia="zh-CN"/>
              </w:rPr>
              <w:t>处理后经15m高排气筒排放。</w:t>
            </w:r>
          </w:p>
          <w:p w14:paraId="391920F7">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color w:val="auto"/>
                <w:sz w:val="24"/>
                <w:szCs w:val="24"/>
              </w:rPr>
            </w:pPr>
            <w:r>
              <w:rPr>
                <w:color w:val="auto"/>
                <w:spacing w:val="-2"/>
                <w:sz w:val="24"/>
                <w:szCs w:val="24"/>
              </w:rPr>
              <w:t>④ 包装入库</w:t>
            </w:r>
          </w:p>
          <w:p w14:paraId="52F2D2EE">
            <w:pPr>
              <w:pStyle w:val="6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6" w:firstLineChars="200"/>
              <w:jc w:val="left"/>
              <w:textAlignment w:val="baseline"/>
              <w:outlineLvl w:val="9"/>
              <w:rPr>
                <w:color w:val="auto"/>
                <w:spacing w:val="-1"/>
                <w:sz w:val="24"/>
                <w:szCs w:val="24"/>
              </w:rPr>
            </w:pPr>
            <w:r>
              <w:rPr>
                <w:color w:val="auto"/>
                <w:spacing w:val="-1"/>
                <w:sz w:val="24"/>
                <w:szCs w:val="24"/>
              </w:rPr>
              <w:t>镁合金锭通过检验、计量后，进行喷码标记后包装入库。</w:t>
            </w:r>
          </w:p>
          <w:p w14:paraId="32468B14">
            <w:pPr>
              <w:pStyle w:val="6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6" w:firstLineChars="200"/>
              <w:jc w:val="left"/>
              <w:textAlignment w:val="baseline"/>
              <w:outlineLvl w:val="9"/>
              <w:rPr>
                <w:rFonts w:hint="default" w:ascii="Times New Roman" w:hAnsi="Times New Roman" w:cs="Times New Roman"/>
                <w:snapToGrid w:val="0"/>
                <w:color w:val="auto"/>
                <w:spacing w:val="0"/>
                <w:kern w:val="21"/>
                <w:sz w:val="24"/>
                <w:szCs w:val="24"/>
              </w:rPr>
            </w:pPr>
            <w:r>
              <w:rPr>
                <w:color w:val="auto"/>
                <w:spacing w:val="-1"/>
                <w:sz w:val="24"/>
                <w:szCs w:val="24"/>
              </w:rPr>
              <w:t>镁合金锭生产工艺流程及产污环</w:t>
            </w:r>
            <w:r>
              <w:rPr>
                <w:rFonts w:hint="default" w:ascii="Times New Roman" w:hAnsi="Times New Roman" w:cs="Times New Roman"/>
                <w:color w:val="auto"/>
                <w:spacing w:val="-1"/>
                <w:sz w:val="24"/>
                <w:szCs w:val="24"/>
              </w:rPr>
              <w:t>节见</w:t>
            </w:r>
            <w:r>
              <w:rPr>
                <w:rFonts w:hint="default" w:ascii="Times New Roman" w:hAnsi="Times New Roman" w:cs="Times New Roman"/>
                <w:snapToGrid w:val="0"/>
                <w:color w:val="auto"/>
                <w:spacing w:val="0"/>
                <w:kern w:val="21"/>
                <w:sz w:val="24"/>
                <w:szCs w:val="24"/>
              </w:rPr>
              <w:t>图</w:t>
            </w:r>
            <w:r>
              <w:rPr>
                <w:rFonts w:hint="default" w:ascii="Times New Roman" w:hAnsi="Times New Roman" w:cs="Times New Roman"/>
                <w:snapToGrid w:val="0"/>
                <w:color w:val="auto"/>
                <w:spacing w:val="0"/>
                <w:kern w:val="21"/>
                <w:sz w:val="24"/>
                <w:szCs w:val="24"/>
                <w:lang w:val="en-US" w:eastAsia="zh-CN"/>
              </w:rPr>
              <w:t>2-2</w:t>
            </w:r>
            <w:r>
              <w:rPr>
                <w:rFonts w:hint="default" w:ascii="Times New Roman" w:hAnsi="Times New Roman" w:cs="Times New Roman"/>
                <w:snapToGrid w:val="0"/>
                <w:color w:val="auto"/>
                <w:spacing w:val="0"/>
                <w:kern w:val="21"/>
                <w:sz w:val="24"/>
                <w:szCs w:val="24"/>
              </w:rPr>
              <w:t>。</w:t>
            </w:r>
          </w:p>
          <w:p w14:paraId="09F5CF00">
            <w:pPr>
              <w:pStyle w:val="6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outlineLvl w:val="9"/>
              <w:rPr>
                <w:color w:val="auto"/>
                <w:spacing w:val="-1"/>
                <w:sz w:val="24"/>
                <w:szCs w:val="24"/>
              </w:rPr>
            </w:pPr>
            <w:r>
              <w:rPr>
                <w:color w:val="auto"/>
                <w:spacing w:val="-1"/>
                <w:sz w:val="24"/>
                <w:szCs w:val="24"/>
              </w:rPr>
              <w:drawing>
                <wp:inline distT="0" distB="0" distL="114300" distR="114300">
                  <wp:extent cx="5198110" cy="6776720"/>
                  <wp:effectExtent l="0" t="0" r="2540" b="5080"/>
                  <wp:docPr id="28" name="图片 28" descr="17508171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50817114243"/>
                          <pic:cNvPicPr>
                            <a:picLocks noChangeAspect="1"/>
                          </pic:cNvPicPr>
                        </pic:nvPicPr>
                        <pic:blipFill>
                          <a:blip r:embed="rId13"/>
                          <a:stretch>
                            <a:fillRect/>
                          </a:stretch>
                        </pic:blipFill>
                        <pic:spPr>
                          <a:xfrm>
                            <a:off x="0" y="0"/>
                            <a:ext cx="5198110" cy="6776720"/>
                          </a:xfrm>
                          <a:prstGeom prst="rect">
                            <a:avLst/>
                          </a:prstGeom>
                        </pic:spPr>
                      </pic:pic>
                    </a:graphicData>
                  </a:graphic>
                </wp:inline>
              </w:drawing>
            </w:r>
          </w:p>
          <w:p w14:paraId="3593F90E">
            <w:pPr>
              <w:pStyle w:val="6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outlineLvl w:val="9"/>
              <w:rPr>
                <w:color w:val="auto"/>
                <w:spacing w:val="-1"/>
                <w:sz w:val="24"/>
                <w:szCs w:val="24"/>
              </w:rPr>
            </w:pPr>
            <w:r>
              <w:rPr>
                <w:rFonts w:ascii="黑体" w:hAnsi="黑体" w:eastAsia="黑体" w:cs="黑体"/>
                <w:color w:val="auto"/>
                <w:spacing w:val="7"/>
                <w:sz w:val="24"/>
                <w:szCs w:val="24"/>
              </w:rPr>
              <w:t>图</w:t>
            </w:r>
            <w:r>
              <w:rPr>
                <w:rFonts w:ascii="黑体" w:hAnsi="黑体" w:eastAsia="黑体" w:cs="黑体"/>
                <w:color w:val="auto"/>
                <w:spacing w:val="-31"/>
                <w:sz w:val="24"/>
                <w:szCs w:val="24"/>
              </w:rPr>
              <w:t xml:space="preserve"> </w:t>
            </w:r>
            <w:r>
              <w:rPr>
                <w:rFonts w:hint="eastAsia" w:ascii="Times New Roman" w:hAnsi="Times New Roman" w:eastAsia="宋体" w:cs="Times New Roman"/>
                <w:color w:val="auto"/>
                <w:spacing w:val="7"/>
                <w:sz w:val="24"/>
                <w:szCs w:val="24"/>
                <w:lang w:val="en-US" w:eastAsia="zh-CN"/>
              </w:rPr>
              <w:t>2-2</w:t>
            </w:r>
            <w:r>
              <w:rPr>
                <w:rFonts w:ascii="Times New Roman" w:hAnsi="Times New Roman" w:eastAsia="Times New Roman" w:cs="Times New Roman"/>
                <w:color w:val="auto"/>
                <w:spacing w:val="7"/>
                <w:sz w:val="24"/>
                <w:szCs w:val="24"/>
              </w:rPr>
              <w:t xml:space="preserve">  </w:t>
            </w:r>
            <w:r>
              <w:rPr>
                <w:rFonts w:ascii="黑体" w:hAnsi="黑体" w:eastAsia="黑体" w:cs="黑体"/>
                <w:color w:val="auto"/>
                <w:spacing w:val="7"/>
                <w:sz w:val="24"/>
                <w:szCs w:val="24"/>
              </w:rPr>
              <w:t>镁合金锭生产工艺流程及产污环节图</w:t>
            </w:r>
          </w:p>
          <w:p w14:paraId="36C2A166">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⑵ 镁合金压铸件生产工艺</w:t>
            </w:r>
          </w:p>
          <w:p w14:paraId="74EE31E2">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eastAsia" w:ascii="Times New Roman" w:hAnsi="Times New Roman" w:cs="Times New Roman"/>
                <w:color w:val="auto"/>
                <w:spacing w:val="-2"/>
                <w:sz w:val="24"/>
                <w:szCs w:val="24"/>
                <w:lang w:val="en-US" w:eastAsia="zh-CN"/>
              </w:rPr>
            </w:pPr>
            <w:r>
              <w:rPr>
                <w:rFonts w:hint="eastAsia" w:ascii="Times New Roman" w:hAnsi="Times New Roman" w:cs="Times New Roman"/>
                <w:color w:val="auto"/>
                <w:spacing w:val="-2"/>
                <w:sz w:val="24"/>
                <w:szCs w:val="24"/>
                <w:lang w:val="en-US" w:eastAsia="zh-CN"/>
              </w:rPr>
              <w:t>①熔化保温</w:t>
            </w:r>
          </w:p>
          <w:p w14:paraId="71745E93">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镁合金压铸件生产工序所用的</w:t>
            </w:r>
            <w:r>
              <w:rPr>
                <w:rFonts w:hint="eastAsia" w:ascii="Times New Roman" w:hAnsi="Times New Roman" w:cs="Times New Roman"/>
                <w:color w:val="auto"/>
                <w:spacing w:val="-2"/>
                <w:sz w:val="24"/>
                <w:szCs w:val="24"/>
                <w:lang w:val="en-US" w:eastAsia="zh-CN"/>
              </w:rPr>
              <w:t>高品质</w:t>
            </w:r>
            <w:r>
              <w:rPr>
                <w:rFonts w:hint="default" w:ascii="Times New Roman" w:hAnsi="Times New Roman" w:eastAsia="宋体" w:cs="Times New Roman"/>
                <w:color w:val="auto"/>
                <w:spacing w:val="-2"/>
                <w:sz w:val="24"/>
                <w:szCs w:val="24"/>
              </w:rPr>
              <w:t>镁</w:t>
            </w:r>
            <w:r>
              <w:rPr>
                <w:rFonts w:hint="default" w:ascii="Times New Roman" w:hAnsi="Times New Roman" w:eastAsia="宋体" w:cs="Times New Roman"/>
                <w:color w:val="auto"/>
                <w:spacing w:val="-2"/>
                <w:sz w:val="24"/>
                <w:szCs w:val="24"/>
                <w:highlight w:val="none"/>
              </w:rPr>
              <w:t>合金</w:t>
            </w:r>
            <w:r>
              <w:rPr>
                <w:rFonts w:hint="eastAsia" w:ascii="Times New Roman" w:hAnsi="Times New Roman" w:cs="Times New Roman"/>
                <w:color w:val="auto"/>
                <w:spacing w:val="-2"/>
                <w:sz w:val="24"/>
                <w:szCs w:val="24"/>
                <w:highlight w:val="none"/>
                <w:lang w:val="en-US" w:eastAsia="zh-CN"/>
              </w:rPr>
              <w:t>外购</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镁合金液通过</w:t>
            </w:r>
            <w:r>
              <w:rPr>
                <w:rFonts w:hint="eastAsia" w:ascii="Times New Roman" w:hAnsi="Times New Roman" w:cs="Times New Roman"/>
                <w:color w:val="auto"/>
                <w:spacing w:val="-2"/>
                <w:sz w:val="24"/>
                <w:szCs w:val="24"/>
                <w:highlight w:val="none"/>
                <w:lang w:val="en-US" w:eastAsia="zh-CN"/>
              </w:rPr>
              <w:t>电驱动AGV自动导向小车</w:t>
            </w:r>
            <w:r>
              <w:rPr>
                <w:rFonts w:hint="default" w:ascii="Times New Roman" w:hAnsi="Times New Roman" w:eastAsia="宋体" w:cs="Times New Roman"/>
                <w:color w:val="auto"/>
                <w:spacing w:val="-2"/>
                <w:sz w:val="24"/>
                <w:szCs w:val="24"/>
                <w:highlight w:val="none"/>
              </w:rPr>
              <w:t>运送保温包至压铸机旁保温炉，</w:t>
            </w:r>
            <w:r>
              <w:rPr>
                <w:rFonts w:hint="eastAsia" w:ascii="Times New Roman" w:hAnsi="Times New Roman" w:cs="Times New Roman"/>
                <w:color w:val="auto"/>
                <w:spacing w:val="-2"/>
                <w:sz w:val="24"/>
                <w:szCs w:val="24"/>
                <w:highlight w:val="none"/>
                <w:lang w:val="en-US" w:eastAsia="zh-CN"/>
              </w:rPr>
              <w:t>镁合金锭</w:t>
            </w:r>
            <w:r>
              <w:rPr>
                <w:rFonts w:hint="default" w:ascii="Times New Roman" w:hAnsi="Times New Roman" w:eastAsia="宋体" w:cs="Times New Roman"/>
                <w:color w:val="auto"/>
                <w:spacing w:val="-2"/>
                <w:sz w:val="24"/>
                <w:szCs w:val="24"/>
                <w:highlight w:val="none"/>
              </w:rPr>
              <w:t>通过</w:t>
            </w:r>
            <w:r>
              <w:rPr>
                <w:rFonts w:hint="eastAsia" w:ascii="Times New Roman" w:hAnsi="Times New Roman" w:cs="Times New Roman"/>
                <w:color w:val="auto"/>
                <w:spacing w:val="-2"/>
                <w:sz w:val="24"/>
                <w:szCs w:val="24"/>
                <w:highlight w:val="none"/>
                <w:lang w:val="en-US" w:eastAsia="zh-CN"/>
              </w:rPr>
              <w:t>电驱动AGV自动导向小车送保温炉熔化为液体，</w:t>
            </w:r>
            <w:r>
              <w:rPr>
                <w:rFonts w:hint="default" w:ascii="Times New Roman" w:hAnsi="Times New Roman" w:eastAsia="宋体" w:cs="Times New Roman"/>
                <w:color w:val="auto"/>
                <w:spacing w:val="-2"/>
                <w:sz w:val="24"/>
                <w:szCs w:val="24"/>
                <w:highlight w:val="none"/>
              </w:rPr>
              <w:t>保温炉</w:t>
            </w:r>
            <w:r>
              <w:rPr>
                <w:rFonts w:hint="eastAsia" w:ascii="Times New Roman" w:hAnsi="Times New Roman" w:cs="Times New Roman"/>
                <w:color w:val="auto"/>
                <w:spacing w:val="-2"/>
                <w:sz w:val="24"/>
                <w:szCs w:val="24"/>
                <w:highlight w:val="none"/>
                <w:lang w:val="en-US" w:eastAsia="zh-CN"/>
              </w:rPr>
              <w:t>燃用天然气</w:t>
            </w:r>
            <w:r>
              <w:rPr>
                <w:rFonts w:hint="eastAsia" w:ascii="Times New Roman" w:hAnsi="Times New Roman" w:cs="Times New Roman"/>
                <w:color w:val="auto"/>
                <w:spacing w:val="-2"/>
                <w:sz w:val="24"/>
                <w:szCs w:val="24"/>
                <w:highlight w:val="none"/>
                <w:lang w:eastAsia="zh-CN"/>
              </w:rPr>
              <w:t>，保温炉熔化及燃烧天然气</w:t>
            </w:r>
            <w:r>
              <w:rPr>
                <w:rFonts w:hint="eastAsia" w:ascii="Times New Roman" w:hAnsi="Times New Roman" w:cs="Times New Roman"/>
                <w:color w:val="auto"/>
                <w:spacing w:val="-2"/>
                <w:sz w:val="24"/>
                <w:szCs w:val="24"/>
                <w:highlight w:val="none"/>
                <w:lang w:val="en-US" w:eastAsia="zh-CN"/>
              </w:rPr>
              <w:t>有废气产生。</w:t>
            </w:r>
            <w:r>
              <w:rPr>
                <w:rFonts w:hint="eastAsia" w:ascii="Times New Roman" w:hAnsi="Times New Roman" w:cs="Times New Roman"/>
                <w:color w:val="auto"/>
                <w:spacing w:val="-2"/>
                <w:sz w:val="24"/>
                <w:szCs w:val="24"/>
                <w:highlight w:val="none"/>
                <w:lang w:eastAsia="zh-CN"/>
              </w:rPr>
              <w:t>保温炉熔化</w:t>
            </w:r>
            <w:r>
              <w:rPr>
                <w:rFonts w:hint="eastAsia" w:ascii="Times New Roman" w:hAnsi="Times New Roman" w:cs="Times New Roman"/>
                <w:color w:val="auto"/>
                <w:spacing w:val="-2"/>
                <w:sz w:val="24"/>
                <w:szCs w:val="24"/>
                <w:highlight w:val="none"/>
                <w:lang w:eastAsia="zh-CN"/>
              </w:rPr>
              <w:t>废气收集后进入布袋除尘系统</w:t>
            </w:r>
            <w:r>
              <w:rPr>
                <w:rFonts w:hint="eastAsia" w:ascii="Times New Roman" w:hAnsi="Times New Roman" w:cs="Times New Roman"/>
                <w:color w:val="auto"/>
                <w:spacing w:val="-2"/>
                <w:sz w:val="24"/>
                <w:szCs w:val="24"/>
                <w:highlight w:val="none"/>
                <w:lang w:val="en-US" w:eastAsia="zh-CN"/>
              </w:rPr>
              <w:t>处理，保温炉燃烧采用低氮燃烧技术废气可达标排放。</w:t>
            </w:r>
          </w:p>
          <w:p w14:paraId="65148D2B">
            <w:pPr>
              <w:pStyle w:val="9"/>
              <w:numPr>
                <w:ilvl w:val="0"/>
                <w:numId w:val="0"/>
              </w:numPr>
              <w:spacing w:after="120"/>
              <w:ind w:firstLine="472" w:firstLineChars="200"/>
              <w:jc w:val="both"/>
              <w:rPr>
                <w:rFonts w:hint="default" w:ascii="Times New Roman" w:hAnsi="Times New Roman" w:eastAsia="宋体" w:cs="Times New Roman"/>
                <w:b w:val="0"/>
                <w:bCs/>
                <w:color w:val="auto"/>
                <w:spacing w:val="-2"/>
                <w:sz w:val="24"/>
                <w:szCs w:val="24"/>
              </w:rPr>
            </w:pPr>
            <w:r>
              <w:rPr>
                <w:rFonts w:hint="eastAsia" w:cs="Times New Roman"/>
                <w:b w:val="0"/>
                <w:bCs/>
                <w:color w:val="auto"/>
                <w:spacing w:val="-2"/>
                <w:sz w:val="24"/>
                <w:szCs w:val="24"/>
                <w:lang w:val="en-US" w:eastAsia="zh-CN"/>
              </w:rPr>
              <w:t>②</w:t>
            </w:r>
            <w:r>
              <w:rPr>
                <w:rFonts w:hint="default" w:ascii="Times New Roman" w:hAnsi="Times New Roman" w:eastAsia="宋体" w:cs="Times New Roman"/>
                <w:b w:val="0"/>
                <w:bCs/>
                <w:color w:val="auto"/>
                <w:spacing w:val="-2"/>
                <w:sz w:val="24"/>
                <w:szCs w:val="24"/>
              </w:rPr>
              <w:t>模具预热</w:t>
            </w:r>
          </w:p>
          <w:p w14:paraId="42BA816A">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宋体" w:hAnsi="宋体" w:eastAsia="宋体" w:cs="宋体"/>
                <w:color w:val="auto"/>
                <w:spacing w:val="-6"/>
                <w:sz w:val="24"/>
                <w:szCs w:val="24"/>
                <w:lang w:val="en-US" w:eastAsia="zh-CN"/>
              </w:rPr>
            </w:pPr>
            <w:r>
              <w:rPr>
                <w:rFonts w:hint="default" w:ascii="Times New Roman" w:hAnsi="Times New Roman" w:eastAsia="宋体" w:cs="Times New Roman"/>
                <w:color w:val="auto"/>
                <w:spacing w:val="-2"/>
                <w:sz w:val="24"/>
                <w:szCs w:val="24"/>
              </w:rPr>
              <w:t>压铸模具在压铸前必须进行预热，使模具温度与浇铸入模的镁合金液温度差在规定范围之内，以防止因镁合金液与模具温度相差较大而对铸件表面质量、尺寸偏差等</w:t>
            </w:r>
            <w:r>
              <w:rPr>
                <w:rFonts w:hint="default" w:ascii="Times New Roman" w:hAnsi="Times New Roman" w:eastAsia="宋体" w:cs="Times New Roman"/>
                <w:color w:val="auto"/>
                <w:spacing w:val="-1"/>
                <w:sz w:val="24"/>
                <w:szCs w:val="24"/>
              </w:rPr>
              <w:t>产生影响。本项目压铸机内部均配备模温机，</w:t>
            </w:r>
            <w:r>
              <w:rPr>
                <w:rFonts w:hint="default" w:ascii="Times New Roman" w:hAnsi="Times New Roman" w:eastAsia="宋体" w:cs="Times New Roman"/>
                <w:color w:val="auto"/>
                <w:spacing w:val="-2"/>
                <w:sz w:val="24"/>
                <w:szCs w:val="24"/>
              </w:rPr>
              <w:t>用于调控压铸模具的工作温度，以保证</w:t>
            </w:r>
            <w:r>
              <w:rPr>
                <w:rFonts w:hint="default" w:ascii="Times New Roman" w:hAnsi="Times New Roman" w:eastAsia="宋体" w:cs="Times New Roman"/>
                <w:color w:val="auto"/>
                <w:spacing w:val="-1"/>
                <w:sz w:val="24"/>
                <w:szCs w:val="24"/>
              </w:rPr>
              <w:t>产品尺寸进度。</w:t>
            </w:r>
            <w:r>
              <w:rPr>
                <w:rFonts w:hint="default" w:ascii="宋体" w:hAnsi="宋体" w:eastAsia="宋体" w:cs="宋体"/>
                <w:color w:val="auto"/>
                <w:spacing w:val="-6"/>
                <w:sz w:val="24"/>
                <w:szCs w:val="24"/>
                <w:lang w:val="en-US" w:eastAsia="zh-CN"/>
              </w:rPr>
              <w:t>模温机采用电作为加热方式。</w:t>
            </w:r>
          </w:p>
          <w:p w14:paraId="1555AD2F">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jc w:val="both"/>
              <w:textAlignment w:val="baseline"/>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pacing w:val="-5"/>
                <w:sz w:val="24"/>
                <w:szCs w:val="24"/>
                <w:lang w:val="en-US" w:eastAsia="zh-CN"/>
              </w:rPr>
              <w:t>③</w:t>
            </w:r>
            <w:r>
              <w:rPr>
                <w:rFonts w:hint="default" w:ascii="Times New Roman" w:hAnsi="Times New Roman" w:eastAsia="宋体" w:cs="Times New Roman"/>
                <w:color w:val="auto"/>
                <w:spacing w:val="-5"/>
                <w:sz w:val="24"/>
                <w:szCs w:val="24"/>
              </w:rPr>
              <w:t>喷刷脱模剂</w:t>
            </w:r>
          </w:p>
          <w:p w14:paraId="2A1F3A70">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rPr>
              <w:t>加热后的模具在铸造前通过自动</w:t>
            </w:r>
            <w:r>
              <w:rPr>
                <w:rFonts w:hint="eastAsia" w:ascii="Times New Roman" w:hAnsi="Times New Roman" w:eastAsia="宋体" w:cs="Times New Roman"/>
                <w:color w:val="auto"/>
                <w:spacing w:val="-2"/>
                <w:sz w:val="24"/>
                <w:szCs w:val="24"/>
                <w:lang w:val="en-US" w:eastAsia="zh-CN"/>
              </w:rPr>
              <w:t>伺服</w:t>
            </w:r>
            <w:r>
              <w:rPr>
                <w:rFonts w:hint="default" w:ascii="Times New Roman" w:hAnsi="Times New Roman" w:eastAsia="宋体" w:cs="Times New Roman"/>
                <w:color w:val="auto"/>
                <w:spacing w:val="-2"/>
                <w:sz w:val="24"/>
                <w:szCs w:val="24"/>
              </w:rPr>
              <w:t>喷雾机向模具内部喷洒脱模剂，以保证铸件表面</w:t>
            </w:r>
            <w:r>
              <w:rPr>
                <w:rFonts w:hint="default" w:ascii="Times New Roman" w:hAnsi="Times New Roman" w:eastAsia="宋体" w:cs="Times New Roman"/>
                <w:color w:val="auto"/>
                <w:spacing w:val="-1"/>
                <w:sz w:val="24"/>
                <w:szCs w:val="24"/>
              </w:rPr>
              <w:t>质量，</w:t>
            </w:r>
            <w:r>
              <w:rPr>
                <w:rFonts w:hint="eastAsia" w:ascii="Times New Roman" w:hAnsi="Times New Roman" w:cs="Times New Roman"/>
                <w:color w:val="auto"/>
                <w:spacing w:val="-4"/>
                <w:sz w:val="24"/>
                <w:szCs w:val="24"/>
                <w:lang w:val="en-US" w:eastAsia="zh-CN"/>
              </w:rPr>
              <w:t>产生少量</w:t>
            </w:r>
            <w:r>
              <w:rPr>
                <w:rFonts w:hint="eastAsia" w:ascii="Times New Roman" w:hAnsi="Times New Roman" w:eastAsia="宋体" w:cs="Times New Roman"/>
                <w:color w:val="auto"/>
                <w:spacing w:val="-2"/>
                <w:sz w:val="24"/>
                <w:szCs w:val="24"/>
                <w:highlight w:val="none"/>
                <w:lang w:val="en-US" w:eastAsia="zh-CN"/>
              </w:rPr>
              <w:t>VOCs</w:t>
            </w:r>
            <w:r>
              <w:rPr>
                <w:rFonts w:hint="eastAsia" w:ascii="Times New Roman" w:hAnsi="Times New Roman" w:cs="Times New Roman"/>
                <w:color w:val="auto"/>
                <w:spacing w:val="-4"/>
                <w:sz w:val="24"/>
                <w:szCs w:val="24"/>
                <w:lang w:val="en-US" w:eastAsia="zh-CN"/>
              </w:rPr>
              <w:t>废气，</w:t>
            </w:r>
            <w:r>
              <w:rPr>
                <w:rFonts w:hint="default" w:ascii="Times New Roman" w:hAnsi="Times New Roman" w:eastAsia="宋体" w:cs="Times New Roman"/>
                <w:color w:val="auto"/>
                <w:spacing w:val="-1"/>
                <w:sz w:val="24"/>
                <w:szCs w:val="24"/>
              </w:rPr>
              <w:t>脱模剂为水性脱模剂，主要成分为硅</w:t>
            </w:r>
            <w:r>
              <w:rPr>
                <w:rFonts w:hint="default" w:ascii="Times New Roman" w:hAnsi="Times New Roman" w:eastAsia="宋体" w:cs="Times New Roman"/>
                <w:color w:val="auto"/>
                <w:spacing w:val="-2"/>
                <w:sz w:val="24"/>
                <w:szCs w:val="24"/>
              </w:rPr>
              <w:t>油</w:t>
            </w:r>
            <w:r>
              <w:rPr>
                <w:rFonts w:hint="eastAsia" w:ascii="Times New Roman" w:hAnsi="Times New Roman" w:eastAsia="宋体" w:cs="Times New Roman"/>
                <w:color w:val="auto"/>
                <w:spacing w:val="-2"/>
                <w:sz w:val="24"/>
                <w:szCs w:val="24"/>
                <w:lang w:eastAsia="zh-CN"/>
              </w:rPr>
              <w:t>，</w:t>
            </w:r>
            <w:r>
              <w:rPr>
                <w:rFonts w:hint="eastAsia" w:ascii="Times New Roman" w:hAnsi="Times New Roman" w:eastAsia="宋体" w:cs="Times New Roman"/>
                <w:color w:val="auto"/>
                <w:spacing w:val="-2"/>
                <w:sz w:val="24"/>
                <w:szCs w:val="24"/>
                <w:lang w:val="en-US" w:eastAsia="zh-CN"/>
              </w:rPr>
              <w:t>挥发量较少</w:t>
            </w:r>
            <w:r>
              <w:rPr>
                <w:rFonts w:hint="default" w:ascii="Times New Roman" w:hAnsi="Times New Roman" w:eastAsia="宋体" w:cs="Times New Roman"/>
                <w:color w:val="auto"/>
                <w:spacing w:val="-2"/>
                <w:sz w:val="24"/>
                <w:szCs w:val="24"/>
              </w:rPr>
              <w:t>。项目脱模剂</w:t>
            </w:r>
            <w:r>
              <w:rPr>
                <w:rFonts w:hint="default" w:ascii="Times New Roman" w:hAnsi="Times New Roman" w:eastAsia="宋体" w:cs="Times New Roman"/>
                <w:color w:val="auto"/>
                <w:spacing w:val="-1"/>
                <w:sz w:val="24"/>
                <w:szCs w:val="24"/>
              </w:rPr>
              <w:t>循环使用，模具内流出的过量脱模剂经收集装</w:t>
            </w:r>
            <w:r>
              <w:rPr>
                <w:rFonts w:hint="default" w:ascii="Times New Roman" w:hAnsi="Times New Roman" w:eastAsia="宋体" w:cs="Times New Roman"/>
                <w:color w:val="auto"/>
                <w:spacing w:val="-2"/>
                <w:sz w:val="24"/>
                <w:szCs w:val="24"/>
              </w:rPr>
              <w:t>置收集后返回自动喷雾机脱模剂槽循环</w:t>
            </w:r>
            <w:r>
              <w:rPr>
                <w:rFonts w:hint="default" w:ascii="Times New Roman" w:hAnsi="Times New Roman" w:eastAsia="宋体" w:cs="Times New Roman"/>
                <w:color w:val="auto"/>
                <w:spacing w:val="-4"/>
                <w:sz w:val="24"/>
                <w:szCs w:val="24"/>
              </w:rPr>
              <w:t>使用。</w:t>
            </w:r>
          </w:p>
          <w:p w14:paraId="1B6AC1A5">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jc w:val="both"/>
              <w:textAlignment w:val="baseline"/>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pacing w:val="-4"/>
                <w:sz w:val="24"/>
                <w:szCs w:val="24"/>
                <w:lang w:val="en-US" w:eastAsia="zh-CN"/>
              </w:rPr>
              <w:t>④</w:t>
            </w:r>
            <w:r>
              <w:rPr>
                <w:rFonts w:hint="default" w:ascii="Times New Roman" w:hAnsi="Times New Roman" w:eastAsia="宋体" w:cs="Times New Roman"/>
                <w:color w:val="auto"/>
                <w:spacing w:val="-4"/>
                <w:sz w:val="24"/>
                <w:szCs w:val="24"/>
              </w:rPr>
              <w:t>压射充型</w:t>
            </w:r>
          </w:p>
          <w:p w14:paraId="243DEB40">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2"/>
                <w:sz w:val="24"/>
                <w:szCs w:val="24"/>
              </w:rPr>
              <w:t>镁合金液通过金属</w:t>
            </w:r>
            <w:r>
              <w:rPr>
                <w:rFonts w:hint="default" w:ascii="Times New Roman" w:hAnsi="Times New Roman" w:eastAsia="宋体" w:cs="Times New Roman"/>
                <w:color w:val="auto"/>
                <w:spacing w:val="-2"/>
                <w:sz w:val="24"/>
                <w:szCs w:val="24"/>
                <w:highlight w:val="none"/>
              </w:rPr>
              <w:t>泵专用浇铸管道注入压铸机模具内，同时通过对模具快速挤</w:t>
            </w:r>
            <w:r>
              <w:rPr>
                <w:rFonts w:hint="default" w:ascii="Times New Roman" w:hAnsi="Times New Roman" w:eastAsia="宋体" w:cs="Times New Roman"/>
                <w:color w:val="auto"/>
                <w:spacing w:val="-1"/>
                <w:sz w:val="24"/>
                <w:szCs w:val="24"/>
                <w:highlight w:val="none"/>
              </w:rPr>
              <w:t>压，以达到设计要求的规格尺寸等参数，压</w:t>
            </w:r>
            <w:r>
              <w:rPr>
                <w:rFonts w:hint="default" w:ascii="Times New Roman" w:hAnsi="Times New Roman" w:eastAsia="宋体" w:cs="Times New Roman"/>
                <w:color w:val="auto"/>
                <w:spacing w:val="-2"/>
                <w:sz w:val="24"/>
                <w:szCs w:val="24"/>
                <w:highlight w:val="none"/>
              </w:rPr>
              <w:t>铸机可以通过更换不同的模具生产不同规格型号的铸件。</w:t>
            </w:r>
            <w:r>
              <w:rPr>
                <w:rFonts w:hint="eastAsia" w:ascii="Times New Roman" w:hAnsi="Times New Roman" w:eastAsia="宋体" w:cs="Times New Roman"/>
                <w:color w:val="auto"/>
                <w:spacing w:val="-2"/>
                <w:sz w:val="24"/>
                <w:szCs w:val="24"/>
                <w:highlight w:val="none"/>
                <w:lang w:val="en-US" w:eastAsia="zh-CN"/>
              </w:rPr>
              <w:t>压铸过程产生废气含粉尘及少量挥发的脱模剂VOCs，</w:t>
            </w:r>
            <w:r>
              <w:rPr>
                <w:rFonts w:hint="eastAsia" w:ascii="Times New Roman" w:hAnsi="Times New Roman" w:cs="Times New Roman"/>
                <w:color w:val="auto"/>
                <w:spacing w:val="-2"/>
                <w:sz w:val="24"/>
                <w:szCs w:val="24"/>
                <w:highlight w:val="none"/>
                <w:lang w:val="en-US" w:eastAsia="zh-CN"/>
              </w:rPr>
              <w:t>与</w:t>
            </w:r>
            <w:r>
              <w:rPr>
                <w:rFonts w:hint="eastAsia" w:ascii="Times New Roman" w:hAnsi="Times New Roman" w:cs="Times New Roman"/>
                <w:color w:val="auto"/>
                <w:spacing w:val="-2"/>
                <w:sz w:val="24"/>
                <w:szCs w:val="24"/>
                <w:highlight w:val="none"/>
                <w:lang w:eastAsia="zh-CN"/>
              </w:rPr>
              <w:t>保温炉熔化废气一起进入布袋</w:t>
            </w:r>
            <w:r>
              <w:rPr>
                <w:rFonts w:hint="eastAsia" w:ascii="Times New Roman" w:hAnsi="Times New Roman" w:eastAsia="宋体" w:cs="Times New Roman"/>
                <w:color w:val="auto"/>
                <w:spacing w:val="-2"/>
                <w:sz w:val="24"/>
                <w:szCs w:val="24"/>
                <w:highlight w:val="none"/>
                <w:lang w:val="en-US" w:eastAsia="zh-CN"/>
              </w:rPr>
              <w:t>除尘</w:t>
            </w:r>
            <w:r>
              <w:rPr>
                <w:rFonts w:hint="eastAsia" w:ascii="Times New Roman" w:hAnsi="Times New Roman" w:cs="Times New Roman"/>
                <w:color w:val="auto"/>
                <w:spacing w:val="-2"/>
                <w:sz w:val="24"/>
                <w:szCs w:val="24"/>
                <w:highlight w:val="none"/>
                <w:lang w:val="en-US" w:eastAsia="zh-CN"/>
              </w:rPr>
              <w:t>系统</w:t>
            </w:r>
            <w:r>
              <w:rPr>
                <w:rFonts w:hint="eastAsia" w:ascii="Times New Roman" w:hAnsi="Times New Roman" w:eastAsia="宋体" w:cs="Times New Roman"/>
                <w:color w:val="auto"/>
                <w:spacing w:val="-2"/>
                <w:sz w:val="24"/>
                <w:szCs w:val="24"/>
                <w:highlight w:val="none"/>
                <w:lang w:val="en-US" w:eastAsia="zh-CN"/>
              </w:rPr>
              <w:t>处理。</w:t>
            </w:r>
          </w:p>
          <w:p w14:paraId="0D636A9C">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pacing w:val="-1"/>
                <w:sz w:val="24"/>
                <w:szCs w:val="24"/>
                <w:lang w:val="en-US" w:eastAsia="zh-CN"/>
              </w:rPr>
              <w:t>⑤</w:t>
            </w:r>
            <w:r>
              <w:rPr>
                <w:rFonts w:hint="default" w:ascii="Times New Roman" w:hAnsi="Times New Roman" w:eastAsia="宋体" w:cs="Times New Roman"/>
                <w:color w:val="auto"/>
                <w:spacing w:val="-1"/>
                <w:sz w:val="24"/>
                <w:szCs w:val="24"/>
              </w:rPr>
              <w:t>保压冷却、开模</w:t>
            </w:r>
          </w:p>
          <w:p w14:paraId="1F64EAE2">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镁合金溶液进入压铸机压铸后，需通过保压一定时间并经冷却后方可开模取出铸</w:t>
            </w:r>
            <w:r>
              <w:rPr>
                <w:rFonts w:hint="default" w:ascii="Times New Roman" w:hAnsi="Times New Roman" w:eastAsia="宋体" w:cs="Times New Roman"/>
                <w:color w:val="auto"/>
                <w:sz w:val="24"/>
                <w:szCs w:val="24"/>
              </w:rPr>
              <w:t>件，铸件取出采用取件机器人。本工序铸件冷却采用</w:t>
            </w:r>
            <w:r>
              <w:rPr>
                <w:rFonts w:hint="default" w:ascii="Times New Roman" w:hAnsi="Times New Roman" w:eastAsia="宋体" w:cs="Times New Roman"/>
                <w:color w:val="auto"/>
                <w:spacing w:val="-1"/>
                <w:sz w:val="24"/>
                <w:szCs w:val="24"/>
              </w:rPr>
              <w:t>冷却循环水间接冷却。</w:t>
            </w:r>
          </w:p>
          <w:p w14:paraId="66337721">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pacing w:val="-1"/>
                <w:sz w:val="24"/>
                <w:szCs w:val="24"/>
                <w:lang w:val="en-US" w:eastAsia="zh-CN"/>
              </w:rPr>
              <w:t>⑥</w:t>
            </w:r>
            <w:r>
              <w:rPr>
                <w:rFonts w:hint="default" w:ascii="Times New Roman" w:hAnsi="Times New Roman" w:eastAsia="宋体" w:cs="Times New Roman"/>
                <w:color w:val="auto"/>
                <w:spacing w:val="-1"/>
                <w:sz w:val="24"/>
                <w:szCs w:val="24"/>
              </w:rPr>
              <w:t>铸件清理、检测</w:t>
            </w:r>
          </w:p>
          <w:p w14:paraId="75E1C5E8">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rPr>
              <w:t>铸件取出后经过简单清理和外观检测后，符合要求的铸件运至机加工工段进行加</w:t>
            </w:r>
            <w:r>
              <w:rPr>
                <w:rFonts w:hint="default" w:ascii="Times New Roman" w:hAnsi="Times New Roman" w:eastAsia="宋体" w:cs="Times New Roman"/>
                <w:color w:val="auto"/>
                <w:spacing w:val="-7"/>
                <w:sz w:val="24"/>
                <w:szCs w:val="24"/>
              </w:rPr>
              <w:t>工。</w:t>
            </w:r>
            <w:r>
              <w:rPr>
                <w:rFonts w:hint="eastAsia" w:ascii="Times New Roman" w:hAnsi="Times New Roman" w:cs="Times New Roman"/>
                <w:color w:val="auto"/>
                <w:spacing w:val="-7"/>
                <w:sz w:val="24"/>
                <w:szCs w:val="24"/>
                <w:lang w:val="en-US" w:eastAsia="zh-CN"/>
              </w:rPr>
              <w:t>本工序会清理出少量镁合金废料，属于固体废物。</w:t>
            </w:r>
          </w:p>
          <w:p w14:paraId="4009A415">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pacing w:val="-1"/>
                <w:sz w:val="24"/>
                <w:szCs w:val="24"/>
                <w:lang w:val="en-US" w:eastAsia="zh-CN"/>
              </w:rPr>
              <w:t>⑦</w:t>
            </w:r>
            <w:r>
              <w:rPr>
                <w:rFonts w:hint="default" w:ascii="Times New Roman" w:hAnsi="Times New Roman" w:eastAsia="宋体" w:cs="Times New Roman"/>
                <w:color w:val="auto"/>
                <w:spacing w:val="-1"/>
                <w:sz w:val="24"/>
                <w:szCs w:val="24"/>
              </w:rPr>
              <w:t>压铸件机加工工段</w:t>
            </w:r>
          </w:p>
          <w:p w14:paraId="12906955">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rPr>
              <w:t>压铸成型的压铸件需要</w:t>
            </w:r>
            <w:r>
              <w:rPr>
                <w:rFonts w:hint="eastAsia" w:ascii="Times New Roman" w:hAnsi="Times New Roman" w:cs="Times New Roman"/>
                <w:color w:val="auto"/>
                <w:spacing w:val="-2"/>
                <w:sz w:val="24"/>
                <w:szCs w:val="24"/>
                <w:lang w:val="en-US" w:eastAsia="zh-CN"/>
              </w:rPr>
              <w:t>采用</w:t>
            </w:r>
            <w:r>
              <w:rPr>
                <w:rFonts w:hint="eastAsia" w:ascii="Times New Roman" w:hAnsi="Times New Roman" w:eastAsia="宋体" w:cs="Times New Roman"/>
                <w:color w:val="auto"/>
                <w:spacing w:val="-2"/>
                <w:sz w:val="24"/>
                <w:szCs w:val="24"/>
                <w:lang w:val="en-US" w:eastAsia="zh-CN"/>
              </w:rPr>
              <w:t>加工中心、钻床</w:t>
            </w:r>
            <w:r>
              <w:rPr>
                <w:rFonts w:hint="default" w:ascii="Times New Roman" w:hAnsi="Times New Roman" w:eastAsia="宋体" w:cs="Times New Roman"/>
                <w:color w:val="auto"/>
                <w:spacing w:val="-1"/>
                <w:sz w:val="24"/>
                <w:szCs w:val="24"/>
              </w:rPr>
              <w:t>等设备</w:t>
            </w:r>
            <w:r>
              <w:rPr>
                <w:rFonts w:hint="default" w:ascii="Times New Roman" w:hAnsi="Times New Roman" w:eastAsia="宋体" w:cs="Times New Roman"/>
                <w:color w:val="auto"/>
                <w:spacing w:val="-2"/>
                <w:sz w:val="24"/>
                <w:szCs w:val="24"/>
              </w:rPr>
              <w:t>机械加工处理，</w:t>
            </w:r>
            <w:r>
              <w:rPr>
                <w:rFonts w:hint="eastAsia" w:ascii="Times New Roman" w:hAnsi="Times New Roman" w:cs="Times New Roman"/>
                <w:color w:val="auto"/>
                <w:spacing w:val="-2"/>
                <w:sz w:val="24"/>
                <w:szCs w:val="24"/>
                <w:lang w:eastAsia="zh-CN"/>
              </w:rPr>
              <w:t>无表面处理加工工艺，</w:t>
            </w:r>
            <w:r>
              <w:rPr>
                <w:rFonts w:hint="eastAsia" w:ascii="Times New Roman" w:hAnsi="Times New Roman" w:eastAsia="宋体" w:cs="Times New Roman"/>
                <w:color w:val="auto"/>
                <w:spacing w:val="-2"/>
                <w:sz w:val="24"/>
                <w:szCs w:val="24"/>
                <w:lang w:val="en-US" w:eastAsia="zh-CN"/>
              </w:rPr>
              <w:t>加工中心、钻床</w:t>
            </w:r>
            <w:r>
              <w:rPr>
                <w:rFonts w:hint="default" w:ascii="Times New Roman" w:hAnsi="Times New Roman" w:eastAsia="宋体" w:cs="Times New Roman"/>
                <w:color w:val="auto"/>
                <w:spacing w:val="-1"/>
                <w:sz w:val="24"/>
                <w:szCs w:val="24"/>
              </w:rPr>
              <w:t>等设备</w:t>
            </w:r>
            <w:r>
              <w:rPr>
                <w:rFonts w:hint="eastAsia" w:ascii="Times New Roman" w:hAnsi="Times New Roman" w:cs="Times New Roman"/>
                <w:color w:val="auto"/>
                <w:spacing w:val="-1"/>
                <w:sz w:val="24"/>
                <w:szCs w:val="24"/>
                <w:lang w:eastAsia="zh-CN"/>
              </w:rPr>
              <w:t>少量</w:t>
            </w:r>
            <w:r>
              <w:rPr>
                <w:rFonts w:hint="eastAsia" w:ascii="Times New Roman" w:hAnsi="Times New Roman" w:cs="Times New Roman"/>
                <w:color w:val="auto"/>
                <w:spacing w:val="-2"/>
                <w:sz w:val="24"/>
                <w:szCs w:val="24"/>
                <w:lang w:val="en-US" w:eastAsia="zh-CN"/>
              </w:rPr>
              <w:t>使用水基切削液，</w:t>
            </w:r>
            <w:r>
              <w:rPr>
                <w:rFonts w:hint="eastAsia" w:ascii="Times New Roman" w:hAnsi="Times New Roman" w:eastAsia="宋体" w:cs="Times New Roman"/>
                <w:color w:val="auto"/>
                <w:spacing w:val="-2"/>
                <w:sz w:val="24"/>
                <w:szCs w:val="24"/>
                <w:lang w:val="en-US" w:eastAsia="zh-CN"/>
              </w:rPr>
              <w:t>产生</w:t>
            </w:r>
            <w:r>
              <w:rPr>
                <w:rFonts w:hint="default" w:ascii="Times New Roman" w:hAnsi="Times New Roman" w:eastAsia="宋体" w:cs="Times New Roman"/>
                <w:color w:val="auto"/>
                <w:spacing w:val="-2"/>
                <w:sz w:val="24"/>
                <w:szCs w:val="24"/>
              </w:rPr>
              <w:t>浇铸口</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排气槽等</w:t>
            </w:r>
            <w:r>
              <w:rPr>
                <w:rFonts w:hint="eastAsia" w:ascii="Times New Roman" w:hAnsi="Times New Roman" w:eastAsia="宋体" w:cs="Times New Roman"/>
                <w:color w:val="auto"/>
                <w:spacing w:val="-2"/>
                <w:sz w:val="24"/>
                <w:szCs w:val="24"/>
                <w:lang w:val="en-US" w:eastAsia="zh-CN"/>
              </w:rPr>
              <w:t>镁合金废料</w:t>
            </w:r>
            <w:r>
              <w:rPr>
                <w:rFonts w:hint="eastAsia" w:ascii="Times New Roman" w:hAnsi="Times New Roman" w:cs="Times New Roman"/>
                <w:color w:val="auto"/>
                <w:spacing w:val="-1"/>
                <w:sz w:val="24"/>
                <w:szCs w:val="24"/>
                <w:lang w:val="en-US" w:eastAsia="zh-CN"/>
              </w:rPr>
              <w:t>以及废切削液，无粉尘、油雾产生。</w:t>
            </w:r>
          </w:p>
          <w:p w14:paraId="28CDCB2E">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cs="Times New Roman"/>
                <w:color w:val="auto"/>
                <w:spacing w:val="-2"/>
                <w:sz w:val="24"/>
                <w:szCs w:val="24"/>
                <w:lang w:val="en-US" w:eastAsia="zh-CN"/>
              </w:rPr>
            </w:pPr>
            <w:r>
              <w:rPr>
                <w:rFonts w:hint="eastAsia" w:ascii="Times New Roman" w:hAnsi="Times New Roman" w:cs="Times New Roman"/>
                <w:color w:val="auto"/>
                <w:spacing w:val="-2"/>
                <w:sz w:val="24"/>
                <w:szCs w:val="24"/>
                <w:lang w:val="en-US" w:eastAsia="zh-CN"/>
              </w:rPr>
              <w:t>⑧检验</w:t>
            </w:r>
          </w:p>
          <w:p w14:paraId="76552AA4">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both"/>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机加工完成后对产品进行检验，不合格</w:t>
            </w:r>
            <w:r>
              <w:rPr>
                <w:rFonts w:hint="eastAsia" w:ascii="Times New Roman" w:hAnsi="Times New Roman" w:eastAsia="宋体" w:cs="Times New Roman"/>
                <w:color w:val="auto"/>
                <w:spacing w:val="-2"/>
                <w:sz w:val="24"/>
                <w:szCs w:val="24"/>
                <w:lang w:val="en-US" w:eastAsia="zh-CN"/>
              </w:rPr>
              <w:t>的</w:t>
            </w:r>
            <w:r>
              <w:rPr>
                <w:rFonts w:hint="eastAsia" w:ascii="Times New Roman" w:hAnsi="Times New Roman" w:cs="Times New Roman"/>
                <w:color w:val="auto"/>
                <w:spacing w:val="-2"/>
                <w:sz w:val="24"/>
                <w:szCs w:val="24"/>
                <w:lang w:val="en-US" w:eastAsia="zh-CN"/>
              </w:rPr>
              <w:t>废压铸件</w:t>
            </w:r>
            <w:r>
              <w:rPr>
                <w:rFonts w:hint="eastAsia" w:ascii="Times New Roman" w:hAnsi="Times New Roman" w:eastAsia="宋体" w:cs="Times New Roman"/>
                <w:color w:val="auto"/>
                <w:spacing w:val="-2"/>
                <w:sz w:val="24"/>
                <w:szCs w:val="24"/>
                <w:lang w:val="en-US" w:eastAsia="zh-CN"/>
              </w:rPr>
              <w:t>属于镁合金废料</w:t>
            </w:r>
            <w:r>
              <w:rPr>
                <w:rFonts w:hint="eastAsia" w:ascii="Times New Roman" w:hAnsi="Times New Roman" w:cs="Times New Roman"/>
                <w:color w:val="auto"/>
                <w:spacing w:val="-2"/>
                <w:sz w:val="24"/>
                <w:szCs w:val="24"/>
                <w:lang w:val="en-US" w:eastAsia="zh-CN"/>
              </w:rPr>
              <w:t>（固体废物）</w:t>
            </w:r>
            <w:r>
              <w:rPr>
                <w:rFonts w:hint="eastAsia"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rPr>
              <w:t>合格品包装入库。</w:t>
            </w:r>
          </w:p>
          <w:p w14:paraId="059CF718">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left"/>
              <w:textAlignment w:val="baseline"/>
              <w:outlineLvl w:val="9"/>
              <w:rPr>
                <w:rFonts w:hint="default" w:ascii="Times New Roman" w:hAnsi="Times New Roman" w:eastAsia="宋体" w:cs="Times New Roman"/>
                <w:snapToGrid w:val="0"/>
                <w:color w:val="auto"/>
                <w:spacing w:val="0"/>
                <w:sz w:val="24"/>
                <w:szCs w:val="24"/>
              </w:rPr>
            </w:pPr>
            <w:r>
              <w:rPr>
                <w:rFonts w:hint="default" w:ascii="Times New Roman" w:hAnsi="Times New Roman" w:eastAsia="宋体" w:cs="Times New Roman"/>
                <w:color w:val="auto"/>
                <w:spacing w:val="-1"/>
                <w:sz w:val="24"/>
                <w:szCs w:val="24"/>
              </w:rPr>
              <w:t>镁合金压铸件生产工艺流程及产污环节见图</w:t>
            </w:r>
            <w:r>
              <w:rPr>
                <w:rFonts w:hint="default" w:ascii="Times New Roman" w:hAnsi="Times New Roman" w:eastAsia="宋体" w:cs="Times New Roman"/>
                <w:snapToGrid w:val="0"/>
                <w:color w:val="auto"/>
                <w:spacing w:val="0"/>
                <w:sz w:val="24"/>
                <w:szCs w:val="24"/>
              </w:rPr>
              <w:t xml:space="preserve"> </w:t>
            </w:r>
            <w:r>
              <w:rPr>
                <w:rFonts w:hint="eastAsia" w:ascii="Times New Roman" w:hAnsi="Times New Roman" w:eastAsia="宋体" w:cs="Times New Roman"/>
                <w:snapToGrid w:val="0"/>
                <w:color w:val="auto"/>
                <w:spacing w:val="0"/>
                <w:sz w:val="24"/>
                <w:szCs w:val="24"/>
                <w:lang w:val="en-US" w:eastAsia="zh-CN"/>
              </w:rPr>
              <w:t>2-3</w:t>
            </w:r>
            <w:r>
              <w:rPr>
                <w:rFonts w:hint="default" w:ascii="Times New Roman" w:hAnsi="Times New Roman" w:eastAsia="宋体" w:cs="Times New Roman"/>
                <w:snapToGrid w:val="0"/>
                <w:color w:val="auto"/>
                <w:spacing w:val="0"/>
                <w:sz w:val="24"/>
                <w:szCs w:val="24"/>
              </w:rPr>
              <w:t>。</w:t>
            </w:r>
          </w:p>
          <w:p w14:paraId="34637FEB">
            <w:pPr>
              <w:pStyle w:val="6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outlineLvl w:val="9"/>
              <w:rPr>
                <w:rFonts w:hint="eastAsia" w:eastAsia="宋体"/>
                <w:color w:val="auto"/>
                <w:lang w:eastAsia="zh-CN"/>
              </w:rPr>
            </w:pPr>
            <w:r>
              <w:rPr>
                <w:rFonts w:hint="eastAsia" w:eastAsia="宋体"/>
                <w:color w:val="auto"/>
                <w:lang w:eastAsia="zh-CN"/>
              </w:rPr>
              <w:drawing>
                <wp:inline distT="0" distB="0" distL="114300" distR="114300">
                  <wp:extent cx="4105275" cy="4972050"/>
                  <wp:effectExtent l="0" t="0" r="9525" b="0"/>
                  <wp:docPr id="30" name="图片 30" descr="175082300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50823000417"/>
                          <pic:cNvPicPr>
                            <a:picLocks noChangeAspect="1"/>
                          </pic:cNvPicPr>
                        </pic:nvPicPr>
                        <pic:blipFill>
                          <a:blip r:embed="rId14"/>
                          <a:stretch>
                            <a:fillRect/>
                          </a:stretch>
                        </pic:blipFill>
                        <pic:spPr>
                          <a:xfrm>
                            <a:off x="0" y="0"/>
                            <a:ext cx="4105275" cy="4972050"/>
                          </a:xfrm>
                          <a:prstGeom prst="rect">
                            <a:avLst/>
                          </a:prstGeom>
                        </pic:spPr>
                      </pic:pic>
                    </a:graphicData>
                  </a:graphic>
                </wp:inline>
              </w:drawing>
            </w:r>
          </w:p>
          <w:p w14:paraId="3927AE5A">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center"/>
              <w:textAlignment w:val="baseline"/>
              <w:outlineLvl w:val="9"/>
              <w:rPr>
                <w:rFonts w:hint="eastAsia" w:ascii="黑体" w:hAnsi="黑体" w:eastAsia="黑体" w:cs="黑体"/>
                <w:color w:val="auto"/>
                <w:spacing w:val="-1"/>
                <w:lang w:val="en-US" w:eastAsia="zh-CN"/>
              </w:rPr>
            </w:pPr>
            <w:r>
              <w:rPr>
                <w:rFonts w:hint="eastAsia" w:ascii="黑体" w:hAnsi="黑体" w:eastAsia="黑体" w:cs="黑体"/>
                <w:color w:val="auto"/>
                <w:spacing w:val="-1"/>
                <w:lang w:val="en-US" w:eastAsia="zh-CN"/>
              </w:rPr>
              <w:t>图2-3  镁合金压铸件生产工艺流程及产污环节图</w:t>
            </w:r>
          </w:p>
          <w:p w14:paraId="10AC2B40">
            <w:pPr>
              <w:pStyle w:val="66"/>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jc w:val="both"/>
              <w:textAlignment w:val="baseline"/>
              <w:outlineLvl w:val="9"/>
              <w:rPr>
                <w:color w:val="auto"/>
              </w:rPr>
            </w:pPr>
            <w:r>
              <w:rPr>
                <w:color w:val="auto"/>
                <w:spacing w:val="-1"/>
              </w:rPr>
              <w:t>⑶ 镁合金颗粒生产工艺</w:t>
            </w:r>
          </w:p>
          <w:p w14:paraId="00782451">
            <w:pPr>
              <w:pStyle w:val="66"/>
              <w:spacing w:before="39" w:line="360" w:lineRule="auto"/>
              <w:ind w:left="115"/>
              <w:jc w:val="both"/>
              <w:rPr>
                <w:rFonts w:hint="eastAsia"/>
                <w:color w:val="auto"/>
                <w:spacing w:val="-2"/>
                <w:lang w:val="en-US" w:eastAsia="zh-CN"/>
              </w:rPr>
            </w:pPr>
            <w:r>
              <w:rPr>
                <w:color w:val="auto"/>
                <w:spacing w:val="-2"/>
              </w:rPr>
              <w:t>镁合金颗粒以</w:t>
            </w:r>
            <w:r>
              <w:rPr>
                <w:rFonts w:hint="eastAsia"/>
                <w:color w:val="auto"/>
                <w:spacing w:val="-2"/>
                <w:lang w:val="en-US" w:eastAsia="zh-CN"/>
              </w:rPr>
              <w:t>项目</w:t>
            </w:r>
            <w:r>
              <w:rPr>
                <w:rFonts w:hint="eastAsia"/>
                <w:color w:val="auto"/>
                <w:spacing w:val="-2"/>
                <w:lang w:val="en-US" w:eastAsia="zh-CN"/>
              </w:rPr>
              <w:t>外购高品质</w:t>
            </w:r>
            <w:r>
              <w:rPr>
                <w:color w:val="auto"/>
                <w:spacing w:val="-2"/>
              </w:rPr>
              <w:t>镁合金锭为生产原料，</w:t>
            </w:r>
            <w:r>
              <w:rPr>
                <w:rFonts w:hint="eastAsia"/>
                <w:color w:val="auto"/>
                <w:spacing w:val="-2"/>
                <w:lang w:val="en-US" w:eastAsia="zh-CN"/>
              </w:rPr>
              <w:t>以切削一体化系统生产线为设备，该设备主要将原料切削为直径</w:t>
            </w:r>
            <w:r>
              <w:rPr>
                <w:rFonts w:hint="default" w:ascii="Times New Roman" w:hAnsi="Times New Roman" w:cs="Times New Roman"/>
                <w:color w:val="auto"/>
                <w:spacing w:val="-2"/>
                <w:lang w:val="en-US" w:eastAsia="zh-CN"/>
              </w:rPr>
              <w:t>约1.5mm长度约4mm的长条状颗粒。</w:t>
            </w:r>
          </w:p>
          <w:p w14:paraId="186BBEF6">
            <w:pPr>
              <w:pStyle w:val="66"/>
              <w:spacing w:before="39" w:line="360" w:lineRule="auto"/>
              <w:ind w:left="115"/>
              <w:jc w:val="both"/>
              <w:rPr>
                <w:rFonts w:hint="default" w:eastAsia="宋体"/>
                <w:color w:val="auto"/>
                <w:spacing w:val="-2"/>
                <w:highlight w:val="none"/>
                <w:lang w:val="en-US" w:eastAsia="zh-CN"/>
              </w:rPr>
            </w:pPr>
            <w:r>
              <w:rPr>
                <w:rFonts w:hint="eastAsia"/>
                <w:color w:val="auto"/>
                <w:spacing w:val="-2"/>
                <w:lang w:val="en-US" w:eastAsia="zh-CN"/>
              </w:rPr>
              <w:t>原料先经过切削，</w:t>
            </w:r>
            <w:r>
              <w:rPr>
                <w:rFonts w:hint="eastAsia"/>
                <w:color w:val="auto"/>
                <w:spacing w:val="-2"/>
                <w:highlight w:val="none"/>
                <w:lang w:val="en-US" w:eastAsia="zh-CN"/>
              </w:rPr>
              <w:t>然后提升至料仓，再送至振动筛筛选，合格品</w:t>
            </w:r>
            <w:r>
              <w:rPr>
                <w:color w:val="auto"/>
                <w:spacing w:val="-1"/>
                <w:highlight w:val="none"/>
              </w:rPr>
              <w:t>按照防湿、防静电的要求</w:t>
            </w:r>
            <w:r>
              <w:rPr>
                <w:rFonts w:hint="eastAsia"/>
                <w:color w:val="auto"/>
                <w:spacing w:val="-2"/>
                <w:highlight w:val="none"/>
                <w:lang w:val="en-US" w:eastAsia="zh-CN"/>
              </w:rPr>
              <w:t>包装入库；粒径不合格的镁合金废料返回压铸车间保温炉熔化工序利用。</w:t>
            </w:r>
          </w:p>
          <w:p w14:paraId="1245A754">
            <w:pPr>
              <w:pStyle w:val="66"/>
              <w:spacing w:before="39" w:line="360" w:lineRule="auto"/>
              <w:jc w:val="both"/>
              <w:rPr>
                <w:rFonts w:hint="default" w:eastAsia="宋体"/>
                <w:color w:val="auto"/>
                <w:spacing w:val="-2"/>
                <w:lang w:val="en-US" w:eastAsia="zh-CN"/>
              </w:rPr>
            </w:pPr>
            <w:r>
              <w:rPr>
                <w:rFonts w:hint="eastAsia"/>
                <w:color w:val="auto"/>
                <w:spacing w:val="-2"/>
                <w:lang w:val="en-US" w:eastAsia="zh-CN"/>
              </w:rPr>
              <w:t>该切削生产线切削和筛选过程为干式，切削和筛选过程有粉尘产生，配套有除尘系统在车间内排放，除尘系统由设备自带的旋风除尘器+水浴除尘箱组成。</w:t>
            </w:r>
          </w:p>
          <w:p w14:paraId="3C88AF76">
            <w:pPr>
              <w:keepNext w:val="0"/>
              <w:keepLines w:val="0"/>
              <w:pageBreakBefore w:val="0"/>
              <w:widowControl w:val="0"/>
              <w:kinsoku/>
              <w:wordWrap/>
              <w:overflowPunct/>
              <w:topLinePunct w:val="0"/>
              <w:autoSpaceDE/>
              <w:autoSpaceDN/>
              <w:bidi w:val="0"/>
              <w:adjustRightInd w:val="0"/>
              <w:snapToGrid w:val="0"/>
              <w:spacing w:line="360" w:lineRule="auto"/>
              <w:ind w:left="0" w:firstLine="476" w:firstLineChars="200"/>
              <w:jc w:val="both"/>
              <w:textAlignment w:val="auto"/>
              <w:rPr>
                <w:rFonts w:hint="eastAsia" w:ascii="Times New Roman" w:hAnsi="Times New Roman" w:eastAsia="宋体" w:cs="Times New Roman"/>
                <w:color w:val="auto"/>
                <w:spacing w:val="-2"/>
                <w:kern w:val="2"/>
                <w:sz w:val="24"/>
                <w:szCs w:val="24"/>
                <w:lang w:val="en-US" w:eastAsia="zh-CN" w:bidi="ar-SA"/>
              </w:rPr>
            </w:pPr>
            <w:r>
              <w:rPr>
                <w:color w:val="auto"/>
                <w:spacing w:val="-1"/>
              </w:rPr>
              <w:t>镁合金颗粒生产工艺流程及产污环节见图</w:t>
            </w:r>
            <w:r>
              <w:rPr>
                <w:rFonts w:hint="eastAsia" w:ascii="Times New Roman" w:hAnsi="Times New Roman" w:eastAsia="宋体" w:cs="Times New Roman"/>
                <w:color w:val="auto"/>
                <w:spacing w:val="-2"/>
                <w:kern w:val="2"/>
                <w:sz w:val="24"/>
                <w:szCs w:val="24"/>
                <w:lang w:val="en-US" w:eastAsia="zh-CN" w:bidi="ar-SA"/>
              </w:rPr>
              <w:t>2-4</w:t>
            </w:r>
            <w:r>
              <w:rPr>
                <w:rFonts w:hint="default" w:ascii="Times New Roman" w:hAnsi="Times New Roman" w:eastAsia="宋体" w:cs="Times New Roman"/>
                <w:color w:val="auto"/>
                <w:spacing w:val="-2"/>
                <w:kern w:val="2"/>
                <w:sz w:val="24"/>
                <w:szCs w:val="24"/>
                <w:lang w:val="en-US" w:eastAsia="zh-CN" w:bidi="ar-SA"/>
              </w:rPr>
              <w:t>。</w:t>
            </w:r>
          </w:p>
          <w:p w14:paraId="078EC376">
            <w:pPr>
              <w:keepNext w:val="0"/>
              <w:keepLines w:val="0"/>
              <w:pageBreakBefore w:val="0"/>
              <w:widowControl w:val="0"/>
              <w:kinsoku/>
              <w:wordWrap/>
              <w:overflowPunct/>
              <w:topLinePunct w:val="0"/>
              <w:autoSpaceDE/>
              <w:autoSpaceDN/>
              <w:bidi w:val="0"/>
              <w:adjustRightInd w:val="0"/>
              <w:snapToGrid w:val="0"/>
              <w:spacing w:line="360" w:lineRule="auto"/>
              <w:ind w:left="0" w:firstLine="472" w:firstLineChars="200"/>
              <w:jc w:val="center"/>
              <w:textAlignment w:val="auto"/>
              <w:rPr>
                <w:rFonts w:hint="eastAsia" w:ascii="Times New Roman" w:hAnsi="Times New Roman" w:eastAsia="宋体" w:cs="Times New Roman"/>
                <w:color w:val="auto"/>
                <w:spacing w:val="-2"/>
                <w:kern w:val="2"/>
                <w:sz w:val="24"/>
                <w:szCs w:val="24"/>
                <w:lang w:val="en-US" w:eastAsia="zh-CN" w:bidi="ar-SA"/>
              </w:rPr>
            </w:pPr>
            <w:r>
              <w:rPr>
                <w:rFonts w:hint="eastAsia" w:ascii="Times New Roman" w:hAnsi="Times New Roman" w:eastAsia="宋体" w:cs="Times New Roman"/>
                <w:color w:val="auto"/>
                <w:spacing w:val="-2"/>
                <w:kern w:val="2"/>
                <w:sz w:val="24"/>
                <w:szCs w:val="24"/>
                <w:lang w:val="en-US" w:eastAsia="zh-CN" w:bidi="ar-SA"/>
              </w:rPr>
              <w:drawing>
                <wp:inline distT="0" distB="0" distL="114300" distR="114300">
                  <wp:extent cx="3028950" cy="2505075"/>
                  <wp:effectExtent l="0" t="0" r="0" b="9525"/>
                  <wp:docPr id="31" name="图片 31" descr="175082347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50823478765"/>
                          <pic:cNvPicPr>
                            <a:picLocks noChangeAspect="1"/>
                          </pic:cNvPicPr>
                        </pic:nvPicPr>
                        <pic:blipFill>
                          <a:blip r:embed="rId15"/>
                          <a:stretch>
                            <a:fillRect/>
                          </a:stretch>
                        </pic:blipFill>
                        <pic:spPr>
                          <a:xfrm>
                            <a:off x="0" y="0"/>
                            <a:ext cx="3028950" cy="2505075"/>
                          </a:xfrm>
                          <a:prstGeom prst="rect">
                            <a:avLst/>
                          </a:prstGeom>
                        </pic:spPr>
                      </pic:pic>
                    </a:graphicData>
                  </a:graphic>
                </wp:inline>
              </w:drawing>
            </w:r>
          </w:p>
          <w:p w14:paraId="19627C2A">
            <w:pPr>
              <w:pStyle w:val="57"/>
              <w:spacing w:line="360" w:lineRule="auto"/>
              <w:rPr>
                <w:color w:val="auto"/>
              </w:rPr>
            </w:pPr>
            <w:r>
              <w:rPr>
                <w:rFonts w:hint="eastAsia"/>
                <w:color w:val="auto"/>
                <w:sz w:val="24"/>
                <w:szCs w:val="24"/>
                <w:lang w:val="en-US" w:eastAsia="zh-CN"/>
              </w:rPr>
              <w:t xml:space="preserve">图2-4  </w:t>
            </w:r>
            <w:r>
              <w:rPr>
                <w:color w:val="auto"/>
                <w:spacing w:val="-1"/>
                <w:sz w:val="24"/>
                <w:szCs w:val="24"/>
              </w:rPr>
              <w:t>镁合金颗粒生产工艺流程及产污环节</w:t>
            </w:r>
          </w:p>
          <w:p w14:paraId="6623D26B">
            <w:pPr>
              <w:spacing w:line="360" w:lineRule="auto"/>
              <w:ind w:left="0" w:leftChars="0" w:firstLine="720" w:firstLineChars="300"/>
              <w:jc w:val="both"/>
              <w:rPr>
                <w:rFonts w:hint="eastAsia"/>
                <w:color w:val="auto"/>
                <w:lang w:val="en-US" w:eastAsia="zh-CN"/>
              </w:rPr>
            </w:pPr>
            <w:r>
              <w:rPr>
                <w:rFonts w:hint="eastAsia"/>
                <w:color w:val="auto"/>
                <w:lang w:val="en-US" w:eastAsia="zh-CN"/>
              </w:rPr>
              <w:t>综上，本项目产污环节表如下。</w:t>
            </w:r>
          </w:p>
          <w:p w14:paraId="6CA973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color w:val="auto"/>
                <w:lang w:val="en-US" w:eastAsia="zh-CN"/>
              </w:rPr>
            </w:pPr>
            <w:r>
              <w:rPr>
                <w:rFonts w:hint="eastAsia"/>
                <w:b/>
                <w:bCs/>
                <w:color w:val="auto"/>
                <w:lang w:val="en-US" w:eastAsia="zh-CN"/>
              </w:rPr>
              <w:t>表2-15  项目运营期产污环节一览表</w:t>
            </w:r>
          </w:p>
          <w:tbl>
            <w:tblPr>
              <w:tblStyle w:val="25"/>
              <w:tblpPr w:leftFromText="180" w:rightFromText="180" w:vertAnchor="text" w:horzAnchor="page" w:tblpX="109" w:tblpY="285"/>
              <w:tblOverlap w:val="never"/>
              <w:tblW w:w="49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56"/>
              <w:gridCol w:w="1769"/>
              <w:gridCol w:w="2539"/>
              <w:gridCol w:w="1958"/>
            </w:tblGrid>
            <w:tr w14:paraId="490A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noWrap w:val="0"/>
                  <w:vAlign w:val="center"/>
                </w:tcPr>
                <w:p w14:paraId="7EDC66F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bCs/>
                      <w:color w:val="auto"/>
                      <w:spacing w:val="-7"/>
                      <w:kern w:val="2"/>
                      <w:sz w:val="21"/>
                      <w:szCs w:val="21"/>
                      <w:highlight w:val="none"/>
                      <w:vertAlign w:val="baseline"/>
                      <w:lang w:val="en-US" w:eastAsia="zh-CN" w:bidi="ar-SA"/>
                    </w:rPr>
                  </w:pPr>
                  <w:r>
                    <w:rPr>
                      <w:rFonts w:hint="eastAsia" w:eastAsia="宋体" w:cs="Times New Roman"/>
                      <w:b/>
                      <w:bCs/>
                      <w:color w:val="auto"/>
                      <w:spacing w:val="-7"/>
                      <w:kern w:val="2"/>
                      <w:sz w:val="21"/>
                      <w:szCs w:val="21"/>
                      <w:highlight w:val="none"/>
                      <w:vertAlign w:val="baseline"/>
                      <w:lang w:val="en-US" w:eastAsia="zh-CN" w:bidi="ar-SA"/>
                    </w:rPr>
                    <w:t>类别</w:t>
                  </w:r>
                </w:p>
              </w:tc>
              <w:tc>
                <w:tcPr>
                  <w:tcW w:w="870" w:type="pct"/>
                  <w:noWrap w:val="0"/>
                  <w:vAlign w:val="center"/>
                </w:tcPr>
                <w:p w14:paraId="75F10DE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bCs/>
                      <w:color w:val="auto"/>
                      <w:spacing w:val="-7"/>
                      <w:kern w:val="2"/>
                      <w:sz w:val="21"/>
                      <w:szCs w:val="21"/>
                      <w:highlight w:val="none"/>
                      <w:vertAlign w:val="baseline"/>
                      <w:lang w:val="en-US" w:eastAsia="zh-CN" w:bidi="ar-SA"/>
                    </w:rPr>
                  </w:pPr>
                  <w:r>
                    <w:rPr>
                      <w:rFonts w:hint="eastAsia" w:eastAsia="宋体" w:cs="Times New Roman"/>
                      <w:b/>
                      <w:bCs/>
                      <w:color w:val="auto"/>
                      <w:spacing w:val="-7"/>
                      <w:kern w:val="2"/>
                      <w:sz w:val="21"/>
                      <w:szCs w:val="21"/>
                      <w:highlight w:val="none"/>
                      <w:vertAlign w:val="baseline"/>
                      <w:lang w:val="en-US" w:eastAsia="zh-CN" w:bidi="ar-SA"/>
                    </w:rPr>
                    <w:t>污染源</w:t>
                  </w:r>
                </w:p>
              </w:tc>
              <w:tc>
                <w:tcPr>
                  <w:tcW w:w="1057" w:type="pct"/>
                  <w:noWrap w:val="0"/>
                  <w:vAlign w:val="center"/>
                </w:tcPr>
                <w:p w14:paraId="286B2A47">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bCs/>
                      <w:color w:val="auto"/>
                      <w:spacing w:val="-7"/>
                      <w:kern w:val="2"/>
                      <w:sz w:val="21"/>
                      <w:szCs w:val="21"/>
                      <w:highlight w:val="none"/>
                      <w:vertAlign w:val="baseline"/>
                      <w:lang w:val="en-US" w:eastAsia="zh-CN" w:bidi="ar-SA"/>
                    </w:rPr>
                  </w:pPr>
                  <w:r>
                    <w:rPr>
                      <w:rFonts w:hint="eastAsia" w:eastAsia="宋体" w:cs="Times New Roman"/>
                      <w:b/>
                      <w:bCs/>
                      <w:color w:val="auto"/>
                      <w:spacing w:val="-7"/>
                      <w:kern w:val="2"/>
                      <w:sz w:val="21"/>
                      <w:szCs w:val="21"/>
                      <w:highlight w:val="none"/>
                      <w:vertAlign w:val="baseline"/>
                      <w:lang w:val="en-US" w:eastAsia="zh-CN" w:bidi="ar-SA"/>
                    </w:rPr>
                    <w:t>产污环节</w:t>
                  </w:r>
                </w:p>
              </w:tc>
              <w:tc>
                <w:tcPr>
                  <w:tcW w:w="1517" w:type="pct"/>
                  <w:noWrap w:val="0"/>
                  <w:vAlign w:val="center"/>
                </w:tcPr>
                <w:p w14:paraId="629A4DED">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bCs/>
                      <w:color w:val="auto"/>
                      <w:spacing w:val="-7"/>
                      <w:kern w:val="2"/>
                      <w:sz w:val="21"/>
                      <w:szCs w:val="21"/>
                      <w:highlight w:val="none"/>
                      <w:vertAlign w:val="baseline"/>
                      <w:lang w:val="en-US" w:eastAsia="zh-CN" w:bidi="ar-SA"/>
                    </w:rPr>
                  </w:pPr>
                  <w:r>
                    <w:rPr>
                      <w:rFonts w:hint="eastAsia" w:eastAsia="宋体" w:cs="Times New Roman"/>
                      <w:b/>
                      <w:bCs/>
                      <w:color w:val="auto"/>
                      <w:spacing w:val="-7"/>
                      <w:kern w:val="2"/>
                      <w:sz w:val="21"/>
                      <w:szCs w:val="21"/>
                      <w:highlight w:val="none"/>
                      <w:vertAlign w:val="baseline"/>
                      <w:lang w:val="en-US" w:eastAsia="zh-CN" w:bidi="ar-SA"/>
                    </w:rPr>
                    <w:t>主要污染物</w:t>
                  </w:r>
                </w:p>
              </w:tc>
              <w:tc>
                <w:tcPr>
                  <w:tcW w:w="1170" w:type="pct"/>
                  <w:noWrap w:val="0"/>
                  <w:vAlign w:val="center"/>
                </w:tcPr>
                <w:p w14:paraId="08E4AA0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bCs/>
                      <w:color w:val="auto"/>
                      <w:spacing w:val="-7"/>
                      <w:kern w:val="2"/>
                      <w:sz w:val="21"/>
                      <w:szCs w:val="21"/>
                      <w:highlight w:val="none"/>
                      <w:vertAlign w:val="baseline"/>
                      <w:lang w:val="en-US" w:eastAsia="zh-CN" w:bidi="ar-SA"/>
                    </w:rPr>
                  </w:pPr>
                  <w:r>
                    <w:rPr>
                      <w:rFonts w:hint="eastAsia" w:eastAsia="宋体" w:cs="Times New Roman"/>
                      <w:b/>
                      <w:bCs/>
                      <w:color w:val="auto"/>
                      <w:spacing w:val="-7"/>
                      <w:kern w:val="2"/>
                      <w:sz w:val="21"/>
                      <w:szCs w:val="21"/>
                      <w:highlight w:val="none"/>
                      <w:vertAlign w:val="baseline"/>
                      <w:lang w:val="en-US" w:eastAsia="zh-CN" w:bidi="ar-SA"/>
                    </w:rPr>
                    <w:t>污染治理措施</w:t>
                  </w:r>
                </w:p>
              </w:tc>
            </w:tr>
            <w:tr w14:paraId="4503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restart"/>
                  <w:noWrap w:val="0"/>
                  <w:vAlign w:val="center"/>
                </w:tcPr>
                <w:p w14:paraId="33AC5354">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废气</w:t>
                  </w:r>
                </w:p>
              </w:tc>
              <w:tc>
                <w:tcPr>
                  <w:tcW w:w="870" w:type="pct"/>
                  <w:noWrap w:val="0"/>
                  <w:vAlign w:val="center"/>
                </w:tcPr>
                <w:p w14:paraId="0805A79C">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熔炼炉、铸锭机</w:t>
                  </w:r>
                </w:p>
              </w:tc>
              <w:tc>
                <w:tcPr>
                  <w:tcW w:w="1057" w:type="pct"/>
                  <w:noWrap w:val="0"/>
                  <w:vAlign w:val="center"/>
                </w:tcPr>
                <w:p w14:paraId="677242F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熔炼、浇铸</w:t>
                  </w:r>
                </w:p>
              </w:tc>
              <w:tc>
                <w:tcPr>
                  <w:tcW w:w="1517" w:type="pct"/>
                  <w:noWrap w:val="0"/>
                  <w:vAlign w:val="center"/>
                </w:tcPr>
                <w:p w14:paraId="74E44433">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颗粒物</w:t>
                  </w:r>
                  <w:r>
                    <w:rPr>
                      <w:rFonts w:hint="eastAsia" w:cs="Times New Roman"/>
                      <w:b w:val="0"/>
                      <w:bCs w:val="0"/>
                      <w:color w:val="auto"/>
                      <w:spacing w:val="-7"/>
                      <w:kern w:val="2"/>
                      <w:sz w:val="21"/>
                      <w:szCs w:val="21"/>
                      <w:highlight w:val="none"/>
                      <w:vertAlign w:val="baseline"/>
                      <w:lang w:val="en-US" w:eastAsia="zh-CN" w:bidi="ar-SA"/>
                    </w:rPr>
                    <w:t>，少量</w:t>
                  </w:r>
                  <w:r>
                    <w:rPr>
                      <w:rFonts w:hint="eastAsia" w:eastAsia="宋体" w:cs="Times New Roman"/>
                      <w:b w:val="0"/>
                      <w:bCs w:val="0"/>
                      <w:color w:val="auto"/>
                      <w:spacing w:val="-7"/>
                      <w:kern w:val="2"/>
                      <w:sz w:val="21"/>
                      <w:szCs w:val="21"/>
                      <w:highlight w:val="none"/>
                      <w:vertAlign w:val="baseline"/>
                      <w:lang w:val="en-US" w:eastAsia="zh-CN" w:bidi="ar-SA"/>
                    </w:rPr>
                    <w:t>HCl、氟化物</w:t>
                  </w:r>
                </w:p>
              </w:tc>
              <w:tc>
                <w:tcPr>
                  <w:tcW w:w="1170" w:type="pct"/>
                  <w:noWrap w:val="0"/>
                  <w:vAlign w:val="center"/>
                </w:tcPr>
                <w:p w14:paraId="4ECD3930">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0"/>
                      <w:kern w:val="2"/>
                      <w:sz w:val="21"/>
                      <w:szCs w:val="21"/>
                      <w:highlight w:val="none"/>
                      <w:vertAlign w:val="baseline"/>
                      <w:lang w:val="en-US" w:eastAsia="zh-CN" w:bidi="ar-SA"/>
                    </w:rPr>
                  </w:pPr>
                  <w:r>
                    <w:rPr>
                      <w:rFonts w:hint="eastAsia" w:eastAsia="宋体" w:cs="Times New Roman"/>
                      <w:b w:val="0"/>
                      <w:bCs w:val="0"/>
                      <w:color w:val="auto"/>
                      <w:spacing w:val="0"/>
                      <w:kern w:val="2"/>
                      <w:sz w:val="21"/>
                      <w:szCs w:val="21"/>
                      <w:highlight w:val="none"/>
                      <w:vertAlign w:val="baseline"/>
                      <w:lang w:val="en-US" w:eastAsia="zh-CN" w:bidi="ar-SA"/>
                    </w:rPr>
                    <w:t>布袋除尘</w:t>
                  </w:r>
                </w:p>
              </w:tc>
            </w:tr>
            <w:tr w14:paraId="49A1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185871B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870" w:type="pct"/>
                  <w:noWrap w:val="0"/>
                  <w:vAlign w:val="center"/>
                </w:tcPr>
                <w:p w14:paraId="5DFF678C">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r>
                    <w:rPr>
                      <w:rFonts w:hint="eastAsia" w:cs="Times New Roman"/>
                      <w:b w:val="0"/>
                      <w:bCs w:val="0"/>
                      <w:color w:val="auto"/>
                      <w:spacing w:val="-7"/>
                      <w:kern w:val="2"/>
                      <w:sz w:val="21"/>
                      <w:szCs w:val="21"/>
                      <w:highlight w:val="none"/>
                      <w:vertAlign w:val="baseline"/>
                      <w:lang w:val="en-US" w:eastAsia="zh-CN" w:bidi="ar-SA"/>
                    </w:rPr>
                    <w:t>熔炼炉</w:t>
                  </w:r>
                </w:p>
              </w:tc>
              <w:tc>
                <w:tcPr>
                  <w:tcW w:w="1057" w:type="pct"/>
                  <w:noWrap w:val="0"/>
                  <w:vAlign w:val="center"/>
                </w:tcPr>
                <w:p w14:paraId="0E8B7623">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熔炼荒煤气燃烧</w:t>
                  </w:r>
                </w:p>
              </w:tc>
              <w:tc>
                <w:tcPr>
                  <w:tcW w:w="1517" w:type="pct"/>
                  <w:noWrap w:val="0"/>
                  <w:vAlign w:val="center"/>
                </w:tcPr>
                <w:p w14:paraId="6F98D73D">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颗粒物、SO</w:t>
                  </w:r>
                  <w:r>
                    <w:rPr>
                      <w:rFonts w:hint="eastAsia" w:eastAsia="宋体" w:cs="Times New Roman"/>
                      <w:b w:val="0"/>
                      <w:bCs w:val="0"/>
                      <w:color w:val="auto"/>
                      <w:spacing w:val="-7"/>
                      <w:kern w:val="2"/>
                      <w:sz w:val="21"/>
                      <w:szCs w:val="21"/>
                      <w:highlight w:val="none"/>
                      <w:vertAlign w:val="subscript"/>
                      <w:lang w:val="en-US" w:eastAsia="zh-CN" w:bidi="ar-SA"/>
                    </w:rPr>
                    <w:t>2</w:t>
                  </w:r>
                  <w:r>
                    <w:rPr>
                      <w:rFonts w:hint="eastAsia" w:eastAsia="宋体" w:cs="Times New Roman"/>
                      <w:b w:val="0"/>
                      <w:bCs w:val="0"/>
                      <w:color w:val="auto"/>
                      <w:spacing w:val="-7"/>
                      <w:kern w:val="2"/>
                      <w:sz w:val="21"/>
                      <w:szCs w:val="21"/>
                      <w:highlight w:val="none"/>
                      <w:vertAlign w:val="baseline"/>
                      <w:lang w:val="en-US" w:eastAsia="zh-CN" w:bidi="ar-SA"/>
                    </w:rPr>
                    <w:t>、NO</w:t>
                  </w:r>
                  <w:r>
                    <w:rPr>
                      <w:rFonts w:hint="eastAsia" w:eastAsia="宋体" w:cs="Times New Roman"/>
                      <w:b w:val="0"/>
                      <w:bCs w:val="0"/>
                      <w:color w:val="auto"/>
                      <w:spacing w:val="-7"/>
                      <w:kern w:val="2"/>
                      <w:sz w:val="21"/>
                      <w:szCs w:val="21"/>
                      <w:highlight w:val="none"/>
                      <w:vertAlign w:val="subscript"/>
                      <w:lang w:val="en-US" w:eastAsia="zh-CN" w:bidi="ar-SA"/>
                    </w:rPr>
                    <w:t>x</w:t>
                  </w:r>
                </w:p>
              </w:tc>
              <w:tc>
                <w:tcPr>
                  <w:tcW w:w="1170" w:type="pct"/>
                  <w:noWrap w:val="0"/>
                  <w:vAlign w:val="center"/>
                </w:tcPr>
                <w:p w14:paraId="1E5AA60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eastAsia="宋体" w:cs="Times New Roman"/>
                      <w:b w:val="0"/>
                      <w:bCs w:val="0"/>
                      <w:color w:val="auto"/>
                      <w:spacing w:val="0"/>
                      <w:kern w:val="2"/>
                      <w:sz w:val="21"/>
                      <w:szCs w:val="21"/>
                      <w:highlight w:val="none"/>
                      <w:vertAlign w:val="baseline"/>
                      <w:lang w:val="en-US" w:eastAsia="zh-CN" w:bidi="ar-SA"/>
                    </w:rPr>
                  </w:pPr>
                  <w:r>
                    <w:rPr>
                      <w:rFonts w:hint="eastAsia" w:cs="Times New Roman"/>
                      <w:b w:val="0"/>
                      <w:bCs w:val="0"/>
                      <w:color w:val="auto"/>
                      <w:spacing w:val="0"/>
                      <w:kern w:val="2"/>
                      <w:sz w:val="21"/>
                      <w:szCs w:val="21"/>
                      <w:highlight w:val="none"/>
                      <w:vertAlign w:val="baseline"/>
                      <w:lang w:val="en-US" w:eastAsia="zh-CN" w:bidi="ar-SA"/>
                    </w:rPr>
                    <w:t>湿式脱硫除尘、</w:t>
                  </w:r>
                  <w:r>
                    <w:rPr>
                      <w:rFonts w:hint="eastAsia" w:cs="Times New Roman"/>
                      <w:b w:val="0"/>
                      <w:bCs w:val="0"/>
                      <w:color w:val="auto"/>
                      <w:spacing w:val="0"/>
                      <w:kern w:val="2"/>
                      <w:sz w:val="21"/>
                      <w:szCs w:val="21"/>
                      <w:highlight w:val="none"/>
                      <w:vertAlign w:val="baseline"/>
                      <w:lang w:val="en-US" w:eastAsia="zh-CN" w:bidi="ar-SA"/>
                    </w:rPr>
                    <w:t>低氮燃烧</w:t>
                  </w:r>
                </w:p>
              </w:tc>
            </w:tr>
            <w:tr w14:paraId="4E02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7448EADB">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870" w:type="pct"/>
                  <w:shd w:val="clear" w:color="auto" w:fill="auto"/>
                  <w:noWrap w:val="0"/>
                  <w:vAlign w:val="center"/>
                </w:tcPr>
                <w:p w14:paraId="09F1F3D3">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压铸机、</w:t>
                  </w:r>
                  <w:r>
                    <w:rPr>
                      <w:rFonts w:hint="eastAsia" w:cs="Times New Roman"/>
                      <w:b w:val="0"/>
                      <w:bCs w:val="0"/>
                      <w:color w:val="auto"/>
                      <w:spacing w:val="-7"/>
                      <w:kern w:val="2"/>
                      <w:sz w:val="21"/>
                      <w:szCs w:val="21"/>
                      <w:highlight w:val="none"/>
                      <w:vertAlign w:val="baseline"/>
                      <w:lang w:val="en-US" w:eastAsia="zh-CN" w:bidi="ar-SA"/>
                    </w:rPr>
                    <w:t>熔化</w:t>
                  </w:r>
                  <w:r>
                    <w:rPr>
                      <w:rFonts w:hint="eastAsia" w:eastAsia="宋体" w:cs="Times New Roman"/>
                      <w:b w:val="0"/>
                      <w:bCs w:val="0"/>
                      <w:color w:val="auto"/>
                      <w:spacing w:val="-7"/>
                      <w:kern w:val="2"/>
                      <w:sz w:val="21"/>
                      <w:szCs w:val="21"/>
                      <w:highlight w:val="none"/>
                      <w:vertAlign w:val="baseline"/>
                      <w:lang w:val="en-US" w:eastAsia="zh-CN" w:bidi="ar-SA"/>
                    </w:rPr>
                    <w:t>保温炉</w:t>
                  </w:r>
                </w:p>
              </w:tc>
              <w:tc>
                <w:tcPr>
                  <w:tcW w:w="1057" w:type="pct"/>
                  <w:shd w:val="clear" w:color="auto" w:fill="auto"/>
                  <w:noWrap w:val="0"/>
                  <w:vAlign w:val="center"/>
                </w:tcPr>
                <w:p w14:paraId="65C7D40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压铸、</w:t>
                  </w:r>
                  <w:r>
                    <w:rPr>
                      <w:rFonts w:hint="eastAsia" w:cs="Times New Roman"/>
                      <w:b w:val="0"/>
                      <w:bCs w:val="0"/>
                      <w:color w:val="auto"/>
                      <w:spacing w:val="-7"/>
                      <w:kern w:val="2"/>
                      <w:sz w:val="21"/>
                      <w:szCs w:val="21"/>
                      <w:highlight w:val="none"/>
                      <w:vertAlign w:val="baseline"/>
                      <w:lang w:val="en-US" w:eastAsia="zh-CN" w:bidi="ar-SA"/>
                    </w:rPr>
                    <w:t>熔化</w:t>
                  </w:r>
                </w:p>
              </w:tc>
              <w:tc>
                <w:tcPr>
                  <w:tcW w:w="1517" w:type="pct"/>
                  <w:shd w:val="clear" w:color="auto" w:fill="auto"/>
                  <w:noWrap w:val="0"/>
                  <w:vAlign w:val="center"/>
                </w:tcPr>
                <w:p w14:paraId="35A417E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颗粒物、VOCs</w:t>
                  </w:r>
                </w:p>
              </w:tc>
              <w:tc>
                <w:tcPr>
                  <w:tcW w:w="1170" w:type="pct"/>
                  <w:shd w:val="clear" w:color="auto" w:fill="auto"/>
                  <w:noWrap w:val="0"/>
                  <w:vAlign w:val="center"/>
                </w:tcPr>
                <w:p w14:paraId="0299D656">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cs="Times New Roman"/>
                      <w:b w:val="0"/>
                      <w:bCs w:val="0"/>
                      <w:color w:val="auto"/>
                      <w:spacing w:val="0"/>
                      <w:kern w:val="2"/>
                      <w:sz w:val="21"/>
                      <w:szCs w:val="21"/>
                      <w:highlight w:val="none"/>
                      <w:vertAlign w:val="baseline"/>
                      <w:lang w:val="en-US" w:eastAsia="zh-CN" w:bidi="ar-SA"/>
                    </w:rPr>
                    <w:t>布袋</w:t>
                  </w:r>
                  <w:r>
                    <w:rPr>
                      <w:rFonts w:hint="eastAsia" w:eastAsia="宋体" w:cs="Times New Roman"/>
                      <w:b w:val="0"/>
                      <w:bCs w:val="0"/>
                      <w:color w:val="auto"/>
                      <w:spacing w:val="0"/>
                      <w:kern w:val="2"/>
                      <w:sz w:val="21"/>
                      <w:szCs w:val="21"/>
                      <w:highlight w:val="none"/>
                      <w:vertAlign w:val="baseline"/>
                      <w:lang w:val="en-US" w:eastAsia="zh-CN" w:bidi="ar-SA"/>
                    </w:rPr>
                    <w:t>除尘</w:t>
                  </w:r>
                </w:p>
              </w:tc>
            </w:tr>
            <w:tr w14:paraId="4B30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4A469516">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870" w:type="pct"/>
                  <w:noWrap w:val="0"/>
                  <w:vAlign w:val="center"/>
                </w:tcPr>
                <w:p w14:paraId="4918F69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cs="Times New Roman"/>
                      <w:b w:val="0"/>
                      <w:bCs w:val="0"/>
                      <w:color w:val="auto"/>
                      <w:spacing w:val="-7"/>
                      <w:kern w:val="2"/>
                      <w:sz w:val="21"/>
                      <w:szCs w:val="21"/>
                      <w:highlight w:val="none"/>
                      <w:vertAlign w:val="baseline"/>
                      <w:lang w:val="en-US" w:eastAsia="zh-CN" w:bidi="ar-SA"/>
                    </w:rPr>
                    <w:t>熔化</w:t>
                  </w:r>
                  <w:r>
                    <w:rPr>
                      <w:rFonts w:hint="eastAsia" w:eastAsia="宋体" w:cs="Times New Roman"/>
                      <w:b w:val="0"/>
                      <w:bCs w:val="0"/>
                      <w:color w:val="auto"/>
                      <w:spacing w:val="-7"/>
                      <w:kern w:val="2"/>
                      <w:sz w:val="21"/>
                      <w:szCs w:val="21"/>
                      <w:highlight w:val="none"/>
                      <w:vertAlign w:val="baseline"/>
                      <w:lang w:val="en-US" w:eastAsia="zh-CN" w:bidi="ar-SA"/>
                    </w:rPr>
                    <w:t>保温炉</w:t>
                  </w:r>
                </w:p>
              </w:tc>
              <w:tc>
                <w:tcPr>
                  <w:tcW w:w="1057" w:type="pct"/>
                  <w:noWrap w:val="0"/>
                  <w:vAlign w:val="center"/>
                </w:tcPr>
                <w:p w14:paraId="383BCB4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天然气燃烧</w:t>
                  </w:r>
                </w:p>
              </w:tc>
              <w:tc>
                <w:tcPr>
                  <w:tcW w:w="1517" w:type="pct"/>
                  <w:noWrap w:val="0"/>
                  <w:vAlign w:val="center"/>
                </w:tcPr>
                <w:p w14:paraId="2E248A1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颗粒物</w:t>
                  </w:r>
                  <w:r>
                    <w:rPr>
                      <w:rFonts w:hint="eastAsia" w:cs="Times New Roman"/>
                      <w:b w:val="0"/>
                      <w:bCs w:val="0"/>
                      <w:color w:val="auto"/>
                      <w:spacing w:val="-7"/>
                      <w:kern w:val="2"/>
                      <w:sz w:val="21"/>
                      <w:szCs w:val="21"/>
                      <w:highlight w:val="none"/>
                      <w:vertAlign w:val="baseline"/>
                      <w:lang w:val="en-US" w:eastAsia="zh-CN" w:bidi="ar-SA"/>
                    </w:rPr>
                    <w:t>、</w:t>
                  </w:r>
                  <w:r>
                    <w:rPr>
                      <w:rFonts w:hint="eastAsia" w:eastAsia="宋体" w:cs="Times New Roman"/>
                      <w:b w:val="0"/>
                      <w:bCs w:val="0"/>
                      <w:color w:val="auto"/>
                      <w:spacing w:val="-7"/>
                      <w:kern w:val="2"/>
                      <w:sz w:val="21"/>
                      <w:szCs w:val="21"/>
                      <w:highlight w:val="none"/>
                      <w:vertAlign w:val="baseline"/>
                      <w:lang w:val="en-US" w:eastAsia="zh-CN" w:bidi="ar-SA"/>
                    </w:rPr>
                    <w:t>SO</w:t>
                  </w:r>
                  <w:r>
                    <w:rPr>
                      <w:rFonts w:hint="eastAsia" w:eastAsia="宋体" w:cs="Times New Roman"/>
                      <w:b w:val="0"/>
                      <w:bCs w:val="0"/>
                      <w:color w:val="auto"/>
                      <w:spacing w:val="-7"/>
                      <w:kern w:val="2"/>
                      <w:sz w:val="21"/>
                      <w:szCs w:val="21"/>
                      <w:highlight w:val="none"/>
                      <w:vertAlign w:val="subscript"/>
                      <w:lang w:val="en-US" w:eastAsia="zh-CN" w:bidi="ar-SA"/>
                    </w:rPr>
                    <w:t>2</w:t>
                  </w:r>
                  <w:r>
                    <w:rPr>
                      <w:rFonts w:hint="eastAsia" w:eastAsia="宋体" w:cs="Times New Roman"/>
                      <w:b w:val="0"/>
                      <w:bCs w:val="0"/>
                      <w:color w:val="auto"/>
                      <w:spacing w:val="-7"/>
                      <w:kern w:val="2"/>
                      <w:sz w:val="21"/>
                      <w:szCs w:val="21"/>
                      <w:highlight w:val="none"/>
                      <w:vertAlign w:val="baseline"/>
                      <w:lang w:val="en-US" w:eastAsia="zh-CN" w:bidi="ar-SA"/>
                    </w:rPr>
                    <w:t>、NO</w:t>
                  </w:r>
                  <w:r>
                    <w:rPr>
                      <w:rFonts w:hint="eastAsia" w:eastAsia="宋体" w:cs="Times New Roman"/>
                      <w:b w:val="0"/>
                      <w:bCs w:val="0"/>
                      <w:color w:val="auto"/>
                      <w:spacing w:val="-7"/>
                      <w:kern w:val="2"/>
                      <w:sz w:val="21"/>
                      <w:szCs w:val="21"/>
                      <w:highlight w:val="none"/>
                      <w:vertAlign w:val="subscript"/>
                      <w:lang w:val="en-US" w:eastAsia="zh-CN" w:bidi="ar-SA"/>
                    </w:rPr>
                    <w:t>x</w:t>
                  </w:r>
                </w:p>
              </w:tc>
              <w:tc>
                <w:tcPr>
                  <w:tcW w:w="1170" w:type="pct"/>
                  <w:noWrap w:val="0"/>
                  <w:vAlign w:val="center"/>
                </w:tcPr>
                <w:p w14:paraId="4E353D5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0"/>
                      <w:kern w:val="2"/>
                      <w:sz w:val="21"/>
                      <w:szCs w:val="21"/>
                      <w:highlight w:val="none"/>
                      <w:vertAlign w:val="baseline"/>
                      <w:lang w:val="en-US" w:eastAsia="zh-CN" w:bidi="ar-SA"/>
                    </w:rPr>
                  </w:pPr>
                  <w:r>
                    <w:rPr>
                      <w:rFonts w:hint="eastAsia" w:cs="Times New Roman"/>
                      <w:b w:val="0"/>
                      <w:bCs w:val="0"/>
                      <w:color w:val="auto"/>
                      <w:spacing w:val="0"/>
                      <w:kern w:val="2"/>
                      <w:sz w:val="21"/>
                      <w:szCs w:val="21"/>
                      <w:highlight w:val="none"/>
                      <w:vertAlign w:val="baseline"/>
                      <w:lang w:val="en-US" w:eastAsia="zh-CN" w:bidi="ar-SA"/>
                    </w:rPr>
                    <w:t>低氮燃烧</w:t>
                  </w:r>
                </w:p>
              </w:tc>
            </w:tr>
            <w:tr w14:paraId="205C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59AFDE7B">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p>
              </w:tc>
              <w:tc>
                <w:tcPr>
                  <w:tcW w:w="870" w:type="pct"/>
                  <w:noWrap w:val="0"/>
                  <w:vAlign w:val="center"/>
                </w:tcPr>
                <w:p w14:paraId="757EF76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铸锭打磨机</w:t>
                  </w:r>
                </w:p>
              </w:tc>
              <w:tc>
                <w:tcPr>
                  <w:tcW w:w="1057" w:type="pct"/>
                  <w:noWrap w:val="0"/>
                  <w:vAlign w:val="center"/>
                </w:tcPr>
                <w:p w14:paraId="336D31F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铸锭打磨</w:t>
                  </w:r>
                </w:p>
              </w:tc>
              <w:tc>
                <w:tcPr>
                  <w:tcW w:w="1517" w:type="pct"/>
                  <w:noWrap w:val="0"/>
                  <w:vAlign w:val="center"/>
                </w:tcPr>
                <w:p w14:paraId="623AA89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颗粒物</w:t>
                  </w:r>
                </w:p>
              </w:tc>
              <w:tc>
                <w:tcPr>
                  <w:tcW w:w="1170" w:type="pct"/>
                  <w:noWrap w:val="0"/>
                  <w:vAlign w:val="center"/>
                </w:tcPr>
                <w:p w14:paraId="2FF36D7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水浴除尘</w:t>
                  </w:r>
                </w:p>
              </w:tc>
            </w:tr>
            <w:tr w14:paraId="179C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23A24A4D">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p>
              </w:tc>
              <w:tc>
                <w:tcPr>
                  <w:tcW w:w="870" w:type="pct"/>
                  <w:noWrap w:val="0"/>
                  <w:vAlign w:val="center"/>
                </w:tcPr>
                <w:p w14:paraId="13519D3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颗粒生产线</w:t>
                  </w:r>
                </w:p>
              </w:tc>
              <w:tc>
                <w:tcPr>
                  <w:tcW w:w="1057" w:type="pct"/>
                  <w:noWrap w:val="0"/>
                  <w:vAlign w:val="center"/>
                </w:tcPr>
                <w:p w14:paraId="33D8208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切削、筛选</w:t>
                  </w:r>
                </w:p>
              </w:tc>
              <w:tc>
                <w:tcPr>
                  <w:tcW w:w="1517" w:type="pct"/>
                  <w:noWrap w:val="0"/>
                  <w:vAlign w:val="center"/>
                </w:tcPr>
                <w:p w14:paraId="1D8578D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颗粒物</w:t>
                  </w:r>
                </w:p>
              </w:tc>
              <w:tc>
                <w:tcPr>
                  <w:tcW w:w="1170" w:type="pct"/>
                  <w:noWrap w:val="0"/>
                  <w:vAlign w:val="center"/>
                </w:tcPr>
                <w:p w14:paraId="792C749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0"/>
                      <w:kern w:val="2"/>
                      <w:sz w:val="21"/>
                      <w:szCs w:val="21"/>
                      <w:highlight w:val="none"/>
                      <w:vertAlign w:val="baseline"/>
                      <w:lang w:val="en-US" w:eastAsia="zh-CN" w:bidi="ar-SA"/>
                    </w:rPr>
                  </w:pPr>
                  <w:r>
                    <w:rPr>
                      <w:rFonts w:hint="eastAsia" w:eastAsia="宋体" w:cs="Times New Roman"/>
                      <w:b w:val="0"/>
                      <w:bCs w:val="0"/>
                      <w:color w:val="auto"/>
                      <w:spacing w:val="0"/>
                      <w:kern w:val="2"/>
                      <w:sz w:val="21"/>
                      <w:szCs w:val="21"/>
                      <w:highlight w:val="none"/>
                      <w:vertAlign w:val="baseline"/>
                      <w:lang w:val="en-US" w:eastAsia="zh-CN" w:bidi="ar-SA"/>
                    </w:rPr>
                    <w:t>旋风+水浴除尘</w:t>
                  </w:r>
                </w:p>
              </w:tc>
            </w:tr>
            <w:tr w14:paraId="3086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restart"/>
                  <w:noWrap w:val="0"/>
                  <w:vAlign w:val="center"/>
                </w:tcPr>
                <w:p w14:paraId="6518263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废水</w:t>
                  </w:r>
                </w:p>
              </w:tc>
              <w:tc>
                <w:tcPr>
                  <w:tcW w:w="870" w:type="pct"/>
                  <w:noWrap w:val="0"/>
                  <w:vAlign w:val="center"/>
                </w:tcPr>
                <w:p w14:paraId="35A745D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循环冷却水系统</w:t>
                  </w:r>
                </w:p>
              </w:tc>
              <w:tc>
                <w:tcPr>
                  <w:tcW w:w="1057" w:type="pct"/>
                  <w:noWrap w:val="0"/>
                  <w:vAlign w:val="center"/>
                </w:tcPr>
                <w:p w14:paraId="2717EDD2">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系统排污</w:t>
                  </w:r>
                </w:p>
              </w:tc>
              <w:tc>
                <w:tcPr>
                  <w:tcW w:w="1517" w:type="pct"/>
                  <w:noWrap w:val="0"/>
                  <w:vAlign w:val="center"/>
                </w:tcPr>
                <w:p w14:paraId="3319DDC4">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SS、TDS</w:t>
                  </w:r>
                </w:p>
              </w:tc>
              <w:tc>
                <w:tcPr>
                  <w:tcW w:w="1170" w:type="pct"/>
                  <w:noWrap w:val="0"/>
                  <w:vAlign w:val="center"/>
                </w:tcPr>
                <w:p w14:paraId="25C08A6C">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洒水抑尘</w:t>
                  </w:r>
                </w:p>
              </w:tc>
            </w:tr>
            <w:tr w14:paraId="43BE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4A7526C4">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p>
              </w:tc>
              <w:tc>
                <w:tcPr>
                  <w:tcW w:w="870" w:type="pct"/>
                  <w:noWrap w:val="0"/>
                  <w:vAlign w:val="center"/>
                </w:tcPr>
                <w:p w14:paraId="08519C7D">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办公楼</w:t>
                  </w:r>
                </w:p>
              </w:tc>
              <w:tc>
                <w:tcPr>
                  <w:tcW w:w="1057" w:type="pct"/>
                  <w:noWrap w:val="0"/>
                  <w:vAlign w:val="center"/>
                </w:tcPr>
                <w:p w14:paraId="39100853">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人员生活</w:t>
                  </w:r>
                </w:p>
              </w:tc>
              <w:tc>
                <w:tcPr>
                  <w:tcW w:w="1517" w:type="pct"/>
                  <w:noWrap w:val="0"/>
                  <w:vAlign w:val="center"/>
                </w:tcPr>
                <w:p w14:paraId="3E74FE8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COD、BOD、氨氮、SS</w:t>
                  </w:r>
                </w:p>
              </w:tc>
              <w:tc>
                <w:tcPr>
                  <w:tcW w:w="1170" w:type="pct"/>
                  <w:noWrap w:val="0"/>
                  <w:vAlign w:val="center"/>
                </w:tcPr>
                <w:p w14:paraId="12139EF7">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化粪池</w:t>
                  </w:r>
                </w:p>
              </w:tc>
            </w:tr>
            <w:tr w14:paraId="6DE1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noWrap w:val="0"/>
                  <w:vAlign w:val="center"/>
                </w:tcPr>
                <w:p w14:paraId="58C1316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噪声</w:t>
                  </w:r>
                </w:p>
              </w:tc>
              <w:tc>
                <w:tcPr>
                  <w:tcW w:w="870" w:type="pct"/>
                  <w:noWrap w:val="0"/>
                  <w:vAlign w:val="center"/>
                </w:tcPr>
                <w:p w14:paraId="785BFF96">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生产车间</w:t>
                  </w:r>
                </w:p>
              </w:tc>
              <w:tc>
                <w:tcPr>
                  <w:tcW w:w="1057" w:type="pct"/>
                  <w:noWrap w:val="0"/>
                  <w:vAlign w:val="center"/>
                </w:tcPr>
                <w:p w14:paraId="1C0A9D13">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熔炼炉、铸锭机、压铸机、风机等</w:t>
                  </w:r>
                </w:p>
              </w:tc>
              <w:tc>
                <w:tcPr>
                  <w:tcW w:w="1517" w:type="pct"/>
                  <w:noWrap w:val="0"/>
                  <w:vAlign w:val="center"/>
                </w:tcPr>
                <w:p w14:paraId="600CA14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噪声</w:t>
                  </w:r>
                </w:p>
              </w:tc>
              <w:tc>
                <w:tcPr>
                  <w:tcW w:w="1170" w:type="pct"/>
                  <w:noWrap w:val="0"/>
                  <w:vAlign w:val="center"/>
                </w:tcPr>
                <w:p w14:paraId="261FA15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隔声、减振、消声</w:t>
                  </w:r>
                </w:p>
              </w:tc>
            </w:tr>
            <w:tr w14:paraId="61B8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restart"/>
                  <w:noWrap w:val="0"/>
                  <w:vAlign w:val="center"/>
                </w:tcPr>
                <w:p w14:paraId="15C54B6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固废</w:t>
                  </w:r>
                </w:p>
              </w:tc>
              <w:tc>
                <w:tcPr>
                  <w:tcW w:w="870" w:type="pct"/>
                  <w:noWrap w:val="0"/>
                  <w:vAlign w:val="center"/>
                </w:tcPr>
                <w:p w14:paraId="5C7C889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办公楼</w:t>
                  </w:r>
                </w:p>
              </w:tc>
              <w:tc>
                <w:tcPr>
                  <w:tcW w:w="1057" w:type="pct"/>
                  <w:noWrap w:val="0"/>
                  <w:vAlign w:val="center"/>
                </w:tcPr>
                <w:p w14:paraId="152AE7B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人员办公生活</w:t>
                  </w:r>
                </w:p>
              </w:tc>
              <w:tc>
                <w:tcPr>
                  <w:tcW w:w="1517" w:type="pct"/>
                  <w:noWrap w:val="0"/>
                  <w:vAlign w:val="center"/>
                </w:tcPr>
                <w:p w14:paraId="008DEB0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生活垃圾</w:t>
                  </w:r>
                </w:p>
              </w:tc>
              <w:tc>
                <w:tcPr>
                  <w:tcW w:w="1170" w:type="pct"/>
                  <w:noWrap w:val="0"/>
                  <w:vAlign w:val="center"/>
                </w:tcPr>
                <w:p w14:paraId="57FB615D">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送垃圾填埋场处置</w:t>
                  </w:r>
                </w:p>
              </w:tc>
            </w:tr>
            <w:tr w14:paraId="18A3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3A34C023">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870" w:type="pct"/>
                  <w:noWrap w:val="0"/>
                  <w:vAlign w:val="center"/>
                </w:tcPr>
                <w:p w14:paraId="019299D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熔炼炉</w:t>
                  </w:r>
                </w:p>
              </w:tc>
              <w:tc>
                <w:tcPr>
                  <w:tcW w:w="1057" w:type="pct"/>
                  <w:noWrap w:val="0"/>
                  <w:vAlign w:val="center"/>
                </w:tcPr>
                <w:p w14:paraId="3A37EDE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扒渣</w:t>
                  </w:r>
                </w:p>
              </w:tc>
              <w:tc>
                <w:tcPr>
                  <w:tcW w:w="1517" w:type="pct"/>
                  <w:noWrap w:val="0"/>
                  <w:vAlign w:val="center"/>
                </w:tcPr>
                <w:p w14:paraId="054589A6">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熔炼渣，</w:t>
                  </w:r>
                  <w:r>
                    <w:rPr>
                      <w:rFonts w:hint="eastAsia" w:cs="Times New Roman"/>
                      <w:b w:val="0"/>
                      <w:bCs w:val="0"/>
                      <w:color w:val="auto"/>
                      <w:spacing w:val="-7"/>
                      <w:kern w:val="2"/>
                      <w:sz w:val="21"/>
                      <w:szCs w:val="21"/>
                      <w:highlight w:val="none"/>
                      <w:vertAlign w:val="baseline"/>
                      <w:lang w:val="en-US" w:eastAsia="zh-CN" w:bidi="ar-SA"/>
                    </w:rPr>
                    <w:t>氧化钙</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、氧化铝、二氧化硅等</w:t>
                  </w:r>
                </w:p>
              </w:tc>
              <w:tc>
                <w:tcPr>
                  <w:tcW w:w="1170" w:type="pct"/>
                  <w:noWrap w:val="0"/>
                  <w:vAlign w:val="center"/>
                </w:tcPr>
                <w:p w14:paraId="10162DF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交</w:t>
                  </w:r>
                  <w:r>
                    <w:rPr>
                      <w:rFonts w:hint="eastAsia" w:cs="Times New Roman"/>
                      <w:b w:val="0"/>
                      <w:bCs w:val="0"/>
                      <w:color w:val="auto"/>
                      <w:spacing w:val="-7"/>
                      <w:kern w:val="2"/>
                      <w:sz w:val="21"/>
                      <w:szCs w:val="21"/>
                      <w:highlight w:val="none"/>
                      <w:vertAlign w:val="baseline"/>
                      <w:lang w:val="en-US" w:eastAsia="zh-CN" w:bidi="ar-SA"/>
                    </w:rPr>
                    <w:t>水泥厂</w:t>
                  </w:r>
                  <w:r>
                    <w:rPr>
                      <w:rFonts w:hint="eastAsia" w:eastAsia="宋体" w:cs="Times New Roman"/>
                      <w:b w:val="0"/>
                      <w:bCs w:val="0"/>
                      <w:color w:val="auto"/>
                      <w:spacing w:val="-7"/>
                      <w:kern w:val="2"/>
                      <w:sz w:val="21"/>
                      <w:szCs w:val="21"/>
                      <w:highlight w:val="none"/>
                      <w:vertAlign w:val="baseline"/>
                      <w:lang w:val="en-US" w:eastAsia="zh-CN" w:bidi="ar-SA"/>
                    </w:rPr>
                    <w:t>综合利用</w:t>
                  </w:r>
                </w:p>
              </w:tc>
            </w:tr>
            <w:tr w14:paraId="3BB2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18612FAC">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870" w:type="pct"/>
                  <w:noWrap w:val="0"/>
                  <w:vAlign w:val="center"/>
                </w:tcPr>
                <w:p w14:paraId="5A8D4F0B">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压铸机</w:t>
                  </w:r>
                </w:p>
              </w:tc>
              <w:tc>
                <w:tcPr>
                  <w:tcW w:w="1057" w:type="pct"/>
                  <w:noWrap w:val="0"/>
                  <w:vAlign w:val="center"/>
                </w:tcPr>
                <w:p w14:paraId="4AB7B9A2">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压铸机模具更换</w:t>
                  </w:r>
                </w:p>
              </w:tc>
              <w:tc>
                <w:tcPr>
                  <w:tcW w:w="1517" w:type="pct"/>
                  <w:noWrap w:val="0"/>
                  <w:vAlign w:val="center"/>
                </w:tcPr>
                <w:p w14:paraId="6807F80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模具</w:t>
                  </w:r>
                </w:p>
              </w:tc>
              <w:tc>
                <w:tcPr>
                  <w:tcW w:w="1170" w:type="pct"/>
                  <w:noWrap w:val="0"/>
                  <w:vAlign w:val="center"/>
                </w:tcPr>
                <w:p w14:paraId="0A9379A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厂家回收</w:t>
                  </w:r>
                </w:p>
              </w:tc>
            </w:tr>
            <w:tr w14:paraId="1A87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666E8FE0">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6BA5FB2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压铸件清理检验</w:t>
                  </w:r>
                </w:p>
              </w:tc>
              <w:tc>
                <w:tcPr>
                  <w:tcW w:w="1517" w:type="pct"/>
                  <w:noWrap w:val="0"/>
                  <w:vAlign w:val="center"/>
                </w:tcPr>
                <w:p w14:paraId="7593950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废压铸件，镁、铝等</w:t>
                  </w:r>
                </w:p>
              </w:tc>
              <w:tc>
                <w:tcPr>
                  <w:tcW w:w="1170" w:type="pct"/>
                  <w:vMerge w:val="restart"/>
                  <w:noWrap w:val="0"/>
                  <w:vAlign w:val="center"/>
                </w:tcPr>
                <w:p w14:paraId="0EB69DA2">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0"/>
                      <w:kern w:val="2"/>
                      <w:sz w:val="21"/>
                      <w:szCs w:val="21"/>
                      <w:highlight w:val="none"/>
                      <w:vertAlign w:val="baseline"/>
                      <w:lang w:val="en-US" w:eastAsia="zh-CN" w:bidi="ar-SA"/>
                    </w:rPr>
                    <w:t>回用于生产</w:t>
                  </w:r>
                </w:p>
              </w:tc>
            </w:tr>
            <w:tr w14:paraId="6FD7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4" w:type="pct"/>
                  <w:vMerge w:val="continue"/>
                  <w:noWrap w:val="0"/>
                  <w:vAlign w:val="center"/>
                </w:tcPr>
                <w:p w14:paraId="17FAB544">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7E880BCB">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机加工、清理浇筑口及排气槽、颗粒切削</w:t>
                  </w:r>
                </w:p>
              </w:tc>
              <w:tc>
                <w:tcPr>
                  <w:tcW w:w="1517" w:type="pct"/>
                  <w:noWrap w:val="0"/>
                  <w:vAlign w:val="center"/>
                </w:tcPr>
                <w:p w14:paraId="265127D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镁合金废料，镁、铝等</w:t>
                  </w:r>
                </w:p>
              </w:tc>
              <w:tc>
                <w:tcPr>
                  <w:tcW w:w="1170" w:type="pct"/>
                  <w:vMerge w:val="continue"/>
                  <w:noWrap w:val="0"/>
                  <w:vAlign w:val="center"/>
                </w:tcPr>
                <w:p w14:paraId="7DF9714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r>
            <w:tr w14:paraId="3A74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239F07B9">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2EFAEFA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cs="Times New Roman"/>
                      <w:b w:val="0"/>
                      <w:bCs w:val="0"/>
                      <w:color w:val="auto"/>
                      <w:spacing w:val="-7"/>
                      <w:kern w:val="2"/>
                      <w:sz w:val="21"/>
                      <w:szCs w:val="21"/>
                      <w:highlight w:val="none"/>
                      <w:vertAlign w:val="baseline"/>
                      <w:lang w:val="en-US" w:eastAsia="zh-CN" w:bidi="ar-SA"/>
                    </w:rPr>
                    <w:t>湿式脱硫</w:t>
                  </w:r>
                </w:p>
              </w:tc>
              <w:tc>
                <w:tcPr>
                  <w:tcW w:w="1517" w:type="pct"/>
                  <w:noWrap w:val="0"/>
                  <w:vAlign w:val="center"/>
                </w:tcPr>
                <w:p w14:paraId="79874A07">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7"/>
                      <w:kern w:val="2"/>
                      <w:sz w:val="21"/>
                      <w:szCs w:val="21"/>
                      <w:highlight w:val="none"/>
                      <w:vertAlign w:val="baseline"/>
                      <w:lang w:val="en-US" w:eastAsia="zh-CN" w:bidi="ar-SA"/>
                    </w:rPr>
                  </w:pPr>
                  <w:r>
                    <w:rPr>
                      <w:rFonts w:hint="eastAsia" w:cs="Times New Roman"/>
                      <w:b w:val="0"/>
                      <w:bCs w:val="0"/>
                      <w:color w:val="auto"/>
                      <w:spacing w:val="-7"/>
                      <w:kern w:val="2"/>
                      <w:sz w:val="21"/>
                      <w:szCs w:val="21"/>
                      <w:highlight w:val="none"/>
                      <w:vertAlign w:val="baseline"/>
                      <w:lang w:val="en-US" w:eastAsia="zh-CN" w:bidi="ar-SA"/>
                    </w:rPr>
                    <w:t>脱硫</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渣，硫酸</w:t>
                  </w:r>
                  <w:r>
                    <w:rPr>
                      <w:rFonts w:hint="eastAsia" w:cs="Times New Roman"/>
                      <w:b w:val="0"/>
                      <w:bCs w:val="0"/>
                      <w:color w:val="auto"/>
                      <w:spacing w:val="-7"/>
                      <w:kern w:val="2"/>
                      <w:sz w:val="21"/>
                      <w:szCs w:val="21"/>
                      <w:highlight w:val="none"/>
                      <w:vertAlign w:val="baseline"/>
                      <w:lang w:val="en-US" w:eastAsia="zh-CN" w:bidi="ar-SA"/>
                    </w:rPr>
                    <w:t>钠</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等</w:t>
                  </w:r>
                </w:p>
              </w:tc>
              <w:tc>
                <w:tcPr>
                  <w:tcW w:w="1170" w:type="pct"/>
                  <w:vMerge w:val="restart"/>
                  <w:noWrap w:val="0"/>
                  <w:vAlign w:val="center"/>
                </w:tcPr>
                <w:p w14:paraId="002405B6">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交</w:t>
                  </w:r>
                  <w:r>
                    <w:rPr>
                      <w:rFonts w:hint="eastAsia" w:cs="Times New Roman"/>
                      <w:b w:val="0"/>
                      <w:bCs w:val="0"/>
                      <w:color w:val="auto"/>
                      <w:spacing w:val="-7"/>
                      <w:kern w:val="2"/>
                      <w:sz w:val="21"/>
                      <w:szCs w:val="21"/>
                      <w:highlight w:val="none"/>
                      <w:vertAlign w:val="baseline"/>
                      <w:lang w:val="en-US" w:eastAsia="zh-CN" w:bidi="ar-SA"/>
                    </w:rPr>
                    <w:t>水泥厂</w:t>
                  </w:r>
                  <w:r>
                    <w:rPr>
                      <w:rFonts w:hint="eastAsia" w:eastAsia="宋体" w:cs="Times New Roman"/>
                      <w:b w:val="0"/>
                      <w:bCs w:val="0"/>
                      <w:color w:val="auto"/>
                      <w:spacing w:val="-7"/>
                      <w:kern w:val="2"/>
                      <w:sz w:val="21"/>
                      <w:szCs w:val="21"/>
                      <w:highlight w:val="none"/>
                      <w:vertAlign w:val="baseline"/>
                      <w:lang w:val="en-US" w:eastAsia="zh-CN" w:bidi="ar-SA"/>
                    </w:rPr>
                    <w:t>综合利用</w:t>
                  </w:r>
                </w:p>
              </w:tc>
            </w:tr>
            <w:tr w14:paraId="3C32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1261F60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7C9D1B7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熔炼炉布袋除尘器收尘</w:t>
                  </w:r>
                </w:p>
              </w:tc>
              <w:tc>
                <w:tcPr>
                  <w:tcW w:w="1517" w:type="pct"/>
                  <w:noWrap w:val="0"/>
                  <w:vAlign w:val="center"/>
                </w:tcPr>
                <w:p w14:paraId="4254D65F">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布袋收尘，</w:t>
                  </w:r>
                  <w:r>
                    <w:rPr>
                      <w:rFonts w:hint="eastAsia" w:cs="Times New Roman"/>
                      <w:b w:val="0"/>
                      <w:bCs w:val="0"/>
                      <w:color w:val="auto"/>
                      <w:spacing w:val="-7"/>
                      <w:kern w:val="2"/>
                      <w:sz w:val="21"/>
                      <w:szCs w:val="21"/>
                      <w:highlight w:val="none"/>
                      <w:vertAlign w:val="baseline"/>
                      <w:lang w:val="en-US" w:eastAsia="zh-CN" w:bidi="ar-SA"/>
                    </w:rPr>
                    <w:t>氧化</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镁、</w:t>
                  </w:r>
                  <w:r>
                    <w:rPr>
                      <w:rFonts w:hint="eastAsia" w:cs="Times New Roman"/>
                      <w:b w:val="0"/>
                      <w:bCs w:val="0"/>
                      <w:color w:val="auto"/>
                      <w:spacing w:val="-7"/>
                      <w:kern w:val="2"/>
                      <w:sz w:val="21"/>
                      <w:szCs w:val="21"/>
                      <w:highlight w:val="none"/>
                      <w:vertAlign w:val="baseline"/>
                      <w:lang w:val="en-US" w:eastAsia="zh-CN" w:bidi="ar-SA"/>
                    </w:rPr>
                    <w:t>氧化</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铝等</w:t>
                  </w:r>
                  <w:r>
                    <w:rPr>
                      <w:rFonts w:hint="eastAsia" w:cs="Times New Roman"/>
                      <w:b w:val="0"/>
                      <w:bCs w:val="0"/>
                      <w:color w:val="auto"/>
                      <w:spacing w:val="-7"/>
                      <w:kern w:val="2"/>
                      <w:sz w:val="21"/>
                      <w:szCs w:val="21"/>
                      <w:highlight w:val="none"/>
                      <w:vertAlign w:val="baseline"/>
                      <w:lang w:val="en-US" w:eastAsia="zh-CN" w:bidi="ar-SA"/>
                    </w:rPr>
                    <w:t>成分</w:t>
                  </w:r>
                </w:p>
              </w:tc>
              <w:tc>
                <w:tcPr>
                  <w:tcW w:w="1170" w:type="pct"/>
                  <w:vMerge w:val="continue"/>
                  <w:noWrap w:val="0"/>
                  <w:vAlign w:val="center"/>
                </w:tcPr>
                <w:p w14:paraId="31B77B17">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r>
            <w:tr w14:paraId="49D4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28B28AA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25DFE9DC">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cs="Times New Roman"/>
                      <w:b w:val="0"/>
                      <w:bCs w:val="0"/>
                      <w:color w:val="auto"/>
                      <w:spacing w:val="0"/>
                      <w:kern w:val="2"/>
                      <w:sz w:val="21"/>
                      <w:szCs w:val="21"/>
                      <w:highlight w:val="none"/>
                      <w:vertAlign w:val="baseline"/>
                      <w:lang w:val="en-US" w:eastAsia="zh-CN" w:bidi="ar-SA"/>
                    </w:rPr>
                    <w:t>压铸、熔化布袋</w:t>
                  </w: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除尘器收尘</w:t>
                  </w:r>
                </w:p>
              </w:tc>
              <w:tc>
                <w:tcPr>
                  <w:tcW w:w="1517" w:type="pct"/>
                  <w:noWrap w:val="0"/>
                  <w:vAlign w:val="center"/>
                </w:tcPr>
                <w:p w14:paraId="1CCD7F1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cs="Times New Roman"/>
                      <w:b w:val="0"/>
                      <w:bCs w:val="0"/>
                      <w:color w:val="auto"/>
                      <w:spacing w:val="-7"/>
                      <w:kern w:val="2"/>
                      <w:sz w:val="21"/>
                      <w:szCs w:val="21"/>
                      <w:highlight w:val="none"/>
                      <w:vertAlign w:val="baseline"/>
                      <w:lang w:val="en-US" w:eastAsia="zh-CN" w:bidi="ar-SA"/>
                    </w:rPr>
                    <w:t>布袋</w:t>
                  </w:r>
                  <w:r>
                    <w:rPr>
                      <w:rFonts w:hint="eastAsia" w:eastAsia="宋体" w:cs="Times New Roman"/>
                      <w:b w:val="0"/>
                      <w:bCs w:val="0"/>
                      <w:color w:val="auto"/>
                      <w:spacing w:val="-7"/>
                      <w:kern w:val="2"/>
                      <w:sz w:val="21"/>
                      <w:szCs w:val="21"/>
                      <w:highlight w:val="none"/>
                      <w:vertAlign w:val="baseline"/>
                      <w:lang w:val="en-US" w:eastAsia="zh-CN" w:bidi="ar-SA"/>
                    </w:rPr>
                    <w:t>收尘灰，</w:t>
                  </w:r>
                  <w:r>
                    <w:rPr>
                      <w:rFonts w:hint="eastAsia" w:cs="Times New Roman"/>
                      <w:b w:val="0"/>
                      <w:bCs w:val="0"/>
                      <w:color w:val="auto"/>
                      <w:spacing w:val="-7"/>
                      <w:kern w:val="2"/>
                      <w:sz w:val="21"/>
                      <w:szCs w:val="21"/>
                      <w:highlight w:val="none"/>
                      <w:vertAlign w:val="baseline"/>
                      <w:lang w:val="en-US" w:eastAsia="zh-CN" w:bidi="ar-SA"/>
                    </w:rPr>
                    <w:t>氧化</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镁、</w:t>
                  </w:r>
                  <w:r>
                    <w:rPr>
                      <w:rFonts w:hint="eastAsia" w:cs="Times New Roman"/>
                      <w:b w:val="0"/>
                      <w:bCs w:val="0"/>
                      <w:color w:val="auto"/>
                      <w:spacing w:val="-7"/>
                      <w:kern w:val="2"/>
                      <w:sz w:val="21"/>
                      <w:szCs w:val="21"/>
                      <w:highlight w:val="none"/>
                      <w:vertAlign w:val="baseline"/>
                      <w:lang w:val="en-US" w:eastAsia="zh-CN" w:bidi="ar-SA"/>
                    </w:rPr>
                    <w:t>氧化</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铝等</w:t>
                  </w:r>
                  <w:r>
                    <w:rPr>
                      <w:rFonts w:hint="eastAsia" w:cs="Times New Roman"/>
                      <w:b w:val="0"/>
                      <w:bCs w:val="0"/>
                      <w:color w:val="auto"/>
                      <w:spacing w:val="-7"/>
                      <w:kern w:val="2"/>
                      <w:sz w:val="21"/>
                      <w:szCs w:val="21"/>
                      <w:highlight w:val="none"/>
                      <w:vertAlign w:val="baseline"/>
                      <w:lang w:val="en-US" w:eastAsia="zh-CN" w:bidi="ar-SA"/>
                    </w:rPr>
                    <w:t>成分</w:t>
                  </w:r>
                </w:p>
              </w:tc>
              <w:tc>
                <w:tcPr>
                  <w:tcW w:w="1170" w:type="pct"/>
                  <w:vMerge w:val="continue"/>
                  <w:noWrap w:val="0"/>
                  <w:vAlign w:val="center"/>
                </w:tcPr>
                <w:p w14:paraId="50ACD075">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r>
            <w:tr w14:paraId="2A6B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049D2C5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3AE3A4B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铸锭打磨、颗粒加工水浴除尘</w:t>
                  </w:r>
                </w:p>
              </w:tc>
              <w:tc>
                <w:tcPr>
                  <w:tcW w:w="1517" w:type="pct"/>
                  <w:noWrap w:val="0"/>
                  <w:vAlign w:val="center"/>
                </w:tcPr>
                <w:p w14:paraId="0E2F10B0">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水浴除尘渣，</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镁、铝等</w:t>
                  </w:r>
                </w:p>
              </w:tc>
              <w:tc>
                <w:tcPr>
                  <w:tcW w:w="1170" w:type="pct"/>
                  <w:vMerge w:val="continue"/>
                  <w:noWrap w:val="0"/>
                  <w:vAlign w:val="center"/>
                </w:tcPr>
                <w:p w14:paraId="273210D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r>
            <w:tr w14:paraId="44E6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4C42C76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68ACFB3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颗粒加工旋风除尘</w:t>
                  </w:r>
                </w:p>
              </w:tc>
              <w:tc>
                <w:tcPr>
                  <w:tcW w:w="1517" w:type="pct"/>
                  <w:noWrap w:val="0"/>
                  <w:vAlign w:val="center"/>
                </w:tcPr>
                <w:p w14:paraId="7800C7E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旋风收尘，</w:t>
                  </w: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镁、铝等</w:t>
                  </w:r>
                </w:p>
              </w:tc>
              <w:tc>
                <w:tcPr>
                  <w:tcW w:w="1170" w:type="pct"/>
                  <w:vMerge w:val="continue"/>
                  <w:noWrap w:val="0"/>
                  <w:vAlign w:val="center"/>
                </w:tcPr>
                <w:p w14:paraId="33D1A594">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r>
            <w:tr w14:paraId="744C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7B8BF09E">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4D2DD4DA">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压铸件机加工</w:t>
                  </w:r>
                </w:p>
              </w:tc>
              <w:tc>
                <w:tcPr>
                  <w:tcW w:w="1517" w:type="pct"/>
                  <w:noWrap w:val="0"/>
                  <w:vAlign w:val="center"/>
                </w:tcPr>
                <w:p w14:paraId="001C4964">
                  <w:pPr>
                    <w:pStyle w:val="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7"/>
                      <w:kern w:val="2"/>
                      <w:sz w:val="21"/>
                      <w:szCs w:val="21"/>
                      <w:highlight w:val="none"/>
                      <w:vertAlign w:val="baseline"/>
                      <w:lang w:val="en-US" w:eastAsia="zh-CN" w:bidi="ar-SA"/>
                    </w:rPr>
                    <w:t>废切削液</w:t>
                  </w:r>
                </w:p>
              </w:tc>
              <w:tc>
                <w:tcPr>
                  <w:tcW w:w="1170" w:type="pct"/>
                  <w:vMerge w:val="restart"/>
                  <w:noWrap w:val="0"/>
                  <w:vAlign w:val="center"/>
                </w:tcPr>
                <w:p w14:paraId="51F3CA4B">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交有资质单位处置</w:t>
                  </w:r>
                </w:p>
              </w:tc>
            </w:tr>
            <w:tr w14:paraId="541A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4" w:type="pct"/>
                  <w:vMerge w:val="continue"/>
                  <w:noWrap w:val="0"/>
                  <w:vAlign w:val="center"/>
                </w:tcPr>
                <w:p w14:paraId="35E47511">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c>
                <w:tcPr>
                  <w:tcW w:w="1927" w:type="pct"/>
                  <w:gridSpan w:val="2"/>
                  <w:noWrap w:val="0"/>
                  <w:vAlign w:val="center"/>
                </w:tcPr>
                <w:p w14:paraId="28F4101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生产设备维修保养</w:t>
                  </w:r>
                </w:p>
              </w:tc>
              <w:tc>
                <w:tcPr>
                  <w:tcW w:w="1517" w:type="pct"/>
                  <w:noWrap w:val="0"/>
                  <w:vAlign w:val="center"/>
                </w:tcPr>
                <w:p w14:paraId="56908968">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s="Times New Roman"/>
                      <w:b w:val="0"/>
                      <w:bCs w:val="0"/>
                      <w:color w:val="auto"/>
                      <w:spacing w:val="-7"/>
                      <w:kern w:val="2"/>
                      <w:sz w:val="21"/>
                      <w:szCs w:val="21"/>
                      <w:highlight w:val="none"/>
                      <w:vertAlign w:val="baseline"/>
                      <w:lang w:val="en-US" w:eastAsia="zh-CN" w:bidi="ar-SA"/>
                    </w:rPr>
                  </w:pPr>
                  <w:r>
                    <w:rPr>
                      <w:rFonts w:hint="eastAsia" w:eastAsia="宋体" w:cs="Times New Roman"/>
                      <w:b w:val="0"/>
                      <w:bCs w:val="0"/>
                      <w:color w:val="auto"/>
                      <w:spacing w:val="-7"/>
                      <w:kern w:val="2"/>
                      <w:sz w:val="21"/>
                      <w:szCs w:val="21"/>
                      <w:highlight w:val="none"/>
                      <w:vertAlign w:val="baseline"/>
                      <w:lang w:val="en-US" w:eastAsia="zh-CN" w:bidi="ar-SA"/>
                    </w:rPr>
                    <w:t>废机油</w:t>
                  </w:r>
                </w:p>
              </w:tc>
              <w:tc>
                <w:tcPr>
                  <w:tcW w:w="1170" w:type="pct"/>
                  <w:vMerge w:val="continue"/>
                  <w:noWrap w:val="0"/>
                  <w:vAlign w:val="center"/>
                </w:tcPr>
                <w:p w14:paraId="743FD0C2">
                  <w:pPr>
                    <w:pStyle w:val="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cs="Times New Roman"/>
                      <w:b w:val="0"/>
                      <w:bCs w:val="0"/>
                      <w:color w:val="auto"/>
                      <w:spacing w:val="-7"/>
                      <w:kern w:val="2"/>
                      <w:sz w:val="21"/>
                      <w:szCs w:val="21"/>
                      <w:highlight w:val="none"/>
                      <w:vertAlign w:val="baseline"/>
                      <w:lang w:val="en-US" w:eastAsia="zh-CN" w:bidi="ar-SA"/>
                    </w:rPr>
                  </w:pPr>
                </w:p>
              </w:tc>
            </w:tr>
          </w:tbl>
          <w:p w14:paraId="0AB8B48F">
            <w:pPr>
              <w:ind w:left="0" w:leftChars="0" w:firstLine="0" w:firstLineChars="0"/>
              <w:rPr>
                <w:rFonts w:hint="default"/>
                <w:color w:val="auto"/>
                <w:lang w:val="en-US" w:eastAsia="zh-CN"/>
              </w:rPr>
            </w:pPr>
          </w:p>
        </w:tc>
      </w:tr>
      <w:tr w14:paraId="2F0E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33" w:hRule="atLeast"/>
        </w:trPr>
        <w:tc>
          <w:tcPr>
            <w:tcW w:w="624" w:type="dxa"/>
            <w:tcBorders>
              <w:top w:val="single" w:color="auto" w:sz="4" w:space="0"/>
              <w:left w:val="single" w:color="auto" w:sz="4" w:space="0"/>
              <w:bottom w:val="single" w:color="auto" w:sz="4" w:space="0"/>
              <w:right w:val="single" w:color="auto" w:sz="4" w:space="0"/>
            </w:tcBorders>
            <w:vAlign w:val="center"/>
          </w:tcPr>
          <w:p w14:paraId="3FB9DE81">
            <w:pPr>
              <w:ind w:firstLine="0" w:firstLineChars="0"/>
              <w:jc w:val="center"/>
              <w:rPr>
                <w:b/>
                <w:color w:val="auto"/>
              </w:rPr>
            </w:pPr>
            <w:r>
              <w:rPr>
                <w:rFonts w:hint="eastAsia"/>
                <w:b/>
                <w:color w:val="auto"/>
              </w:rPr>
              <w:t>与项目有关的原有环境污染问题</w:t>
            </w:r>
          </w:p>
        </w:tc>
        <w:tc>
          <w:tcPr>
            <w:tcW w:w="8584" w:type="dxa"/>
            <w:tcBorders>
              <w:top w:val="single" w:color="auto" w:sz="4" w:space="0"/>
              <w:left w:val="single" w:color="auto" w:sz="4" w:space="0"/>
              <w:bottom w:val="single" w:color="auto" w:sz="4" w:space="0"/>
              <w:right w:val="single" w:color="auto" w:sz="4" w:space="0"/>
            </w:tcBorders>
            <w:vAlign w:val="center"/>
          </w:tcPr>
          <w:p w14:paraId="6237F219">
            <w:pPr>
              <w:ind w:firstLine="480"/>
              <w:jc w:val="both"/>
              <w:rPr>
                <w:rFonts w:hint="default"/>
                <w:color w:val="auto"/>
                <w:highlight w:val="none"/>
                <w:lang w:val="en-US" w:eastAsia="zh-CN"/>
              </w:rPr>
            </w:pPr>
            <w:r>
              <w:rPr>
                <w:rFonts w:hint="eastAsia"/>
                <w:color w:val="auto"/>
                <w:lang w:val="en-US" w:eastAsia="zh-CN"/>
              </w:rPr>
              <w:t>原有项目位于榆阳区高新技术产业园，于2022年4月取得榆林市生态环境局榆阳分局环评批复（见附件），并经申请于2023年</w:t>
            </w:r>
            <w:r>
              <w:rPr>
                <w:rFonts w:hint="eastAsia"/>
                <w:color w:val="auto"/>
                <w:highlight w:val="none"/>
                <w:lang w:val="en-US" w:eastAsia="zh-CN"/>
              </w:rPr>
              <w:t>4月取得了排污许可证（见附件），</w:t>
            </w:r>
            <w:r>
              <w:rPr>
                <w:rFonts w:hint="eastAsia"/>
                <w:color w:val="auto"/>
                <w:highlight w:val="none"/>
                <w:lang w:val="en-US" w:eastAsia="zh-CN"/>
              </w:rPr>
              <w:t>已安装了部分生产设备，已建成尚未投入生产，</w:t>
            </w:r>
            <w:r>
              <w:rPr>
                <w:rFonts w:hint="eastAsia"/>
                <w:color w:val="auto"/>
                <w:highlight w:val="none"/>
                <w:lang w:val="en-US" w:eastAsia="zh-CN"/>
              </w:rPr>
              <w:t>因此未开展竣工环境保护验收，不存在相关环境污染问题。</w:t>
            </w:r>
          </w:p>
          <w:p w14:paraId="2F12ECEF">
            <w:pPr>
              <w:ind w:firstLine="480"/>
              <w:jc w:val="both"/>
              <w:rPr>
                <w:rFonts w:hint="eastAsia"/>
                <w:color w:val="auto"/>
              </w:rPr>
            </w:pPr>
            <w:r>
              <w:rPr>
                <w:rFonts w:hint="eastAsia"/>
                <w:color w:val="auto"/>
                <w:lang w:val="en-US" w:eastAsia="zh-CN"/>
              </w:rPr>
              <w:t>本项目入驻的</w:t>
            </w:r>
            <w:r>
              <w:rPr>
                <w:rFonts w:hint="default" w:ascii="Times New Roman" w:hAnsi="Times New Roman" w:cs="Times New Roman" w:eastAsiaTheme="minorEastAsia"/>
                <w:color w:val="auto"/>
                <w:sz w:val="24"/>
                <w:szCs w:val="24"/>
                <w:lang w:val="en-US" w:eastAsia="zh-CN"/>
              </w:rPr>
              <w:t>榆佳经济技术开发区能源大道扬州产业园标准化厂房一期</w:t>
            </w:r>
            <w:r>
              <w:rPr>
                <w:rFonts w:hint="eastAsia" w:cs="Times New Roman" w:eastAsiaTheme="minorEastAsia"/>
                <w:color w:val="auto"/>
                <w:sz w:val="24"/>
                <w:szCs w:val="24"/>
                <w:lang w:val="en-US" w:eastAsia="zh-CN"/>
              </w:rPr>
              <w:t>，入驻前为空置厂房，也不存在</w:t>
            </w:r>
            <w:r>
              <w:rPr>
                <w:rFonts w:hint="eastAsia"/>
                <w:color w:val="auto"/>
                <w:highlight w:val="none"/>
                <w:lang w:val="en-US" w:eastAsia="zh-CN"/>
              </w:rPr>
              <w:t>相关环境污染问题。</w:t>
            </w:r>
          </w:p>
        </w:tc>
      </w:tr>
    </w:tbl>
    <w:p w14:paraId="62EC6841">
      <w:pPr>
        <w:ind w:firstLine="0" w:firstLineChars="0"/>
        <w:rPr>
          <w:color w:val="auto"/>
        </w:rPr>
        <w:sectPr>
          <w:pgSz w:w="11906" w:h="16838"/>
          <w:pgMar w:top="1531" w:right="1304" w:bottom="1531" w:left="1304" w:header="851" w:footer="851" w:gutter="0"/>
          <w:pgBorders>
            <w:top w:val="none" w:sz="0" w:space="0"/>
            <w:left w:val="none" w:sz="0" w:space="0"/>
            <w:bottom w:val="none" w:sz="0" w:space="0"/>
            <w:right w:val="none" w:sz="0" w:space="0"/>
          </w:pgBorders>
          <w:cols w:space="720" w:num="1"/>
          <w:docGrid w:linePitch="312" w:charSpace="0"/>
        </w:sectPr>
      </w:pPr>
    </w:p>
    <w:p w14:paraId="2EF24E87">
      <w:pPr>
        <w:pStyle w:val="7"/>
        <w:numPr>
          <w:ilvl w:val="0"/>
          <w:numId w:val="0"/>
        </w:numPr>
        <w:ind w:left="425" w:leftChars="0" w:firstLine="0" w:firstLineChars="0"/>
        <w:rPr>
          <w:color w:val="auto"/>
          <w:kern w:val="0"/>
        </w:rPr>
      </w:pPr>
      <w:r>
        <w:rPr>
          <w:rFonts w:hint="eastAsia" w:ascii="Times New Roman" w:hAnsi="Times New Roman" w:eastAsia="黑体"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3</w:t>
      </w:r>
      <w:r>
        <w:rPr>
          <w:rFonts w:hint="eastAsia"/>
          <w:color w:val="auto"/>
        </w:rPr>
        <w:t>三、区域环境质量现状、环境保护目标及评价标准</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8701"/>
      </w:tblGrid>
      <w:tr w14:paraId="293D6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27" w:type="pct"/>
            <w:tcBorders>
              <w:top w:val="single" w:color="auto" w:sz="8" w:space="0"/>
              <w:left w:val="single" w:color="auto" w:sz="8" w:space="0"/>
              <w:bottom w:val="single" w:color="auto" w:sz="4" w:space="0"/>
              <w:right w:val="single" w:color="auto" w:sz="4" w:space="0"/>
            </w:tcBorders>
            <w:vAlign w:val="center"/>
          </w:tcPr>
          <w:p w14:paraId="26B04FA1">
            <w:pPr>
              <w:adjustRightInd w:val="0"/>
              <w:snapToGrid w:val="0"/>
              <w:ind w:firstLine="0" w:firstLineChars="0"/>
              <w:jc w:val="center"/>
              <w:rPr>
                <w:color w:val="auto"/>
                <w:kern w:val="0"/>
              </w:rPr>
            </w:pPr>
            <w:r>
              <w:rPr>
                <w:rFonts w:ascii="宋体" w:hAnsi="宋体"/>
                <w:color w:val="auto"/>
                <w:kern w:val="0"/>
              </w:rPr>
              <w:t>区域环境质量现状</w:t>
            </w:r>
          </w:p>
        </w:tc>
        <w:tc>
          <w:tcPr>
            <w:tcW w:w="4572" w:type="pct"/>
            <w:tcBorders>
              <w:top w:val="single" w:color="auto" w:sz="8" w:space="0"/>
              <w:left w:val="single" w:color="auto" w:sz="4" w:space="0"/>
              <w:bottom w:val="single" w:color="auto" w:sz="4" w:space="0"/>
              <w:right w:val="single" w:color="auto" w:sz="8" w:space="0"/>
            </w:tcBorders>
          </w:tcPr>
          <w:p w14:paraId="35E99EB0">
            <w:pPr>
              <w:pStyle w:val="8"/>
              <w:spacing w:after="120"/>
              <w:rPr>
                <w:color w:val="auto"/>
              </w:rPr>
            </w:pPr>
            <w:r>
              <w:rPr>
                <w:rFonts w:hint="eastAsia"/>
                <w:color w:val="auto"/>
              </w:rPr>
              <w:t>一、环</w:t>
            </w:r>
            <w:r>
              <w:rPr>
                <w:color w:val="auto"/>
              </w:rPr>
              <w:t>境空气质量现状</w:t>
            </w:r>
          </w:p>
          <w:p w14:paraId="2D67CCCD">
            <w:pPr>
              <w:ind w:firstLine="480"/>
              <w:rPr>
                <w:rFonts w:hint="eastAsia"/>
                <w:color w:val="auto"/>
                <w:lang w:val="en-US" w:eastAsia="zh-CN"/>
              </w:rPr>
            </w:pPr>
            <w:r>
              <w:rPr>
                <w:rFonts w:hint="eastAsia"/>
                <w:color w:val="auto"/>
                <w:lang w:val="en-US" w:eastAsia="zh-CN"/>
              </w:rPr>
              <w:t>1、基本污染物</w:t>
            </w:r>
          </w:p>
          <w:p w14:paraId="4F97C65C">
            <w:pPr>
              <w:ind w:firstLine="480"/>
              <w:rPr>
                <w:color w:val="auto"/>
                <w:kern w:val="0"/>
              </w:rPr>
            </w:pPr>
            <w:r>
              <w:rPr>
                <w:color w:val="auto"/>
              </w:rPr>
              <w:t>本项目</w:t>
            </w:r>
            <w:r>
              <w:rPr>
                <w:rFonts w:hint="eastAsia"/>
                <w:color w:val="auto"/>
              </w:rPr>
              <w:t>区域</w:t>
            </w:r>
            <w:r>
              <w:rPr>
                <w:color w:val="auto"/>
              </w:rPr>
              <w:t>大气</w:t>
            </w:r>
            <w:r>
              <w:rPr>
                <w:rFonts w:hint="eastAsia"/>
                <w:color w:val="auto"/>
                <w:lang w:val="en-US" w:eastAsia="zh-CN"/>
              </w:rPr>
              <w:t>基本污染物</w:t>
            </w:r>
            <w:r>
              <w:rPr>
                <w:color w:val="auto"/>
              </w:rPr>
              <w:t>环境质量现状引用陕西省生态环境厅办公室202</w:t>
            </w:r>
            <w:r>
              <w:rPr>
                <w:rFonts w:hint="eastAsia"/>
                <w:color w:val="auto"/>
                <w:lang w:val="en-US" w:eastAsia="zh-CN"/>
              </w:rPr>
              <w:t>5</w:t>
            </w:r>
            <w:r>
              <w:rPr>
                <w:color w:val="auto"/>
              </w:rPr>
              <w:t>年1月</w:t>
            </w:r>
            <w:r>
              <w:rPr>
                <w:rFonts w:hint="eastAsia"/>
                <w:color w:val="auto"/>
                <w:lang w:val="en-US" w:eastAsia="zh-CN"/>
              </w:rPr>
              <w:t>21</w:t>
            </w:r>
            <w:r>
              <w:rPr>
                <w:color w:val="auto"/>
              </w:rPr>
              <w:t>日发布的</w:t>
            </w:r>
            <w:r>
              <w:rPr>
                <w:rFonts w:hint="eastAsia"/>
                <w:color w:val="auto"/>
              </w:rPr>
              <w:t>《</w:t>
            </w:r>
            <w:r>
              <w:rPr>
                <w:color w:val="auto"/>
              </w:rPr>
              <w:t>202</w:t>
            </w:r>
            <w:r>
              <w:rPr>
                <w:rFonts w:hint="eastAsia"/>
                <w:color w:val="auto"/>
                <w:lang w:val="en-US" w:eastAsia="zh-CN"/>
              </w:rPr>
              <w:t>4</w:t>
            </w:r>
            <w:r>
              <w:rPr>
                <w:color w:val="auto"/>
              </w:rPr>
              <w:t>年</w:t>
            </w:r>
            <w:r>
              <w:rPr>
                <w:rFonts w:hint="eastAsia"/>
                <w:color w:val="auto"/>
              </w:rPr>
              <w:t>12月及</w:t>
            </w:r>
            <w:r>
              <w:rPr>
                <w:color w:val="auto"/>
              </w:rPr>
              <w:t>1~12月</w:t>
            </w:r>
            <w:r>
              <w:rPr>
                <w:rFonts w:hint="eastAsia"/>
                <w:color w:val="auto"/>
              </w:rPr>
              <w:t>全省环境</w:t>
            </w:r>
            <w:r>
              <w:rPr>
                <w:color w:val="auto"/>
              </w:rPr>
              <w:t>空气质量</w:t>
            </w:r>
            <w:r>
              <w:rPr>
                <w:rFonts w:hint="eastAsia"/>
                <w:color w:val="auto"/>
              </w:rPr>
              <w:t>状况》中</w:t>
            </w:r>
            <w:r>
              <w:rPr>
                <w:rFonts w:hint="eastAsia"/>
                <w:color w:val="auto"/>
                <w:lang w:val="en-US" w:eastAsia="zh-CN"/>
              </w:rPr>
              <w:t>佳县</w:t>
            </w:r>
            <w:r>
              <w:rPr>
                <w:rFonts w:hint="eastAsia"/>
                <w:color w:val="auto"/>
              </w:rPr>
              <w:t>环境空气统计数据，</w:t>
            </w:r>
            <w:r>
              <w:rPr>
                <w:color w:val="auto"/>
              </w:rPr>
              <w:t>区域空气质量现状评价见下表。</w:t>
            </w:r>
          </w:p>
          <w:p w14:paraId="0225C1F8">
            <w:pPr>
              <w:pStyle w:val="42"/>
              <w:numPr>
                <w:ilvl w:val="3"/>
                <w:numId w:val="0"/>
              </w:numPr>
              <w:ind w:left="0" w:leftChars="0" w:firstLine="0" w:firstLineChars="0"/>
              <w:rPr>
                <w:color w:val="auto"/>
                <w:sz w:val="24"/>
                <w:szCs w:val="24"/>
              </w:rPr>
            </w:pPr>
            <w:r>
              <w:rPr>
                <w:rFonts w:hint="eastAsia" w:ascii="Times New Roman" w:hAnsi="Times New Roman" w:eastAsia="黑体" w:cs="Times New Roman"/>
                <w:color w:val="auto"/>
                <w:kern w:val="2"/>
                <w:sz w:val="24"/>
                <w:szCs w:val="24"/>
                <w:lang w:val="en-US" w:eastAsia="zh-CN" w:bidi="ar-SA"/>
              </w:rPr>
              <w:t xml:space="preserve">表3-1 </w:t>
            </w:r>
            <w:r>
              <w:rPr>
                <w:color w:val="auto"/>
                <w:sz w:val="24"/>
                <w:szCs w:val="24"/>
              </w:rPr>
              <w:t>区域空气质量现状评价表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02"/>
              <w:gridCol w:w="2625"/>
              <w:gridCol w:w="1288"/>
              <w:gridCol w:w="1244"/>
              <w:gridCol w:w="1257"/>
              <w:gridCol w:w="1256"/>
            </w:tblGrid>
            <w:tr w14:paraId="5126D0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pct"/>
                  <w:tcBorders>
                    <w:bottom w:val="single" w:color="000000" w:sz="4" w:space="0"/>
                    <w:right w:val="single" w:color="000000" w:sz="4" w:space="0"/>
                  </w:tcBorders>
                  <w:tcMar>
                    <w:top w:w="15" w:type="dxa"/>
                    <w:left w:w="15" w:type="dxa"/>
                    <w:bottom w:w="15" w:type="dxa"/>
                    <w:right w:w="15" w:type="dxa"/>
                  </w:tcMar>
                  <w:vAlign w:val="center"/>
                </w:tcPr>
                <w:p w14:paraId="364E0452">
                  <w:pPr>
                    <w:pStyle w:val="39"/>
                    <w:rPr>
                      <w:b/>
                      <w:color w:val="auto"/>
                    </w:rPr>
                  </w:pPr>
                  <w:r>
                    <w:rPr>
                      <w:rFonts w:ascii="宋体" w:hAnsi="宋体"/>
                      <w:b/>
                      <w:color w:val="auto"/>
                    </w:rPr>
                    <w:t>污染物</w:t>
                  </w:r>
                </w:p>
              </w:tc>
              <w:tc>
                <w:tcPr>
                  <w:tcW w:w="1549" w:type="pct"/>
                  <w:tcBorders>
                    <w:left w:val="nil"/>
                    <w:bottom w:val="single" w:color="000000" w:sz="4" w:space="0"/>
                    <w:right w:val="single" w:color="000000" w:sz="4" w:space="0"/>
                  </w:tcBorders>
                  <w:tcMar>
                    <w:top w:w="15" w:type="dxa"/>
                    <w:left w:w="15" w:type="dxa"/>
                    <w:bottom w:w="15" w:type="dxa"/>
                    <w:right w:w="15" w:type="dxa"/>
                  </w:tcMar>
                  <w:vAlign w:val="center"/>
                </w:tcPr>
                <w:p w14:paraId="7EBE25D0">
                  <w:pPr>
                    <w:pStyle w:val="39"/>
                    <w:rPr>
                      <w:b/>
                      <w:color w:val="auto"/>
                    </w:rPr>
                  </w:pPr>
                  <w:r>
                    <w:rPr>
                      <w:rFonts w:ascii="宋体" w:hAnsi="宋体"/>
                      <w:b/>
                      <w:color w:val="auto"/>
                    </w:rPr>
                    <w:t>年评价指标</w:t>
                  </w:r>
                </w:p>
              </w:tc>
              <w:tc>
                <w:tcPr>
                  <w:tcW w:w="760" w:type="pct"/>
                  <w:tcBorders>
                    <w:left w:val="nil"/>
                    <w:bottom w:val="single" w:color="000000" w:sz="4" w:space="0"/>
                    <w:right w:val="single" w:color="000000" w:sz="4" w:space="0"/>
                  </w:tcBorders>
                  <w:tcMar>
                    <w:top w:w="15" w:type="dxa"/>
                    <w:left w:w="15" w:type="dxa"/>
                    <w:bottom w:w="15" w:type="dxa"/>
                    <w:right w:w="15" w:type="dxa"/>
                  </w:tcMar>
                  <w:vAlign w:val="center"/>
                </w:tcPr>
                <w:p w14:paraId="3567DFD6">
                  <w:pPr>
                    <w:pStyle w:val="39"/>
                    <w:rPr>
                      <w:b/>
                      <w:color w:val="auto"/>
                    </w:rPr>
                  </w:pPr>
                  <w:r>
                    <w:rPr>
                      <w:rFonts w:ascii="宋体" w:hAnsi="宋体"/>
                      <w:b/>
                      <w:color w:val="auto"/>
                    </w:rPr>
                    <w:t>现状浓度</w:t>
                  </w:r>
                </w:p>
              </w:tc>
              <w:tc>
                <w:tcPr>
                  <w:tcW w:w="734" w:type="pct"/>
                  <w:tcBorders>
                    <w:left w:val="nil"/>
                    <w:bottom w:val="single" w:color="000000" w:sz="4" w:space="0"/>
                    <w:right w:val="single" w:color="000000" w:sz="4" w:space="0"/>
                  </w:tcBorders>
                  <w:tcMar>
                    <w:top w:w="15" w:type="dxa"/>
                    <w:left w:w="15" w:type="dxa"/>
                    <w:bottom w:w="15" w:type="dxa"/>
                    <w:right w:w="15" w:type="dxa"/>
                  </w:tcMar>
                  <w:vAlign w:val="center"/>
                </w:tcPr>
                <w:p w14:paraId="67B143B1">
                  <w:pPr>
                    <w:pStyle w:val="39"/>
                    <w:rPr>
                      <w:b/>
                      <w:color w:val="auto"/>
                    </w:rPr>
                  </w:pPr>
                  <w:r>
                    <w:rPr>
                      <w:rFonts w:ascii="宋体" w:hAnsi="宋体"/>
                      <w:b/>
                      <w:color w:val="auto"/>
                    </w:rPr>
                    <w:t>标准值</w:t>
                  </w:r>
                </w:p>
              </w:tc>
              <w:tc>
                <w:tcPr>
                  <w:tcW w:w="742" w:type="pct"/>
                  <w:tcBorders>
                    <w:left w:val="nil"/>
                    <w:bottom w:val="single" w:color="000000" w:sz="4" w:space="0"/>
                    <w:right w:val="single" w:color="000000" w:sz="4" w:space="0"/>
                  </w:tcBorders>
                  <w:tcMar>
                    <w:top w:w="15" w:type="dxa"/>
                    <w:left w:w="15" w:type="dxa"/>
                    <w:bottom w:w="15" w:type="dxa"/>
                    <w:right w:w="15" w:type="dxa"/>
                  </w:tcMar>
                  <w:vAlign w:val="center"/>
                </w:tcPr>
                <w:p w14:paraId="769D09ED">
                  <w:pPr>
                    <w:pStyle w:val="39"/>
                    <w:rPr>
                      <w:b/>
                      <w:color w:val="auto"/>
                    </w:rPr>
                  </w:pPr>
                  <w:r>
                    <w:rPr>
                      <w:rFonts w:ascii="宋体" w:hAnsi="宋体"/>
                      <w:b/>
                      <w:color w:val="auto"/>
                    </w:rPr>
                    <w:t>占标率</w:t>
                  </w:r>
                  <w:r>
                    <w:rPr>
                      <w:b/>
                      <w:color w:val="auto"/>
                    </w:rPr>
                    <w:t>/%</w:t>
                  </w:r>
                </w:p>
              </w:tc>
              <w:tc>
                <w:tcPr>
                  <w:tcW w:w="741" w:type="pct"/>
                  <w:tcBorders>
                    <w:left w:val="nil"/>
                    <w:bottom w:val="single" w:color="000000" w:sz="4" w:space="0"/>
                  </w:tcBorders>
                  <w:tcMar>
                    <w:top w:w="15" w:type="dxa"/>
                    <w:left w:w="15" w:type="dxa"/>
                    <w:bottom w:w="15" w:type="dxa"/>
                    <w:right w:w="15" w:type="dxa"/>
                  </w:tcMar>
                  <w:vAlign w:val="center"/>
                </w:tcPr>
                <w:p w14:paraId="7CA83B9C">
                  <w:pPr>
                    <w:pStyle w:val="39"/>
                    <w:rPr>
                      <w:b/>
                      <w:color w:val="auto"/>
                    </w:rPr>
                  </w:pPr>
                  <w:r>
                    <w:rPr>
                      <w:rFonts w:ascii="宋体" w:hAnsi="宋体"/>
                      <w:b/>
                      <w:color w:val="auto"/>
                    </w:rPr>
                    <w:t>达标情况</w:t>
                  </w:r>
                </w:p>
              </w:tc>
            </w:tr>
            <w:tr w14:paraId="1E5EB28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pct"/>
                  <w:tcBorders>
                    <w:top w:val="single" w:color="000000" w:sz="4" w:space="0"/>
                    <w:bottom w:val="single" w:color="000000" w:sz="4" w:space="0"/>
                    <w:right w:val="single" w:color="000000" w:sz="4" w:space="0"/>
                  </w:tcBorders>
                  <w:tcMar>
                    <w:top w:w="15" w:type="dxa"/>
                    <w:left w:w="15" w:type="dxa"/>
                    <w:bottom w:w="15" w:type="dxa"/>
                    <w:right w:w="15" w:type="dxa"/>
                  </w:tcMar>
                  <w:vAlign w:val="center"/>
                </w:tcPr>
                <w:p w14:paraId="738C3746">
                  <w:pPr>
                    <w:pStyle w:val="39"/>
                    <w:rPr>
                      <w:color w:val="auto"/>
                    </w:rPr>
                  </w:pPr>
                  <w:r>
                    <w:rPr>
                      <w:color w:val="auto"/>
                    </w:rPr>
                    <w:t>PM</w:t>
                  </w:r>
                  <w:r>
                    <w:rPr>
                      <w:color w:val="auto"/>
                      <w:vertAlign w:val="subscript"/>
                    </w:rPr>
                    <w:t>10</w:t>
                  </w:r>
                </w:p>
              </w:tc>
              <w:tc>
                <w:tcPr>
                  <w:tcW w:w="1549"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3008847E">
                  <w:pPr>
                    <w:pStyle w:val="39"/>
                    <w:rPr>
                      <w:color w:val="auto"/>
                    </w:rPr>
                  </w:pPr>
                  <w:r>
                    <w:rPr>
                      <w:rFonts w:ascii="宋体" w:hAnsi="宋体"/>
                      <w:color w:val="auto"/>
                    </w:rPr>
                    <w:t>年平均质量浓度（</w:t>
                  </w:r>
                  <w:r>
                    <w:rPr>
                      <w:color w:val="auto"/>
                    </w:rPr>
                    <w:t>μg/m</w:t>
                  </w:r>
                  <w:r>
                    <w:rPr>
                      <w:color w:val="auto"/>
                      <w:vertAlign w:val="superscript"/>
                    </w:rPr>
                    <w:t>3</w:t>
                  </w:r>
                  <w:r>
                    <w:rPr>
                      <w:rFonts w:ascii="宋体" w:hAnsi="宋体"/>
                      <w:color w:val="auto"/>
                    </w:rPr>
                    <w:t>）</w:t>
                  </w:r>
                </w:p>
              </w:tc>
              <w:tc>
                <w:tcPr>
                  <w:tcW w:w="760"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79AD4DA5">
                  <w:pPr>
                    <w:pStyle w:val="39"/>
                    <w:rPr>
                      <w:rFonts w:hint="default" w:eastAsia="宋体"/>
                      <w:color w:val="auto"/>
                      <w:lang w:val="en-US" w:eastAsia="zh-CN"/>
                    </w:rPr>
                  </w:pPr>
                  <w:r>
                    <w:rPr>
                      <w:rFonts w:hint="eastAsia"/>
                      <w:color w:val="auto"/>
                      <w:lang w:val="en-US" w:eastAsia="zh-CN"/>
                    </w:rPr>
                    <w:t>45</w:t>
                  </w:r>
                </w:p>
              </w:tc>
              <w:tc>
                <w:tcPr>
                  <w:tcW w:w="734"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2A879056">
                  <w:pPr>
                    <w:pStyle w:val="39"/>
                    <w:rPr>
                      <w:color w:val="auto"/>
                    </w:rPr>
                  </w:pPr>
                  <w:r>
                    <w:rPr>
                      <w:color w:val="auto"/>
                    </w:rPr>
                    <w:t>70</w:t>
                  </w:r>
                </w:p>
              </w:tc>
              <w:tc>
                <w:tcPr>
                  <w:tcW w:w="742"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5E552562">
                  <w:pPr>
                    <w:pStyle w:val="39"/>
                    <w:rPr>
                      <w:color w:val="auto"/>
                    </w:rPr>
                  </w:pPr>
                  <w:r>
                    <w:rPr>
                      <w:rFonts w:hint="eastAsia"/>
                      <w:color w:val="auto"/>
                      <w:lang w:val="en-US" w:eastAsia="zh-CN"/>
                    </w:rPr>
                    <w:t>6</w:t>
                  </w:r>
                  <w:r>
                    <w:rPr>
                      <w:rFonts w:hint="eastAsia"/>
                      <w:color w:val="auto"/>
                    </w:rPr>
                    <w:t>4.3</w:t>
                  </w:r>
                </w:p>
              </w:tc>
              <w:tc>
                <w:tcPr>
                  <w:tcW w:w="741" w:type="pct"/>
                  <w:tcBorders>
                    <w:top w:val="single" w:color="000000" w:sz="4" w:space="0"/>
                    <w:left w:val="nil"/>
                    <w:bottom w:val="single" w:color="000000" w:sz="4" w:space="0"/>
                  </w:tcBorders>
                  <w:tcMar>
                    <w:top w:w="15" w:type="dxa"/>
                    <w:left w:w="15" w:type="dxa"/>
                    <w:bottom w:w="15" w:type="dxa"/>
                    <w:right w:w="15" w:type="dxa"/>
                  </w:tcMar>
                  <w:vAlign w:val="center"/>
                </w:tcPr>
                <w:p w14:paraId="0D088699">
                  <w:pPr>
                    <w:pStyle w:val="39"/>
                    <w:rPr>
                      <w:color w:val="auto"/>
                    </w:rPr>
                  </w:pPr>
                  <w:r>
                    <w:rPr>
                      <w:rFonts w:ascii="宋体" w:hAnsi="宋体"/>
                      <w:color w:val="auto"/>
                    </w:rPr>
                    <w:t>达标</w:t>
                  </w:r>
                </w:p>
              </w:tc>
            </w:tr>
            <w:tr w14:paraId="129A340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pct"/>
                  <w:tcBorders>
                    <w:top w:val="single" w:color="000000" w:sz="4" w:space="0"/>
                    <w:bottom w:val="single" w:color="000000" w:sz="4" w:space="0"/>
                    <w:right w:val="single" w:color="000000" w:sz="4" w:space="0"/>
                  </w:tcBorders>
                  <w:tcMar>
                    <w:top w:w="15" w:type="dxa"/>
                    <w:left w:w="15" w:type="dxa"/>
                    <w:bottom w:w="15" w:type="dxa"/>
                    <w:right w:w="15" w:type="dxa"/>
                  </w:tcMar>
                  <w:vAlign w:val="center"/>
                </w:tcPr>
                <w:p w14:paraId="74D1378E">
                  <w:pPr>
                    <w:pStyle w:val="39"/>
                    <w:rPr>
                      <w:color w:val="auto"/>
                    </w:rPr>
                  </w:pPr>
                  <w:r>
                    <w:rPr>
                      <w:color w:val="auto"/>
                    </w:rPr>
                    <w:t>PM</w:t>
                  </w:r>
                  <w:r>
                    <w:rPr>
                      <w:color w:val="auto"/>
                      <w:vertAlign w:val="subscript"/>
                    </w:rPr>
                    <w:t>2.5</w:t>
                  </w:r>
                </w:p>
              </w:tc>
              <w:tc>
                <w:tcPr>
                  <w:tcW w:w="1549"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35E37C94">
                  <w:pPr>
                    <w:pStyle w:val="39"/>
                    <w:rPr>
                      <w:color w:val="auto"/>
                    </w:rPr>
                  </w:pPr>
                  <w:r>
                    <w:rPr>
                      <w:rFonts w:ascii="宋体" w:hAnsi="宋体"/>
                      <w:color w:val="auto"/>
                    </w:rPr>
                    <w:t>年平均质量浓度（</w:t>
                  </w:r>
                  <w:r>
                    <w:rPr>
                      <w:color w:val="auto"/>
                    </w:rPr>
                    <w:t>μg/m</w:t>
                  </w:r>
                  <w:r>
                    <w:rPr>
                      <w:color w:val="auto"/>
                      <w:vertAlign w:val="superscript"/>
                    </w:rPr>
                    <w:t>3</w:t>
                  </w:r>
                  <w:r>
                    <w:rPr>
                      <w:rFonts w:ascii="宋体" w:hAnsi="宋体"/>
                      <w:color w:val="auto"/>
                    </w:rPr>
                    <w:t>）</w:t>
                  </w:r>
                </w:p>
              </w:tc>
              <w:tc>
                <w:tcPr>
                  <w:tcW w:w="760"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42EA8CE9">
                  <w:pPr>
                    <w:pStyle w:val="39"/>
                    <w:rPr>
                      <w:rFonts w:hint="default" w:eastAsia="宋体"/>
                      <w:color w:val="auto"/>
                      <w:lang w:val="en-US" w:eastAsia="zh-CN"/>
                    </w:rPr>
                  </w:pPr>
                  <w:r>
                    <w:rPr>
                      <w:rFonts w:hint="eastAsia"/>
                      <w:color w:val="auto"/>
                      <w:lang w:val="en-US" w:eastAsia="zh-CN"/>
                    </w:rPr>
                    <w:t>25</w:t>
                  </w:r>
                </w:p>
              </w:tc>
              <w:tc>
                <w:tcPr>
                  <w:tcW w:w="734"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0F31C8A4">
                  <w:pPr>
                    <w:pStyle w:val="39"/>
                    <w:rPr>
                      <w:color w:val="auto"/>
                    </w:rPr>
                  </w:pPr>
                  <w:r>
                    <w:rPr>
                      <w:color w:val="auto"/>
                    </w:rPr>
                    <w:t>35</w:t>
                  </w:r>
                </w:p>
              </w:tc>
              <w:tc>
                <w:tcPr>
                  <w:tcW w:w="742"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0C42C8E8">
                  <w:pPr>
                    <w:pStyle w:val="39"/>
                    <w:rPr>
                      <w:rFonts w:hint="default" w:eastAsia="宋体"/>
                      <w:color w:val="auto"/>
                      <w:lang w:val="en-US" w:eastAsia="zh-CN"/>
                    </w:rPr>
                  </w:pPr>
                  <w:r>
                    <w:rPr>
                      <w:rFonts w:hint="eastAsia"/>
                      <w:color w:val="auto"/>
                      <w:lang w:val="en-US" w:eastAsia="zh-CN"/>
                    </w:rPr>
                    <w:t>71.4</w:t>
                  </w:r>
                </w:p>
              </w:tc>
              <w:tc>
                <w:tcPr>
                  <w:tcW w:w="741" w:type="pct"/>
                  <w:tcBorders>
                    <w:top w:val="single" w:color="000000" w:sz="4" w:space="0"/>
                    <w:left w:val="nil"/>
                    <w:bottom w:val="single" w:color="000000" w:sz="4" w:space="0"/>
                  </w:tcBorders>
                  <w:tcMar>
                    <w:top w:w="15" w:type="dxa"/>
                    <w:left w:w="15" w:type="dxa"/>
                    <w:bottom w:w="15" w:type="dxa"/>
                    <w:right w:w="15" w:type="dxa"/>
                  </w:tcMar>
                  <w:vAlign w:val="center"/>
                </w:tcPr>
                <w:p w14:paraId="5C6774D8">
                  <w:pPr>
                    <w:pStyle w:val="39"/>
                    <w:rPr>
                      <w:color w:val="auto"/>
                    </w:rPr>
                  </w:pPr>
                  <w:r>
                    <w:rPr>
                      <w:rFonts w:ascii="宋体" w:hAnsi="宋体"/>
                      <w:color w:val="auto"/>
                    </w:rPr>
                    <w:t>达标</w:t>
                  </w:r>
                </w:p>
              </w:tc>
            </w:tr>
            <w:tr w14:paraId="041F09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pct"/>
                  <w:tcBorders>
                    <w:top w:val="single" w:color="000000" w:sz="4" w:space="0"/>
                    <w:bottom w:val="single" w:color="000000" w:sz="4" w:space="0"/>
                    <w:right w:val="single" w:color="000000" w:sz="4" w:space="0"/>
                  </w:tcBorders>
                  <w:tcMar>
                    <w:top w:w="15" w:type="dxa"/>
                    <w:left w:w="15" w:type="dxa"/>
                    <w:bottom w:w="15" w:type="dxa"/>
                    <w:right w:w="15" w:type="dxa"/>
                  </w:tcMar>
                  <w:vAlign w:val="center"/>
                </w:tcPr>
                <w:p w14:paraId="427D2B53">
                  <w:pPr>
                    <w:pStyle w:val="39"/>
                    <w:rPr>
                      <w:color w:val="auto"/>
                    </w:rPr>
                  </w:pPr>
                  <w:r>
                    <w:rPr>
                      <w:color w:val="auto"/>
                    </w:rPr>
                    <w:t>SO</w:t>
                  </w:r>
                  <w:r>
                    <w:rPr>
                      <w:color w:val="auto"/>
                      <w:vertAlign w:val="subscript"/>
                    </w:rPr>
                    <w:t>2</w:t>
                  </w:r>
                </w:p>
              </w:tc>
              <w:tc>
                <w:tcPr>
                  <w:tcW w:w="1549"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3E75F18B">
                  <w:pPr>
                    <w:pStyle w:val="39"/>
                    <w:rPr>
                      <w:color w:val="auto"/>
                    </w:rPr>
                  </w:pPr>
                  <w:r>
                    <w:rPr>
                      <w:rFonts w:ascii="宋体" w:hAnsi="宋体"/>
                      <w:color w:val="auto"/>
                    </w:rPr>
                    <w:t>年平均质量浓度（</w:t>
                  </w:r>
                  <w:r>
                    <w:rPr>
                      <w:color w:val="auto"/>
                    </w:rPr>
                    <w:t>μg/m</w:t>
                  </w:r>
                  <w:r>
                    <w:rPr>
                      <w:color w:val="auto"/>
                      <w:vertAlign w:val="superscript"/>
                    </w:rPr>
                    <w:t>3</w:t>
                  </w:r>
                  <w:r>
                    <w:rPr>
                      <w:rFonts w:ascii="宋体" w:hAnsi="宋体"/>
                      <w:color w:val="auto"/>
                    </w:rPr>
                    <w:t>）</w:t>
                  </w:r>
                </w:p>
              </w:tc>
              <w:tc>
                <w:tcPr>
                  <w:tcW w:w="760"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25D39A74">
                  <w:pPr>
                    <w:pStyle w:val="39"/>
                    <w:rPr>
                      <w:color w:val="auto"/>
                    </w:rPr>
                  </w:pPr>
                  <w:r>
                    <w:rPr>
                      <w:rFonts w:hint="eastAsia"/>
                      <w:color w:val="auto"/>
                    </w:rPr>
                    <w:t>8</w:t>
                  </w:r>
                </w:p>
              </w:tc>
              <w:tc>
                <w:tcPr>
                  <w:tcW w:w="734"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28501AD1">
                  <w:pPr>
                    <w:pStyle w:val="39"/>
                    <w:rPr>
                      <w:color w:val="auto"/>
                    </w:rPr>
                  </w:pPr>
                  <w:r>
                    <w:rPr>
                      <w:color w:val="auto"/>
                    </w:rPr>
                    <w:t>60</w:t>
                  </w:r>
                </w:p>
              </w:tc>
              <w:tc>
                <w:tcPr>
                  <w:tcW w:w="742"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1DA0F0DE">
                  <w:pPr>
                    <w:pStyle w:val="39"/>
                    <w:rPr>
                      <w:color w:val="auto"/>
                    </w:rPr>
                  </w:pPr>
                  <w:r>
                    <w:rPr>
                      <w:rFonts w:hint="eastAsia"/>
                      <w:color w:val="auto"/>
                    </w:rPr>
                    <w:t>13.3</w:t>
                  </w:r>
                </w:p>
              </w:tc>
              <w:tc>
                <w:tcPr>
                  <w:tcW w:w="741" w:type="pct"/>
                  <w:tcBorders>
                    <w:top w:val="single" w:color="000000" w:sz="4" w:space="0"/>
                    <w:left w:val="nil"/>
                    <w:bottom w:val="single" w:color="000000" w:sz="4" w:space="0"/>
                  </w:tcBorders>
                  <w:tcMar>
                    <w:top w:w="15" w:type="dxa"/>
                    <w:left w:w="15" w:type="dxa"/>
                    <w:bottom w:w="15" w:type="dxa"/>
                    <w:right w:w="15" w:type="dxa"/>
                  </w:tcMar>
                  <w:vAlign w:val="center"/>
                </w:tcPr>
                <w:p w14:paraId="45C9157E">
                  <w:pPr>
                    <w:pStyle w:val="39"/>
                    <w:rPr>
                      <w:color w:val="auto"/>
                    </w:rPr>
                  </w:pPr>
                  <w:r>
                    <w:rPr>
                      <w:rFonts w:ascii="宋体" w:hAnsi="宋体"/>
                      <w:color w:val="auto"/>
                    </w:rPr>
                    <w:t>达标</w:t>
                  </w:r>
                </w:p>
              </w:tc>
            </w:tr>
            <w:tr w14:paraId="73C0EE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pct"/>
                  <w:tcBorders>
                    <w:top w:val="single" w:color="000000" w:sz="4" w:space="0"/>
                    <w:bottom w:val="single" w:color="000000" w:sz="4" w:space="0"/>
                    <w:right w:val="single" w:color="000000" w:sz="4" w:space="0"/>
                  </w:tcBorders>
                  <w:tcMar>
                    <w:top w:w="15" w:type="dxa"/>
                    <w:left w:w="15" w:type="dxa"/>
                    <w:bottom w:w="15" w:type="dxa"/>
                    <w:right w:w="15" w:type="dxa"/>
                  </w:tcMar>
                  <w:vAlign w:val="center"/>
                </w:tcPr>
                <w:p w14:paraId="49503E29">
                  <w:pPr>
                    <w:pStyle w:val="39"/>
                    <w:rPr>
                      <w:color w:val="auto"/>
                    </w:rPr>
                  </w:pPr>
                  <w:r>
                    <w:rPr>
                      <w:color w:val="auto"/>
                    </w:rPr>
                    <w:t>NO</w:t>
                  </w:r>
                  <w:r>
                    <w:rPr>
                      <w:color w:val="auto"/>
                      <w:vertAlign w:val="subscript"/>
                    </w:rPr>
                    <w:t>2</w:t>
                  </w:r>
                </w:p>
              </w:tc>
              <w:tc>
                <w:tcPr>
                  <w:tcW w:w="1549"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7CFA21D3">
                  <w:pPr>
                    <w:pStyle w:val="39"/>
                    <w:rPr>
                      <w:color w:val="auto"/>
                    </w:rPr>
                  </w:pPr>
                  <w:r>
                    <w:rPr>
                      <w:rFonts w:ascii="宋体" w:hAnsi="宋体"/>
                      <w:color w:val="auto"/>
                    </w:rPr>
                    <w:t>年平均质量浓度（</w:t>
                  </w:r>
                  <w:r>
                    <w:rPr>
                      <w:color w:val="auto"/>
                    </w:rPr>
                    <w:t>μg/m</w:t>
                  </w:r>
                  <w:r>
                    <w:rPr>
                      <w:color w:val="auto"/>
                      <w:vertAlign w:val="superscript"/>
                    </w:rPr>
                    <w:t>3</w:t>
                  </w:r>
                  <w:r>
                    <w:rPr>
                      <w:rFonts w:ascii="宋体" w:hAnsi="宋体"/>
                      <w:color w:val="auto"/>
                    </w:rPr>
                    <w:t>）</w:t>
                  </w:r>
                </w:p>
              </w:tc>
              <w:tc>
                <w:tcPr>
                  <w:tcW w:w="760"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24FCD8F8">
                  <w:pPr>
                    <w:pStyle w:val="39"/>
                    <w:rPr>
                      <w:rFonts w:hint="eastAsia" w:eastAsia="宋体"/>
                      <w:color w:val="auto"/>
                      <w:lang w:eastAsia="zh-CN"/>
                    </w:rPr>
                  </w:pPr>
                  <w:r>
                    <w:rPr>
                      <w:rFonts w:hint="eastAsia"/>
                      <w:color w:val="auto"/>
                    </w:rPr>
                    <w:t>2</w:t>
                  </w:r>
                  <w:r>
                    <w:rPr>
                      <w:rFonts w:hint="eastAsia"/>
                      <w:color w:val="auto"/>
                      <w:lang w:val="en-US" w:eastAsia="zh-CN"/>
                    </w:rPr>
                    <w:t>0</w:t>
                  </w:r>
                </w:p>
              </w:tc>
              <w:tc>
                <w:tcPr>
                  <w:tcW w:w="734"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03C37004">
                  <w:pPr>
                    <w:pStyle w:val="39"/>
                    <w:rPr>
                      <w:color w:val="auto"/>
                    </w:rPr>
                  </w:pPr>
                  <w:r>
                    <w:rPr>
                      <w:color w:val="auto"/>
                    </w:rPr>
                    <w:t>40</w:t>
                  </w:r>
                </w:p>
              </w:tc>
              <w:tc>
                <w:tcPr>
                  <w:tcW w:w="742"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22F73E3A">
                  <w:pPr>
                    <w:pStyle w:val="39"/>
                    <w:rPr>
                      <w:color w:val="auto"/>
                    </w:rPr>
                  </w:pPr>
                  <w:r>
                    <w:rPr>
                      <w:rFonts w:hint="eastAsia"/>
                      <w:color w:val="auto"/>
                      <w:lang w:val="en-US" w:eastAsia="zh-CN"/>
                    </w:rPr>
                    <w:t>50</w:t>
                  </w:r>
                  <w:r>
                    <w:rPr>
                      <w:rFonts w:hint="eastAsia"/>
                      <w:color w:val="auto"/>
                    </w:rPr>
                    <w:t>.0</w:t>
                  </w:r>
                </w:p>
              </w:tc>
              <w:tc>
                <w:tcPr>
                  <w:tcW w:w="741" w:type="pct"/>
                  <w:tcBorders>
                    <w:top w:val="single" w:color="000000" w:sz="4" w:space="0"/>
                    <w:left w:val="nil"/>
                    <w:bottom w:val="single" w:color="000000" w:sz="4" w:space="0"/>
                  </w:tcBorders>
                  <w:tcMar>
                    <w:top w:w="15" w:type="dxa"/>
                    <w:left w:w="15" w:type="dxa"/>
                    <w:bottom w:w="15" w:type="dxa"/>
                    <w:right w:w="15" w:type="dxa"/>
                  </w:tcMar>
                  <w:vAlign w:val="center"/>
                </w:tcPr>
                <w:p w14:paraId="58C42CBD">
                  <w:pPr>
                    <w:pStyle w:val="39"/>
                    <w:rPr>
                      <w:color w:val="auto"/>
                    </w:rPr>
                  </w:pPr>
                  <w:r>
                    <w:rPr>
                      <w:rFonts w:ascii="宋体" w:hAnsi="宋体"/>
                      <w:color w:val="auto"/>
                    </w:rPr>
                    <w:t>达标</w:t>
                  </w:r>
                </w:p>
              </w:tc>
            </w:tr>
            <w:tr w14:paraId="59D476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pct"/>
                  <w:tcBorders>
                    <w:top w:val="single" w:color="000000" w:sz="4" w:space="0"/>
                    <w:bottom w:val="single" w:color="000000" w:sz="4" w:space="0"/>
                    <w:right w:val="single" w:color="000000" w:sz="4" w:space="0"/>
                  </w:tcBorders>
                  <w:tcMar>
                    <w:top w:w="15" w:type="dxa"/>
                    <w:left w:w="15" w:type="dxa"/>
                    <w:bottom w:w="15" w:type="dxa"/>
                    <w:right w:w="15" w:type="dxa"/>
                  </w:tcMar>
                  <w:vAlign w:val="center"/>
                </w:tcPr>
                <w:p w14:paraId="11FA9BD4">
                  <w:pPr>
                    <w:pStyle w:val="39"/>
                    <w:rPr>
                      <w:color w:val="auto"/>
                    </w:rPr>
                  </w:pPr>
                  <w:r>
                    <w:rPr>
                      <w:color w:val="auto"/>
                    </w:rPr>
                    <w:t>CO</w:t>
                  </w:r>
                </w:p>
              </w:tc>
              <w:tc>
                <w:tcPr>
                  <w:tcW w:w="1549"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528D9187">
                  <w:pPr>
                    <w:pStyle w:val="39"/>
                    <w:rPr>
                      <w:color w:val="auto"/>
                    </w:rPr>
                  </w:pPr>
                  <w:r>
                    <w:rPr>
                      <w:rFonts w:ascii="宋体" w:hAnsi="宋体"/>
                      <w:color w:val="auto"/>
                    </w:rPr>
                    <w:t>第</w:t>
                  </w:r>
                  <w:r>
                    <w:rPr>
                      <w:color w:val="auto"/>
                    </w:rPr>
                    <w:t>95</w:t>
                  </w:r>
                  <w:r>
                    <w:rPr>
                      <w:rFonts w:ascii="宋体" w:hAnsi="宋体"/>
                      <w:color w:val="auto"/>
                    </w:rPr>
                    <w:t>百分位浓度（</w:t>
                  </w:r>
                  <w:r>
                    <w:rPr>
                      <w:color w:val="auto"/>
                    </w:rPr>
                    <w:t>mg/m</w:t>
                  </w:r>
                  <w:r>
                    <w:rPr>
                      <w:color w:val="auto"/>
                      <w:vertAlign w:val="superscript"/>
                    </w:rPr>
                    <w:t>3</w:t>
                  </w:r>
                  <w:r>
                    <w:rPr>
                      <w:rFonts w:ascii="宋体" w:hAnsi="宋体"/>
                      <w:color w:val="auto"/>
                    </w:rPr>
                    <w:t>）</w:t>
                  </w:r>
                </w:p>
              </w:tc>
              <w:tc>
                <w:tcPr>
                  <w:tcW w:w="760"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73BFDD21">
                  <w:pPr>
                    <w:pStyle w:val="39"/>
                    <w:rPr>
                      <w:rFonts w:hint="eastAsia" w:eastAsia="宋体"/>
                      <w:color w:val="auto"/>
                      <w:lang w:eastAsia="zh-CN"/>
                    </w:rPr>
                  </w:pPr>
                  <w:r>
                    <w:rPr>
                      <w:rFonts w:hint="eastAsia"/>
                      <w:color w:val="auto"/>
                    </w:rPr>
                    <w:t>1</w:t>
                  </w:r>
                  <w:r>
                    <w:rPr>
                      <w:color w:val="auto"/>
                    </w:rPr>
                    <w:t>.</w:t>
                  </w:r>
                  <w:r>
                    <w:rPr>
                      <w:rFonts w:hint="eastAsia"/>
                      <w:color w:val="auto"/>
                      <w:lang w:val="en-US" w:eastAsia="zh-CN"/>
                    </w:rPr>
                    <w:t>1</w:t>
                  </w:r>
                </w:p>
              </w:tc>
              <w:tc>
                <w:tcPr>
                  <w:tcW w:w="734"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60448B7F">
                  <w:pPr>
                    <w:pStyle w:val="39"/>
                    <w:rPr>
                      <w:rFonts w:ascii="宋体" w:hAnsi="宋体"/>
                      <w:color w:val="auto"/>
                      <w:vertAlign w:val="superscript"/>
                    </w:rPr>
                  </w:pPr>
                  <w:r>
                    <w:rPr>
                      <w:color w:val="auto"/>
                    </w:rPr>
                    <w:t>4</w:t>
                  </w:r>
                </w:p>
              </w:tc>
              <w:tc>
                <w:tcPr>
                  <w:tcW w:w="742" w:type="pc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14:paraId="12D3A9FC">
                  <w:pPr>
                    <w:pStyle w:val="39"/>
                    <w:rPr>
                      <w:color w:val="auto"/>
                    </w:rPr>
                  </w:pPr>
                  <w:r>
                    <w:rPr>
                      <w:rFonts w:hint="eastAsia"/>
                      <w:color w:val="auto"/>
                      <w:lang w:val="en-US" w:eastAsia="zh-CN"/>
                    </w:rPr>
                    <w:t>2</w:t>
                  </w:r>
                  <w:r>
                    <w:rPr>
                      <w:rFonts w:hint="eastAsia"/>
                      <w:color w:val="auto"/>
                    </w:rPr>
                    <w:t>7.5</w:t>
                  </w:r>
                </w:p>
              </w:tc>
              <w:tc>
                <w:tcPr>
                  <w:tcW w:w="741" w:type="pct"/>
                  <w:tcBorders>
                    <w:top w:val="single" w:color="000000" w:sz="4" w:space="0"/>
                    <w:left w:val="nil"/>
                    <w:bottom w:val="single" w:color="000000" w:sz="4" w:space="0"/>
                  </w:tcBorders>
                  <w:tcMar>
                    <w:top w:w="15" w:type="dxa"/>
                    <w:left w:w="15" w:type="dxa"/>
                    <w:bottom w:w="15" w:type="dxa"/>
                    <w:right w:w="15" w:type="dxa"/>
                  </w:tcMar>
                  <w:vAlign w:val="center"/>
                </w:tcPr>
                <w:p w14:paraId="6EFF9BE5">
                  <w:pPr>
                    <w:pStyle w:val="39"/>
                    <w:rPr>
                      <w:color w:val="auto"/>
                    </w:rPr>
                  </w:pPr>
                  <w:r>
                    <w:rPr>
                      <w:rFonts w:ascii="宋体" w:hAnsi="宋体"/>
                      <w:color w:val="auto"/>
                    </w:rPr>
                    <w:t>达标</w:t>
                  </w:r>
                </w:p>
              </w:tc>
            </w:tr>
            <w:tr w14:paraId="6A59338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pct"/>
                  <w:tcBorders>
                    <w:top w:val="single" w:color="000000" w:sz="4" w:space="0"/>
                    <w:right w:val="single" w:color="000000" w:sz="4" w:space="0"/>
                  </w:tcBorders>
                  <w:tcMar>
                    <w:top w:w="15" w:type="dxa"/>
                    <w:left w:w="15" w:type="dxa"/>
                    <w:bottom w:w="15" w:type="dxa"/>
                    <w:right w:w="15" w:type="dxa"/>
                  </w:tcMar>
                  <w:vAlign w:val="center"/>
                </w:tcPr>
                <w:p w14:paraId="52BBF8CB">
                  <w:pPr>
                    <w:pStyle w:val="39"/>
                    <w:rPr>
                      <w:color w:val="auto"/>
                    </w:rPr>
                  </w:pPr>
                  <w:r>
                    <w:rPr>
                      <w:color w:val="auto"/>
                    </w:rPr>
                    <w:t>O</w:t>
                  </w:r>
                  <w:r>
                    <w:rPr>
                      <w:color w:val="auto"/>
                      <w:vertAlign w:val="subscript"/>
                    </w:rPr>
                    <w:t>3</w:t>
                  </w:r>
                </w:p>
              </w:tc>
              <w:tc>
                <w:tcPr>
                  <w:tcW w:w="1549" w:type="pct"/>
                  <w:tcBorders>
                    <w:top w:val="single" w:color="000000" w:sz="4" w:space="0"/>
                    <w:left w:val="nil"/>
                    <w:right w:val="single" w:color="000000" w:sz="4" w:space="0"/>
                  </w:tcBorders>
                  <w:tcMar>
                    <w:top w:w="15" w:type="dxa"/>
                    <w:left w:w="15" w:type="dxa"/>
                    <w:bottom w:w="15" w:type="dxa"/>
                    <w:right w:w="15" w:type="dxa"/>
                  </w:tcMar>
                  <w:vAlign w:val="center"/>
                </w:tcPr>
                <w:p w14:paraId="2127A4DB">
                  <w:pPr>
                    <w:pStyle w:val="39"/>
                    <w:rPr>
                      <w:color w:val="auto"/>
                    </w:rPr>
                  </w:pPr>
                  <w:r>
                    <w:rPr>
                      <w:rFonts w:ascii="宋体" w:hAnsi="宋体"/>
                      <w:color w:val="auto"/>
                    </w:rPr>
                    <w:t>第</w:t>
                  </w:r>
                  <w:r>
                    <w:rPr>
                      <w:color w:val="auto"/>
                    </w:rPr>
                    <w:t>90</w:t>
                  </w:r>
                  <w:r>
                    <w:rPr>
                      <w:rFonts w:ascii="宋体" w:hAnsi="宋体"/>
                      <w:color w:val="auto"/>
                    </w:rPr>
                    <w:t>百分位浓度（</w:t>
                  </w:r>
                  <w:r>
                    <w:rPr>
                      <w:color w:val="auto"/>
                    </w:rPr>
                    <w:t>μg/m</w:t>
                  </w:r>
                  <w:r>
                    <w:rPr>
                      <w:color w:val="auto"/>
                      <w:vertAlign w:val="superscript"/>
                    </w:rPr>
                    <w:t>3</w:t>
                  </w:r>
                  <w:r>
                    <w:rPr>
                      <w:rFonts w:ascii="宋体" w:hAnsi="宋体"/>
                      <w:color w:val="auto"/>
                    </w:rPr>
                    <w:t>）</w:t>
                  </w:r>
                </w:p>
              </w:tc>
              <w:tc>
                <w:tcPr>
                  <w:tcW w:w="760" w:type="pct"/>
                  <w:tcBorders>
                    <w:top w:val="single" w:color="000000" w:sz="4" w:space="0"/>
                    <w:left w:val="nil"/>
                    <w:right w:val="single" w:color="000000" w:sz="4" w:space="0"/>
                  </w:tcBorders>
                  <w:tcMar>
                    <w:top w:w="15" w:type="dxa"/>
                    <w:left w:w="15" w:type="dxa"/>
                    <w:bottom w:w="15" w:type="dxa"/>
                    <w:right w:w="15" w:type="dxa"/>
                  </w:tcMar>
                  <w:vAlign w:val="center"/>
                </w:tcPr>
                <w:p w14:paraId="1A73E8BB">
                  <w:pPr>
                    <w:pStyle w:val="39"/>
                    <w:rPr>
                      <w:rFonts w:hint="eastAsia" w:eastAsia="宋体"/>
                      <w:color w:val="auto"/>
                      <w:lang w:eastAsia="zh-CN"/>
                    </w:rPr>
                  </w:pPr>
                  <w:r>
                    <w:rPr>
                      <w:rFonts w:hint="eastAsia"/>
                      <w:color w:val="auto"/>
                    </w:rPr>
                    <w:t>1</w:t>
                  </w:r>
                  <w:r>
                    <w:rPr>
                      <w:color w:val="auto"/>
                    </w:rPr>
                    <w:t>6</w:t>
                  </w:r>
                  <w:r>
                    <w:rPr>
                      <w:rFonts w:hint="eastAsia"/>
                      <w:color w:val="auto"/>
                      <w:lang w:val="en-US" w:eastAsia="zh-CN"/>
                    </w:rPr>
                    <w:t>4</w:t>
                  </w:r>
                </w:p>
              </w:tc>
              <w:tc>
                <w:tcPr>
                  <w:tcW w:w="734" w:type="pct"/>
                  <w:tcBorders>
                    <w:top w:val="single" w:color="000000" w:sz="4" w:space="0"/>
                    <w:left w:val="nil"/>
                    <w:right w:val="single" w:color="000000" w:sz="4" w:space="0"/>
                  </w:tcBorders>
                  <w:tcMar>
                    <w:top w:w="15" w:type="dxa"/>
                    <w:left w:w="15" w:type="dxa"/>
                    <w:bottom w:w="15" w:type="dxa"/>
                    <w:right w:w="15" w:type="dxa"/>
                  </w:tcMar>
                  <w:vAlign w:val="center"/>
                </w:tcPr>
                <w:p w14:paraId="192F5C6A">
                  <w:pPr>
                    <w:pStyle w:val="39"/>
                    <w:rPr>
                      <w:color w:val="auto"/>
                    </w:rPr>
                  </w:pPr>
                  <w:r>
                    <w:rPr>
                      <w:color w:val="auto"/>
                    </w:rPr>
                    <w:t>160</w:t>
                  </w:r>
                </w:p>
              </w:tc>
              <w:tc>
                <w:tcPr>
                  <w:tcW w:w="742" w:type="pct"/>
                  <w:tcBorders>
                    <w:top w:val="single" w:color="000000" w:sz="4" w:space="0"/>
                    <w:left w:val="nil"/>
                    <w:right w:val="single" w:color="000000" w:sz="4" w:space="0"/>
                  </w:tcBorders>
                  <w:tcMar>
                    <w:top w:w="15" w:type="dxa"/>
                    <w:left w:w="15" w:type="dxa"/>
                    <w:bottom w:w="15" w:type="dxa"/>
                    <w:right w:w="15" w:type="dxa"/>
                  </w:tcMar>
                  <w:vAlign w:val="center"/>
                </w:tcPr>
                <w:p w14:paraId="640ACAF4">
                  <w:pPr>
                    <w:pStyle w:val="39"/>
                    <w:rPr>
                      <w:rFonts w:hint="default" w:eastAsia="宋体"/>
                      <w:color w:val="auto"/>
                      <w:lang w:val="en-US" w:eastAsia="zh-CN"/>
                    </w:rPr>
                  </w:pPr>
                  <w:r>
                    <w:rPr>
                      <w:rFonts w:hint="eastAsia"/>
                      <w:color w:val="auto"/>
                    </w:rPr>
                    <w:t>10</w:t>
                  </w:r>
                  <w:r>
                    <w:rPr>
                      <w:rFonts w:hint="eastAsia"/>
                      <w:color w:val="auto"/>
                      <w:lang w:val="en-US" w:eastAsia="zh-CN"/>
                    </w:rPr>
                    <w:t>2.5</w:t>
                  </w:r>
                </w:p>
              </w:tc>
              <w:tc>
                <w:tcPr>
                  <w:tcW w:w="741" w:type="pct"/>
                  <w:tcBorders>
                    <w:top w:val="single" w:color="000000" w:sz="4" w:space="0"/>
                    <w:left w:val="nil"/>
                  </w:tcBorders>
                  <w:tcMar>
                    <w:top w:w="15" w:type="dxa"/>
                    <w:left w:w="15" w:type="dxa"/>
                    <w:bottom w:w="15" w:type="dxa"/>
                    <w:right w:w="15" w:type="dxa"/>
                  </w:tcMar>
                  <w:vAlign w:val="center"/>
                </w:tcPr>
                <w:p w14:paraId="6A1F038A">
                  <w:pPr>
                    <w:pStyle w:val="39"/>
                    <w:rPr>
                      <w:color w:val="auto"/>
                    </w:rPr>
                  </w:pPr>
                  <w:r>
                    <w:rPr>
                      <w:rFonts w:hint="eastAsia" w:ascii="宋体" w:hAnsi="宋体"/>
                      <w:color w:val="auto"/>
                      <w:lang w:val="en-US" w:eastAsia="zh-CN"/>
                    </w:rPr>
                    <w:t>不</w:t>
                  </w:r>
                  <w:r>
                    <w:rPr>
                      <w:rFonts w:ascii="宋体" w:hAnsi="宋体"/>
                      <w:color w:val="auto"/>
                    </w:rPr>
                    <w:t>达标</w:t>
                  </w:r>
                </w:p>
              </w:tc>
            </w:tr>
          </w:tbl>
          <w:p w14:paraId="775EB681">
            <w:pPr>
              <w:ind w:firstLine="480"/>
              <w:rPr>
                <w:rFonts w:hint="eastAsia"/>
                <w:color w:val="auto"/>
              </w:rPr>
            </w:pPr>
            <w:r>
              <w:rPr>
                <w:rFonts w:hint="eastAsia"/>
                <w:color w:val="auto"/>
              </w:rPr>
              <w:t>由上表可知，</w:t>
            </w:r>
            <w:r>
              <w:rPr>
                <w:rFonts w:hint="eastAsia"/>
                <w:color w:val="auto"/>
                <w:lang w:val="en-US" w:eastAsia="zh-CN"/>
              </w:rPr>
              <w:t>佳县</w:t>
            </w:r>
            <w:r>
              <w:rPr>
                <w:color w:val="auto"/>
              </w:rPr>
              <w:t>202</w:t>
            </w:r>
            <w:r>
              <w:rPr>
                <w:rFonts w:hint="eastAsia"/>
                <w:color w:val="auto"/>
                <w:lang w:val="en-US" w:eastAsia="zh-CN"/>
              </w:rPr>
              <w:t>4</w:t>
            </w:r>
            <w:r>
              <w:rPr>
                <w:rFonts w:hint="eastAsia"/>
                <w:color w:val="auto"/>
              </w:rPr>
              <w:t>年空气质量6项基本污染物中</w:t>
            </w:r>
            <w:r>
              <w:rPr>
                <w:color w:val="auto"/>
              </w:rPr>
              <w:t>PM</w:t>
            </w:r>
            <w:r>
              <w:rPr>
                <w:color w:val="auto"/>
                <w:vertAlign w:val="subscript"/>
              </w:rPr>
              <w:t>10</w:t>
            </w:r>
            <w:r>
              <w:rPr>
                <w:rFonts w:hint="eastAsia"/>
                <w:color w:val="auto"/>
                <w:lang w:eastAsia="zh-CN"/>
              </w:rPr>
              <w:t>、</w:t>
            </w:r>
            <w:r>
              <w:rPr>
                <w:color w:val="auto"/>
              </w:rPr>
              <w:t>PM</w:t>
            </w:r>
            <w:r>
              <w:rPr>
                <w:color w:val="auto"/>
                <w:vertAlign w:val="subscript"/>
              </w:rPr>
              <w:t>2.5</w:t>
            </w:r>
            <w:r>
              <w:rPr>
                <w:rFonts w:hint="eastAsia"/>
                <w:color w:val="auto"/>
                <w:vertAlign w:val="baseline"/>
                <w:lang w:eastAsia="zh-CN"/>
              </w:rPr>
              <w:t>、</w:t>
            </w:r>
            <w:r>
              <w:rPr>
                <w:color w:val="auto"/>
              </w:rPr>
              <w:t>SO</w:t>
            </w:r>
            <w:r>
              <w:rPr>
                <w:color w:val="auto"/>
                <w:vertAlign w:val="subscript"/>
              </w:rPr>
              <w:t>2</w:t>
            </w:r>
            <w:r>
              <w:rPr>
                <w:color w:val="auto"/>
              </w:rPr>
              <w:t>、NO</w:t>
            </w:r>
            <w:r>
              <w:rPr>
                <w:color w:val="auto"/>
                <w:vertAlign w:val="subscript"/>
              </w:rPr>
              <w:t>2</w:t>
            </w:r>
            <w:r>
              <w:rPr>
                <w:color w:val="auto"/>
              </w:rPr>
              <w:t>、CO</w:t>
            </w:r>
            <w:r>
              <w:rPr>
                <w:rFonts w:hint="eastAsia"/>
                <w:color w:val="auto"/>
              </w:rPr>
              <w:t>浓度值均满足《环境空气质量标准》（</w:t>
            </w:r>
            <w:r>
              <w:rPr>
                <w:color w:val="auto"/>
              </w:rPr>
              <w:t>GB3095-2012</w:t>
            </w:r>
            <w:r>
              <w:rPr>
                <w:rFonts w:hint="eastAsia"/>
                <w:color w:val="auto"/>
              </w:rPr>
              <w:t>）中二级标准限值要求，</w:t>
            </w:r>
            <w:r>
              <w:rPr>
                <w:color w:val="auto"/>
              </w:rPr>
              <w:t>O</w:t>
            </w:r>
            <w:r>
              <w:rPr>
                <w:color w:val="auto"/>
                <w:vertAlign w:val="subscript"/>
              </w:rPr>
              <w:t>3</w:t>
            </w:r>
            <w:r>
              <w:rPr>
                <w:rFonts w:hint="eastAsia"/>
                <w:color w:val="auto"/>
              </w:rPr>
              <w:t>浓度值不满足《环境空气质量标准》（</w:t>
            </w:r>
            <w:r>
              <w:rPr>
                <w:color w:val="auto"/>
              </w:rPr>
              <w:t>GB3095-2012</w:t>
            </w:r>
            <w:r>
              <w:rPr>
                <w:rFonts w:hint="eastAsia"/>
                <w:color w:val="auto"/>
              </w:rPr>
              <w:t>）中二级标准限值要求，为环境空气质量不达标区。</w:t>
            </w:r>
          </w:p>
          <w:p w14:paraId="44FF1B3E">
            <w:pPr>
              <w:pStyle w:val="11"/>
              <w:spacing w:line="360" w:lineRule="auto"/>
              <w:ind w:firstLine="480"/>
              <w:rPr>
                <w:color w:val="auto"/>
                <w:sz w:val="24"/>
              </w:rPr>
            </w:pPr>
            <w:r>
              <w:rPr>
                <w:rFonts w:hint="eastAsia"/>
                <w:color w:val="auto"/>
                <w:sz w:val="24"/>
              </w:rPr>
              <w:t>2、特征污染物</w:t>
            </w:r>
          </w:p>
          <w:p w14:paraId="47F2DAB9">
            <w:pPr>
              <w:ind w:firstLine="480" w:firstLineChars="200"/>
              <w:rPr>
                <w:color w:val="auto"/>
                <w:sz w:val="24"/>
              </w:rPr>
            </w:pPr>
            <w:r>
              <w:rPr>
                <w:rFonts w:hint="eastAsia"/>
                <w:color w:val="auto"/>
                <w:sz w:val="24"/>
              </w:rPr>
              <w:t>根据项目生产工艺及产排污情况，</w:t>
            </w:r>
            <w:r>
              <w:rPr>
                <w:rFonts w:hint="eastAsia"/>
                <w:color w:val="auto"/>
                <w:sz w:val="24"/>
                <w:lang w:val="en-US" w:eastAsia="zh-CN"/>
              </w:rPr>
              <w:t>本项目特征污染物包括</w:t>
            </w:r>
            <w:r>
              <w:rPr>
                <w:rFonts w:hint="eastAsia" w:cs="宋体"/>
                <w:color w:val="auto"/>
                <w:sz w:val="24"/>
              </w:rPr>
              <w:t>TSP、</w:t>
            </w:r>
            <w:r>
              <w:rPr>
                <w:rFonts w:hint="eastAsia" w:cs="宋体"/>
                <w:color w:val="auto"/>
                <w:sz w:val="24"/>
                <w:lang w:val="en-US" w:eastAsia="zh-CN"/>
              </w:rPr>
              <w:t>氟化物、HCl和非甲烷总烃，因HCl和非甲烷总烃在国家和地方环境空气质量标准中无标准限值故无需补充监测；对特征污染物</w:t>
            </w:r>
            <w:r>
              <w:rPr>
                <w:rFonts w:hint="eastAsia" w:cs="宋体"/>
                <w:color w:val="auto"/>
                <w:sz w:val="24"/>
              </w:rPr>
              <w:t>TSP、</w:t>
            </w:r>
            <w:r>
              <w:rPr>
                <w:rFonts w:hint="eastAsia" w:cs="宋体"/>
                <w:color w:val="auto"/>
                <w:sz w:val="24"/>
                <w:lang w:val="en-US" w:eastAsia="zh-CN"/>
              </w:rPr>
              <w:t>氟化物引用</w:t>
            </w:r>
            <w:r>
              <w:rPr>
                <w:rFonts w:hint="eastAsia" w:cs="宋体"/>
                <w:color w:val="auto"/>
                <w:sz w:val="24"/>
                <w:highlight w:val="none"/>
              </w:rPr>
              <w:t>陕西有色天宏瑞科硅材料有限责任公司8万吨电子级粒状多品硅产</w:t>
            </w:r>
            <w:r>
              <w:rPr>
                <w:rFonts w:hint="eastAsia" w:cs="宋体"/>
                <w:color w:val="auto"/>
                <w:sz w:val="24"/>
              </w:rPr>
              <w:t>业升级项目</w:t>
            </w:r>
            <w:r>
              <w:rPr>
                <w:rFonts w:hint="eastAsia" w:cs="宋体"/>
                <w:color w:val="auto"/>
                <w:sz w:val="24"/>
                <w:lang w:val="en-US" w:eastAsia="zh-CN"/>
              </w:rPr>
              <w:t>厂址监测点位（监测点位图</w:t>
            </w:r>
            <w:r>
              <w:rPr>
                <w:rFonts w:hint="eastAsia" w:cs="宋体"/>
                <w:color w:val="auto"/>
                <w:sz w:val="24"/>
                <w:highlight w:val="none"/>
                <w:lang w:val="en-US" w:eastAsia="zh-CN"/>
              </w:rPr>
              <w:t>见附图5）</w:t>
            </w:r>
            <w:r>
              <w:rPr>
                <w:rFonts w:hint="eastAsia" w:cs="宋体"/>
                <w:color w:val="auto"/>
                <w:sz w:val="24"/>
              </w:rPr>
              <w:t>的环境现状监测</w:t>
            </w:r>
            <w:r>
              <w:rPr>
                <w:rFonts w:hint="eastAsia" w:cs="宋体"/>
                <w:color w:val="auto"/>
                <w:sz w:val="24"/>
                <w:lang w:val="en-US" w:eastAsia="zh-CN"/>
              </w:rPr>
              <w:t>数据</w:t>
            </w:r>
            <w:r>
              <w:rPr>
                <w:rFonts w:hint="eastAsia" w:cs="宋体"/>
                <w:color w:val="auto"/>
                <w:sz w:val="24"/>
              </w:rPr>
              <w:t>，由</w:t>
            </w:r>
            <w:r>
              <w:rPr>
                <w:rFonts w:hint="eastAsia" w:cs="宋体"/>
                <w:color w:val="auto"/>
                <w:sz w:val="24"/>
                <w:lang w:val="en-US" w:eastAsia="zh-CN"/>
              </w:rPr>
              <w:t>陕西正为环境检测股份</w:t>
            </w:r>
            <w:r>
              <w:rPr>
                <w:rFonts w:hint="eastAsia" w:cs="宋体"/>
                <w:color w:val="auto"/>
                <w:sz w:val="24"/>
              </w:rPr>
              <w:t>有限公司出具的《</w:t>
            </w:r>
            <w:r>
              <w:rPr>
                <w:rFonts w:hint="eastAsia" w:cs="宋体"/>
                <w:color w:val="auto"/>
                <w:sz w:val="24"/>
                <w:lang w:val="en-US" w:eastAsia="zh-CN"/>
              </w:rPr>
              <w:t>多晶硅</w:t>
            </w:r>
            <w:r>
              <w:rPr>
                <w:rFonts w:hint="eastAsia" w:cs="宋体"/>
                <w:color w:val="auto"/>
                <w:sz w:val="24"/>
              </w:rPr>
              <w:t>项目环境质量现状监测报告》（</w:t>
            </w:r>
            <w:r>
              <w:rPr>
                <w:rFonts w:hint="eastAsia" w:cs="宋体"/>
                <w:color w:val="auto"/>
                <w:sz w:val="24"/>
                <w:lang w:val="en-US" w:eastAsia="zh-CN"/>
              </w:rPr>
              <w:t>见附件，</w:t>
            </w:r>
            <w:r>
              <w:rPr>
                <w:rFonts w:hint="eastAsia" w:cs="宋体"/>
                <w:color w:val="auto"/>
                <w:sz w:val="24"/>
              </w:rPr>
              <w:t>报告编号：正为监(现)字</w:t>
            </w:r>
            <w:r>
              <w:rPr>
                <w:rFonts w:hint="eastAsia" w:cs="宋体"/>
                <w:color w:val="auto"/>
                <w:sz w:val="24"/>
                <w:lang w:val="en-US" w:eastAsia="zh-CN"/>
              </w:rPr>
              <w:t>[</w:t>
            </w:r>
            <w:r>
              <w:rPr>
                <w:rFonts w:hint="eastAsia" w:cs="宋体"/>
                <w:color w:val="auto"/>
                <w:sz w:val="24"/>
              </w:rPr>
              <w:t>2022</w:t>
            </w:r>
            <w:r>
              <w:rPr>
                <w:rFonts w:hint="eastAsia" w:cs="宋体"/>
                <w:color w:val="auto"/>
                <w:sz w:val="24"/>
                <w:lang w:val="en-US" w:eastAsia="zh-CN"/>
              </w:rPr>
              <w:t>]</w:t>
            </w:r>
            <w:r>
              <w:rPr>
                <w:rFonts w:hint="eastAsia" w:cs="宋体"/>
                <w:color w:val="auto"/>
                <w:sz w:val="24"/>
              </w:rPr>
              <w:t>第0703号）中的数据，该监测点位于本项目厂区</w:t>
            </w:r>
            <w:r>
              <w:rPr>
                <w:rFonts w:hint="eastAsia" w:cs="宋体"/>
                <w:color w:val="auto"/>
                <w:sz w:val="24"/>
                <w:highlight w:val="none"/>
                <w:lang w:val="en-US" w:eastAsia="zh-CN"/>
              </w:rPr>
              <w:t>西北</w:t>
            </w:r>
            <w:r>
              <w:rPr>
                <w:rFonts w:hint="eastAsia" w:cs="宋体"/>
                <w:color w:val="auto"/>
                <w:sz w:val="24"/>
                <w:highlight w:val="none"/>
              </w:rPr>
              <w:t>侧</w:t>
            </w:r>
            <w:r>
              <w:rPr>
                <w:rFonts w:hint="eastAsia" w:cs="宋体"/>
                <w:color w:val="auto"/>
                <w:sz w:val="24"/>
                <w:highlight w:val="none"/>
                <w:lang w:val="en-US" w:eastAsia="zh-CN"/>
              </w:rPr>
              <w:t>约1.6km</w:t>
            </w:r>
            <w:r>
              <w:rPr>
                <w:rFonts w:hint="eastAsia" w:cs="宋体"/>
                <w:color w:val="auto"/>
                <w:sz w:val="24"/>
              </w:rPr>
              <w:t>，监测时间为202</w:t>
            </w:r>
            <w:r>
              <w:rPr>
                <w:rFonts w:hint="eastAsia" w:cs="宋体"/>
                <w:color w:val="auto"/>
                <w:sz w:val="24"/>
                <w:lang w:val="en-US" w:eastAsia="zh-CN"/>
              </w:rPr>
              <w:t>2</w:t>
            </w:r>
            <w:r>
              <w:rPr>
                <w:rFonts w:hint="eastAsia" w:cs="宋体"/>
                <w:color w:val="auto"/>
                <w:sz w:val="24"/>
              </w:rPr>
              <w:t>年</w:t>
            </w:r>
            <w:r>
              <w:rPr>
                <w:rFonts w:hint="eastAsia" w:cs="宋体"/>
                <w:color w:val="auto"/>
                <w:sz w:val="24"/>
                <w:lang w:val="en-US" w:eastAsia="zh-CN"/>
              </w:rPr>
              <w:t>7</w:t>
            </w:r>
            <w:r>
              <w:rPr>
                <w:rFonts w:hint="eastAsia" w:cs="宋体"/>
                <w:color w:val="auto"/>
                <w:sz w:val="24"/>
              </w:rPr>
              <w:t>月1</w:t>
            </w:r>
            <w:r>
              <w:rPr>
                <w:rFonts w:hint="eastAsia" w:cs="宋体"/>
                <w:color w:val="auto"/>
                <w:sz w:val="24"/>
                <w:lang w:val="en-US" w:eastAsia="zh-CN"/>
              </w:rPr>
              <w:t>3</w:t>
            </w:r>
            <w:r>
              <w:rPr>
                <w:rFonts w:hint="eastAsia" w:cs="宋体"/>
                <w:color w:val="auto"/>
                <w:sz w:val="24"/>
              </w:rPr>
              <w:t>日~</w:t>
            </w:r>
            <w:r>
              <w:rPr>
                <w:rFonts w:hint="eastAsia" w:cs="宋体"/>
                <w:color w:val="auto"/>
                <w:sz w:val="24"/>
                <w:lang w:val="en-US" w:eastAsia="zh-CN"/>
              </w:rPr>
              <w:t>7</w:t>
            </w:r>
            <w:r>
              <w:rPr>
                <w:rFonts w:hint="eastAsia" w:cs="宋体"/>
                <w:color w:val="auto"/>
                <w:sz w:val="24"/>
              </w:rPr>
              <w:t>月</w:t>
            </w:r>
            <w:r>
              <w:rPr>
                <w:rFonts w:hint="eastAsia" w:cs="宋体"/>
                <w:color w:val="auto"/>
                <w:sz w:val="24"/>
                <w:lang w:val="en-US" w:eastAsia="zh-CN"/>
              </w:rPr>
              <w:t>19</w:t>
            </w:r>
            <w:r>
              <w:rPr>
                <w:rFonts w:hint="eastAsia" w:cs="宋体"/>
                <w:color w:val="auto"/>
                <w:sz w:val="24"/>
              </w:rPr>
              <w:t>日，依据《建设项目环境影响报告表编制技术指南（污染影响类）》（试行）中 “大气环境可引用建设项目周边5千米范围内近3年的现有监测数据”的要求，项目特征</w:t>
            </w:r>
            <w:r>
              <w:rPr>
                <w:rFonts w:hint="eastAsia" w:cs="宋体"/>
                <w:color w:val="auto"/>
                <w:sz w:val="24"/>
                <w:lang w:val="en-US" w:eastAsia="zh-CN"/>
              </w:rPr>
              <w:t>污染</w:t>
            </w:r>
            <w:r>
              <w:rPr>
                <w:rFonts w:hint="eastAsia" w:cs="宋体"/>
                <w:color w:val="auto"/>
                <w:sz w:val="24"/>
              </w:rPr>
              <w:t>物监测数据引用有效</w:t>
            </w:r>
            <w:r>
              <w:rPr>
                <w:rFonts w:hint="eastAsia" w:cs="宋体"/>
                <w:color w:val="auto"/>
                <w:sz w:val="24"/>
                <w:lang w:eastAsia="zh-CN"/>
              </w:rPr>
              <w:t>，</w:t>
            </w:r>
            <w:r>
              <w:rPr>
                <w:rFonts w:hint="eastAsia"/>
                <w:color w:val="auto"/>
                <w:sz w:val="24"/>
              </w:rPr>
              <w:t>监测结果汇总见</w:t>
            </w:r>
            <w:r>
              <w:rPr>
                <w:rFonts w:hint="eastAsia"/>
                <w:color w:val="auto"/>
                <w:sz w:val="24"/>
                <w:lang w:val="en-US" w:eastAsia="zh-CN"/>
              </w:rPr>
              <w:t>下</w:t>
            </w:r>
            <w:r>
              <w:rPr>
                <w:rFonts w:hint="eastAsia"/>
                <w:color w:val="auto"/>
                <w:sz w:val="24"/>
              </w:rPr>
              <w:t>表。</w:t>
            </w:r>
          </w:p>
          <w:p w14:paraId="319A53F4">
            <w:pPr>
              <w:pStyle w:val="42"/>
              <w:numPr>
                <w:ilvl w:val="3"/>
                <w:numId w:val="0"/>
              </w:numPr>
              <w:ind w:left="0" w:leftChars="0" w:firstLine="0" w:firstLineChars="0"/>
              <w:rPr>
                <w:rFonts w:hint="eastAsia" w:ascii="Times New Roman" w:hAnsi="Times New Roman" w:eastAsia="黑体" w:cs="Times New Roman"/>
                <w:color w:val="auto"/>
                <w:kern w:val="2"/>
                <w:sz w:val="24"/>
                <w:szCs w:val="24"/>
                <w:lang w:val="en-US" w:eastAsia="zh-CN" w:bidi="ar-SA"/>
              </w:rPr>
            </w:pPr>
            <w:r>
              <w:rPr>
                <w:rFonts w:hint="eastAsia" w:ascii="Times New Roman" w:hAnsi="Times New Roman" w:eastAsia="黑体" w:cs="Times New Roman"/>
                <w:color w:val="auto"/>
                <w:kern w:val="2"/>
                <w:sz w:val="24"/>
                <w:szCs w:val="24"/>
                <w:lang w:val="en-US" w:eastAsia="zh-CN" w:bidi="ar-SA"/>
              </w:rPr>
              <w:t xml:space="preserve">表3-2  </w:t>
            </w:r>
            <w:r>
              <w:rPr>
                <w:rFonts w:hint="eastAsia" w:ascii="Times New Roman" w:hAnsi="Times New Roman" w:cs="Times New Roman"/>
                <w:color w:val="auto"/>
                <w:kern w:val="2"/>
                <w:sz w:val="24"/>
                <w:szCs w:val="24"/>
                <w:lang w:val="en-US" w:eastAsia="zh-CN" w:bidi="ar-SA"/>
              </w:rPr>
              <w:t>特征污染物</w:t>
            </w:r>
            <w:r>
              <w:rPr>
                <w:rFonts w:hint="eastAsia" w:ascii="Times New Roman" w:hAnsi="Times New Roman" w:eastAsia="黑体" w:cs="Times New Roman"/>
                <w:color w:val="auto"/>
                <w:kern w:val="2"/>
                <w:sz w:val="24"/>
                <w:szCs w:val="24"/>
                <w:lang w:val="en-US" w:eastAsia="zh-CN" w:bidi="ar-SA"/>
              </w:rPr>
              <w:t>监测结果统计表</w:t>
            </w:r>
          </w:p>
          <w:tbl>
            <w:tblPr>
              <w:tblStyle w:val="67"/>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17"/>
              <w:gridCol w:w="1632"/>
              <w:gridCol w:w="1421"/>
              <w:gridCol w:w="1547"/>
              <w:gridCol w:w="1296"/>
              <w:gridCol w:w="1262"/>
            </w:tblGrid>
            <w:tr w14:paraId="05061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8" w:hRule="atLeast"/>
              </w:trPr>
              <w:tc>
                <w:tcPr>
                  <w:tcW w:w="777" w:type="pct"/>
                  <w:vAlign w:val="center"/>
                </w:tcPr>
                <w:p w14:paraId="3B316B69">
                  <w:pPr>
                    <w:pStyle w:val="66"/>
                    <w:keepNext w:val="0"/>
                    <w:keepLines w:val="0"/>
                    <w:pageBreakBefore w:val="0"/>
                    <w:widowControl w:val="0"/>
                    <w:kinsoku/>
                    <w:wordWrap/>
                    <w:overflowPunct/>
                    <w:topLinePunct w:val="0"/>
                    <w:autoSpaceDE/>
                    <w:autoSpaceDN/>
                    <w:bidi w:val="0"/>
                    <w:adjustRightInd w:val="0"/>
                    <w:snapToGrid w:val="0"/>
                    <w:spacing w:before="164" w:line="360" w:lineRule="auto"/>
                    <w:ind w:firstLine="0" w:firstLineChars="0"/>
                    <w:jc w:val="center"/>
                    <w:textAlignment w:val="auto"/>
                    <w:rPr>
                      <w:rFonts w:hint="default" w:ascii="Times New Roman" w:hAnsi="Times New Roman" w:cs="Times New Roman"/>
                      <w:color w:val="auto"/>
                      <w:spacing w:val="7"/>
                      <w:sz w:val="21"/>
                      <w:szCs w:val="21"/>
                    </w:rPr>
                  </w:pPr>
                  <w:r>
                    <w:rPr>
                      <w:rFonts w:hint="default" w:ascii="Times New Roman" w:hAnsi="Times New Roman" w:cs="Times New Roman"/>
                      <w:color w:val="auto"/>
                      <w:spacing w:val="7"/>
                      <w:sz w:val="21"/>
                      <w:szCs w:val="21"/>
                      <w:lang w:val="en-US" w:eastAsia="zh-CN"/>
                    </w:rPr>
                    <w:t xml:space="preserve"> </w:t>
                  </w:r>
                  <w:r>
                    <w:rPr>
                      <w:rFonts w:hint="default" w:ascii="Times New Roman" w:hAnsi="Times New Roman" w:cs="Times New Roman"/>
                      <w:color w:val="auto"/>
                      <w:spacing w:val="7"/>
                      <w:sz w:val="21"/>
                      <w:szCs w:val="21"/>
                    </w:rPr>
                    <w:t>监测因子</w:t>
                  </w:r>
                </w:p>
              </w:tc>
              <w:tc>
                <w:tcPr>
                  <w:tcW w:w="962" w:type="pct"/>
                  <w:vAlign w:val="center"/>
                </w:tcPr>
                <w:p w14:paraId="5EA1E668">
                  <w:pPr>
                    <w:pStyle w:val="66"/>
                    <w:keepNext w:val="0"/>
                    <w:keepLines w:val="0"/>
                    <w:pageBreakBefore w:val="0"/>
                    <w:widowControl w:val="0"/>
                    <w:kinsoku/>
                    <w:wordWrap/>
                    <w:overflowPunct/>
                    <w:topLinePunct w:val="0"/>
                    <w:autoSpaceDE/>
                    <w:autoSpaceDN/>
                    <w:bidi w:val="0"/>
                    <w:adjustRightInd w:val="0"/>
                    <w:snapToGrid w:val="0"/>
                    <w:spacing w:before="164" w:line="360" w:lineRule="auto"/>
                    <w:ind w:firstLine="0" w:firstLineChars="0"/>
                    <w:jc w:val="center"/>
                    <w:textAlignment w:val="auto"/>
                    <w:rPr>
                      <w:rFonts w:hint="default" w:ascii="Times New Roman" w:hAnsi="Times New Roman" w:cs="Times New Roman"/>
                      <w:color w:val="auto"/>
                      <w:spacing w:val="7"/>
                      <w:sz w:val="21"/>
                      <w:szCs w:val="21"/>
                    </w:rPr>
                  </w:pPr>
                  <w:r>
                    <w:rPr>
                      <w:rFonts w:hint="default" w:ascii="Times New Roman" w:hAnsi="Times New Roman" w:cs="Times New Roman"/>
                      <w:color w:val="auto"/>
                      <w:spacing w:val="7"/>
                      <w:sz w:val="21"/>
                      <w:szCs w:val="21"/>
                    </w:rPr>
                    <w:t>评价指标</w:t>
                  </w:r>
                </w:p>
              </w:tc>
              <w:tc>
                <w:tcPr>
                  <w:tcW w:w="838" w:type="pct"/>
                  <w:vAlign w:val="center"/>
                </w:tcPr>
                <w:p w14:paraId="3ECB7FFA">
                  <w:pPr>
                    <w:pStyle w:val="66"/>
                    <w:keepNext w:val="0"/>
                    <w:keepLines w:val="0"/>
                    <w:pageBreakBefore w:val="0"/>
                    <w:widowControl w:val="0"/>
                    <w:kinsoku/>
                    <w:wordWrap/>
                    <w:overflowPunct/>
                    <w:topLinePunct w:val="0"/>
                    <w:autoSpaceDE/>
                    <w:autoSpaceDN/>
                    <w:bidi w:val="0"/>
                    <w:adjustRightInd w:val="0"/>
                    <w:snapToGrid w:val="0"/>
                    <w:spacing w:before="164" w:line="360" w:lineRule="auto"/>
                    <w:ind w:firstLine="0" w:firstLineChars="0"/>
                    <w:jc w:val="center"/>
                    <w:textAlignment w:val="auto"/>
                    <w:rPr>
                      <w:rFonts w:hint="default" w:ascii="Times New Roman" w:hAnsi="Times New Roman" w:cs="Times New Roman"/>
                      <w:color w:val="auto"/>
                      <w:spacing w:val="7"/>
                      <w:sz w:val="21"/>
                      <w:szCs w:val="21"/>
                    </w:rPr>
                  </w:pPr>
                  <w:r>
                    <w:rPr>
                      <w:rFonts w:hint="default" w:ascii="Times New Roman" w:hAnsi="Times New Roman" w:cs="Times New Roman"/>
                      <w:color w:val="auto"/>
                      <w:spacing w:val="7"/>
                      <w:sz w:val="21"/>
                      <w:szCs w:val="21"/>
                    </w:rPr>
                    <w:t>监测结果</w:t>
                  </w:r>
                </w:p>
              </w:tc>
              <w:tc>
                <w:tcPr>
                  <w:tcW w:w="912" w:type="pct"/>
                  <w:vAlign w:val="center"/>
                </w:tcPr>
                <w:p w14:paraId="4C4EE633">
                  <w:pPr>
                    <w:pStyle w:val="66"/>
                    <w:keepNext w:val="0"/>
                    <w:keepLines w:val="0"/>
                    <w:pageBreakBefore w:val="0"/>
                    <w:widowControl w:val="0"/>
                    <w:kinsoku/>
                    <w:wordWrap/>
                    <w:overflowPunct/>
                    <w:topLinePunct w:val="0"/>
                    <w:autoSpaceDE/>
                    <w:autoSpaceDN/>
                    <w:bidi w:val="0"/>
                    <w:adjustRightInd w:val="0"/>
                    <w:snapToGrid w:val="0"/>
                    <w:spacing w:before="164" w:line="360" w:lineRule="auto"/>
                    <w:ind w:firstLine="0" w:firstLineChars="0"/>
                    <w:jc w:val="center"/>
                    <w:textAlignment w:val="auto"/>
                    <w:rPr>
                      <w:rFonts w:hint="default" w:ascii="Times New Roman" w:hAnsi="Times New Roman" w:cs="Times New Roman"/>
                      <w:color w:val="auto"/>
                      <w:spacing w:val="7"/>
                      <w:sz w:val="21"/>
                      <w:szCs w:val="21"/>
                    </w:rPr>
                  </w:pPr>
                  <w:r>
                    <w:rPr>
                      <w:rFonts w:hint="default" w:ascii="Times New Roman" w:hAnsi="Times New Roman" w:cs="Times New Roman"/>
                      <w:color w:val="auto"/>
                      <w:spacing w:val="7"/>
                      <w:sz w:val="21"/>
                      <w:szCs w:val="21"/>
                    </w:rPr>
                    <w:t>标准值</w:t>
                  </w:r>
                </w:p>
              </w:tc>
              <w:tc>
                <w:tcPr>
                  <w:tcW w:w="764" w:type="pct"/>
                  <w:vAlign w:val="center"/>
                </w:tcPr>
                <w:p w14:paraId="77A2F7E8">
                  <w:pPr>
                    <w:pStyle w:val="66"/>
                    <w:keepNext w:val="0"/>
                    <w:keepLines w:val="0"/>
                    <w:pageBreakBefore w:val="0"/>
                    <w:widowControl w:val="0"/>
                    <w:kinsoku/>
                    <w:wordWrap/>
                    <w:overflowPunct/>
                    <w:topLinePunct w:val="0"/>
                    <w:autoSpaceDE/>
                    <w:autoSpaceDN/>
                    <w:bidi w:val="0"/>
                    <w:adjustRightInd w:val="0"/>
                    <w:snapToGrid w:val="0"/>
                    <w:spacing w:before="164" w:line="360" w:lineRule="auto"/>
                    <w:ind w:firstLine="0" w:firstLineChars="0"/>
                    <w:jc w:val="center"/>
                    <w:textAlignment w:val="auto"/>
                    <w:rPr>
                      <w:rFonts w:hint="default" w:ascii="Times New Roman" w:hAnsi="Times New Roman" w:cs="Times New Roman"/>
                      <w:color w:val="auto"/>
                      <w:spacing w:val="7"/>
                      <w:sz w:val="21"/>
                      <w:szCs w:val="21"/>
                    </w:rPr>
                  </w:pPr>
                  <w:r>
                    <w:rPr>
                      <w:rFonts w:hint="default" w:ascii="Times New Roman" w:hAnsi="Times New Roman" w:cs="Times New Roman"/>
                      <w:color w:val="auto"/>
                      <w:spacing w:val="7"/>
                      <w:sz w:val="21"/>
                      <w:szCs w:val="21"/>
                      <w:lang w:val="en-US" w:eastAsia="zh-CN"/>
                    </w:rPr>
                    <w:t>最大占标率</w:t>
                  </w:r>
                  <w:r>
                    <w:rPr>
                      <w:rFonts w:hint="default" w:ascii="Times New Roman" w:hAnsi="Times New Roman" w:cs="Times New Roman"/>
                      <w:color w:val="auto"/>
                      <w:spacing w:val="7"/>
                      <w:sz w:val="21"/>
                      <w:szCs w:val="21"/>
                    </w:rPr>
                    <w:t xml:space="preserve"> （%）</w:t>
                  </w:r>
                </w:p>
              </w:tc>
              <w:tc>
                <w:tcPr>
                  <w:tcW w:w="744" w:type="pct"/>
                  <w:vAlign w:val="center"/>
                </w:tcPr>
                <w:p w14:paraId="04138B8C">
                  <w:pPr>
                    <w:pStyle w:val="66"/>
                    <w:keepNext w:val="0"/>
                    <w:keepLines w:val="0"/>
                    <w:pageBreakBefore w:val="0"/>
                    <w:widowControl w:val="0"/>
                    <w:kinsoku/>
                    <w:wordWrap/>
                    <w:overflowPunct/>
                    <w:topLinePunct w:val="0"/>
                    <w:autoSpaceDE/>
                    <w:autoSpaceDN/>
                    <w:bidi w:val="0"/>
                    <w:adjustRightInd w:val="0"/>
                    <w:snapToGrid w:val="0"/>
                    <w:spacing w:before="164" w:line="360" w:lineRule="auto"/>
                    <w:ind w:firstLine="0" w:firstLineChars="0"/>
                    <w:jc w:val="center"/>
                    <w:textAlignment w:val="auto"/>
                    <w:rPr>
                      <w:rFonts w:hint="default" w:ascii="Times New Roman" w:hAnsi="Times New Roman" w:cs="Times New Roman"/>
                      <w:color w:val="auto"/>
                      <w:spacing w:val="7"/>
                      <w:sz w:val="21"/>
                      <w:szCs w:val="21"/>
                      <w:lang w:val="en-US" w:eastAsia="zh-CN"/>
                    </w:rPr>
                  </w:pPr>
                  <w:r>
                    <w:rPr>
                      <w:rFonts w:hint="default" w:ascii="Times New Roman" w:hAnsi="Times New Roman" w:cs="Times New Roman"/>
                      <w:color w:val="auto"/>
                      <w:spacing w:val="7"/>
                      <w:sz w:val="21"/>
                      <w:szCs w:val="21"/>
                      <w:lang w:val="en-US" w:eastAsia="zh-CN"/>
                    </w:rPr>
                    <w:t xml:space="preserve"> 是否达标</w:t>
                  </w:r>
                </w:p>
              </w:tc>
            </w:tr>
            <w:tr w14:paraId="0794D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77" w:type="pct"/>
                  <w:vAlign w:val="center"/>
                </w:tcPr>
                <w:p w14:paraId="041C6396">
                  <w:pPr>
                    <w:keepNext w:val="0"/>
                    <w:keepLines w:val="0"/>
                    <w:pageBreakBefore w:val="0"/>
                    <w:widowControl w:val="0"/>
                    <w:kinsoku/>
                    <w:wordWrap/>
                    <w:overflowPunct/>
                    <w:topLinePunct w:val="0"/>
                    <w:autoSpaceDE/>
                    <w:autoSpaceDN/>
                    <w:bidi w:val="0"/>
                    <w:adjustRightInd w:val="0"/>
                    <w:snapToGrid w:val="0"/>
                    <w:spacing w:before="183" w:line="360" w:lineRule="auto"/>
                    <w:ind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TSP</w:t>
                  </w:r>
                </w:p>
              </w:tc>
              <w:tc>
                <w:tcPr>
                  <w:tcW w:w="962" w:type="pct"/>
                  <w:vAlign w:val="center"/>
                </w:tcPr>
                <w:p w14:paraId="4A5BBAB1">
                  <w:pPr>
                    <w:pStyle w:val="66"/>
                    <w:keepNext w:val="0"/>
                    <w:keepLines w:val="0"/>
                    <w:pageBreakBefore w:val="0"/>
                    <w:widowControl w:val="0"/>
                    <w:kinsoku/>
                    <w:wordWrap/>
                    <w:overflowPunct/>
                    <w:topLinePunct w:val="0"/>
                    <w:autoSpaceDE/>
                    <w:autoSpaceDN/>
                    <w:bidi w:val="0"/>
                    <w:adjustRightInd w:val="0"/>
                    <w:snapToGrid w:val="0"/>
                    <w:spacing w:before="28" w:line="360" w:lineRule="auto"/>
                    <w:ind w:left="0" w:leftChars="0" w:right="231"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24小时均值</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µg/m</w:t>
                  </w:r>
                  <w:r>
                    <w:rPr>
                      <w:rFonts w:hint="eastAsia" w:ascii="Times New Roman" w:hAnsi="Times New Roman" w:cs="Times New Roman"/>
                      <w:color w:val="auto"/>
                      <w:spacing w:val="1"/>
                      <w:sz w:val="21"/>
                      <w:szCs w:val="21"/>
                      <w:vertAlign w:val="superscript"/>
                      <w:lang w:val="en-US" w:eastAsia="zh-CN"/>
                    </w:rPr>
                    <w:t>3</w:t>
                  </w:r>
                </w:p>
              </w:tc>
              <w:tc>
                <w:tcPr>
                  <w:tcW w:w="838" w:type="pct"/>
                  <w:vAlign w:val="center"/>
                </w:tcPr>
                <w:p w14:paraId="7291FA49">
                  <w:pPr>
                    <w:keepNext w:val="0"/>
                    <w:keepLines w:val="0"/>
                    <w:pageBreakBefore w:val="0"/>
                    <w:widowControl w:val="0"/>
                    <w:kinsoku/>
                    <w:wordWrap/>
                    <w:overflowPunct/>
                    <w:topLinePunct w:val="0"/>
                    <w:autoSpaceDE/>
                    <w:autoSpaceDN/>
                    <w:bidi w:val="0"/>
                    <w:adjustRightInd w:val="0"/>
                    <w:snapToGrid w:val="0"/>
                    <w:spacing w:before="183"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1"/>
                      <w:sz w:val="21"/>
                      <w:szCs w:val="21"/>
                      <w:lang w:val="en-US" w:eastAsia="zh-CN"/>
                    </w:rPr>
                    <w:t>55-75</w:t>
                  </w:r>
                </w:p>
              </w:tc>
              <w:tc>
                <w:tcPr>
                  <w:tcW w:w="912" w:type="pct"/>
                  <w:vAlign w:val="center"/>
                </w:tcPr>
                <w:p w14:paraId="77E35E5B">
                  <w:pPr>
                    <w:keepNext w:val="0"/>
                    <w:keepLines w:val="0"/>
                    <w:pageBreakBefore w:val="0"/>
                    <w:widowControl w:val="0"/>
                    <w:kinsoku/>
                    <w:wordWrap/>
                    <w:overflowPunct/>
                    <w:topLinePunct w:val="0"/>
                    <w:autoSpaceDE/>
                    <w:autoSpaceDN/>
                    <w:bidi w:val="0"/>
                    <w:adjustRightInd w:val="0"/>
                    <w:snapToGrid w:val="0"/>
                    <w:spacing w:before="183" w:line="360" w:lineRule="auto"/>
                    <w:ind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300</w:t>
                  </w:r>
                </w:p>
              </w:tc>
              <w:tc>
                <w:tcPr>
                  <w:tcW w:w="764" w:type="pct"/>
                  <w:vAlign w:val="center"/>
                </w:tcPr>
                <w:p w14:paraId="168A3166">
                  <w:pPr>
                    <w:keepNext w:val="0"/>
                    <w:keepLines w:val="0"/>
                    <w:pageBreakBefore w:val="0"/>
                    <w:widowControl w:val="0"/>
                    <w:kinsoku/>
                    <w:wordWrap/>
                    <w:overflowPunct/>
                    <w:topLinePunct w:val="0"/>
                    <w:autoSpaceDE/>
                    <w:autoSpaceDN/>
                    <w:bidi w:val="0"/>
                    <w:adjustRightInd w:val="0"/>
                    <w:snapToGrid w:val="0"/>
                    <w:spacing w:before="117"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position w:val="1"/>
                      <w:sz w:val="21"/>
                      <w:szCs w:val="21"/>
                      <w:lang w:val="en-US" w:eastAsia="zh-CN"/>
                    </w:rPr>
                    <w:t>25</w:t>
                  </w:r>
                </w:p>
              </w:tc>
              <w:tc>
                <w:tcPr>
                  <w:tcW w:w="744" w:type="pct"/>
                  <w:vAlign w:val="center"/>
                </w:tcPr>
                <w:p w14:paraId="1C1915A3">
                  <w:pPr>
                    <w:keepNext w:val="0"/>
                    <w:keepLines w:val="0"/>
                    <w:pageBreakBefore w:val="0"/>
                    <w:widowControl w:val="0"/>
                    <w:kinsoku/>
                    <w:wordWrap/>
                    <w:overflowPunct/>
                    <w:topLinePunct w:val="0"/>
                    <w:autoSpaceDE/>
                    <w:autoSpaceDN/>
                    <w:bidi w:val="0"/>
                    <w:adjustRightInd w:val="0"/>
                    <w:snapToGrid w:val="0"/>
                    <w:spacing w:before="183" w:line="36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pacing w:val="-3"/>
                      <w:sz w:val="21"/>
                      <w:szCs w:val="21"/>
                      <w:lang w:val="en-US" w:eastAsia="zh-CN"/>
                    </w:rPr>
                    <w:t>达标</w:t>
                  </w:r>
                </w:p>
              </w:tc>
            </w:tr>
            <w:tr w14:paraId="3CA64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77" w:type="pct"/>
                  <w:vMerge w:val="restart"/>
                  <w:vAlign w:val="center"/>
                </w:tcPr>
                <w:p w14:paraId="07AC5FBA">
                  <w:pPr>
                    <w:pStyle w:val="66"/>
                    <w:keepNext w:val="0"/>
                    <w:keepLines w:val="0"/>
                    <w:pageBreakBefore w:val="0"/>
                    <w:widowControl w:val="0"/>
                    <w:kinsoku/>
                    <w:wordWrap/>
                    <w:overflowPunct/>
                    <w:topLinePunct w:val="0"/>
                    <w:autoSpaceDE/>
                    <w:autoSpaceDN/>
                    <w:bidi w:val="0"/>
                    <w:adjustRightInd w:val="0"/>
                    <w:snapToGrid w:val="0"/>
                    <w:spacing w:before="147" w:line="360" w:lineRule="auto"/>
                    <w:ind w:firstLine="0" w:firstLineChars="0"/>
                    <w:jc w:val="center"/>
                    <w:textAlignment w:val="auto"/>
                    <w:rPr>
                      <w:color w:val="auto"/>
                      <w:sz w:val="21"/>
                      <w:szCs w:val="21"/>
                    </w:rPr>
                  </w:pPr>
                  <w:r>
                    <w:rPr>
                      <w:color w:val="auto"/>
                      <w:spacing w:val="6"/>
                      <w:sz w:val="21"/>
                      <w:szCs w:val="21"/>
                    </w:rPr>
                    <w:t>氟化物</w:t>
                  </w:r>
                </w:p>
              </w:tc>
              <w:tc>
                <w:tcPr>
                  <w:tcW w:w="962" w:type="pct"/>
                  <w:vAlign w:val="center"/>
                </w:tcPr>
                <w:p w14:paraId="79D37E03">
                  <w:pPr>
                    <w:pStyle w:val="66"/>
                    <w:keepNext w:val="0"/>
                    <w:keepLines w:val="0"/>
                    <w:pageBreakBefore w:val="0"/>
                    <w:widowControl w:val="0"/>
                    <w:kinsoku/>
                    <w:wordWrap/>
                    <w:overflowPunct/>
                    <w:topLinePunct w:val="0"/>
                    <w:autoSpaceDE/>
                    <w:autoSpaceDN/>
                    <w:bidi w:val="0"/>
                    <w:adjustRightInd w:val="0"/>
                    <w:snapToGrid w:val="0"/>
                    <w:spacing w:before="28" w:line="360" w:lineRule="auto"/>
                    <w:ind w:right="175"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1小时平均值</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µg/m</w:t>
                  </w:r>
                  <w:r>
                    <w:rPr>
                      <w:rFonts w:hint="eastAsia" w:ascii="Times New Roman" w:hAnsi="Times New Roman" w:cs="Times New Roman"/>
                      <w:color w:val="auto"/>
                      <w:spacing w:val="1"/>
                      <w:sz w:val="21"/>
                      <w:szCs w:val="21"/>
                      <w:vertAlign w:val="superscript"/>
                      <w:lang w:val="en-US" w:eastAsia="zh-CN"/>
                    </w:rPr>
                    <w:t>3</w:t>
                  </w:r>
                </w:p>
              </w:tc>
              <w:tc>
                <w:tcPr>
                  <w:tcW w:w="838" w:type="pct"/>
                  <w:vAlign w:val="center"/>
                </w:tcPr>
                <w:p w14:paraId="5FB78F9B">
                  <w:pPr>
                    <w:keepNext w:val="0"/>
                    <w:keepLines w:val="0"/>
                    <w:pageBreakBefore w:val="0"/>
                    <w:widowControl w:val="0"/>
                    <w:kinsoku/>
                    <w:wordWrap/>
                    <w:overflowPunct/>
                    <w:topLinePunct w:val="0"/>
                    <w:autoSpaceDE/>
                    <w:autoSpaceDN/>
                    <w:bidi w:val="0"/>
                    <w:adjustRightInd w:val="0"/>
                    <w:snapToGrid w:val="0"/>
                    <w:spacing w:before="183"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1"/>
                      <w:sz w:val="21"/>
                      <w:szCs w:val="21"/>
                      <w:lang w:val="en-US" w:eastAsia="zh-CN"/>
                    </w:rPr>
                    <w:t>＜0.5</w:t>
                  </w:r>
                </w:p>
              </w:tc>
              <w:tc>
                <w:tcPr>
                  <w:tcW w:w="912" w:type="pct"/>
                  <w:vAlign w:val="center"/>
                </w:tcPr>
                <w:p w14:paraId="4315EEA9">
                  <w:pPr>
                    <w:keepNext w:val="0"/>
                    <w:keepLines w:val="0"/>
                    <w:pageBreakBefore w:val="0"/>
                    <w:widowControl w:val="0"/>
                    <w:kinsoku/>
                    <w:wordWrap/>
                    <w:overflowPunct/>
                    <w:topLinePunct w:val="0"/>
                    <w:autoSpaceDE/>
                    <w:autoSpaceDN/>
                    <w:bidi w:val="0"/>
                    <w:adjustRightInd w:val="0"/>
                    <w:snapToGrid w:val="0"/>
                    <w:spacing w:before="183" w:line="360" w:lineRule="auto"/>
                    <w:ind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20</w:t>
                  </w:r>
                </w:p>
              </w:tc>
              <w:tc>
                <w:tcPr>
                  <w:tcW w:w="764" w:type="pct"/>
                  <w:vAlign w:val="center"/>
                </w:tcPr>
                <w:p w14:paraId="1FBFDEB9">
                  <w:pPr>
                    <w:keepNext w:val="0"/>
                    <w:keepLines w:val="0"/>
                    <w:pageBreakBefore w:val="0"/>
                    <w:widowControl w:val="0"/>
                    <w:kinsoku/>
                    <w:wordWrap/>
                    <w:overflowPunct/>
                    <w:topLinePunct w:val="0"/>
                    <w:autoSpaceDE/>
                    <w:autoSpaceDN/>
                    <w:bidi w:val="0"/>
                    <w:adjustRightInd w:val="0"/>
                    <w:snapToGrid w:val="0"/>
                    <w:spacing w:before="117" w:line="360" w:lineRule="auto"/>
                    <w:ind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w:t>
                  </w:r>
                </w:p>
              </w:tc>
              <w:tc>
                <w:tcPr>
                  <w:tcW w:w="744" w:type="pct"/>
                  <w:vAlign w:val="center"/>
                </w:tcPr>
                <w:p w14:paraId="5976DE62">
                  <w:pPr>
                    <w:keepNext w:val="0"/>
                    <w:keepLines w:val="0"/>
                    <w:pageBreakBefore w:val="0"/>
                    <w:widowControl w:val="0"/>
                    <w:kinsoku/>
                    <w:wordWrap/>
                    <w:overflowPunct/>
                    <w:topLinePunct w:val="0"/>
                    <w:autoSpaceDE/>
                    <w:autoSpaceDN/>
                    <w:bidi w:val="0"/>
                    <w:adjustRightInd w:val="0"/>
                    <w:snapToGrid w:val="0"/>
                    <w:spacing w:before="183" w:line="360" w:lineRule="auto"/>
                    <w:jc w:val="both"/>
                    <w:textAlignment w:val="auto"/>
                    <w:rPr>
                      <w:rFonts w:ascii="Times New Roman" w:hAnsi="Times New Roman" w:eastAsia="Times New Roman" w:cs="Times New Roman"/>
                      <w:color w:val="auto"/>
                      <w:sz w:val="21"/>
                      <w:szCs w:val="21"/>
                    </w:rPr>
                  </w:pPr>
                  <w:r>
                    <w:rPr>
                      <w:rFonts w:hint="eastAsia" w:ascii="Times New Roman" w:hAnsi="Times New Roman" w:eastAsia="宋体" w:cs="Times New Roman"/>
                      <w:color w:val="auto"/>
                      <w:spacing w:val="-3"/>
                      <w:sz w:val="21"/>
                      <w:szCs w:val="21"/>
                      <w:lang w:val="en-US" w:eastAsia="zh-CN"/>
                    </w:rPr>
                    <w:t>达标</w:t>
                  </w:r>
                </w:p>
              </w:tc>
            </w:tr>
            <w:tr w14:paraId="239BD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777" w:type="pct"/>
                  <w:vMerge w:val="continue"/>
                  <w:tcBorders>
                    <w:bottom w:val="single" w:color="auto" w:sz="4" w:space="0"/>
                  </w:tcBorders>
                  <w:vAlign w:val="center"/>
                </w:tcPr>
                <w:p w14:paraId="3BB70611">
                  <w:pPr>
                    <w:pStyle w:val="66"/>
                    <w:keepNext w:val="0"/>
                    <w:keepLines w:val="0"/>
                    <w:pageBreakBefore w:val="0"/>
                    <w:widowControl w:val="0"/>
                    <w:kinsoku/>
                    <w:wordWrap/>
                    <w:overflowPunct/>
                    <w:topLinePunct w:val="0"/>
                    <w:autoSpaceDE/>
                    <w:autoSpaceDN/>
                    <w:bidi w:val="0"/>
                    <w:adjustRightInd w:val="0"/>
                    <w:snapToGrid w:val="0"/>
                    <w:spacing w:before="147" w:line="360" w:lineRule="auto"/>
                    <w:ind w:firstLine="0" w:firstLineChars="0"/>
                    <w:jc w:val="center"/>
                    <w:textAlignment w:val="auto"/>
                    <w:rPr>
                      <w:color w:val="auto"/>
                      <w:sz w:val="21"/>
                      <w:szCs w:val="21"/>
                    </w:rPr>
                  </w:pPr>
                </w:p>
              </w:tc>
              <w:tc>
                <w:tcPr>
                  <w:tcW w:w="962" w:type="pct"/>
                  <w:tcBorders>
                    <w:bottom w:val="single" w:color="auto" w:sz="4" w:space="0"/>
                  </w:tcBorders>
                  <w:vAlign w:val="center"/>
                </w:tcPr>
                <w:p w14:paraId="37918F6C">
                  <w:pPr>
                    <w:pStyle w:val="66"/>
                    <w:keepNext w:val="0"/>
                    <w:keepLines w:val="0"/>
                    <w:pageBreakBefore w:val="0"/>
                    <w:widowControl w:val="0"/>
                    <w:kinsoku/>
                    <w:wordWrap/>
                    <w:overflowPunct/>
                    <w:topLinePunct w:val="0"/>
                    <w:autoSpaceDE/>
                    <w:autoSpaceDN/>
                    <w:bidi w:val="0"/>
                    <w:adjustRightInd w:val="0"/>
                    <w:snapToGrid w:val="0"/>
                    <w:spacing w:before="28" w:line="360" w:lineRule="auto"/>
                    <w:ind w:right="175"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24</w:t>
                  </w:r>
                  <w:r>
                    <w:rPr>
                      <w:rFonts w:hint="default" w:ascii="Times New Roman" w:hAnsi="Times New Roman" w:eastAsia="宋体" w:cs="Times New Roman"/>
                      <w:color w:val="auto"/>
                      <w:spacing w:val="2"/>
                      <w:sz w:val="21"/>
                      <w:szCs w:val="21"/>
                    </w:rPr>
                    <w:t>小时平均值</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µg/m</w:t>
                  </w:r>
                  <w:r>
                    <w:rPr>
                      <w:rFonts w:hint="eastAsia" w:ascii="Times New Roman" w:hAnsi="Times New Roman" w:cs="Times New Roman"/>
                      <w:color w:val="auto"/>
                      <w:spacing w:val="1"/>
                      <w:sz w:val="21"/>
                      <w:szCs w:val="21"/>
                      <w:vertAlign w:val="superscript"/>
                      <w:lang w:val="en-US" w:eastAsia="zh-CN"/>
                    </w:rPr>
                    <w:t>3</w:t>
                  </w:r>
                </w:p>
              </w:tc>
              <w:tc>
                <w:tcPr>
                  <w:tcW w:w="838" w:type="pct"/>
                  <w:tcBorders>
                    <w:bottom w:val="single" w:color="auto" w:sz="4" w:space="0"/>
                  </w:tcBorders>
                  <w:vAlign w:val="center"/>
                </w:tcPr>
                <w:p w14:paraId="36ADF0AD">
                  <w:pPr>
                    <w:keepNext w:val="0"/>
                    <w:keepLines w:val="0"/>
                    <w:pageBreakBefore w:val="0"/>
                    <w:widowControl w:val="0"/>
                    <w:kinsoku/>
                    <w:wordWrap/>
                    <w:overflowPunct/>
                    <w:topLinePunct w:val="0"/>
                    <w:autoSpaceDE/>
                    <w:autoSpaceDN/>
                    <w:bidi w:val="0"/>
                    <w:adjustRightInd w:val="0"/>
                    <w:snapToGrid w:val="0"/>
                    <w:spacing w:before="182"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5"/>
                      <w:sz w:val="21"/>
                      <w:szCs w:val="21"/>
                      <w:lang w:val="en-US" w:eastAsia="zh-CN"/>
                    </w:rPr>
                    <w:t>＜0.06</w:t>
                  </w:r>
                </w:p>
              </w:tc>
              <w:tc>
                <w:tcPr>
                  <w:tcW w:w="912" w:type="pct"/>
                  <w:tcBorders>
                    <w:bottom w:val="single" w:color="auto" w:sz="4" w:space="0"/>
                  </w:tcBorders>
                  <w:vAlign w:val="center"/>
                </w:tcPr>
                <w:p w14:paraId="464CD7A1">
                  <w:pPr>
                    <w:keepNext w:val="0"/>
                    <w:keepLines w:val="0"/>
                    <w:pageBreakBefore w:val="0"/>
                    <w:widowControl w:val="0"/>
                    <w:kinsoku/>
                    <w:wordWrap/>
                    <w:overflowPunct/>
                    <w:topLinePunct w:val="0"/>
                    <w:autoSpaceDE/>
                    <w:autoSpaceDN/>
                    <w:bidi w:val="0"/>
                    <w:adjustRightInd w:val="0"/>
                    <w:snapToGrid w:val="0"/>
                    <w:spacing w:before="182" w:line="36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764" w:type="pct"/>
                  <w:tcBorders>
                    <w:bottom w:val="single" w:color="auto" w:sz="4" w:space="0"/>
                  </w:tcBorders>
                  <w:vAlign w:val="center"/>
                </w:tcPr>
                <w:p w14:paraId="71EACC93">
                  <w:pPr>
                    <w:keepNext w:val="0"/>
                    <w:keepLines w:val="0"/>
                    <w:pageBreakBefore w:val="0"/>
                    <w:widowControl w:val="0"/>
                    <w:kinsoku/>
                    <w:wordWrap/>
                    <w:overflowPunct/>
                    <w:topLinePunct w:val="0"/>
                    <w:autoSpaceDE/>
                    <w:autoSpaceDN/>
                    <w:bidi w:val="0"/>
                    <w:adjustRightInd w:val="0"/>
                    <w:snapToGrid w:val="0"/>
                    <w:spacing w:before="116" w:line="360" w:lineRule="auto"/>
                    <w:ind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position w:val="1"/>
                      <w:sz w:val="21"/>
                      <w:szCs w:val="21"/>
                    </w:rPr>
                    <w:t>/</w:t>
                  </w:r>
                </w:p>
              </w:tc>
              <w:tc>
                <w:tcPr>
                  <w:tcW w:w="744" w:type="pct"/>
                  <w:tcBorders>
                    <w:bottom w:val="single" w:color="auto" w:sz="4" w:space="0"/>
                  </w:tcBorders>
                  <w:vAlign w:val="center"/>
                </w:tcPr>
                <w:p w14:paraId="27BA107C">
                  <w:pPr>
                    <w:keepNext w:val="0"/>
                    <w:keepLines w:val="0"/>
                    <w:pageBreakBefore w:val="0"/>
                    <w:widowControl w:val="0"/>
                    <w:kinsoku/>
                    <w:wordWrap/>
                    <w:overflowPunct/>
                    <w:topLinePunct w:val="0"/>
                    <w:autoSpaceDE/>
                    <w:autoSpaceDN/>
                    <w:bidi w:val="0"/>
                    <w:adjustRightInd w:val="0"/>
                    <w:snapToGrid w:val="0"/>
                    <w:spacing w:before="182" w:line="360" w:lineRule="auto"/>
                    <w:ind w:firstLine="408" w:firstLineChars="200"/>
                    <w:jc w:val="both"/>
                    <w:textAlignment w:val="auto"/>
                    <w:rPr>
                      <w:rFonts w:ascii="Times New Roman" w:hAnsi="Times New Roman" w:eastAsia="Times New Roman" w:cs="Times New Roman"/>
                      <w:color w:val="auto"/>
                      <w:sz w:val="21"/>
                      <w:szCs w:val="21"/>
                    </w:rPr>
                  </w:pPr>
                  <w:r>
                    <w:rPr>
                      <w:rFonts w:hint="eastAsia" w:ascii="Times New Roman" w:hAnsi="Times New Roman" w:eastAsia="宋体" w:cs="Times New Roman"/>
                      <w:color w:val="auto"/>
                      <w:spacing w:val="-3"/>
                      <w:sz w:val="21"/>
                      <w:szCs w:val="21"/>
                      <w:lang w:val="en-US" w:eastAsia="zh-CN"/>
                    </w:rPr>
                    <w:t>达标</w:t>
                  </w:r>
                </w:p>
              </w:tc>
            </w:tr>
          </w:tbl>
          <w:p w14:paraId="78A95BBD">
            <w:pPr>
              <w:autoSpaceDE w:val="0"/>
              <w:autoSpaceDN w:val="0"/>
              <w:adjustRightInd w:val="0"/>
              <w:snapToGrid w:val="0"/>
              <w:spacing w:line="360" w:lineRule="auto"/>
              <w:ind w:firstLine="480" w:firstLineChars="200"/>
              <w:rPr>
                <w:rFonts w:hint="eastAsia"/>
                <w:color w:val="auto"/>
              </w:rPr>
            </w:pPr>
            <w:r>
              <w:rPr>
                <w:rFonts w:hint="eastAsia" w:cs="宋体"/>
                <w:color w:val="auto"/>
                <w:sz w:val="24"/>
              </w:rPr>
              <w:t>监测结果表明，项目所在区域环境空气中</w:t>
            </w:r>
            <w:r>
              <w:rPr>
                <w:rFonts w:hint="eastAsia" w:cs="宋体"/>
                <w:color w:val="auto"/>
                <w:sz w:val="24"/>
                <w:lang w:val="en-US" w:eastAsia="zh-CN"/>
              </w:rPr>
              <w:t>TSP</w:t>
            </w:r>
            <w:r>
              <w:rPr>
                <w:rFonts w:hint="eastAsia" w:cs="宋体"/>
                <w:color w:val="auto"/>
                <w:sz w:val="24"/>
                <w:lang w:eastAsia="zh-CN"/>
              </w:rPr>
              <w:t>、</w:t>
            </w:r>
            <w:r>
              <w:rPr>
                <w:rFonts w:hint="eastAsia" w:cs="宋体"/>
                <w:color w:val="auto"/>
                <w:sz w:val="24"/>
                <w:lang w:val="en-US" w:eastAsia="zh-CN"/>
              </w:rPr>
              <w:t>氟化物</w:t>
            </w:r>
            <w:r>
              <w:rPr>
                <w:rFonts w:hint="eastAsia" w:cs="宋体"/>
                <w:color w:val="auto"/>
                <w:sz w:val="24"/>
              </w:rPr>
              <w:t>监测值满足《环境空气质量标准》（</w:t>
            </w:r>
            <w:r>
              <w:rPr>
                <w:color w:val="auto"/>
                <w:sz w:val="24"/>
              </w:rPr>
              <w:t>GB3095-2012</w:t>
            </w:r>
            <w:r>
              <w:rPr>
                <w:rFonts w:hint="eastAsia" w:cs="宋体"/>
                <w:color w:val="auto"/>
                <w:sz w:val="24"/>
              </w:rPr>
              <w:t>）及其修改单（生态环境部2018年第29号）中二级标准浓度限值要求</w:t>
            </w:r>
            <w:r>
              <w:rPr>
                <w:rFonts w:hint="eastAsia"/>
                <w:color w:val="auto"/>
                <w:sz w:val="24"/>
              </w:rPr>
              <w:t>。</w:t>
            </w:r>
          </w:p>
          <w:p w14:paraId="4C97B54A">
            <w:pPr>
              <w:pStyle w:val="8"/>
              <w:spacing w:after="120"/>
              <w:rPr>
                <w:color w:val="auto"/>
              </w:rPr>
            </w:pPr>
            <w:r>
              <w:rPr>
                <w:rFonts w:hint="eastAsia"/>
                <w:color w:val="auto"/>
              </w:rPr>
              <w:t>二、地表水环境质量现状</w:t>
            </w:r>
          </w:p>
          <w:p w14:paraId="3BD84226">
            <w:pPr>
              <w:ind w:firstLine="480"/>
              <w:rPr>
                <w:color w:val="auto"/>
              </w:rPr>
            </w:pPr>
            <w:r>
              <w:rPr>
                <w:rFonts w:hint="eastAsia"/>
                <w:color w:val="auto"/>
              </w:rPr>
              <w:t>根据《建设项目环境影响报告表编制技术指南》（污染影响类）（试行），地表水环境质量现状引用与建设项目距离近的有效数据，包括近3年的规划环境影响评价的监测数据，所在流域控制单元内国家、地方控制断面监测数据，生态环境主管部门发布的水环境质量数据或地表水达标情况的结论。</w:t>
            </w:r>
          </w:p>
          <w:p w14:paraId="5981B825">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本</w:t>
            </w:r>
            <w:r>
              <w:rPr>
                <w:rFonts w:hint="default" w:ascii="Times New Roman" w:hAnsi="Times New Roman" w:eastAsia="宋体" w:cs="Times New Roman"/>
                <w:color w:val="auto"/>
              </w:rPr>
              <w:t>项目所在区域属于</w:t>
            </w:r>
            <w:r>
              <w:rPr>
                <w:rFonts w:hint="default" w:ascii="Times New Roman" w:hAnsi="Times New Roman" w:eastAsia="宋体" w:cs="Times New Roman"/>
                <w:color w:val="auto"/>
                <w:lang w:val="en-US" w:eastAsia="zh-CN"/>
              </w:rPr>
              <w:t>佳芦河</w:t>
            </w:r>
            <w:r>
              <w:rPr>
                <w:rFonts w:hint="default" w:ascii="Times New Roman" w:hAnsi="Times New Roman" w:eastAsia="宋体" w:cs="Times New Roman"/>
                <w:color w:val="auto"/>
              </w:rPr>
              <w:t>流域，根据《</w:t>
            </w:r>
            <w:r>
              <w:rPr>
                <w:rFonts w:hint="eastAsia" w:ascii="Times New Roman" w:hAnsi="Times New Roman" w:eastAsia="宋体" w:cs="Times New Roman"/>
                <w:color w:val="auto"/>
              </w:rPr>
              <w:t>榆林市2024年12月份地表水环境质量月报</w:t>
            </w:r>
            <w:r>
              <w:rPr>
                <w:rFonts w:hint="default" w:ascii="Times New Roman" w:hAnsi="Times New Roman" w:eastAsia="宋体" w:cs="Times New Roman"/>
                <w:color w:val="auto"/>
              </w:rPr>
              <w:t>》数据，</w:t>
            </w:r>
            <w:r>
              <w:rPr>
                <w:rFonts w:hint="default" w:ascii="Times New Roman" w:hAnsi="Times New Roman" w:eastAsia="宋体" w:cs="Times New Roman"/>
                <w:color w:val="auto"/>
                <w:lang w:val="en-US" w:eastAsia="zh-CN"/>
              </w:rPr>
              <w:t>佳芦河崔家河底</w:t>
            </w:r>
            <w:r>
              <w:rPr>
                <w:rFonts w:hint="default" w:ascii="Times New Roman" w:hAnsi="Times New Roman" w:eastAsia="宋体" w:cs="Times New Roman"/>
                <w:color w:val="auto"/>
              </w:rPr>
              <w:t>断面202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12月</w:t>
            </w:r>
            <w:r>
              <w:rPr>
                <w:rFonts w:hint="default" w:ascii="Times New Roman" w:hAnsi="Times New Roman" w:eastAsia="宋体" w:cs="Times New Roman"/>
                <w:color w:val="auto"/>
              </w:rPr>
              <w:t>水质类别为Ⅱ类，达到目标值要求。</w:t>
            </w:r>
          </w:p>
          <w:p w14:paraId="22D8463F">
            <w:pPr>
              <w:pStyle w:val="8"/>
              <w:spacing w:after="120"/>
              <w:rPr>
                <w:color w:val="auto"/>
              </w:rPr>
            </w:pPr>
            <w:r>
              <w:rPr>
                <w:rFonts w:hint="eastAsia"/>
                <w:color w:val="auto"/>
              </w:rPr>
              <w:t>三、声环境质量现状</w:t>
            </w:r>
          </w:p>
          <w:p w14:paraId="3F69CBF2">
            <w:pPr>
              <w:ind w:firstLine="480"/>
              <w:rPr>
                <w:rFonts w:hint="eastAsia"/>
                <w:color w:val="auto"/>
              </w:rPr>
            </w:pPr>
            <w:r>
              <w:rPr>
                <w:rFonts w:hint="eastAsia" w:ascii="宋体" w:hAnsi="宋体"/>
                <w:color w:val="auto"/>
              </w:rPr>
              <w:t>《建设项目环境影响报告表编制技术指南》（污染影响类）（试行）要求，“</w:t>
            </w:r>
            <w:r>
              <w:rPr>
                <w:rFonts w:hint="eastAsia"/>
                <w:color w:val="auto"/>
              </w:rPr>
              <w:t>根据厂界外周边50米范围内存在声环境保护目标的建设项目，应监测保护目标声环境质量现状并评价达标情况。”</w:t>
            </w:r>
          </w:p>
          <w:p w14:paraId="6215F58E">
            <w:pPr>
              <w:ind w:firstLine="480"/>
              <w:rPr>
                <w:rFonts w:hint="default" w:eastAsia="宋体"/>
                <w:color w:val="auto"/>
                <w:lang w:val="en-US" w:eastAsia="zh-CN"/>
              </w:rPr>
            </w:pPr>
            <w:r>
              <w:rPr>
                <w:rFonts w:hint="eastAsia"/>
                <w:color w:val="auto"/>
                <w:lang w:val="en-US" w:eastAsia="zh-CN"/>
              </w:rPr>
              <w:t>本项目</w:t>
            </w:r>
            <w:r>
              <w:rPr>
                <w:rFonts w:hint="eastAsia"/>
                <w:color w:val="auto"/>
              </w:rPr>
              <w:t>项目厂界5</w:t>
            </w:r>
            <w:r>
              <w:rPr>
                <w:color w:val="auto"/>
              </w:rPr>
              <w:t>0</w:t>
            </w:r>
            <w:r>
              <w:rPr>
                <w:rFonts w:hint="eastAsia"/>
                <w:color w:val="auto"/>
              </w:rPr>
              <w:t>米范围内</w:t>
            </w:r>
            <w:r>
              <w:rPr>
                <w:rFonts w:hint="eastAsia"/>
                <w:color w:val="auto"/>
                <w:lang w:val="en-US" w:eastAsia="zh-CN"/>
              </w:rPr>
              <w:t>无</w:t>
            </w:r>
            <w:r>
              <w:rPr>
                <w:rFonts w:hint="eastAsia"/>
                <w:color w:val="auto"/>
              </w:rPr>
              <w:t>声环境保护目标</w:t>
            </w:r>
            <w:r>
              <w:rPr>
                <w:rFonts w:hint="eastAsia"/>
                <w:color w:val="auto"/>
                <w:lang w:eastAsia="zh-CN"/>
              </w:rPr>
              <w:t>，</w:t>
            </w:r>
            <w:r>
              <w:rPr>
                <w:rFonts w:hint="eastAsia"/>
                <w:color w:val="auto"/>
                <w:lang w:val="en-US" w:eastAsia="zh-CN"/>
              </w:rPr>
              <w:t>因此不监测声环境质量现状。</w:t>
            </w:r>
          </w:p>
          <w:p w14:paraId="27F9DA11">
            <w:pPr>
              <w:pStyle w:val="8"/>
              <w:spacing w:after="120"/>
              <w:rPr>
                <w:color w:val="auto"/>
              </w:rPr>
            </w:pPr>
            <w:r>
              <w:rPr>
                <w:rFonts w:hint="eastAsia"/>
                <w:color w:val="auto"/>
              </w:rPr>
              <w:t>四、地下水、土壤环境质量现状</w:t>
            </w:r>
          </w:p>
          <w:p w14:paraId="46BB8452">
            <w:pPr>
              <w:ind w:firstLine="480"/>
              <w:rPr>
                <w:color w:val="auto"/>
              </w:rPr>
            </w:pPr>
            <w:r>
              <w:rPr>
                <w:rFonts w:hint="eastAsia" w:ascii="宋体" w:hAnsi="宋体" w:cs="宋体"/>
                <w:color w:val="auto"/>
                <w:kern w:val="0"/>
                <w:lang w:bidi="ar"/>
              </w:rPr>
              <w:t>本项目在已建成的厂区内进行建设，建成后</w:t>
            </w:r>
            <w:r>
              <w:rPr>
                <w:rFonts w:hint="eastAsia" w:ascii="宋体" w:hAnsi="宋体" w:cs="宋体"/>
                <w:color w:val="auto"/>
                <w:kern w:val="0"/>
                <w:lang w:val="en-US" w:eastAsia="zh-CN" w:bidi="ar"/>
              </w:rPr>
              <w:t>厂区和车间内</w:t>
            </w:r>
            <w:r>
              <w:rPr>
                <w:rFonts w:hint="eastAsia" w:ascii="宋体" w:hAnsi="宋体" w:cs="宋体"/>
                <w:color w:val="auto"/>
                <w:kern w:val="0"/>
                <w:lang w:bidi="ar"/>
              </w:rPr>
              <w:t>地面采用混凝土硬化处理。</w:t>
            </w:r>
            <w:r>
              <w:rPr>
                <w:rFonts w:hint="eastAsia"/>
                <w:color w:val="auto"/>
              </w:rPr>
              <w:t>依据《建设项目环境影响报告表编制技术指南（污染影响类）》（试行），项目不存在土壤、地下水环境污染途径，因此，不进行土壤、地下水环境质量现状监测。</w:t>
            </w:r>
          </w:p>
          <w:p w14:paraId="60744A9F">
            <w:pPr>
              <w:pStyle w:val="8"/>
              <w:spacing w:after="120"/>
              <w:rPr>
                <w:color w:val="auto"/>
              </w:rPr>
            </w:pPr>
            <w:r>
              <w:rPr>
                <w:rFonts w:hint="eastAsia"/>
                <w:color w:val="auto"/>
              </w:rPr>
              <w:t>五、生态环境</w:t>
            </w:r>
          </w:p>
          <w:p w14:paraId="24215111">
            <w:pPr>
              <w:ind w:firstLine="480"/>
              <w:rPr>
                <w:color w:val="auto"/>
              </w:rPr>
            </w:pPr>
            <w:r>
              <w:rPr>
                <w:rFonts w:hint="eastAsia"/>
                <w:color w:val="auto"/>
              </w:rPr>
              <w:t>本项目位于</w:t>
            </w:r>
            <w:r>
              <w:rPr>
                <w:rFonts w:hint="eastAsia"/>
                <w:color w:val="auto"/>
                <w:lang w:val="en-US" w:eastAsia="zh-CN"/>
              </w:rPr>
              <w:t>产业园区内</w:t>
            </w:r>
            <w:r>
              <w:rPr>
                <w:rFonts w:hint="eastAsia"/>
                <w:color w:val="auto"/>
              </w:rPr>
              <w:t>，无需进行生态现状调查。</w:t>
            </w:r>
          </w:p>
        </w:tc>
      </w:tr>
      <w:tr w14:paraId="1E016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27" w:type="pct"/>
            <w:tcBorders>
              <w:top w:val="single" w:color="auto" w:sz="4" w:space="0"/>
              <w:left w:val="single" w:color="auto" w:sz="8" w:space="0"/>
              <w:bottom w:val="single" w:color="auto" w:sz="4" w:space="0"/>
              <w:right w:val="single" w:color="auto" w:sz="4" w:space="0"/>
            </w:tcBorders>
            <w:vAlign w:val="center"/>
          </w:tcPr>
          <w:p w14:paraId="520273C7">
            <w:pPr>
              <w:adjustRightInd w:val="0"/>
              <w:snapToGrid w:val="0"/>
              <w:ind w:firstLine="0" w:firstLineChars="0"/>
              <w:jc w:val="center"/>
              <w:rPr>
                <w:color w:val="auto"/>
                <w:kern w:val="0"/>
              </w:rPr>
            </w:pPr>
            <w:r>
              <w:rPr>
                <w:rFonts w:ascii="宋体" w:hAnsi="宋体"/>
                <w:color w:val="auto"/>
                <w:kern w:val="0"/>
              </w:rPr>
              <w:t>环境保护目标</w:t>
            </w:r>
          </w:p>
        </w:tc>
        <w:tc>
          <w:tcPr>
            <w:tcW w:w="4572" w:type="pct"/>
            <w:tcBorders>
              <w:top w:val="single" w:color="auto" w:sz="4" w:space="0"/>
              <w:left w:val="single" w:color="auto" w:sz="4" w:space="0"/>
              <w:bottom w:val="single" w:color="auto" w:sz="4" w:space="0"/>
              <w:right w:val="single" w:color="auto" w:sz="8" w:space="0"/>
            </w:tcBorders>
          </w:tcPr>
          <w:p w14:paraId="573A6973">
            <w:pPr>
              <w:widowControl/>
              <w:ind w:firstLine="480"/>
              <w:jc w:val="left"/>
              <w:rPr>
                <w:rFonts w:ascii="宋体" w:hAnsi="宋体" w:cs="宋体"/>
                <w:color w:val="auto"/>
                <w:kern w:val="0"/>
                <w:highlight w:val="none"/>
                <w:lang w:bidi="ar"/>
              </w:rPr>
            </w:pPr>
            <w:r>
              <w:rPr>
                <w:rFonts w:hint="eastAsia"/>
                <w:color w:val="auto"/>
                <w:highlight w:val="none"/>
              </w:rPr>
              <w:t>据</w:t>
            </w:r>
            <w:r>
              <w:rPr>
                <w:rFonts w:hint="eastAsia"/>
                <w:color w:val="auto"/>
                <w:highlight w:val="none"/>
                <w:lang w:val="en-US" w:eastAsia="zh-CN"/>
              </w:rPr>
              <w:t>调查</w:t>
            </w:r>
            <w:r>
              <w:rPr>
                <w:rFonts w:hint="eastAsia"/>
                <w:color w:val="auto"/>
                <w:highlight w:val="none"/>
              </w:rPr>
              <w:t>，</w:t>
            </w:r>
            <w:r>
              <w:rPr>
                <w:rFonts w:hint="eastAsia" w:ascii="宋体" w:hAnsi="宋体" w:cs="宋体"/>
                <w:color w:val="auto"/>
                <w:kern w:val="0"/>
                <w:highlight w:val="none"/>
                <w:lang w:bidi="ar"/>
              </w:rPr>
              <w:t>本项目厂界外</w:t>
            </w:r>
            <w:r>
              <w:rPr>
                <w:color w:val="auto"/>
                <w:kern w:val="0"/>
                <w:highlight w:val="none"/>
                <w:lang w:bidi="ar"/>
              </w:rPr>
              <w:t>500m</w:t>
            </w:r>
            <w:r>
              <w:rPr>
                <w:rFonts w:hint="eastAsia" w:ascii="宋体" w:hAnsi="宋体" w:cs="宋体"/>
                <w:color w:val="auto"/>
                <w:kern w:val="0"/>
                <w:highlight w:val="none"/>
                <w:lang w:bidi="ar"/>
              </w:rPr>
              <w:t>范围内无自然保护区、风景名胜区，也无地下水集中式饮用水水源和热水、矿泉水、温泉等特殊地下水水资源；项目</w:t>
            </w:r>
            <w:r>
              <w:rPr>
                <w:rFonts w:hint="eastAsia" w:ascii="宋体" w:hAnsi="宋体" w:cs="宋体"/>
                <w:color w:val="auto"/>
                <w:kern w:val="0"/>
                <w:highlight w:val="none"/>
                <w:lang w:val="en-US" w:eastAsia="zh-CN" w:bidi="ar"/>
              </w:rPr>
              <w:t>厂区内无</w:t>
            </w:r>
            <w:r>
              <w:rPr>
                <w:rFonts w:hint="eastAsia" w:ascii="宋体" w:hAnsi="宋体" w:cs="宋体"/>
                <w:color w:val="auto"/>
                <w:kern w:val="0"/>
                <w:highlight w:val="none"/>
                <w:lang w:bidi="ar"/>
              </w:rPr>
              <w:t>生态保护目标。</w:t>
            </w:r>
          </w:p>
          <w:p w14:paraId="6A3A2944">
            <w:pPr>
              <w:widowControl/>
              <w:ind w:firstLine="480"/>
              <w:jc w:val="left"/>
              <w:rPr>
                <w:rFonts w:hint="default" w:ascii="Times New Roman" w:hAnsi="Times New Roman" w:cs="Times New Roman"/>
                <w:color w:val="auto"/>
                <w:highlight w:val="none"/>
              </w:rPr>
            </w:pPr>
            <w:r>
              <w:rPr>
                <w:rFonts w:hint="eastAsia" w:ascii="宋体" w:hAnsi="宋体" w:cs="宋体"/>
                <w:color w:val="auto"/>
                <w:kern w:val="0"/>
                <w:highlight w:val="none"/>
                <w:lang w:bidi="ar"/>
              </w:rPr>
              <w:t>项目厂界外</w:t>
            </w:r>
            <w:r>
              <w:rPr>
                <w:color w:val="auto"/>
                <w:kern w:val="0"/>
                <w:highlight w:val="none"/>
                <w:lang w:bidi="ar"/>
              </w:rPr>
              <w:t>500m</w:t>
            </w:r>
            <w:r>
              <w:rPr>
                <w:rFonts w:hint="eastAsia" w:ascii="宋体" w:hAnsi="宋体" w:cs="宋体"/>
                <w:color w:val="auto"/>
                <w:kern w:val="0"/>
                <w:highlight w:val="none"/>
                <w:lang w:bidi="ar"/>
              </w:rPr>
              <w:t>范围内大气环境保护目标主要为农村居民区，</w:t>
            </w:r>
            <w:r>
              <w:rPr>
                <w:rFonts w:hint="default" w:ascii="Times New Roman" w:hAnsi="Times New Roman" w:cs="Times New Roman"/>
                <w:color w:val="auto"/>
                <w:kern w:val="0"/>
                <w:highlight w:val="none"/>
                <w:lang w:bidi="ar"/>
              </w:rPr>
              <w:t>详见</w:t>
            </w:r>
            <w:r>
              <w:rPr>
                <w:rFonts w:hint="default" w:ascii="Times New Roman" w:hAnsi="Times New Roman" w:cs="Times New Roman"/>
                <w:color w:val="auto"/>
                <w:kern w:val="0"/>
                <w:highlight w:val="none"/>
                <w:lang w:val="en-US" w:eastAsia="zh-CN" w:bidi="ar"/>
              </w:rPr>
              <w:t>附图6及</w:t>
            </w:r>
            <w:r>
              <w:rPr>
                <w:rFonts w:hint="default" w:ascii="Times New Roman" w:hAnsi="Times New Roman" w:cs="Times New Roman"/>
                <w:color w:val="auto"/>
                <w:kern w:val="0"/>
                <w:highlight w:val="none"/>
                <w:lang w:bidi="ar"/>
              </w:rPr>
              <w:t>下表。</w:t>
            </w:r>
          </w:p>
          <w:p w14:paraId="33C8B136">
            <w:pPr>
              <w:pStyle w:val="42"/>
              <w:numPr>
                <w:ilvl w:val="3"/>
                <w:numId w:val="0"/>
              </w:numPr>
              <w:ind w:left="0" w:leftChars="0" w:firstLine="0" w:firstLineChars="0"/>
              <w:rPr>
                <w:color w:val="auto"/>
                <w:sz w:val="24"/>
                <w:szCs w:val="24"/>
                <w:highlight w:val="none"/>
              </w:rPr>
            </w:pPr>
            <w:r>
              <w:rPr>
                <w:rFonts w:hint="eastAsia" w:ascii="Times New Roman" w:hAnsi="Times New Roman" w:eastAsia="黑体" w:cs="Times New Roman"/>
                <w:color w:val="auto"/>
                <w:kern w:val="2"/>
                <w:sz w:val="24"/>
                <w:szCs w:val="24"/>
                <w:highlight w:val="none"/>
                <w:lang w:val="en-US" w:eastAsia="zh-CN" w:bidi="ar-SA"/>
              </w:rPr>
              <w:t xml:space="preserve">表3-3 </w:t>
            </w:r>
            <w:r>
              <w:rPr>
                <w:rFonts w:hint="eastAsia"/>
                <w:color w:val="auto"/>
                <w:sz w:val="24"/>
                <w:szCs w:val="24"/>
                <w:highlight w:val="none"/>
              </w:rPr>
              <w:t>主要环境保护目标</w:t>
            </w:r>
          </w:p>
          <w:tbl>
            <w:tblPr>
              <w:tblStyle w:val="2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75"/>
              <w:gridCol w:w="1317"/>
              <w:gridCol w:w="1702"/>
              <w:gridCol w:w="1526"/>
              <w:gridCol w:w="1324"/>
              <w:gridCol w:w="1428"/>
            </w:tblGrid>
            <w:tr w14:paraId="5BF6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3" w:type="pct"/>
                  <w:vMerge w:val="restart"/>
                  <w:tcBorders>
                    <w:bottom w:val="single" w:color="auto" w:sz="4" w:space="0"/>
                    <w:right w:val="single" w:color="auto" w:sz="4" w:space="0"/>
                  </w:tcBorders>
                  <w:vAlign w:val="center"/>
                </w:tcPr>
                <w:p w14:paraId="7D5D7406">
                  <w:pPr>
                    <w:pStyle w:val="39"/>
                    <w:spacing w:before="0" w:beforeAutospacing="0" w:after="0" w:afterAutospacing="0"/>
                    <w:rPr>
                      <w:color w:val="auto"/>
                      <w:highlight w:val="none"/>
                    </w:rPr>
                  </w:pPr>
                  <w:r>
                    <w:rPr>
                      <w:rFonts w:hint="eastAsia"/>
                      <w:color w:val="auto"/>
                      <w:highlight w:val="none"/>
                    </w:rPr>
                    <w:t>保护</w:t>
                  </w:r>
                </w:p>
                <w:p w14:paraId="03F40EFC">
                  <w:pPr>
                    <w:pStyle w:val="39"/>
                    <w:spacing w:before="0" w:beforeAutospacing="0" w:after="0" w:afterAutospacing="0"/>
                    <w:rPr>
                      <w:color w:val="auto"/>
                      <w:highlight w:val="none"/>
                    </w:rPr>
                  </w:pPr>
                  <w:r>
                    <w:rPr>
                      <w:rFonts w:hint="eastAsia"/>
                      <w:color w:val="auto"/>
                      <w:highlight w:val="none"/>
                    </w:rPr>
                    <w:t>内容</w:t>
                  </w:r>
                </w:p>
              </w:tc>
              <w:tc>
                <w:tcPr>
                  <w:tcW w:w="777" w:type="pct"/>
                  <w:vMerge w:val="restart"/>
                  <w:tcBorders>
                    <w:left w:val="nil"/>
                    <w:bottom w:val="single" w:color="auto" w:sz="4" w:space="0"/>
                    <w:right w:val="single" w:color="auto" w:sz="4" w:space="0"/>
                  </w:tcBorders>
                  <w:vAlign w:val="center"/>
                </w:tcPr>
                <w:p w14:paraId="02B44467">
                  <w:pPr>
                    <w:pStyle w:val="39"/>
                    <w:spacing w:before="0" w:beforeAutospacing="0" w:after="0" w:afterAutospacing="0"/>
                    <w:rPr>
                      <w:color w:val="auto"/>
                      <w:highlight w:val="none"/>
                    </w:rPr>
                  </w:pPr>
                  <w:r>
                    <w:rPr>
                      <w:rFonts w:hint="eastAsia"/>
                      <w:color w:val="auto"/>
                      <w:highlight w:val="none"/>
                    </w:rPr>
                    <w:t>名称</w:t>
                  </w:r>
                </w:p>
              </w:tc>
              <w:tc>
                <w:tcPr>
                  <w:tcW w:w="1004" w:type="pct"/>
                  <w:vMerge w:val="restart"/>
                  <w:tcBorders>
                    <w:left w:val="nil"/>
                    <w:bottom w:val="single" w:color="auto" w:sz="4" w:space="0"/>
                    <w:right w:val="single" w:color="auto" w:sz="4" w:space="0"/>
                  </w:tcBorders>
                  <w:vAlign w:val="center"/>
                </w:tcPr>
                <w:p w14:paraId="4FCD72CC">
                  <w:pPr>
                    <w:pStyle w:val="39"/>
                    <w:spacing w:before="0" w:beforeAutospacing="0" w:after="0" w:afterAutospacing="0"/>
                    <w:rPr>
                      <w:color w:val="auto"/>
                      <w:highlight w:val="none"/>
                    </w:rPr>
                  </w:pPr>
                  <w:r>
                    <w:rPr>
                      <w:rFonts w:hint="eastAsia"/>
                      <w:color w:val="auto"/>
                      <w:highlight w:val="none"/>
                    </w:rPr>
                    <w:t>保护</w:t>
                  </w:r>
                </w:p>
                <w:p w14:paraId="461A3FC9">
                  <w:pPr>
                    <w:pStyle w:val="39"/>
                    <w:spacing w:before="0" w:beforeAutospacing="0" w:after="0" w:afterAutospacing="0"/>
                    <w:rPr>
                      <w:color w:val="auto"/>
                      <w:highlight w:val="none"/>
                    </w:rPr>
                  </w:pPr>
                  <w:r>
                    <w:rPr>
                      <w:rFonts w:hint="eastAsia"/>
                      <w:color w:val="auto"/>
                      <w:highlight w:val="none"/>
                    </w:rPr>
                    <w:t>对象</w:t>
                  </w:r>
                </w:p>
              </w:tc>
              <w:tc>
                <w:tcPr>
                  <w:tcW w:w="900" w:type="pct"/>
                  <w:vMerge w:val="restart"/>
                  <w:tcBorders>
                    <w:left w:val="nil"/>
                    <w:bottom w:val="single" w:color="auto" w:sz="4" w:space="0"/>
                    <w:right w:val="single" w:color="auto" w:sz="4" w:space="0"/>
                  </w:tcBorders>
                  <w:vAlign w:val="center"/>
                </w:tcPr>
                <w:p w14:paraId="55168EED">
                  <w:pPr>
                    <w:pStyle w:val="39"/>
                    <w:wordWrap w:val="0"/>
                    <w:spacing w:before="0" w:beforeAutospacing="0" w:after="0" w:afterAutospacing="0"/>
                    <w:rPr>
                      <w:color w:val="auto"/>
                      <w:highlight w:val="none"/>
                    </w:rPr>
                  </w:pPr>
                  <w:r>
                    <w:rPr>
                      <w:rFonts w:hint="eastAsia"/>
                      <w:color w:val="auto"/>
                      <w:highlight w:val="none"/>
                    </w:rPr>
                    <w:t>环境功能区</w:t>
                  </w:r>
                </w:p>
              </w:tc>
              <w:tc>
                <w:tcPr>
                  <w:tcW w:w="781" w:type="pct"/>
                  <w:vMerge w:val="restart"/>
                  <w:tcBorders>
                    <w:left w:val="nil"/>
                    <w:bottom w:val="single" w:color="auto" w:sz="4" w:space="0"/>
                    <w:right w:val="single" w:color="auto" w:sz="4" w:space="0"/>
                  </w:tcBorders>
                  <w:vAlign w:val="center"/>
                </w:tcPr>
                <w:p w14:paraId="501003FA">
                  <w:pPr>
                    <w:pStyle w:val="39"/>
                    <w:spacing w:before="0" w:beforeAutospacing="0" w:after="0" w:afterAutospacing="0"/>
                    <w:rPr>
                      <w:color w:val="auto"/>
                      <w:highlight w:val="none"/>
                    </w:rPr>
                  </w:pPr>
                  <w:r>
                    <w:rPr>
                      <w:rFonts w:hint="eastAsia"/>
                      <w:color w:val="auto"/>
                      <w:highlight w:val="none"/>
                    </w:rPr>
                    <w:t>相对厂界方位</w:t>
                  </w:r>
                </w:p>
              </w:tc>
              <w:tc>
                <w:tcPr>
                  <w:tcW w:w="842" w:type="pct"/>
                  <w:vMerge w:val="restart"/>
                  <w:tcBorders>
                    <w:left w:val="nil"/>
                    <w:bottom w:val="single" w:color="auto" w:sz="4" w:space="0"/>
                  </w:tcBorders>
                  <w:vAlign w:val="center"/>
                </w:tcPr>
                <w:p w14:paraId="5AD3C277">
                  <w:pPr>
                    <w:pStyle w:val="39"/>
                    <w:spacing w:before="0" w:beforeAutospacing="0" w:after="0" w:afterAutospacing="0"/>
                    <w:rPr>
                      <w:color w:val="auto"/>
                      <w:highlight w:val="none"/>
                    </w:rPr>
                  </w:pPr>
                  <w:r>
                    <w:rPr>
                      <w:rFonts w:hint="eastAsia"/>
                      <w:color w:val="auto"/>
                      <w:highlight w:val="none"/>
                    </w:rPr>
                    <w:t>相对厂界距离（</w:t>
                  </w:r>
                  <w:r>
                    <w:rPr>
                      <w:color w:val="auto"/>
                      <w:highlight w:val="none"/>
                    </w:rPr>
                    <w:t>m</w:t>
                  </w:r>
                  <w:r>
                    <w:rPr>
                      <w:rFonts w:hint="eastAsia"/>
                      <w:color w:val="auto"/>
                      <w:highlight w:val="none"/>
                    </w:rPr>
                    <w:t>）</w:t>
                  </w:r>
                </w:p>
              </w:tc>
            </w:tr>
            <w:tr w14:paraId="7A83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3" w:type="pct"/>
                  <w:vMerge w:val="continue"/>
                  <w:tcBorders>
                    <w:top w:val="single" w:color="auto" w:sz="8" w:space="0"/>
                    <w:bottom w:val="single" w:color="auto" w:sz="4" w:space="0"/>
                    <w:right w:val="single" w:color="auto" w:sz="4" w:space="0"/>
                  </w:tcBorders>
                  <w:vAlign w:val="center"/>
                </w:tcPr>
                <w:p w14:paraId="133C123B">
                  <w:pPr>
                    <w:pStyle w:val="39"/>
                    <w:spacing w:before="0" w:beforeAutospacing="0" w:after="0" w:afterAutospacing="0"/>
                    <w:rPr>
                      <w:color w:val="auto"/>
                      <w:highlight w:val="none"/>
                    </w:rPr>
                  </w:pPr>
                </w:p>
              </w:tc>
              <w:tc>
                <w:tcPr>
                  <w:tcW w:w="777" w:type="pct"/>
                  <w:vMerge w:val="continue"/>
                  <w:tcBorders>
                    <w:top w:val="single" w:color="auto" w:sz="8" w:space="0"/>
                    <w:left w:val="nil"/>
                    <w:bottom w:val="single" w:color="auto" w:sz="4" w:space="0"/>
                    <w:right w:val="single" w:color="auto" w:sz="4" w:space="0"/>
                  </w:tcBorders>
                  <w:vAlign w:val="center"/>
                </w:tcPr>
                <w:p w14:paraId="282BAF6D">
                  <w:pPr>
                    <w:pStyle w:val="39"/>
                    <w:spacing w:before="0" w:beforeAutospacing="0" w:after="0" w:afterAutospacing="0"/>
                    <w:rPr>
                      <w:color w:val="auto"/>
                      <w:highlight w:val="none"/>
                    </w:rPr>
                  </w:pPr>
                </w:p>
              </w:tc>
              <w:tc>
                <w:tcPr>
                  <w:tcW w:w="1004" w:type="pct"/>
                  <w:vMerge w:val="continue"/>
                  <w:tcBorders>
                    <w:top w:val="single" w:color="auto" w:sz="8" w:space="0"/>
                    <w:left w:val="nil"/>
                    <w:bottom w:val="single" w:color="auto" w:sz="4" w:space="0"/>
                    <w:right w:val="single" w:color="auto" w:sz="4" w:space="0"/>
                  </w:tcBorders>
                  <w:vAlign w:val="center"/>
                </w:tcPr>
                <w:p w14:paraId="198EEB87">
                  <w:pPr>
                    <w:pStyle w:val="39"/>
                    <w:spacing w:before="0" w:beforeAutospacing="0" w:after="0" w:afterAutospacing="0"/>
                    <w:rPr>
                      <w:color w:val="auto"/>
                      <w:highlight w:val="none"/>
                    </w:rPr>
                  </w:pPr>
                </w:p>
              </w:tc>
              <w:tc>
                <w:tcPr>
                  <w:tcW w:w="900" w:type="pct"/>
                  <w:vMerge w:val="continue"/>
                  <w:tcBorders>
                    <w:top w:val="single" w:color="auto" w:sz="8" w:space="0"/>
                    <w:left w:val="nil"/>
                    <w:bottom w:val="single" w:color="auto" w:sz="4" w:space="0"/>
                    <w:right w:val="single" w:color="auto" w:sz="4" w:space="0"/>
                  </w:tcBorders>
                  <w:vAlign w:val="center"/>
                </w:tcPr>
                <w:p w14:paraId="251D5953">
                  <w:pPr>
                    <w:pStyle w:val="39"/>
                    <w:wordWrap w:val="0"/>
                    <w:spacing w:before="0" w:beforeAutospacing="0" w:after="0" w:afterAutospacing="0"/>
                    <w:rPr>
                      <w:color w:val="auto"/>
                      <w:highlight w:val="none"/>
                    </w:rPr>
                  </w:pPr>
                </w:p>
              </w:tc>
              <w:tc>
                <w:tcPr>
                  <w:tcW w:w="781" w:type="pct"/>
                  <w:vMerge w:val="continue"/>
                  <w:tcBorders>
                    <w:top w:val="single" w:color="auto" w:sz="8" w:space="0"/>
                    <w:left w:val="nil"/>
                    <w:bottom w:val="single" w:color="auto" w:sz="4" w:space="0"/>
                    <w:right w:val="single" w:color="auto" w:sz="4" w:space="0"/>
                  </w:tcBorders>
                  <w:vAlign w:val="center"/>
                </w:tcPr>
                <w:p w14:paraId="1B3FCDFB">
                  <w:pPr>
                    <w:pStyle w:val="39"/>
                    <w:spacing w:before="0" w:beforeAutospacing="0" w:after="0" w:afterAutospacing="0"/>
                    <w:rPr>
                      <w:color w:val="auto"/>
                      <w:highlight w:val="none"/>
                    </w:rPr>
                  </w:pPr>
                </w:p>
              </w:tc>
              <w:tc>
                <w:tcPr>
                  <w:tcW w:w="842" w:type="pct"/>
                  <w:vMerge w:val="continue"/>
                  <w:tcBorders>
                    <w:top w:val="single" w:color="auto" w:sz="8" w:space="0"/>
                    <w:left w:val="nil"/>
                    <w:bottom w:val="single" w:color="auto" w:sz="4" w:space="0"/>
                  </w:tcBorders>
                  <w:vAlign w:val="center"/>
                </w:tcPr>
                <w:p w14:paraId="01CBA173">
                  <w:pPr>
                    <w:pStyle w:val="39"/>
                    <w:spacing w:before="0" w:beforeAutospacing="0" w:after="0" w:afterAutospacing="0"/>
                    <w:rPr>
                      <w:color w:val="auto"/>
                      <w:highlight w:val="none"/>
                    </w:rPr>
                  </w:pPr>
                </w:p>
              </w:tc>
            </w:tr>
            <w:tr w14:paraId="3F9A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3" w:type="pct"/>
                  <w:tcBorders>
                    <w:top w:val="single" w:color="auto" w:sz="4" w:space="0"/>
                    <w:right w:val="single" w:color="auto" w:sz="4" w:space="0"/>
                  </w:tcBorders>
                  <w:vAlign w:val="center"/>
                </w:tcPr>
                <w:p w14:paraId="1A82C0A6">
                  <w:pPr>
                    <w:pStyle w:val="39"/>
                    <w:spacing w:before="0" w:beforeAutospacing="0" w:after="0" w:afterAutospacing="0"/>
                    <w:rPr>
                      <w:color w:val="auto"/>
                      <w:highlight w:val="none"/>
                    </w:rPr>
                  </w:pPr>
                  <w:r>
                    <w:rPr>
                      <w:rFonts w:hint="eastAsia"/>
                      <w:color w:val="auto"/>
                      <w:highlight w:val="none"/>
                    </w:rPr>
                    <w:t>环境</w:t>
                  </w:r>
                </w:p>
                <w:p w14:paraId="2D76A11E">
                  <w:pPr>
                    <w:pStyle w:val="39"/>
                    <w:spacing w:before="0" w:beforeAutospacing="0" w:after="0" w:afterAutospacing="0"/>
                    <w:rPr>
                      <w:color w:val="auto"/>
                      <w:highlight w:val="none"/>
                    </w:rPr>
                  </w:pPr>
                  <w:r>
                    <w:rPr>
                      <w:rFonts w:hint="eastAsia"/>
                      <w:color w:val="auto"/>
                      <w:highlight w:val="none"/>
                    </w:rPr>
                    <w:t>空气</w:t>
                  </w:r>
                </w:p>
              </w:tc>
              <w:tc>
                <w:tcPr>
                  <w:tcW w:w="777" w:type="pct"/>
                  <w:tcBorders>
                    <w:top w:val="single" w:color="auto" w:sz="4" w:space="0"/>
                    <w:left w:val="nil"/>
                    <w:right w:val="single" w:color="auto" w:sz="4" w:space="0"/>
                  </w:tcBorders>
                  <w:vAlign w:val="center"/>
                </w:tcPr>
                <w:p w14:paraId="4E6E635B">
                  <w:pPr>
                    <w:pStyle w:val="39"/>
                    <w:spacing w:before="0" w:beforeAutospacing="0" w:after="0" w:afterAutospacing="0"/>
                    <w:rPr>
                      <w:color w:val="auto"/>
                      <w:highlight w:val="none"/>
                    </w:rPr>
                  </w:pPr>
                  <w:r>
                    <w:rPr>
                      <w:rFonts w:hint="eastAsia"/>
                      <w:color w:val="auto"/>
                      <w:highlight w:val="none"/>
                      <w:lang w:val="en-US" w:eastAsia="zh-CN"/>
                    </w:rPr>
                    <w:t>稍店子</w:t>
                  </w:r>
                  <w:r>
                    <w:rPr>
                      <w:rFonts w:hint="eastAsia"/>
                      <w:color w:val="auto"/>
                      <w:highlight w:val="none"/>
                    </w:rPr>
                    <w:t>村</w:t>
                  </w:r>
                </w:p>
              </w:tc>
              <w:tc>
                <w:tcPr>
                  <w:tcW w:w="1004" w:type="pct"/>
                  <w:tcBorders>
                    <w:top w:val="single" w:color="auto" w:sz="4" w:space="0"/>
                    <w:left w:val="nil"/>
                    <w:right w:val="single" w:color="auto" w:sz="4" w:space="0"/>
                  </w:tcBorders>
                  <w:vAlign w:val="center"/>
                </w:tcPr>
                <w:p w14:paraId="6D8AB1B4">
                  <w:pPr>
                    <w:pStyle w:val="39"/>
                    <w:spacing w:before="0" w:beforeAutospacing="0" w:after="0" w:afterAutospacing="0"/>
                    <w:rPr>
                      <w:color w:val="auto"/>
                      <w:highlight w:val="none"/>
                    </w:rPr>
                  </w:pPr>
                  <w:r>
                    <w:rPr>
                      <w:rFonts w:hint="eastAsia"/>
                      <w:color w:val="auto"/>
                      <w:highlight w:val="none"/>
                    </w:rPr>
                    <w:t>居住人群</w:t>
                  </w:r>
                </w:p>
              </w:tc>
              <w:tc>
                <w:tcPr>
                  <w:tcW w:w="900" w:type="pct"/>
                  <w:tcBorders>
                    <w:top w:val="single" w:color="auto" w:sz="4" w:space="0"/>
                    <w:left w:val="nil"/>
                    <w:right w:val="single" w:color="auto" w:sz="4" w:space="0"/>
                  </w:tcBorders>
                  <w:vAlign w:val="center"/>
                </w:tcPr>
                <w:p w14:paraId="2D72D94C">
                  <w:pPr>
                    <w:pStyle w:val="39"/>
                    <w:wordWrap w:val="0"/>
                    <w:spacing w:before="0" w:beforeAutospacing="0" w:after="0" w:afterAutospacing="0"/>
                    <w:rPr>
                      <w:color w:val="auto"/>
                      <w:highlight w:val="none"/>
                    </w:rPr>
                  </w:pPr>
                  <w:r>
                    <w:rPr>
                      <w:rFonts w:hint="eastAsia"/>
                      <w:color w:val="auto"/>
                      <w:highlight w:val="none"/>
                    </w:rPr>
                    <w:t>环境空气功能二类区</w:t>
                  </w:r>
                </w:p>
              </w:tc>
              <w:tc>
                <w:tcPr>
                  <w:tcW w:w="781" w:type="pct"/>
                  <w:tcBorders>
                    <w:top w:val="single" w:color="auto" w:sz="4" w:space="0"/>
                    <w:left w:val="nil"/>
                    <w:right w:val="single" w:color="auto" w:sz="4" w:space="0"/>
                  </w:tcBorders>
                  <w:vAlign w:val="center"/>
                </w:tcPr>
                <w:p w14:paraId="20B43C47">
                  <w:pPr>
                    <w:pStyle w:val="39"/>
                    <w:spacing w:before="0" w:beforeAutospacing="0" w:after="0" w:afterAutospacing="0"/>
                    <w:rPr>
                      <w:rFonts w:hint="eastAsia" w:eastAsia="宋体"/>
                      <w:color w:val="auto"/>
                      <w:highlight w:val="none"/>
                      <w:lang w:eastAsia="zh-CN"/>
                    </w:rPr>
                  </w:pPr>
                  <w:r>
                    <w:rPr>
                      <w:rFonts w:hint="eastAsia"/>
                      <w:color w:val="auto"/>
                      <w:highlight w:val="none"/>
                      <w:lang w:val="en-US" w:eastAsia="zh-CN"/>
                    </w:rPr>
                    <w:t>东北</w:t>
                  </w:r>
                </w:p>
              </w:tc>
              <w:tc>
                <w:tcPr>
                  <w:tcW w:w="842" w:type="pct"/>
                  <w:tcBorders>
                    <w:top w:val="single" w:color="auto" w:sz="4" w:space="0"/>
                    <w:left w:val="nil"/>
                  </w:tcBorders>
                  <w:vAlign w:val="center"/>
                </w:tcPr>
                <w:p w14:paraId="67B32432">
                  <w:pPr>
                    <w:pStyle w:val="39"/>
                    <w:spacing w:before="0" w:beforeAutospacing="0" w:after="0" w:afterAutospacing="0"/>
                    <w:rPr>
                      <w:rFonts w:hint="default" w:eastAsia="宋体"/>
                      <w:color w:val="auto"/>
                      <w:highlight w:val="none"/>
                      <w:lang w:val="en-US" w:eastAsia="zh-CN"/>
                    </w:rPr>
                  </w:pPr>
                  <w:r>
                    <w:rPr>
                      <w:rFonts w:hint="eastAsia"/>
                      <w:color w:val="auto"/>
                      <w:highlight w:val="none"/>
                      <w:lang w:val="en-US" w:eastAsia="zh-CN"/>
                    </w:rPr>
                    <w:t>390</w:t>
                  </w:r>
                </w:p>
              </w:tc>
            </w:tr>
          </w:tbl>
          <w:p w14:paraId="4D21CEEB">
            <w:pPr>
              <w:adjustRightInd w:val="0"/>
              <w:snapToGrid w:val="0"/>
              <w:ind w:firstLine="0" w:firstLineChars="0"/>
              <w:rPr>
                <w:color w:val="auto"/>
                <w:kern w:val="0"/>
                <w:sz w:val="21"/>
                <w:szCs w:val="21"/>
              </w:rPr>
            </w:pPr>
          </w:p>
        </w:tc>
      </w:tr>
      <w:tr w14:paraId="1E80B7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4" w:hRule="atLeast"/>
          <w:jc w:val="center"/>
        </w:trPr>
        <w:tc>
          <w:tcPr>
            <w:tcW w:w="427"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55E95AB3">
            <w:pPr>
              <w:adjustRightInd w:val="0"/>
              <w:snapToGrid w:val="0"/>
              <w:ind w:firstLine="0" w:firstLineChars="0"/>
              <w:jc w:val="center"/>
              <w:rPr>
                <w:color w:val="auto"/>
                <w:kern w:val="0"/>
              </w:rPr>
            </w:pPr>
            <w:r>
              <w:rPr>
                <w:rFonts w:ascii="宋体" w:hAnsi="宋体"/>
                <w:color w:val="auto"/>
                <w:kern w:val="0"/>
              </w:rPr>
              <w:t>污染物排放控制标准</w:t>
            </w:r>
          </w:p>
        </w:tc>
        <w:tc>
          <w:tcPr>
            <w:tcW w:w="4572" w:type="pct"/>
            <w:tcBorders>
              <w:top w:val="single" w:color="auto" w:sz="4" w:space="0"/>
              <w:left w:val="single" w:color="auto" w:sz="4" w:space="0"/>
              <w:bottom w:val="single" w:color="auto" w:sz="4" w:space="0"/>
              <w:right w:val="single" w:color="auto" w:sz="8" w:space="0"/>
            </w:tcBorders>
          </w:tcPr>
          <w:p w14:paraId="288D4978">
            <w:pPr>
              <w:pStyle w:val="8"/>
              <w:spacing w:after="120"/>
              <w:rPr>
                <w:color w:val="auto"/>
              </w:rPr>
            </w:pPr>
            <w:r>
              <w:rPr>
                <w:rFonts w:hint="eastAsia"/>
                <w:color w:val="auto"/>
              </w:rPr>
              <w:t>一、废气</w:t>
            </w:r>
          </w:p>
          <w:p w14:paraId="781AE195">
            <w:pPr>
              <w:pStyle w:val="9"/>
              <w:spacing w:after="120"/>
              <w:ind w:firstLine="482"/>
              <w:rPr>
                <w:color w:val="auto"/>
              </w:rPr>
            </w:pPr>
            <w:r>
              <w:rPr>
                <w:rFonts w:hint="eastAsia"/>
                <w:color w:val="auto"/>
              </w:rPr>
              <w:t>1.施工期</w:t>
            </w:r>
          </w:p>
          <w:p w14:paraId="7306149D">
            <w:pPr>
              <w:ind w:firstLine="480"/>
              <w:rPr>
                <w:color w:val="auto"/>
              </w:rPr>
            </w:pPr>
            <w:r>
              <w:rPr>
                <w:rFonts w:hint="eastAsia"/>
                <w:color w:val="auto"/>
              </w:rPr>
              <w:t>施工扬尘执行《施工厂界扬尘排放限值》（DB61/1078-2017）的相关规定。详见表3</w:t>
            </w:r>
            <w:r>
              <w:rPr>
                <w:color w:val="auto"/>
              </w:rPr>
              <w:t>-4。</w:t>
            </w:r>
          </w:p>
          <w:p w14:paraId="1CC48537">
            <w:pPr>
              <w:pStyle w:val="42"/>
              <w:numPr>
                <w:ilvl w:val="3"/>
                <w:numId w:val="0"/>
              </w:numPr>
              <w:ind w:left="0" w:leftChars="0" w:firstLine="0" w:firstLineChars="0"/>
              <w:rPr>
                <w:color w:val="auto"/>
                <w:sz w:val="24"/>
                <w:szCs w:val="24"/>
              </w:rPr>
            </w:pPr>
            <w:r>
              <w:rPr>
                <w:rFonts w:hint="eastAsia" w:ascii="Times New Roman" w:hAnsi="Times New Roman" w:eastAsia="黑体" w:cs="Times New Roman"/>
                <w:color w:val="auto"/>
                <w:kern w:val="2"/>
                <w:sz w:val="24"/>
                <w:szCs w:val="24"/>
                <w:lang w:val="en-US" w:eastAsia="zh-CN" w:bidi="ar-SA"/>
              </w:rPr>
              <w:t xml:space="preserve">表3-4 </w:t>
            </w:r>
            <w:r>
              <w:rPr>
                <w:rFonts w:hint="eastAsia"/>
                <w:color w:val="auto"/>
                <w:sz w:val="24"/>
                <w:szCs w:val="24"/>
              </w:rPr>
              <w:t xml:space="preserve">施工期废气排放标准 </w:t>
            </w:r>
            <w:r>
              <w:rPr>
                <w:color w:val="auto"/>
                <w:sz w:val="24"/>
                <w:szCs w:val="24"/>
              </w:rPr>
              <w:t xml:space="preserve"> </w:t>
            </w:r>
            <w:r>
              <w:rPr>
                <w:rFonts w:hint="eastAsia"/>
                <w:color w:val="auto"/>
                <w:sz w:val="24"/>
                <w:szCs w:val="24"/>
              </w:rPr>
              <w:t>单位：mg/m</w:t>
            </w:r>
            <w:r>
              <w:rPr>
                <w:rFonts w:hint="eastAsia"/>
                <w:color w:val="auto"/>
                <w:sz w:val="24"/>
                <w:szCs w:val="24"/>
                <w:vertAlign w:val="superscript"/>
              </w:rPr>
              <w:t>3</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8"/>
              <w:gridCol w:w="1129"/>
              <w:gridCol w:w="1132"/>
              <w:gridCol w:w="3626"/>
            </w:tblGrid>
            <w:tr w14:paraId="2AD9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pct"/>
                  <w:vMerge w:val="restart"/>
                  <w:vAlign w:val="center"/>
                </w:tcPr>
                <w:p w14:paraId="7C7E13D6">
                  <w:pPr>
                    <w:pStyle w:val="39"/>
                    <w:rPr>
                      <w:color w:val="auto"/>
                    </w:rPr>
                  </w:pPr>
                  <w:r>
                    <w:rPr>
                      <w:rFonts w:hint="eastAsia"/>
                      <w:color w:val="auto"/>
                    </w:rPr>
                    <w:t>标准名称</w:t>
                  </w:r>
                </w:p>
              </w:tc>
              <w:tc>
                <w:tcPr>
                  <w:tcW w:w="666" w:type="pct"/>
                  <w:vMerge w:val="restart"/>
                  <w:vAlign w:val="center"/>
                </w:tcPr>
                <w:p w14:paraId="1E3E106B">
                  <w:pPr>
                    <w:pStyle w:val="39"/>
                    <w:rPr>
                      <w:color w:val="auto"/>
                    </w:rPr>
                  </w:pPr>
                  <w:r>
                    <w:rPr>
                      <w:rFonts w:hint="eastAsia"/>
                      <w:color w:val="auto"/>
                    </w:rPr>
                    <w:t>使用类别</w:t>
                  </w:r>
                </w:p>
              </w:tc>
              <w:tc>
                <w:tcPr>
                  <w:tcW w:w="2807" w:type="pct"/>
                  <w:gridSpan w:val="2"/>
                  <w:vAlign w:val="center"/>
                </w:tcPr>
                <w:p w14:paraId="59BC6D42">
                  <w:pPr>
                    <w:pStyle w:val="39"/>
                    <w:rPr>
                      <w:color w:val="auto"/>
                    </w:rPr>
                  </w:pPr>
                  <w:r>
                    <w:rPr>
                      <w:rFonts w:hint="eastAsia"/>
                      <w:color w:val="auto"/>
                    </w:rPr>
                    <w:t>标准值</w:t>
                  </w:r>
                </w:p>
              </w:tc>
            </w:tr>
            <w:tr w14:paraId="5DC7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pct"/>
                  <w:vMerge w:val="continue"/>
                  <w:vAlign w:val="center"/>
                </w:tcPr>
                <w:p w14:paraId="09BB5AE4">
                  <w:pPr>
                    <w:pStyle w:val="39"/>
                    <w:rPr>
                      <w:color w:val="auto"/>
                    </w:rPr>
                  </w:pPr>
                </w:p>
              </w:tc>
              <w:tc>
                <w:tcPr>
                  <w:tcW w:w="666" w:type="pct"/>
                  <w:vMerge w:val="continue"/>
                  <w:vAlign w:val="center"/>
                </w:tcPr>
                <w:p w14:paraId="71BC66F8">
                  <w:pPr>
                    <w:pStyle w:val="39"/>
                    <w:rPr>
                      <w:color w:val="auto"/>
                    </w:rPr>
                  </w:pPr>
                </w:p>
              </w:tc>
              <w:tc>
                <w:tcPr>
                  <w:tcW w:w="668" w:type="pct"/>
                  <w:vAlign w:val="center"/>
                </w:tcPr>
                <w:p w14:paraId="27BC7821">
                  <w:pPr>
                    <w:pStyle w:val="39"/>
                    <w:rPr>
                      <w:color w:val="auto"/>
                    </w:rPr>
                  </w:pPr>
                  <w:r>
                    <w:rPr>
                      <w:rFonts w:hint="eastAsia"/>
                      <w:color w:val="auto"/>
                    </w:rPr>
                    <w:t>污染物</w:t>
                  </w:r>
                </w:p>
              </w:tc>
              <w:tc>
                <w:tcPr>
                  <w:tcW w:w="2139" w:type="pct"/>
                  <w:vAlign w:val="center"/>
                </w:tcPr>
                <w:p w14:paraId="209EE807">
                  <w:pPr>
                    <w:pStyle w:val="39"/>
                    <w:rPr>
                      <w:color w:val="auto"/>
                    </w:rPr>
                  </w:pPr>
                  <w:r>
                    <w:rPr>
                      <w:rFonts w:hint="eastAsia"/>
                      <w:color w:val="auto"/>
                    </w:rPr>
                    <w:t>浓度限值</w:t>
                  </w:r>
                </w:p>
              </w:tc>
            </w:tr>
            <w:tr w14:paraId="0265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pct"/>
                  <w:vMerge w:val="restart"/>
                  <w:vAlign w:val="center"/>
                </w:tcPr>
                <w:p w14:paraId="285D14FD">
                  <w:pPr>
                    <w:pStyle w:val="39"/>
                    <w:rPr>
                      <w:color w:val="auto"/>
                    </w:rPr>
                  </w:pPr>
                  <w:r>
                    <w:rPr>
                      <w:rFonts w:hint="eastAsia"/>
                      <w:color w:val="auto"/>
                    </w:rPr>
                    <w:t>《施工场界扬尘排放限值》（DB61/1078-2017）</w:t>
                  </w:r>
                </w:p>
              </w:tc>
              <w:tc>
                <w:tcPr>
                  <w:tcW w:w="666" w:type="pct"/>
                  <w:vMerge w:val="restart"/>
                  <w:vAlign w:val="center"/>
                </w:tcPr>
                <w:p w14:paraId="48472335">
                  <w:pPr>
                    <w:pStyle w:val="39"/>
                    <w:rPr>
                      <w:color w:val="auto"/>
                    </w:rPr>
                  </w:pPr>
                  <w:r>
                    <w:rPr>
                      <w:rFonts w:hint="eastAsia"/>
                      <w:color w:val="auto"/>
                    </w:rPr>
                    <w:t>施工扬尘</w:t>
                  </w:r>
                </w:p>
              </w:tc>
              <w:tc>
                <w:tcPr>
                  <w:tcW w:w="668" w:type="pct"/>
                  <w:vMerge w:val="restart"/>
                  <w:vAlign w:val="center"/>
                </w:tcPr>
                <w:p w14:paraId="7699BF27">
                  <w:pPr>
                    <w:pStyle w:val="39"/>
                    <w:rPr>
                      <w:color w:val="auto"/>
                    </w:rPr>
                  </w:pPr>
                  <w:r>
                    <w:rPr>
                      <w:color w:val="auto"/>
                    </w:rPr>
                    <w:t>TSP</w:t>
                  </w:r>
                </w:p>
              </w:tc>
              <w:tc>
                <w:tcPr>
                  <w:tcW w:w="2139" w:type="pct"/>
                  <w:vAlign w:val="center"/>
                </w:tcPr>
                <w:p w14:paraId="7D646086">
                  <w:pPr>
                    <w:pStyle w:val="39"/>
                    <w:rPr>
                      <w:color w:val="auto"/>
                    </w:rPr>
                  </w:pPr>
                  <w:r>
                    <w:rPr>
                      <w:rFonts w:hint="eastAsia"/>
                      <w:color w:val="auto"/>
                    </w:rPr>
                    <w:t>拆除、土方及地基处理工程≦0.8</w:t>
                  </w:r>
                </w:p>
              </w:tc>
            </w:tr>
            <w:tr w14:paraId="5A52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pct"/>
                  <w:vMerge w:val="continue"/>
                  <w:vAlign w:val="center"/>
                </w:tcPr>
                <w:p w14:paraId="6B38C378">
                  <w:pPr>
                    <w:pStyle w:val="39"/>
                    <w:rPr>
                      <w:color w:val="auto"/>
                    </w:rPr>
                  </w:pPr>
                </w:p>
              </w:tc>
              <w:tc>
                <w:tcPr>
                  <w:tcW w:w="666" w:type="pct"/>
                  <w:vMerge w:val="continue"/>
                  <w:vAlign w:val="center"/>
                </w:tcPr>
                <w:p w14:paraId="729B10C3">
                  <w:pPr>
                    <w:pStyle w:val="39"/>
                    <w:rPr>
                      <w:color w:val="auto"/>
                    </w:rPr>
                  </w:pPr>
                </w:p>
              </w:tc>
              <w:tc>
                <w:tcPr>
                  <w:tcW w:w="668" w:type="pct"/>
                  <w:vMerge w:val="continue"/>
                  <w:vAlign w:val="center"/>
                </w:tcPr>
                <w:p w14:paraId="3664ECF9">
                  <w:pPr>
                    <w:pStyle w:val="39"/>
                    <w:rPr>
                      <w:color w:val="auto"/>
                    </w:rPr>
                  </w:pPr>
                </w:p>
              </w:tc>
              <w:tc>
                <w:tcPr>
                  <w:tcW w:w="2139" w:type="pct"/>
                  <w:vAlign w:val="center"/>
                </w:tcPr>
                <w:p w14:paraId="21D48989">
                  <w:pPr>
                    <w:pStyle w:val="39"/>
                    <w:rPr>
                      <w:color w:val="auto"/>
                    </w:rPr>
                  </w:pPr>
                  <w:r>
                    <w:rPr>
                      <w:rFonts w:hint="eastAsia"/>
                      <w:color w:val="auto"/>
                    </w:rPr>
                    <w:t>基础、主体结构及装饰工程≦0.7</w:t>
                  </w:r>
                </w:p>
              </w:tc>
            </w:tr>
          </w:tbl>
          <w:p w14:paraId="78A92E23">
            <w:pPr>
              <w:pStyle w:val="9"/>
              <w:spacing w:after="120"/>
              <w:ind w:firstLine="482"/>
              <w:rPr>
                <w:color w:val="auto"/>
              </w:rPr>
            </w:pPr>
            <w:r>
              <w:rPr>
                <w:rFonts w:hint="eastAsia"/>
                <w:color w:val="auto"/>
              </w:rPr>
              <w:t>2.运营期</w:t>
            </w:r>
          </w:p>
          <w:p w14:paraId="70DEBF15">
            <w:pPr>
              <w:ind w:firstLine="480"/>
              <w:rPr>
                <w:color w:val="auto"/>
                <w:sz w:val="24"/>
                <w:szCs w:val="24"/>
                <w:highlight w:val="none"/>
              </w:rPr>
            </w:pPr>
            <w:r>
              <w:rPr>
                <w:rFonts w:hint="eastAsia"/>
                <w:color w:val="auto"/>
                <w:sz w:val="24"/>
                <w:szCs w:val="24"/>
                <w:highlight w:val="none"/>
                <w:lang w:val="en-US" w:eastAsia="zh-CN"/>
              </w:rPr>
              <w:t>项目以外购的精镁（镁锭/镁液）、高品质镁合金为原料，工艺主要为熔炼（化）、浇铸、压铸等，不涉及镁冶炼，运营期生产熔炼（化）、浇铸、压铸</w:t>
            </w:r>
            <w:r>
              <w:rPr>
                <w:rFonts w:hint="eastAsia"/>
                <w:color w:val="auto"/>
                <w:sz w:val="24"/>
                <w:szCs w:val="24"/>
                <w:highlight w:val="none"/>
              </w:rPr>
              <w:t>废气</w:t>
            </w:r>
            <w:r>
              <w:rPr>
                <w:rFonts w:hint="eastAsia"/>
                <w:color w:val="auto"/>
                <w:sz w:val="24"/>
                <w:szCs w:val="24"/>
                <w:highlight w:val="none"/>
                <w:lang w:val="en-US" w:eastAsia="zh-CN"/>
              </w:rPr>
              <w:t>执行</w:t>
            </w:r>
            <w:r>
              <w:rPr>
                <w:color w:val="auto"/>
                <w:spacing w:val="8"/>
                <w:sz w:val="24"/>
                <w:szCs w:val="24"/>
                <w:highlight w:val="none"/>
              </w:rPr>
              <w:t>《铸造工业大气污染物排</w:t>
            </w:r>
            <w:r>
              <w:rPr>
                <w:color w:val="auto"/>
                <w:spacing w:val="-2"/>
                <w:sz w:val="24"/>
                <w:szCs w:val="24"/>
                <w:highlight w:val="none"/>
              </w:rPr>
              <w:t>放标准》（</w:t>
            </w:r>
            <w:r>
              <w:rPr>
                <w:rFonts w:ascii="Times New Roman" w:hAnsi="Times New Roman" w:eastAsia="Times New Roman" w:cs="Times New Roman"/>
                <w:color w:val="auto"/>
                <w:spacing w:val="-2"/>
                <w:sz w:val="24"/>
                <w:szCs w:val="24"/>
                <w:highlight w:val="none"/>
              </w:rPr>
              <w:t>GB39726-2020</w:t>
            </w:r>
            <w:r>
              <w:rPr>
                <w:color w:val="auto"/>
                <w:spacing w:val="-2"/>
                <w:sz w:val="24"/>
                <w:szCs w:val="24"/>
                <w:highlight w:val="none"/>
              </w:rPr>
              <w:t>）</w:t>
            </w:r>
            <w:r>
              <w:rPr>
                <w:rFonts w:hint="eastAsia"/>
                <w:color w:val="auto"/>
                <w:sz w:val="24"/>
                <w:szCs w:val="24"/>
                <w:highlight w:val="none"/>
              </w:rPr>
              <w:t>表</w:t>
            </w:r>
            <w:r>
              <w:rPr>
                <w:rFonts w:hint="eastAsia"/>
                <w:color w:val="auto"/>
                <w:sz w:val="24"/>
                <w:szCs w:val="24"/>
                <w:highlight w:val="none"/>
                <w:lang w:val="en-US" w:eastAsia="zh-CN"/>
              </w:rPr>
              <w:t>1</w:t>
            </w:r>
            <w:r>
              <w:rPr>
                <w:rFonts w:hint="eastAsia"/>
                <w:color w:val="auto"/>
                <w:sz w:val="24"/>
                <w:szCs w:val="24"/>
                <w:highlight w:val="none"/>
              </w:rPr>
              <w:t>中排放限值</w:t>
            </w:r>
            <w:r>
              <w:rPr>
                <w:rFonts w:hint="eastAsia"/>
                <w:color w:val="auto"/>
                <w:sz w:val="24"/>
                <w:szCs w:val="24"/>
                <w:highlight w:val="none"/>
                <w:lang w:eastAsia="zh-CN"/>
              </w:rPr>
              <w:t>，</w:t>
            </w:r>
            <w:r>
              <w:rPr>
                <w:rFonts w:hint="eastAsia"/>
                <w:color w:val="auto"/>
                <w:sz w:val="24"/>
                <w:szCs w:val="24"/>
                <w:highlight w:val="none"/>
                <w:lang w:val="en-US" w:eastAsia="zh-CN"/>
              </w:rPr>
              <w:t>非甲烷总烃及厂界无组织颗粒物</w:t>
            </w:r>
            <w:r>
              <w:rPr>
                <w:rFonts w:hint="eastAsia"/>
                <w:color w:val="auto"/>
                <w:spacing w:val="4"/>
                <w:sz w:val="24"/>
                <w:szCs w:val="24"/>
                <w:lang w:eastAsia="zh-CN"/>
              </w:rPr>
              <w:t>执行</w:t>
            </w:r>
            <w:r>
              <w:rPr>
                <w:color w:val="auto"/>
                <w:spacing w:val="8"/>
                <w:sz w:val="24"/>
                <w:szCs w:val="24"/>
                <w:highlight w:val="none"/>
              </w:rPr>
              <w:t>《大气污染物综合排放标</w:t>
            </w:r>
            <w:r>
              <w:rPr>
                <w:color w:val="auto"/>
                <w:spacing w:val="5"/>
                <w:sz w:val="24"/>
                <w:szCs w:val="24"/>
                <w:highlight w:val="none"/>
              </w:rPr>
              <w:t>准》（</w:t>
            </w:r>
            <w:r>
              <w:rPr>
                <w:rFonts w:ascii="Times New Roman" w:hAnsi="Times New Roman" w:eastAsia="Times New Roman" w:cs="Times New Roman"/>
                <w:color w:val="auto"/>
                <w:sz w:val="24"/>
                <w:szCs w:val="24"/>
                <w:highlight w:val="none"/>
              </w:rPr>
              <w:t>GB</w:t>
            </w:r>
            <w:r>
              <w:rPr>
                <w:rFonts w:ascii="Times New Roman" w:hAnsi="Times New Roman" w:eastAsia="Times New Roman" w:cs="Times New Roman"/>
                <w:color w:val="auto"/>
                <w:spacing w:val="5"/>
                <w:sz w:val="24"/>
                <w:szCs w:val="24"/>
                <w:highlight w:val="none"/>
              </w:rPr>
              <w:t>16297-1996</w:t>
            </w:r>
            <w:r>
              <w:rPr>
                <w:color w:val="auto"/>
                <w:spacing w:val="5"/>
                <w:sz w:val="24"/>
                <w:szCs w:val="24"/>
                <w:highlight w:val="none"/>
              </w:rPr>
              <w:t>）</w:t>
            </w:r>
            <w:r>
              <w:rPr>
                <w:rFonts w:hint="eastAsia"/>
                <w:color w:val="auto"/>
                <w:spacing w:val="5"/>
                <w:sz w:val="24"/>
                <w:szCs w:val="24"/>
                <w:highlight w:val="none"/>
                <w:lang w:val="en-US" w:eastAsia="zh-CN"/>
              </w:rPr>
              <w:t>表2中二级排放标准</w:t>
            </w:r>
            <w:r>
              <w:rPr>
                <w:rFonts w:hint="eastAsia"/>
                <w:color w:val="auto"/>
                <w:sz w:val="24"/>
                <w:szCs w:val="24"/>
                <w:highlight w:val="none"/>
                <w:lang w:eastAsia="zh-CN"/>
              </w:rPr>
              <w:t>，</w:t>
            </w:r>
            <w:r>
              <w:rPr>
                <w:rFonts w:hint="eastAsia"/>
                <w:color w:val="auto"/>
                <w:sz w:val="24"/>
                <w:szCs w:val="24"/>
                <w:highlight w:val="none"/>
              </w:rPr>
              <w:t>详见表3</w:t>
            </w:r>
            <w:r>
              <w:rPr>
                <w:color w:val="auto"/>
                <w:sz w:val="24"/>
                <w:szCs w:val="24"/>
                <w:highlight w:val="none"/>
              </w:rPr>
              <w:t>-5。</w:t>
            </w:r>
          </w:p>
          <w:p w14:paraId="417C62BA">
            <w:pPr>
              <w:pStyle w:val="42"/>
              <w:numPr>
                <w:ilvl w:val="3"/>
                <w:numId w:val="0"/>
              </w:numPr>
              <w:ind w:left="0" w:leftChars="0" w:firstLine="0" w:firstLineChars="0"/>
              <w:rPr>
                <w:rFonts w:hint="eastAsia"/>
                <w:color w:val="auto"/>
                <w:sz w:val="24"/>
                <w:szCs w:val="24"/>
                <w:highlight w:val="none"/>
                <w:vertAlign w:val="superscript"/>
              </w:rPr>
            </w:pPr>
            <w:r>
              <w:rPr>
                <w:rFonts w:hint="eastAsia" w:ascii="Times New Roman" w:hAnsi="Times New Roman" w:eastAsia="黑体" w:cs="Times New Roman"/>
                <w:color w:val="auto"/>
                <w:kern w:val="2"/>
                <w:sz w:val="24"/>
                <w:szCs w:val="24"/>
                <w:highlight w:val="none"/>
                <w:lang w:val="en-US" w:eastAsia="zh-CN" w:bidi="ar-SA"/>
              </w:rPr>
              <w:t xml:space="preserve">表3-5 </w:t>
            </w:r>
            <w:r>
              <w:rPr>
                <w:rFonts w:hint="eastAsia"/>
                <w:color w:val="auto"/>
                <w:sz w:val="24"/>
                <w:szCs w:val="24"/>
                <w:highlight w:val="none"/>
                <w:lang w:val="en-US" w:eastAsia="zh-CN"/>
              </w:rPr>
              <w:t>运营期</w:t>
            </w:r>
            <w:r>
              <w:rPr>
                <w:rFonts w:hint="eastAsia"/>
                <w:color w:val="auto"/>
                <w:sz w:val="24"/>
                <w:szCs w:val="24"/>
                <w:highlight w:val="none"/>
              </w:rPr>
              <w:t xml:space="preserve">大气污染物排放标准 </w:t>
            </w:r>
          </w:p>
          <w:tbl>
            <w:tblPr>
              <w:tblStyle w:val="67"/>
              <w:tblW w:w="498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16"/>
              <w:gridCol w:w="747"/>
              <w:gridCol w:w="1217"/>
              <w:gridCol w:w="1295"/>
              <w:gridCol w:w="1459"/>
              <w:gridCol w:w="1817"/>
            </w:tblGrid>
            <w:tr w14:paraId="5B721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133" w:type="pct"/>
                  <w:vMerge w:val="restart"/>
                  <w:tcBorders>
                    <w:bottom w:val="nil"/>
                  </w:tcBorders>
                  <w:vAlign w:val="center"/>
                </w:tcPr>
                <w:p w14:paraId="158F5366">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color w:val="auto"/>
                      <w:sz w:val="21"/>
                      <w:szCs w:val="21"/>
                    </w:rPr>
                  </w:pPr>
                  <w:r>
                    <w:rPr>
                      <w:color w:val="auto"/>
                      <w:spacing w:val="7"/>
                      <w:sz w:val="21"/>
                      <w:szCs w:val="21"/>
                    </w:rPr>
                    <w:t>标准名称</w:t>
                  </w:r>
                </w:p>
              </w:tc>
              <w:tc>
                <w:tcPr>
                  <w:tcW w:w="442" w:type="pct"/>
                  <w:vMerge w:val="restart"/>
                  <w:tcBorders>
                    <w:bottom w:val="nil"/>
                  </w:tcBorders>
                  <w:vAlign w:val="center"/>
                </w:tcPr>
                <w:p w14:paraId="5BF38948">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snapToGrid w:val="0"/>
                      <w:color w:val="auto"/>
                      <w:spacing w:val="0"/>
                      <w:sz w:val="21"/>
                      <w:szCs w:val="21"/>
                    </w:rPr>
                  </w:pPr>
                  <w:r>
                    <w:rPr>
                      <w:snapToGrid w:val="0"/>
                      <w:color w:val="auto"/>
                      <w:spacing w:val="0"/>
                      <w:sz w:val="21"/>
                      <w:szCs w:val="21"/>
                    </w:rPr>
                    <w:t>标准等级</w:t>
                  </w:r>
                </w:p>
              </w:tc>
              <w:tc>
                <w:tcPr>
                  <w:tcW w:w="3423" w:type="pct"/>
                  <w:gridSpan w:val="4"/>
                  <w:vAlign w:val="center"/>
                </w:tcPr>
                <w:p w14:paraId="1C01AD66">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color w:val="auto"/>
                      <w:spacing w:val="6"/>
                      <w:sz w:val="21"/>
                      <w:szCs w:val="21"/>
                    </w:rPr>
                  </w:pPr>
                  <w:r>
                    <w:rPr>
                      <w:color w:val="auto"/>
                      <w:spacing w:val="6"/>
                      <w:sz w:val="21"/>
                      <w:szCs w:val="21"/>
                    </w:rPr>
                    <w:t>标准值</w:t>
                  </w:r>
                </w:p>
              </w:tc>
            </w:tr>
            <w:tr w14:paraId="4127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133" w:type="pct"/>
                  <w:vMerge w:val="continue"/>
                  <w:tcBorders>
                    <w:top w:val="nil"/>
                    <w:bottom w:val="single" w:color="auto" w:sz="4" w:space="0"/>
                  </w:tcBorders>
                  <w:vAlign w:val="center"/>
                </w:tcPr>
                <w:p w14:paraId="61EA7497">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color w:val="auto"/>
                      <w:sz w:val="21"/>
                      <w:szCs w:val="21"/>
                    </w:rPr>
                  </w:pPr>
                </w:p>
              </w:tc>
              <w:tc>
                <w:tcPr>
                  <w:tcW w:w="442" w:type="pct"/>
                  <w:vMerge w:val="continue"/>
                  <w:tcBorders>
                    <w:top w:val="nil"/>
                    <w:bottom w:val="single" w:color="auto" w:sz="4" w:space="0"/>
                  </w:tcBorders>
                  <w:vAlign w:val="center"/>
                </w:tcPr>
                <w:p w14:paraId="0E61DAF8">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snapToGrid w:val="0"/>
                      <w:color w:val="auto"/>
                      <w:spacing w:val="0"/>
                      <w:sz w:val="21"/>
                      <w:szCs w:val="21"/>
                    </w:rPr>
                  </w:pPr>
                </w:p>
              </w:tc>
              <w:tc>
                <w:tcPr>
                  <w:tcW w:w="720" w:type="pct"/>
                  <w:tcBorders>
                    <w:bottom w:val="single" w:color="auto" w:sz="4" w:space="0"/>
                  </w:tcBorders>
                  <w:vAlign w:val="center"/>
                </w:tcPr>
                <w:p w14:paraId="638D18A8">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color w:val="auto"/>
                      <w:sz w:val="21"/>
                      <w:szCs w:val="21"/>
                    </w:rPr>
                  </w:pPr>
                  <w:r>
                    <w:rPr>
                      <w:color w:val="auto"/>
                      <w:spacing w:val="3"/>
                      <w:sz w:val="21"/>
                      <w:szCs w:val="21"/>
                    </w:rPr>
                    <w:t>指标</w:t>
                  </w:r>
                </w:p>
              </w:tc>
              <w:tc>
                <w:tcPr>
                  <w:tcW w:w="766" w:type="pct"/>
                  <w:vAlign w:val="center"/>
                </w:tcPr>
                <w:p w14:paraId="4487721A">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lang w:val="en-US" w:eastAsia="zh-CN"/>
                    </w:rPr>
                    <w:t>有组织浓度</w:t>
                  </w:r>
                  <w:r>
                    <w:rPr>
                      <w:rFonts w:hint="default" w:ascii="Times New Roman" w:hAnsi="Times New Roman" w:cs="Times New Roman"/>
                      <w:color w:val="auto"/>
                      <w:spacing w:val="-3"/>
                      <w:sz w:val="21"/>
                      <w:szCs w:val="21"/>
                    </w:rPr>
                    <w:t>限值</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pacing w:val="-3"/>
                      <w:sz w:val="21"/>
                      <w:szCs w:val="21"/>
                      <w:lang w:eastAsia="zh-CN"/>
                    </w:rPr>
                    <w:t>）</w:t>
                  </w:r>
                </w:p>
              </w:tc>
              <w:tc>
                <w:tcPr>
                  <w:tcW w:w="863" w:type="pct"/>
                  <w:vAlign w:val="center"/>
                </w:tcPr>
                <w:p w14:paraId="4AA04D1D">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3"/>
                      <w:sz w:val="21"/>
                      <w:szCs w:val="21"/>
                      <w:lang w:val="en-US" w:eastAsia="zh-CN"/>
                    </w:rPr>
                  </w:pPr>
                  <w:r>
                    <w:rPr>
                      <w:rFonts w:hint="default" w:ascii="Times New Roman" w:hAnsi="Times New Roman" w:cs="Times New Roman"/>
                      <w:color w:val="auto"/>
                      <w:spacing w:val="-3"/>
                      <w:sz w:val="21"/>
                      <w:szCs w:val="21"/>
                      <w:lang w:val="en-US" w:eastAsia="zh-CN"/>
                    </w:rPr>
                    <w:t>有组织排放速率限值（kg/h）</w:t>
                  </w:r>
                </w:p>
              </w:tc>
              <w:tc>
                <w:tcPr>
                  <w:tcW w:w="1073" w:type="pct"/>
                  <w:vAlign w:val="center"/>
                </w:tcPr>
                <w:p w14:paraId="33BA5BDB">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3"/>
                      <w:sz w:val="21"/>
                      <w:szCs w:val="21"/>
                      <w:lang w:val="en-US" w:eastAsia="zh-CN"/>
                    </w:rPr>
                    <w:t>无组织厂界监控浓度限值</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pacing w:val="-3"/>
                      <w:sz w:val="21"/>
                      <w:szCs w:val="21"/>
                      <w:lang w:eastAsia="zh-CN"/>
                    </w:rPr>
                    <w:t>）</w:t>
                  </w:r>
                </w:p>
              </w:tc>
            </w:tr>
            <w:tr w14:paraId="7D1C3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133" w:type="pct"/>
                  <w:vMerge w:val="restart"/>
                  <w:tcBorders>
                    <w:top w:val="single" w:color="auto" w:sz="4" w:space="0"/>
                    <w:left w:val="single" w:color="auto" w:sz="4" w:space="0"/>
                    <w:right w:val="single" w:color="auto" w:sz="4" w:space="0"/>
                  </w:tcBorders>
                  <w:vAlign w:val="center"/>
                </w:tcPr>
                <w:p w14:paraId="768B9A2F">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color w:val="auto"/>
                      <w:sz w:val="21"/>
                      <w:szCs w:val="21"/>
                    </w:rPr>
                  </w:pPr>
                  <w:r>
                    <w:rPr>
                      <w:color w:val="auto"/>
                      <w:spacing w:val="8"/>
                      <w:sz w:val="21"/>
                      <w:szCs w:val="21"/>
                    </w:rPr>
                    <w:t>《铸造工业大气污染物排</w:t>
                  </w:r>
                  <w:r>
                    <w:rPr>
                      <w:color w:val="auto"/>
                      <w:spacing w:val="-2"/>
                      <w:sz w:val="21"/>
                      <w:szCs w:val="21"/>
                    </w:rPr>
                    <w:t>放标准》（</w:t>
                  </w:r>
                  <w:r>
                    <w:rPr>
                      <w:rFonts w:ascii="Times New Roman" w:hAnsi="Times New Roman" w:eastAsia="Times New Roman" w:cs="Times New Roman"/>
                      <w:color w:val="auto"/>
                      <w:spacing w:val="-2"/>
                      <w:sz w:val="21"/>
                      <w:szCs w:val="21"/>
                    </w:rPr>
                    <w:t>GB39726-2020</w:t>
                  </w:r>
                  <w:r>
                    <w:rPr>
                      <w:color w:val="auto"/>
                      <w:spacing w:val="-2"/>
                      <w:sz w:val="21"/>
                      <w:szCs w:val="21"/>
                    </w:rPr>
                    <w:t>）</w:t>
                  </w:r>
                </w:p>
              </w:tc>
              <w:tc>
                <w:tcPr>
                  <w:tcW w:w="442" w:type="pct"/>
                  <w:vMerge w:val="restart"/>
                  <w:tcBorders>
                    <w:top w:val="single" w:color="auto" w:sz="4" w:space="0"/>
                    <w:left w:val="single" w:color="auto" w:sz="4" w:space="0"/>
                    <w:bottom w:val="single" w:color="auto" w:sz="4" w:space="0"/>
                    <w:right w:val="single" w:color="auto" w:sz="4" w:space="0"/>
                  </w:tcBorders>
                  <w:vAlign w:val="center"/>
                </w:tcPr>
                <w:p w14:paraId="463B3F07">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Times New Roman" w:hAnsi="Times New Roman" w:eastAsia="Times New Roman" w:cs="Times New Roman"/>
                      <w:snapToGrid w:val="0"/>
                      <w:color w:val="auto"/>
                      <w:spacing w:val="0"/>
                      <w:sz w:val="21"/>
                      <w:szCs w:val="21"/>
                    </w:rPr>
                  </w:pPr>
                  <w:r>
                    <w:rPr>
                      <w:snapToGrid w:val="0"/>
                      <w:color w:val="auto"/>
                      <w:spacing w:val="0"/>
                      <w:sz w:val="21"/>
                      <w:szCs w:val="21"/>
                    </w:rPr>
                    <w:t>表</w:t>
                  </w:r>
                  <w:r>
                    <w:rPr>
                      <w:rFonts w:ascii="Times New Roman" w:hAnsi="Times New Roman" w:eastAsia="Times New Roman" w:cs="Times New Roman"/>
                      <w:snapToGrid w:val="0"/>
                      <w:color w:val="auto"/>
                      <w:spacing w:val="0"/>
                      <w:sz w:val="21"/>
                      <w:szCs w:val="21"/>
                    </w:rPr>
                    <w:t>1</w:t>
                  </w:r>
                </w:p>
              </w:tc>
              <w:tc>
                <w:tcPr>
                  <w:tcW w:w="720" w:type="pct"/>
                  <w:tcBorders>
                    <w:top w:val="single" w:color="auto" w:sz="4" w:space="0"/>
                    <w:left w:val="single" w:color="auto" w:sz="4" w:space="0"/>
                    <w:bottom w:val="single" w:color="auto" w:sz="4" w:space="0"/>
                    <w:right w:val="single" w:color="auto" w:sz="4" w:space="0"/>
                  </w:tcBorders>
                  <w:vAlign w:val="center"/>
                </w:tcPr>
                <w:p w14:paraId="293AD049">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SO</w:t>
                  </w:r>
                  <w:r>
                    <w:rPr>
                      <w:rFonts w:hint="eastAsia" w:eastAsia="宋体" w:cs="Times New Roman"/>
                      <w:color w:val="auto"/>
                      <w:sz w:val="21"/>
                      <w:szCs w:val="21"/>
                      <w:vertAlign w:val="subscript"/>
                      <w:lang w:val="en-US" w:eastAsia="zh-CN"/>
                    </w:rPr>
                    <w:t>2</w:t>
                  </w:r>
                </w:p>
              </w:tc>
              <w:tc>
                <w:tcPr>
                  <w:tcW w:w="766" w:type="pct"/>
                  <w:tcBorders>
                    <w:left w:val="single" w:color="auto" w:sz="4" w:space="0"/>
                  </w:tcBorders>
                  <w:vAlign w:val="center"/>
                </w:tcPr>
                <w:p w14:paraId="05FBB016">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100</w:t>
                  </w:r>
                </w:p>
              </w:tc>
              <w:tc>
                <w:tcPr>
                  <w:tcW w:w="863" w:type="pct"/>
                  <w:vAlign w:val="center"/>
                </w:tcPr>
                <w:p w14:paraId="1418B6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ascii="Times New Roman" w:hAnsi="Times New Roman" w:eastAsia="Times New Roman" w:cs="Times New Roman"/>
                      <w:color w:val="auto"/>
                      <w:spacing w:val="-3"/>
                      <w:sz w:val="21"/>
                      <w:szCs w:val="21"/>
                    </w:rPr>
                  </w:pPr>
                  <w:r>
                    <w:rPr>
                      <w:rFonts w:hint="eastAsia" w:eastAsia="宋体" w:cs="Times New Roman"/>
                      <w:color w:val="auto"/>
                      <w:sz w:val="21"/>
                      <w:szCs w:val="21"/>
                      <w:lang w:val="en-US" w:eastAsia="zh-CN"/>
                    </w:rPr>
                    <w:t>/</w:t>
                  </w:r>
                </w:p>
              </w:tc>
              <w:tc>
                <w:tcPr>
                  <w:tcW w:w="1073" w:type="pct"/>
                  <w:vAlign w:val="center"/>
                </w:tcPr>
                <w:p w14:paraId="56968C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w:t>
                  </w:r>
                </w:p>
              </w:tc>
            </w:tr>
            <w:tr w14:paraId="02A35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133" w:type="pct"/>
                  <w:vMerge w:val="continue"/>
                  <w:tcBorders>
                    <w:left w:val="single" w:color="auto" w:sz="4" w:space="0"/>
                    <w:right w:val="single" w:color="auto" w:sz="4" w:space="0"/>
                  </w:tcBorders>
                  <w:vAlign w:val="center"/>
                </w:tcPr>
                <w:p w14:paraId="2DC1BEB0">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color w:val="auto"/>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01067662">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snapToGrid w:val="0"/>
                      <w:color w:val="auto"/>
                      <w:spacing w:val="0"/>
                      <w:sz w:val="21"/>
                      <w:szCs w:val="21"/>
                    </w:rPr>
                  </w:pPr>
                </w:p>
              </w:tc>
              <w:tc>
                <w:tcPr>
                  <w:tcW w:w="720" w:type="pct"/>
                  <w:tcBorders>
                    <w:top w:val="single" w:color="auto" w:sz="4" w:space="0"/>
                    <w:left w:val="single" w:color="auto" w:sz="4" w:space="0"/>
                    <w:bottom w:val="single" w:color="auto" w:sz="4" w:space="0"/>
                    <w:right w:val="single" w:color="auto" w:sz="4" w:space="0"/>
                  </w:tcBorders>
                  <w:vAlign w:val="center"/>
                </w:tcPr>
                <w:p w14:paraId="51470902">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7"/>
                      <w:sz w:val="21"/>
                      <w:szCs w:val="21"/>
                    </w:rPr>
                    <w:t>NO</w:t>
                  </w:r>
                  <w:r>
                    <w:rPr>
                      <w:rFonts w:hint="eastAsia" w:eastAsia="宋体" w:cs="Times New Roman"/>
                      <w:color w:val="auto"/>
                      <w:spacing w:val="7"/>
                      <w:sz w:val="21"/>
                      <w:szCs w:val="21"/>
                      <w:vertAlign w:val="subscript"/>
                      <w:lang w:val="en-US" w:eastAsia="zh-CN"/>
                    </w:rPr>
                    <w:t>x</w:t>
                  </w:r>
                </w:p>
              </w:tc>
              <w:tc>
                <w:tcPr>
                  <w:tcW w:w="766" w:type="pct"/>
                  <w:tcBorders>
                    <w:left w:val="single" w:color="auto" w:sz="4" w:space="0"/>
                  </w:tcBorders>
                  <w:vAlign w:val="center"/>
                </w:tcPr>
                <w:p w14:paraId="58D454E7">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400</w:t>
                  </w:r>
                </w:p>
              </w:tc>
              <w:tc>
                <w:tcPr>
                  <w:tcW w:w="863" w:type="pct"/>
                  <w:vAlign w:val="center"/>
                </w:tcPr>
                <w:p w14:paraId="2DE354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ascii="Times New Roman" w:hAnsi="Times New Roman" w:eastAsia="Times New Roman" w:cs="Times New Roman"/>
                      <w:color w:val="auto"/>
                      <w:spacing w:val="4"/>
                      <w:sz w:val="21"/>
                      <w:szCs w:val="21"/>
                    </w:rPr>
                  </w:pPr>
                  <w:r>
                    <w:rPr>
                      <w:rFonts w:hint="eastAsia" w:eastAsia="宋体" w:cs="Times New Roman"/>
                      <w:color w:val="auto"/>
                      <w:sz w:val="21"/>
                      <w:szCs w:val="21"/>
                      <w:lang w:val="en-US" w:eastAsia="zh-CN"/>
                    </w:rPr>
                    <w:t>/</w:t>
                  </w:r>
                </w:p>
              </w:tc>
              <w:tc>
                <w:tcPr>
                  <w:tcW w:w="1073" w:type="pct"/>
                  <w:vAlign w:val="center"/>
                </w:tcPr>
                <w:p w14:paraId="2C4CAE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w:t>
                  </w:r>
                </w:p>
              </w:tc>
            </w:tr>
            <w:tr w14:paraId="33601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33" w:type="pct"/>
                  <w:vMerge w:val="continue"/>
                  <w:tcBorders>
                    <w:left w:val="single" w:color="auto" w:sz="4" w:space="0"/>
                    <w:right w:val="single" w:color="auto" w:sz="4" w:space="0"/>
                  </w:tcBorders>
                  <w:vAlign w:val="center"/>
                </w:tcPr>
                <w:p w14:paraId="74B283A5">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color w:val="auto"/>
                      <w:sz w:val="21"/>
                      <w:szCs w:val="21"/>
                    </w:rPr>
                  </w:pPr>
                </w:p>
              </w:tc>
              <w:tc>
                <w:tcPr>
                  <w:tcW w:w="442" w:type="pct"/>
                  <w:vMerge w:val="continue"/>
                  <w:tcBorders>
                    <w:top w:val="single" w:color="auto" w:sz="4" w:space="0"/>
                    <w:left w:val="single" w:color="auto" w:sz="4" w:space="0"/>
                    <w:bottom w:val="single" w:color="auto" w:sz="4" w:space="0"/>
                    <w:right w:val="single" w:color="auto" w:sz="4" w:space="0"/>
                  </w:tcBorders>
                  <w:vAlign w:val="center"/>
                </w:tcPr>
                <w:p w14:paraId="2ECB93E1">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snapToGrid w:val="0"/>
                      <w:color w:val="auto"/>
                      <w:spacing w:val="0"/>
                      <w:sz w:val="21"/>
                      <w:szCs w:val="21"/>
                    </w:rPr>
                  </w:pPr>
                </w:p>
              </w:tc>
              <w:tc>
                <w:tcPr>
                  <w:tcW w:w="720" w:type="pct"/>
                  <w:vMerge w:val="restart"/>
                  <w:tcBorders>
                    <w:top w:val="single" w:color="auto" w:sz="4" w:space="0"/>
                    <w:left w:val="single" w:color="auto" w:sz="4" w:space="0"/>
                    <w:right w:val="single" w:color="auto" w:sz="4" w:space="0"/>
                  </w:tcBorders>
                  <w:vAlign w:val="center"/>
                </w:tcPr>
                <w:p w14:paraId="5BA41333">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color w:val="auto"/>
                      <w:sz w:val="21"/>
                      <w:szCs w:val="21"/>
                    </w:rPr>
                  </w:pPr>
                  <w:r>
                    <w:rPr>
                      <w:color w:val="auto"/>
                      <w:spacing w:val="7"/>
                      <w:sz w:val="21"/>
                      <w:szCs w:val="21"/>
                    </w:rPr>
                    <w:t>颗粒物</w:t>
                  </w:r>
                </w:p>
              </w:tc>
              <w:tc>
                <w:tcPr>
                  <w:tcW w:w="766" w:type="pct"/>
                  <w:tcBorders>
                    <w:left w:val="single" w:color="auto" w:sz="4" w:space="0"/>
                  </w:tcBorders>
                  <w:vAlign w:val="center"/>
                </w:tcPr>
                <w:p w14:paraId="42B72312">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30</w:t>
                  </w:r>
                </w:p>
              </w:tc>
              <w:tc>
                <w:tcPr>
                  <w:tcW w:w="863" w:type="pct"/>
                  <w:vAlign w:val="center"/>
                </w:tcPr>
                <w:p w14:paraId="4D4727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w:t>
                  </w:r>
                </w:p>
              </w:tc>
              <w:tc>
                <w:tcPr>
                  <w:tcW w:w="1073" w:type="pct"/>
                  <w:vAlign w:val="center"/>
                </w:tcPr>
                <w:p w14:paraId="34197A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w:t>
                  </w:r>
                </w:p>
              </w:tc>
            </w:tr>
            <w:tr w14:paraId="36E4A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33" w:type="pct"/>
                  <w:vMerge w:val="continue"/>
                  <w:tcBorders>
                    <w:left w:val="single" w:color="auto" w:sz="4" w:space="0"/>
                    <w:right w:val="single" w:color="auto" w:sz="4" w:space="0"/>
                  </w:tcBorders>
                  <w:vAlign w:val="center"/>
                </w:tcPr>
                <w:p w14:paraId="03DBD76E">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color w:val="auto"/>
                      <w:sz w:val="21"/>
                      <w:szCs w:val="21"/>
                    </w:rPr>
                  </w:pPr>
                </w:p>
              </w:tc>
              <w:tc>
                <w:tcPr>
                  <w:tcW w:w="442" w:type="pct"/>
                  <w:vMerge w:val="restart"/>
                  <w:tcBorders>
                    <w:top w:val="single" w:color="auto" w:sz="4" w:space="0"/>
                    <w:left w:val="single" w:color="auto" w:sz="4" w:space="0"/>
                    <w:right w:val="single" w:color="auto" w:sz="4" w:space="0"/>
                  </w:tcBorders>
                  <w:vAlign w:val="center"/>
                </w:tcPr>
                <w:p w14:paraId="31E49570">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Arial" w:eastAsia="宋体"/>
                      <w:snapToGrid w:val="0"/>
                      <w:color w:val="auto"/>
                      <w:spacing w:val="0"/>
                      <w:sz w:val="21"/>
                      <w:szCs w:val="21"/>
                      <w:lang w:val="en-US" w:eastAsia="zh-CN"/>
                    </w:rPr>
                  </w:pPr>
                  <w:r>
                    <w:rPr>
                      <w:rFonts w:hint="default" w:ascii="Times New Roman" w:hAnsi="Times New Roman" w:eastAsia="宋体" w:cs="Times New Roman"/>
                      <w:snapToGrid w:val="0"/>
                      <w:color w:val="auto"/>
                      <w:spacing w:val="0"/>
                      <w:sz w:val="21"/>
                      <w:szCs w:val="21"/>
                      <w:lang w:val="en-US" w:eastAsia="zh-CN"/>
                    </w:rPr>
                    <w:t>附录A.1</w:t>
                  </w:r>
                </w:p>
              </w:tc>
              <w:tc>
                <w:tcPr>
                  <w:tcW w:w="720" w:type="pct"/>
                  <w:vMerge w:val="continue"/>
                  <w:tcBorders>
                    <w:left w:val="single" w:color="auto" w:sz="4" w:space="0"/>
                    <w:bottom w:val="single" w:color="auto" w:sz="4" w:space="0"/>
                    <w:right w:val="single" w:color="auto" w:sz="4" w:space="0"/>
                  </w:tcBorders>
                  <w:vAlign w:val="center"/>
                </w:tcPr>
                <w:p w14:paraId="56707A06">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color w:val="auto"/>
                      <w:spacing w:val="7"/>
                      <w:sz w:val="21"/>
                      <w:szCs w:val="21"/>
                    </w:rPr>
                  </w:pPr>
                </w:p>
              </w:tc>
              <w:tc>
                <w:tcPr>
                  <w:tcW w:w="2703" w:type="pct"/>
                  <w:gridSpan w:val="3"/>
                  <w:tcBorders>
                    <w:left w:val="single" w:color="auto" w:sz="4" w:space="0"/>
                  </w:tcBorders>
                  <w:vAlign w:val="center"/>
                </w:tcPr>
                <w:p w14:paraId="6B2CC5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厂区内厂房外监控点小时平均浓度限值：5</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7F219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133" w:type="pct"/>
                  <w:vMerge w:val="continue"/>
                  <w:tcBorders>
                    <w:left w:val="single" w:color="auto" w:sz="4" w:space="0"/>
                    <w:bottom w:val="single" w:color="auto" w:sz="4" w:space="0"/>
                    <w:right w:val="single" w:color="auto" w:sz="4" w:space="0"/>
                  </w:tcBorders>
                  <w:vAlign w:val="center"/>
                </w:tcPr>
                <w:p w14:paraId="6D8297DE">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color w:val="auto"/>
                      <w:sz w:val="21"/>
                      <w:szCs w:val="21"/>
                    </w:rPr>
                  </w:pPr>
                </w:p>
              </w:tc>
              <w:tc>
                <w:tcPr>
                  <w:tcW w:w="442" w:type="pct"/>
                  <w:vMerge w:val="continue"/>
                  <w:tcBorders>
                    <w:left w:val="single" w:color="auto" w:sz="4" w:space="0"/>
                    <w:bottom w:val="single" w:color="auto" w:sz="4" w:space="0"/>
                    <w:right w:val="single" w:color="auto" w:sz="4" w:space="0"/>
                  </w:tcBorders>
                  <w:vAlign w:val="center"/>
                </w:tcPr>
                <w:p w14:paraId="4C455FCC">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Arial"/>
                      <w:snapToGrid w:val="0"/>
                      <w:color w:val="auto"/>
                      <w:spacing w:val="0"/>
                      <w:sz w:val="21"/>
                      <w:szCs w:val="21"/>
                    </w:rPr>
                  </w:pPr>
                </w:p>
              </w:tc>
              <w:tc>
                <w:tcPr>
                  <w:tcW w:w="720" w:type="pct"/>
                  <w:tcBorders>
                    <w:top w:val="single" w:color="auto" w:sz="4" w:space="0"/>
                    <w:left w:val="single" w:color="auto" w:sz="4" w:space="0"/>
                    <w:bottom w:val="single" w:color="auto" w:sz="4" w:space="0"/>
                    <w:right w:val="single" w:color="auto" w:sz="4" w:space="0"/>
                  </w:tcBorders>
                  <w:vAlign w:val="center"/>
                </w:tcPr>
                <w:p w14:paraId="2C5742E1">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eastAsia="宋体"/>
                      <w:color w:val="auto"/>
                      <w:spacing w:val="7"/>
                      <w:sz w:val="21"/>
                      <w:szCs w:val="21"/>
                      <w:lang w:val="en-US" w:eastAsia="zh-CN"/>
                    </w:rPr>
                  </w:pPr>
                  <w:r>
                    <w:rPr>
                      <w:rFonts w:hint="eastAsia"/>
                      <w:color w:val="auto"/>
                      <w:spacing w:val="7"/>
                      <w:sz w:val="21"/>
                      <w:szCs w:val="21"/>
                      <w:lang w:val="en-US" w:eastAsia="zh-CN"/>
                    </w:rPr>
                    <w:t>非甲烷总烃</w:t>
                  </w:r>
                </w:p>
              </w:tc>
              <w:tc>
                <w:tcPr>
                  <w:tcW w:w="2703" w:type="pct"/>
                  <w:gridSpan w:val="3"/>
                  <w:tcBorders>
                    <w:left w:val="single" w:color="auto" w:sz="4" w:space="0"/>
                  </w:tcBorders>
                  <w:vAlign w:val="center"/>
                </w:tcPr>
                <w:p w14:paraId="728015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vertAlign w:val="superscript"/>
                    </w:rPr>
                  </w:pPr>
                  <w:r>
                    <w:rPr>
                      <w:rFonts w:hint="eastAsia" w:cs="Times New Roman"/>
                      <w:color w:val="auto"/>
                      <w:sz w:val="21"/>
                      <w:szCs w:val="21"/>
                      <w:lang w:val="en-US" w:eastAsia="zh-CN"/>
                    </w:rPr>
                    <w:t>厂区内厂房外监控点小时平均浓度限值：10</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p w14:paraId="4F68E102">
                  <w:pPr>
                    <w:pStyle w:val="2"/>
                    <w:keepNext w:val="0"/>
                    <w:keepLines w:val="0"/>
                    <w:pageBreakBefore w:val="0"/>
                    <w:widowControl w:val="0"/>
                    <w:kinsoku/>
                    <w:wordWrap/>
                    <w:overflowPunct/>
                    <w:topLinePunct w:val="0"/>
                    <w:autoSpaceDE/>
                    <w:autoSpaceDN/>
                    <w:bidi w:val="0"/>
                    <w:snapToGrid w:val="0"/>
                    <w:spacing w:line="360" w:lineRule="auto"/>
                    <w:ind w:left="0" w:leftChars="0" w:firstLine="0" w:firstLineChars="0"/>
                    <w:textAlignment w:val="auto"/>
                    <w:rPr>
                      <w:rFonts w:hint="eastAsia"/>
                      <w:color w:val="auto"/>
                      <w:lang w:val="en-US" w:eastAsia="zh-CN"/>
                    </w:rPr>
                  </w:pPr>
                  <w:r>
                    <w:rPr>
                      <w:rFonts w:hint="eastAsia" w:cs="Times New Roman"/>
                      <w:color w:val="auto"/>
                      <w:sz w:val="21"/>
                      <w:szCs w:val="21"/>
                      <w:lang w:val="en-US" w:eastAsia="zh-CN"/>
                    </w:rPr>
                    <w:t>厂区内厂房外监控点任意一次浓度限值：30</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13C97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33" w:type="pct"/>
                  <w:vMerge w:val="restart"/>
                  <w:tcBorders>
                    <w:top w:val="single" w:color="auto" w:sz="4" w:space="0"/>
                  </w:tcBorders>
                  <w:vAlign w:val="center"/>
                </w:tcPr>
                <w:p w14:paraId="1594A3CE">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color w:val="auto"/>
                      <w:sz w:val="21"/>
                      <w:szCs w:val="21"/>
                    </w:rPr>
                  </w:pPr>
                  <w:r>
                    <w:rPr>
                      <w:color w:val="auto"/>
                      <w:spacing w:val="8"/>
                      <w:sz w:val="21"/>
                      <w:szCs w:val="21"/>
                    </w:rPr>
                    <w:t>《大气污染物综合排放标</w:t>
                  </w:r>
                  <w:r>
                    <w:rPr>
                      <w:color w:val="auto"/>
                      <w:spacing w:val="5"/>
                      <w:sz w:val="21"/>
                      <w:szCs w:val="21"/>
                    </w:rPr>
                    <w:t>准》（</w:t>
                  </w:r>
                  <w:r>
                    <w:rPr>
                      <w:rFonts w:ascii="Times New Roman" w:hAnsi="Times New Roman" w:eastAsia="Times New Roman" w:cs="Times New Roman"/>
                      <w:color w:val="auto"/>
                      <w:sz w:val="21"/>
                      <w:szCs w:val="21"/>
                    </w:rPr>
                    <w:t>GB</w:t>
                  </w:r>
                  <w:r>
                    <w:rPr>
                      <w:rFonts w:ascii="Times New Roman" w:hAnsi="Times New Roman" w:eastAsia="Times New Roman" w:cs="Times New Roman"/>
                      <w:color w:val="auto"/>
                      <w:spacing w:val="5"/>
                      <w:sz w:val="21"/>
                      <w:szCs w:val="21"/>
                    </w:rPr>
                    <w:t>16297-1996</w:t>
                  </w:r>
                  <w:r>
                    <w:rPr>
                      <w:color w:val="auto"/>
                      <w:spacing w:val="5"/>
                      <w:sz w:val="21"/>
                      <w:szCs w:val="21"/>
                    </w:rPr>
                    <w:t>）</w:t>
                  </w:r>
                </w:p>
              </w:tc>
              <w:tc>
                <w:tcPr>
                  <w:tcW w:w="442" w:type="pct"/>
                  <w:vMerge w:val="restart"/>
                  <w:tcBorders>
                    <w:top w:val="single" w:color="auto" w:sz="4" w:space="0"/>
                  </w:tcBorders>
                  <w:vAlign w:val="center"/>
                </w:tcPr>
                <w:p w14:paraId="7558342B">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ascii="Times New Roman" w:hAnsi="Times New Roman" w:eastAsia="Times New Roman" w:cs="Times New Roman"/>
                      <w:snapToGrid w:val="0"/>
                      <w:color w:val="auto"/>
                      <w:spacing w:val="0"/>
                      <w:sz w:val="21"/>
                      <w:szCs w:val="21"/>
                    </w:rPr>
                  </w:pPr>
                  <w:r>
                    <w:rPr>
                      <w:snapToGrid w:val="0"/>
                      <w:color w:val="auto"/>
                      <w:spacing w:val="0"/>
                      <w:sz w:val="21"/>
                      <w:szCs w:val="21"/>
                    </w:rPr>
                    <w:t>表</w:t>
                  </w:r>
                  <w:r>
                    <w:rPr>
                      <w:rFonts w:ascii="Times New Roman" w:hAnsi="Times New Roman" w:eastAsia="Times New Roman" w:cs="Times New Roman"/>
                      <w:snapToGrid w:val="0"/>
                      <w:color w:val="auto"/>
                      <w:spacing w:val="0"/>
                      <w:sz w:val="21"/>
                      <w:szCs w:val="21"/>
                    </w:rPr>
                    <w:t>2</w:t>
                  </w:r>
                </w:p>
              </w:tc>
              <w:tc>
                <w:tcPr>
                  <w:tcW w:w="720" w:type="pct"/>
                  <w:tcBorders>
                    <w:top w:val="single" w:color="auto" w:sz="4" w:space="0"/>
                  </w:tcBorders>
                  <w:vAlign w:val="center"/>
                </w:tcPr>
                <w:p w14:paraId="7C58F2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ascii="Times New Roman" w:hAnsi="Times New Roman" w:eastAsia="Times New Roman" w:cs="Times New Roman"/>
                      <w:color w:val="auto"/>
                      <w:sz w:val="21"/>
                      <w:szCs w:val="21"/>
                    </w:rPr>
                  </w:pPr>
                  <w:r>
                    <w:rPr>
                      <w:rFonts w:hint="eastAsia" w:eastAsia="宋体" w:cs="Times New Roman"/>
                      <w:color w:val="auto"/>
                      <w:spacing w:val="3"/>
                      <w:position w:val="1"/>
                      <w:sz w:val="21"/>
                      <w:szCs w:val="21"/>
                      <w:lang w:val="en-US" w:eastAsia="zh-CN"/>
                    </w:rPr>
                    <w:t>非甲烷总烃</w:t>
                  </w:r>
                </w:p>
              </w:tc>
              <w:tc>
                <w:tcPr>
                  <w:tcW w:w="766" w:type="pct"/>
                  <w:vAlign w:val="center"/>
                </w:tcPr>
                <w:p w14:paraId="1D993E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ascii="Times New Roman" w:hAnsi="Times New Roman" w:eastAsia="Times New Roman" w:cs="Times New Roman"/>
                      <w:color w:val="auto"/>
                      <w:sz w:val="21"/>
                      <w:szCs w:val="21"/>
                    </w:rPr>
                  </w:pPr>
                  <w:r>
                    <w:rPr>
                      <w:rFonts w:hint="eastAsia" w:eastAsia="宋体" w:cs="Times New Roman"/>
                      <w:color w:val="auto"/>
                      <w:spacing w:val="-3"/>
                      <w:sz w:val="21"/>
                      <w:szCs w:val="21"/>
                      <w:lang w:val="en-US" w:eastAsia="zh-CN"/>
                    </w:rPr>
                    <w:t>120</w:t>
                  </w:r>
                </w:p>
              </w:tc>
              <w:tc>
                <w:tcPr>
                  <w:tcW w:w="863" w:type="pct"/>
                  <w:vAlign w:val="center"/>
                </w:tcPr>
                <w:p w14:paraId="0EB05E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eastAsia" w:cs="Times New Roman"/>
                      <w:color w:val="auto"/>
                      <w:spacing w:val="-3"/>
                      <w:sz w:val="21"/>
                      <w:szCs w:val="21"/>
                      <w:lang w:val="en-US" w:eastAsia="zh-CN"/>
                    </w:rPr>
                    <w:t>10</w:t>
                  </w:r>
                </w:p>
              </w:tc>
              <w:tc>
                <w:tcPr>
                  <w:tcW w:w="1073" w:type="pct"/>
                  <w:vAlign w:val="center"/>
                </w:tcPr>
                <w:p w14:paraId="5C06AA7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4.0</w:t>
                  </w:r>
                </w:p>
              </w:tc>
            </w:tr>
            <w:tr w14:paraId="2D759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trPr>
              <w:tc>
                <w:tcPr>
                  <w:tcW w:w="1133" w:type="pct"/>
                  <w:vMerge w:val="continue"/>
                  <w:vAlign w:val="center"/>
                </w:tcPr>
                <w:p w14:paraId="5F782D3A">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color w:val="auto"/>
                      <w:spacing w:val="8"/>
                      <w:sz w:val="21"/>
                      <w:szCs w:val="21"/>
                    </w:rPr>
                  </w:pPr>
                </w:p>
              </w:tc>
              <w:tc>
                <w:tcPr>
                  <w:tcW w:w="442" w:type="pct"/>
                  <w:vMerge w:val="continue"/>
                  <w:vAlign w:val="center"/>
                </w:tcPr>
                <w:p w14:paraId="1E91C155">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snapToGrid w:val="0"/>
                      <w:color w:val="auto"/>
                      <w:spacing w:val="0"/>
                      <w:sz w:val="21"/>
                      <w:szCs w:val="21"/>
                    </w:rPr>
                  </w:pPr>
                </w:p>
              </w:tc>
              <w:tc>
                <w:tcPr>
                  <w:tcW w:w="720" w:type="pct"/>
                  <w:vAlign w:val="center"/>
                </w:tcPr>
                <w:p w14:paraId="2D0DFA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3"/>
                      <w:position w:val="1"/>
                      <w:sz w:val="21"/>
                      <w:szCs w:val="21"/>
                      <w:lang w:val="en-US" w:eastAsia="zh-CN"/>
                    </w:rPr>
                  </w:pPr>
                  <w:r>
                    <w:rPr>
                      <w:rFonts w:hint="eastAsia" w:eastAsia="宋体" w:cs="Times New Roman"/>
                      <w:color w:val="auto"/>
                      <w:spacing w:val="3"/>
                      <w:position w:val="1"/>
                      <w:sz w:val="21"/>
                      <w:szCs w:val="21"/>
                      <w:lang w:val="en-US" w:eastAsia="zh-CN"/>
                    </w:rPr>
                    <w:t>颗粒物</w:t>
                  </w:r>
                </w:p>
              </w:tc>
              <w:tc>
                <w:tcPr>
                  <w:tcW w:w="766" w:type="pct"/>
                  <w:vAlign w:val="center"/>
                </w:tcPr>
                <w:p w14:paraId="225106DD">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eastAsia" w:cs="Times New Roman"/>
                      <w:color w:val="auto"/>
                      <w:spacing w:val="-3"/>
                      <w:sz w:val="21"/>
                      <w:szCs w:val="21"/>
                      <w:lang w:val="en-US" w:eastAsia="zh-CN"/>
                    </w:rPr>
                    <w:t>/</w:t>
                  </w:r>
                </w:p>
              </w:tc>
              <w:tc>
                <w:tcPr>
                  <w:tcW w:w="863" w:type="pct"/>
                  <w:vAlign w:val="center"/>
                </w:tcPr>
                <w:p w14:paraId="2F4DD1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cs="Times New Roman"/>
                      <w:color w:val="auto"/>
                      <w:spacing w:val="-3"/>
                      <w:sz w:val="21"/>
                      <w:szCs w:val="21"/>
                      <w:lang w:val="en-US" w:eastAsia="zh-CN"/>
                    </w:rPr>
                  </w:pPr>
                  <w:r>
                    <w:rPr>
                      <w:rFonts w:hint="eastAsia" w:eastAsia="宋体" w:cs="Times New Roman"/>
                      <w:color w:val="auto"/>
                      <w:sz w:val="21"/>
                      <w:szCs w:val="21"/>
                      <w:lang w:val="en-US" w:eastAsia="zh-CN"/>
                    </w:rPr>
                    <w:t>/</w:t>
                  </w:r>
                </w:p>
              </w:tc>
              <w:tc>
                <w:tcPr>
                  <w:tcW w:w="1073" w:type="pct"/>
                  <w:vAlign w:val="center"/>
                </w:tcPr>
                <w:p w14:paraId="4CCE13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w:t>
                  </w:r>
                </w:p>
              </w:tc>
            </w:tr>
          </w:tbl>
          <w:p w14:paraId="1F11183C">
            <w:pPr>
              <w:pStyle w:val="8"/>
              <w:spacing w:after="120"/>
              <w:rPr>
                <w:color w:val="auto"/>
              </w:rPr>
            </w:pPr>
            <w:r>
              <w:rPr>
                <w:rFonts w:hint="eastAsia"/>
                <w:color w:val="auto"/>
              </w:rPr>
              <w:t>二、废水</w:t>
            </w:r>
          </w:p>
          <w:p w14:paraId="230EC09E">
            <w:pPr>
              <w:ind w:firstLine="480"/>
              <w:rPr>
                <w:color w:val="auto"/>
              </w:rPr>
            </w:pPr>
            <w:r>
              <w:rPr>
                <w:rFonts w:hint="eastAsia"/>
                <w:color w:val="auto"/>
              </w:rPr>
              <w:t>本项目</w:t>
            </w:r>
            <w:r>
              <w:rPr>
                <w:rFonts w:hint="eastAsia"/>
                <w:color w:val="auto"/>
                <w:lang w:val="en-US" w:eastAsia="zh-CN"/>
              </w:rPr>
              <w:t>生产废水不排放，生活污水经化粪池处理后排至园区污水处理厂，</w:t>
            </w:r>
            <w:r>
              <w:rPr>
                <w:rFonts w:hint="eastAsia"/>
                <w:color w:val="auto"/>
              </w:rPr>
              <w:t>执行《污水综合排放标准》（GB8978-1996）三级标准，详见表3-6。</w:t>
            </w:r>
          </w:p>
          <w:p w14:paraId="10752D6D">
            <w:pPr>
              <w:pStyle w:val="42"/>
              <w:numPr>
                <w:ilvl w:val="3"/>
                <w:numId w:val="0"/>
              </w:numPr>
              <w:ind w:left="0" w:leftChars="0" w:firstLine="0" w:firstLineChars="0"/>
              <w:rPr>
                <w:color w:val="auto"/>
              </w:rPr>
            </w:pPr>
            <w:r>
              <w:rPr>
                <w:rFonts w:hint="eastAsia" w:ascii="Times New Roman" w:hAnsi="Times New Roman" w:eastAsia="黑体" w:cs="Times New Roman"/>
                <w:color w:val="auto"/>
                <w:kern w:val="2"/>
                <w:sz w:val="24"/>
                <w:szCs w:val="24"/>
                <w:lang w:val="en-US" w:eastAsia="zh-CN" w:bidi="ar-SA"/>
              </w:rPr>
              <w:t xml:space="preserve">表3-6 </w:t>
            </w:r>
            <w:r>
              <w:rPr>
                <w:rFonts w:hint="eastAsia" w:cs="Times New Roman"/>
                <w:color w:val="auto"/>
                <w:kern w:val="2"/>
                <w:sz w:val="24"/>
                <w:szCs w:val="24"/>
                <w:lang w:val="en-US" w:eastAsia="zh-CN" w:bidi="ar-SA"/>
              </w:rPr>
              <w:t xml:space="preserve"> </w:t>
            </w:r>
            <w:r>
              <w:rPr>
                <w:rFonts w:hint="eastAsia"/>
                <w:color w:val="auto"/>
                <w:sz w:val="24"/>
                <w:szCs w:val="24"/>
              </w:rPr>
              <w:t>项目废水排放标准限值表</w:t>
            </w:r>
          </w:p>
          <w:tbl>
            <w:tblPr>
              <w:tblStyle w:val="24"/>
              <w:tblW w:w="4998" w:type="pct"/>
              <w:tblInd w:w="-5" w:type="dxa"/>
              <w:tblBorders>
                <w:top w:val="single" w:color="auto" w:sz="8" w:space="0"/>
                <w:left w:val="single" w:color="auto" w:sz="4"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1504"/>
              <w:gridCol w:w="1318"/>
              <w:gridCol w:w="1509"/>
              <w:gridCol w:w="1828"/>
            </w:tblGrid>
            <w:tr w14:paraId="09DE0B44">
              <w:tblPrEx>
                <w:tblBorders>
                  <w:top w:val="single" w:color="auto" w:sz="8" w:space="0"/>
                  <w:left w:val="single" w:color="auto" w:sz="4"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pct"/>
                  <w:vAlign w:val="center"/>
                </w:tcPr>
                <w:p w14:paraId="133040BA">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887" w:type="pct"/>
                  <w:vAlign w:val="center"/>
                </w:tcPr>
                <w:p w14:paraId="4F314FDD">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777" w:type="pct"/>
                  <w:vAlign w:val="center"/>
                </w:tcPr>
                <w:p w14:paraId="78FDABB1">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890" w:type="pct"/>
                  <w:vAlign w:val="center"/>
                </w:tcPr>
                <w:p w14:paraId="7CA14149">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077" w:type="pct"/>
                  <w:tcBorders>
                    <w:right w:val="single" w:color="auto" w:sz="4" w:space="0"/>
                  </w:tcBorders>
                  <w:vAlign w:val="center"/>
                </w:tcPr>
                <w:p w14:paraId="204584D2">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r>
            <w:tr w14:paraId="276B8761">
              <w:tblPrEx>
                <w:tblBorders>
                  <w:top w:val="single" w:color="auto" w:sz="8" w:space="0"/>
                  <w:left w:val="single" w:color="auto" w:sz="4"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pct"/>
                  <w:vAlign w:val="center"/>
                </w:tcPr>
                <w:p w14:paraId="704A434E">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标准限值（mg/L）</w:t>
                  </w:r>
                </w:p>
              </w:tc>
              <w:tc>
                <w:tcPr>
                  <w:tcW w:w="887" w:type="pct"/>
                  <w:vAlign w:val="center"/>
                </w:tcPr>
                <w:p w14:paraId="1490CEE8">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777" w:type="pct"/>
                  <w:vAlign w:val="center"/>
                </w:tcPr>
                <w:p w14:paraId="48E8DEBE">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890" w:type="pct"/>
                  <w:vAlign w:val="center"/>
                </w:tcPr>
                <w:p w14:paraId="0D9788DC">
                  <w:pPr>
                    <w:pStyle w:val="4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1077" w:type="pct"/>
                  <w:tcBorders>
                    <w:right w:val="single" w:color="auto" w:sz="4" w:space="0"/>
                  </w:tcBorders>
                  <w:vAlign w:val="center"/>
                </w:tcPr>
                <w:p w14:paraId="2B088156">
                  <w:pPr>
                    <w:pStyle w:val="4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14:paraId="236AFBD9">
              <w:tblPrEx>
                <w:tblBorders>
                  <w:top w:val="single" w:color="auto" w:sz="8" w:space="0"/>
                  <w:left w:val="single" w:color="auto" w:sz="4"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7" w:type="pct"/>
                  <w:vAlign w:val="center"/>
                </w:tcPr>
                <w:p w14:paraId="2024E5C6">
                  <w:pPr>
                    <w:pStyle w:val="4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标准名称</w:t>
                  </w:r>
                </w:p>
              </w:tc>
              <w:tc>
                <w:tcPr>
                  <w:tcW w:w="3632" w:type="pct"/>
                  <w:gridSpan w:val="4"/>
                  <w:tcBorders>
                    <w:right w:val="single" w:color="auto" w:sz="4" w:space="0"/>
                  </w:tcBorders>
                  <w:vAlign w:val="center"/>
                </w:tcPr>
                <w:p w14:paraId="446ED867">
                  <w:pPr>
                    <w:pStyle w:val="4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《污水综合排放标准》（GB8978-1996）三级标准</w:t>
                  </w:r>
                </w:p>
              </w:tc>
            </w:tr>
          </w:tbl>
          <w:p w14:paraId="5E19599C">
            <w:pPr>
              <w:pStyle w:val="57"/>
              <w:rPr>
                <w:color w:val="auto"/>
              </w:rPr>
            </w:pPr>
          </w:p>
          <w:p w14:paraId="1AA9327C">
            <w:pPr>
              <w:pStyle w:val="8"/>
              <w:spacing w:after="120"/>
              <w:rPr>
                <w:color w:val="auto"/>
              </w:rPr>
            </w:pPr>
            <w:r>
              <w:rPr>
                <w:rFonts w:hint="eastAsia"/>
                <w:color w:val="auto"/>
              </w:rPr>
              <w:t>三、噪声</w:t>
            </w:r>
          </w:p>
          <w:p w14:paraId="6D7F4975">
            <w:pPr>
              <w:pStyle w:val="9"/>
              <w:spacing w:after="120"/>
              <w:ind w:firstLine="482"/>
              <w:rPr>
                <w:color w:val="auto"/>
              </w:rPr>
            </w:pPr>
            <w:r>
              <w:rPr>
                <w:rFonts w:hint="eastAsia"/>
                <w:color w:val="auto"/>
              </w:rPr>
              <w:t>1.施工期</w:t>
            </w:r>
          </w:p>
          <w:p w14:paraId="795EF175">
            <w:pPr>
              <w:ind w:firstLine="480"/>
              <w:rPr>
                <w:color w:val="auto"/>
              </w:rPr>
            </w:pPr>
            <w:r>
              <w:rPr>
                <w:rFonts w:hint="eastAsia"/>
                <w:color w:val="auto"/>
              </w:rPr>
              <w:t>施工期噪声执行《建筑施工场界环境噪声排放标准》（GB12523-2011）中有关规定，详见表3</w:t>
            </w:r>
            <w:r>
              <w:rPr>
                <w:color w:val="auto"/>
              </w:rPr>
              <w:t>-</w:t>
            </w:r>
            <w:r>
              <w:rPr>
                <w:rFonts w:hint="eastAsia"/>
                <w:color w:val="auto"/>
              </w:rPr>
              <w:t>7</w:t>
            </w:r>
            <w:r>
              <w:rPr>
                <w:color w:val="auto"/>
              </w:rPr>
              <w:t>。</w:t>
            </w:r>
          </w:p>
          <w:p w14:paraId="745A287B">
            <w:pPr>
              <w:pStyle w:val="42"/>
              <w:numPr>
                <w:ilvl w:val="3"/>
                <w:numId w:val="0"/>
              </w:numPr>
              <w:ind w:left="0" w:leftChars="0" w:firstLine="0" w:firstLineChars="0"/>
              <w:rPr>
                <w:color w:val="auto"/>
                <w:sz w:val="24"/>
                <w:szCs w:val="24"/>
              </w:rPr>
            </w:pPr>
            <w:r>
              <w:rPr>
                <w:rFonts w:hint="eastAsia" w:ascii="Times New Roman" w:hAnsi="Times New Roman" w:eastAsia="黑体" w:cs="Times New Roman"/>
                <w:color w:val="auto"/>
                <w:kern w:val="2"/>
                <w:sz w:val="24"/>
                <w:szCs w:val="24"/>
                <w:lang w:val="en-US" w:eastAsia="zh-CN" w:bidi="ar-SA"/>
              </w:rPr>
              <w:t xml:space="preserve">表3-7 </w:t>
            </w:r>
            <w:r>
              <w:rPr>
                <w:rFonts w:hint="eastAsia" w:cs="Times New Roman"/>
                <w:color w:val="auto"/>
                <w:kern w:val="2"/>
                <w:sz w:val="24"/>
                <w:szCs w:val="24"/>
                <w:lang w:val="en-US" w:eastAsia="zh-CN" w:bidi="ar-SA"/>
              </w:rPr>
              <w:t xml:space="preserve"> </w:t>
            </w:r>
            <w:r>
              <w:rPr>
                <w:rFonts w:hint="eastAsia"/>
                <w:color w:val="auto"/>
                <w:sz w:val="24"/>
                <w:szCs w:val="24"/>
              </w:rPr>
              <w:t>施工期执行噪声标准</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4"/>
              <w:gridCol w:w="1415"/>
              <w:gridCol w:w="963"/>
              <w:gridCol w:w="963"/>
            </w:tblGrid>
            <w:tr w14:paraId="2DB9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3029" w:type="pct"/>
                  <w:vMerge w:val="restart"/>
                  <w:vAlign w:val="center"/>
                </w:tcPr>
                <w:p w14:paraId="3DE1D041">
                  <w:pPr>
                    <w:pStyle w:val="39"/>
                    <w:rPr>
                      <w:color w:val="auto"/>
                      <w:sz w:val="21"/>
                      <w:szCs w:val="21"/>
                    </w:rPr>
                  </w:pPr>
                  <w:r>
                    <w:rPr>
                      <w:rFonts w:hint="eastAsia"/>
                      <w:color w:val="auto"/>
                      <w:sz w:val="21"/>
                      <w:szCs w:val="21"/>
                    </w:rPr>
                    <w:t>执行标准</w:t>
                  </w:r>
                </w:p>
              </w:tc>
              <w:tc>
                <w:tcPr>
                  <w:tcW w:w="835" w:type="pct"/>
                  <w:vMerge w:val="restart"/>
                  <w:vAlign w:val="center"/>
                </w:tcPr>
                <w:p w14:paraId="5C0365A8">
                  <w:pPr>
                    <w:pStyle w:val="39"/>
                    <w:rPr>
                      <w:color w:val="auto"/>
                      <w:sz w:val="21"/>
                      <w:szCs w:val="21"/>
                    </w:rPr>
                  </w:pPr>
                  <w:r>
                    <w:rPr>
                      <w:rFonts w:hint="eastAsia"/>
                      <w:color w:val="auto"/>
                      <w:sz w:val="21"/>
                      <w:szCs w:val="21"/>
                    </w:rPr>
                    <w:t>级别</w:t>
                  </w:r>
                </w:p>
              </w:tc>
              <w:tc>
                <w:tcPr>
                  <w:tcW w:w="1137" w:type="pct"/>
                  <w:gridSpan w:val="2"/>
                  <w:vAlign w:val="center"/>
                </w:tcPr>
                <w:p w14:paraId="51329331">
                  <w:pPr>
                    <w:pStyle w:val="39"/>
                    <w:rPr>
                      <w:color w:val="auto"/>
                      <w:sz w:val="21"/>
                      <w:szCs w:val="21"/>
                    </w:rPr>
                  </w:pPr>
                  <w:r>
                    <w:rPr>
                      <w:rFonts w:hint="eastAsia"/>
                      <w:color w:val="auto"/>
                      <w:sz w:val="21"/>
                      <w:szCs w:val="21"/>
                    </w:rPr>
                    <w:t>时段</w:t>
                  </w:r>
                </w:p>
              </w:tc>
            </w:tr>
            <w:tr w14:paraId="5EC4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029" w:type="pct"/>
                  <w:vMerge w:val="continue"/>
                  <w:vAlign w:val="center"/>
                </w:tcPr>
                <w:p w14:paraId="45501A56">
                  <w:pPr>
                    <w:pStyle w:val="39"/>
                    <w:rPr>
                      <w:color w:val="auto"/>
                      <w:sz w:val="21"/>
                      <w:szCs w:val="21"/>
                    </w:rPr>
                  </w:pPr>
                </w:p>
              </w:tc>
              <w:tc>
                <w:tcPr>
                  <w:tcW w:w="835" w:type="pct"/>
                  <w:vMerge w:val="continue"/>
                  <w:vAlign w:val="center"/>
                </w:tcPr>
                <w:p w14:paraId="2809ED8B">
                  <w:pPr>
                    <w:pStyle w:val="39"/>
                    <w:rPr>
                      <w:color w:val="auto"/>
                      <w:sz w:val="21"/>
                      <w:szCs w:val="21"/>
                    </w:rPr>
                  </w:pPr>
                </w:p>
              </w:tc>
              <w:tc>
                <w:tcPr>
                  <w:tcW w:w="568" w:type="pct"/>
                  <w:vAlign w:val="center"/>
                </w:tcPr>
                <w:p w14:paraId="46F27B27">
                  <w:pPr>
                    <w:pStyle w:val="39"/>
                    <w:rPr>
                      <w:color w:val="auto"/>
                      <w:sz w:val="21"/>
                      <w:szCs w:val="21"/>
                    </w:rPr>
                  </w:pPr>
                  <w:r>
                    <w:rPr>
                      <w:rFonts w:hint="eastAsia"/>
                      <w:color w:val="auto"/>
                      <w:sz w:val="21"/>
                      <w:szCs w:val="21"/>
                    </w:rPr>
                    <w:t>昼间</w:t>
                  </w:r>
                </w:p>
              </w:tc>
              <w:tc>
                <w:tcPr>
                  <w:tcW w:w="568" w:type="pct"/>
                  <w:vAlign w:val="center"/>
                </w:tcPr>
                <w:p w14:paraId="67D5267E">
                  <w:pPr>
                    <w:pStyle w:val="39"/>
                    <w:rPr>
                      <w:color w:val="auto"/>
                      <w:sz w:val="21"/>
                      <w:szCs w:val="21"/>
                    </w:rPr>
                  </w:pPr>
                  <w:r>
                    <w:rPr>
                      <w:rFonts w:hint="eastAsia"/>
                      <w:color w:val="auto"/>
                      <w:sz w:val="21"/>
                      <w:szCs w:val="21"/>
                    </w:rPr>
                    <w:t>夜间</w:t>
                  </w:r>
                </w:p>
              </w:tc>
            </w:tr>
            <w:tr w14:paraId="2C54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9" w:type="pct"/>
                  <w:vAlign w:val="center"/>
                </w:tcPr>
                <w:p w14:paraId="7B9011FC">
                  <w:pPr>
                    <w:pStyle w:val="39"/>
                    <w:rPr>
                      <w:color w:val="auto"/>
                      <w:sz w:val="21"/>
                      <w:szCs w:val="21"/>
                    </w:rPr>
                  </w:pPr>
                  <w:r>
                    <w:rPr>
                      <w:rFonts w:hint="eastAsia"/>
                      <w:color w:val="auto"/>
                      <w:sz w:val="21"/>
                      <w:szCs w:val="21"/>
                    </w:rPr>
                    <w:t>《建筑施工场界环境噪声排放标准》（GB12523-2011）</w:t>
                  </w:r>
                </w:p>
              </w:tc>
              <w:tc>
                <w:tcPr>
                  <w:tcW w:w="835" w:type="pct"/>
                  <w:vAlign w:val="center"/>
                </w:tcPr>
                <w:p w14:paraId="4273F9FB">
                  <w:pPr>
                    <w:pStyle w:val="39"/>
                    <w:rPr>
                      <w:color w:val="auto"/>
                      <w:sz w:val="21"/>
                      <w:szCs w:val="21"/>
                    </w:rPr>
                  </w:pPr>
                  <w:r>
                    <w:rPr>
                      <w:rFonts w:hint="eastAsia"/>
                      <w:color w:val="auto"/>
                      <w:sz w:val="21"/>
                      <w:szCs w:val="21"/>
                    </w:rPr>
                    <w:t>/</w:t>
                  </w:r>
                </w:p>
              </w:tc>
              <w:tc>
                <w:tcPr>
                  <w:tcW w:w="568" w:type="pct"/>
                  <w:vAlign w:val="center"/>
                </w:tcPr>
                <w:p w14:paraId="7AF5E832">
                  <w:pPr>
                    <w:pStyle w:val="39"/>
                    <w:rPr>
                      <w:color w:val="auto"/>
                      <w:sz w:val="21"/>
                      <w:szCs w:val="21"/>
                    </w:rPr>
                  </w:pPr>
                  <w:r>
                    <w:rPr>
                      <w:rFonts w:hint="eastAsia"/>
                      <w:color w:val="auto"/>
                      <w:sz w:val="21"/>
                      <w:szCs w:val="21"/>
                    </w:rPr>
                    <w:t>7</w:t>
                  </w:r>
                  <w:r>
                    <w:rPr>
                      <w:color w:val="auto"/>
                      <w:sz w:val="21"/>
                      <w:szCs w:val="21"/>
                    </w:rPr>
                    <w:t>0</w:t>
                  </w:r>
                </w:p>
              </w:tc>
              <w:tc>
                <w:tcPr>
                  <w:tcW w:w="568" w:type="pct"/>
                  <w:vAlign w:val="center"/>
                </w:tcPr>
                <w:p w14:paraId="725649DE">
                  <w:pPr>
                    <w:pStyle w:val="39"/>
                    <w:rPr>
                      <w:color w:val="auto"/>
                      <w:sz w:val="21"/>
                      <w:szCs w:val="21"/>
                    </w:rPr>
                  </w:pPr>
                  <w:r>
                    <w:rPr>
                      <w:rFonts w:hint="eastAsia"/>
                      <w:color w:val="auto"/>
                      <w:sz w:val="21"/>
                      <w:szCs w:val="21"/>
                    </w:rPr>
                    <w:t>5</w:t>
                  </w:r>
                  <w:r>
                    <w:rPr>
                      <w:color w:val="auto"/>
                      <w:sz w:val="21"/>
                      <w:szCs w:val="21"/>
                    </w:rPr>
                    <w:t>5</w:t>
                  </w:r>
                </w:p>
              </w:tc>
            </w:tr>
          </w:tbl>
          <w:p w14:paraId="41C2D57E">
            <w:pPr>
              <w:pStyle w:val="9"/>
              <w:spacing w:after="120"/>
              <w:ind w:firstLine="482"/>
              <w:rPr>
                <w:color w:val="auto"/>
              </w:rPr>
            </w:pPr>
            <w:r>
              <w:rPr>
                <w:rFonts w:hint="eastAsia"/>
                <w:color w:val="auto"/>
              </w:rPr>
              <w:t>2.运营期</w:t>
            </w:r>
          </w:p>
          <w:p w14:paraId="66DEB2FD">
            <w:pPr>
              <w:ind w:firstLine="480"/>
              <w:rPr>
                <w:color w:val="auto"/>
              </w:rPr>
            </w:pPr>
            <w:r>
              <w:rPr>
                <w:rFonts w:hint="eastAsia"/>
                <w:color w:val="auto"/>
                <w:highlight w:val="none"/>
              </w:rPr>
              <w:t>运营期厂界环境噪声执行《工业企业厂界环境噪声排放标准》（GB12348-2008）中3类标准，详</w:t>
            </w:r>
            <w:r>
              <w:rPr>
                <w:rFonts w:hint="eastAsia"/>
                <w:color w:val="auto"/>
              </w:rPr>
              <w:t>见表3</w:t>
            </w:r>
            <w:r>
              <w:rPr>
                <w:color w:val="auto"/>
              </w:rPr>
              <w:t>-</w:t>
            </w:r>
            <w:r>
              <w:rPr>
                <w:rFonts w:hint="eastAsia"/>
                <w:color w:val="auto"/>
              </w:rPr>
              <w:t>8</w:t>
            </w:r>
            <w:r>
              <w:rPr>
                <w:color w:val="auto"/>
              </w:rPr>
              <w:t>。</w:t>
            </w:r>
          </w:p>
          <w:p w14:paraId="00A60032">
            <w:pPr>
              <w:pStyle w:val="42"/>
              <w:numPr>
                <w:ilvl w:val="3"/>
                <w:numId w:val="0"/>
              </w:numPr>
              <w:ind w:left="0" w:leftChars="0" w:firstLine="0" w:firstLineChars="0"/>
              <w:rPr>
                <w:color w:val="auto"/>
                <w:sz w:val="24"/>
                <w:szCs w:val="24"/>
              </w:rPr>
            </w:pPr>
            <w:r>
              <w:rPr>
                <w:rFonts w:hint="eastAsia" w:ascii="Times New Roman" w:hAnsi="Times New Roman" w:eastAsia="黑体" w:cs="Times New Roman"/>
                <w:color w:val="auto"/>
                <w:kern w:val="2"/>
                <w:sz w:val="24"/>
                <w:szCs w:val="24"/>
                <w:lang w:val="en-US" w:eastAsia="zh-CN" w:bidi="ar-SA"/>
              </w:rPr>
              <w:t xml:space="preserve">表3-8 </w:t>
            </w:r>
            <w:r>
              <w:rPr>
                <w:rFonts w:hint="eastAsia" w:cs="Times New Roman"/>
                <w:color w:val="auto"/>
                <w:kern w:val="2"/>
                <w:sz w:val="24"/>
                <w:szCs w:val="24"/>
                <w:lang w:val="en-US" w:eastAsia="zh-CN" w:bidi="ar-SA"/>
              </w:rPr>
              <w:t xml:space="preserve"> </w:t>
            </w:r>
            <w:r>
              <w:rPr>
                <w:rFonts w:hint="eastAsia"/>
                <w:color w:val="auto"/>
                <w:sz w:val="24"/>
                <w:szCs w:val="24"/>
              </w:rPr>
              <w:t>运营期噪声排放标准</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4"/>
              <w:gridCol w:w="1415"/>
              <w:gridCol w:w="963"/>
              <w:gridCol w:w="963"/>
            </w:tblGrid>
            <w:tr w14:paraId="7F59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029" w:type="pct"/>
                  <w:vMerge w:val="restart"/>
                  <w:vAlign w:val="center"/>
                </w:tcPr>
                <w:p w14:paraId="63EB548F">
                  <w:pPr>
                    <w:pStyle w:val="39"/>
                    <w:rPr>
                      <w:color w:val="auto"/>
                      <w:sz w:val="21"/>
                      <w:szCs w:val="21"/>
                    </w:rPr>
                  </w:pPr>
                  <w:r>
                    <w:rPr>
                      <w:rFonts w:hint="eastAsia"/>
                      <w:color w:val="auto"/>
                      <w:sz w:val="21"/>
                      <w:szCs w:val="21"/>
                    </w:rPr>
                    <w:t>执行标准</w:t>
                  </w:r>
                </w:p>
              </w:tc>
              <w:tc>
                <w:tcPr>
                  <w:tcW w:w="835" w:type="pct"/>
                  <w:vMerge w:val="restart"/>
                  <w:vAlign w:val="center"/>
                </w:tcPr>
                <w:p w14:paraId="33014747">
                  <w:pPr>
                    <w:pStyle w:val="39"/>
                    <w:rPr>
                      <w:color w:val="auto"/>
                      <w:sz w:val="21"/>
                      <w:szCs w:val="21"/>
                    </w:rPr>
                  </w:pPr>
                  <w:r>
                    <w:rPr>
                      <w:rFonts w:hint="eastAsia"/>
                      <w:color w:val="auto"/>
                      <w:sz w:val="21"/>
                      <w:szCs w:val="21"/>
                    </w:rPr>
                    <w:t>级别</w:t>
                  </w:r>
                </w:p>
              </w:tc>
              <w:tc>
                <w:tcPr>
                  <w:tcW w:w="1137" w:type="pct"/>
                  <w:gridSpan w:val="2"/>
                  <w:vAlign w:val="center"/>
                </w:tcPr>
                <w:p w14:paraId="7C720C9D">
                  <w:pPr>
                    <w:pStyle w:val="39"/>
                    <w:rPr>
                      <w:color w:val="auto"/>
                      <w:sz w:val="21"/>
                      <w:szCs w:val="21"/>
                    </w:rPr>
                  </w:pPr>
                  <w:r>
                    <w:rPr>
                      <w:rFonts w:hint="eastAsia"/>
                      <w:color w:val="auto"/>
                      <w:sz w:val="21"/>
                      <w:szCs w:val="21"/>
                    </w:rPr>
                    <w:t>时段</w:t>
                  </w:r>
                </w:p>
              </w:tc>
            </w:tr>
            <w:tr w14:paraId="2D07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029" w:type="pct"/>
                  <w:vMerge w:val="continue"/>
                  <w:vAlign w:val="center"/>
                </w:tcPr>
                <w:p w14:paraId="42687C61">
                  <w:pPr>
                    <w:pStyle w:val="39"/>
                    <w:rPr>
                      <w:color w:val="auto"/>
                      <w:sz w:val="21"/>
                      <w:szCs w:val="21"/>
                    </w:rPr>
                  </w:pPr>
                </w:p>
              </w:tc>
              <w:tc>
                <w:tcPr>
                  <w:tcW w:w="835" w:type="pct"/>
                  <w:vMerge w:val="continue"/>
                  <w:vAlign w:val="center"/>
                </w:tcPr>
                <w:p w14:paraId="716A132D">
                  <w:pPr>
                    <w:pStyle w:val="39"/>
                    <w:rPr>
                      <w:color w:val="auto"/>
                      <w:sz w:val="21"/>
                      <w:szCs w:val="21"/>
                    </w:rPr>
                  </w:pPr>
                </w:p>
              </w:tc>
              <w:tc>
                <w:tcPr>
                  <w:tcW w:w="568" w:type="pct"/>
                  <w:vAlign w:val="center"/>
                </w:tcPr>
                <w:p w14:paraId="40288481">
                  <w:pPr>
                    <w:pStyle w:val="39"/>
                    <w:rPr>
                      <w:color w:val="auto"/>
                      <w:sz w:val="21"/>
                      <w:szCs w:val="21"/>
                    </w:rPr>
                  </w:pPr>
                  <w:r>
                    <w:rPr>
                      <w:rFonts w:hint="eastAsia"/>
                      <w:color w:val="auto"/>
                      <w:sz w:val="21"/>
                      <w:szCs w:val="21"/>
                    </w:rPr>
                    <w:t>昼间</w:t>
                  </w:r>
                </w:p>
              </w:tc>
              <w:tc>
                <w:tcPr>
                  <w:tcW w:w="568" w:type="pct"/>
                  <w:vAlign w:val="center"/>
                </w:tcPr>
                <w:p w14:paraId="3CC3478D">
                  <w:pPr>
                    <w:pStyle w:val="39"/>
                    <w:rPr>
                      <w:color w:val="auto"/>
                      <w:sz w:val="21"/>
                      <w:szCs w:val="21"/>
                    </w:rPr>
                  </w:pPr>
                  <w:r>
                    <w:rPr>
                      <w:rFonts w:hint="eastAsia"/>
                      <w:color w:val="auto"/>
                      <w:sz w:val="21"/>
                      <w:szCs w:val="21"/>
                    </w:rPr>
                    <w:t>夜间</w:t>
                  </w:r>
                </w:p>
              </w:tc>
            </w:tr>
            <w:tr w14:paraId="53BB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9" w:type="pct"/>
                  <w:vAlign w:val="center"/>
                </w:tcPr>
                <w:p w14:paraId="05B2F063">
                  <w:pPr>
                    <w:pStyle w:val="39"/>
                    <w:rPr>
                      <w:color w:val="auto"/>
                      <w:sz w:val="21"/>
                      <w:szCs w:val="21"/>
                    </w:rPr>
                  </w:pPr>
                  <w:r>
                    <w:rPr>
                      <w:rFonts w:hint="eastAsia"/>
                      <w:color w:val="auto"/>
                      <w:sz w:val="21"/>
                      <w:szCs w:val="21"/>
                    </w:rPr>
                    <w:t>《工业企业厂界环境噪声排放标准》（GB12348-2008）</w:t>
                  </w:r>
                </w:p>
              </w:tc>
              <w:tc>
                <w:tcPr>
                  <w:tcW w:w="835" w:type="pct"/>
                  <w:vAlign w:val="center"/>
                </w:tcPr>
                <w:p w14:paraId="4AF37E53">
                  <w:pPr>
                    <w:pStyle w:val="39"/>
                    <w:rPr>
                      <w:color w:val="auto"/>
                      <w:sz w:val="21"/>
                      <w:szCs w:val="21"/>
                    </w:rPr>
                  </w:pPr>
                  <w:r>
                    <w:rPr>
                      <w:rFonts w:hint="eastAsia"/>
                      <w:color w:val="auto"/>
                      <w:sz w:val="21"/>
                      <w:szCs w:val="21"/>
                    </w:rPr>
                    <w:t>3类</w:t>
                  </w:r>
                </w:p>
              </w:tc>
              <w:tc>
                <w:tcPr>
                  <w:tcW w:w="568" w:type="pct"/>
                  <w:vAlign w:val="center"/>
                </w:tcPr>
                <w:p w14:paraId="1D72FC73">
                  <w:pPr>
                    <w:pStyle w:val="39"/>
                    <w:rPr>
                      <w:color w:val="auto"/>
                      <w:sz w:val="21"/>
                      <w:szCs w:val="21"/>
                    </w:rPr>
                  </w:pPr>
                  <w:r>
                    <w:rPr>
                      <w:rFonts w:hint="eastAsia"/>
                      <w:color w:val="auto"/>
                      <w:sz w:val="21"/>
                      <w:szCs w:val="21"/>
                    </w:rPr>
                    <w:t>65</w:t>
                  </w:r>
                </w:p>
              </w:tc>
              <w:tc>
                <w:tcPr>
                  <w:tcW w:w="568" w:type="pct"/>
                  <w:vAlign w:val="center"/>
                </w:tcPr>
                <w:p w14:paraId="73A12863">
                  <w:pPr>
                    <w:pStyle w:val="39"/>
                    <w:rPr>
                      <w:color w:val="auto"/>
                      <w:sz w:val="21"/>
                      <w:szCs w:val="21"/>
                    </w:rPr>
                  </w:pPr>
                  <w:r>
                    <w:rPr>
                      <w:rFonts w:hint="eastAsia"/>
                      <w:color w:val="auto"/>
                      <w:sz w:val="21"/>
                      <w:szCs w:val="21"/>
                    </w:rPr>
                    <w:t>55</w:t>
                  </w:r>
                </w:p>
              </w:tc>
            </w:tr>
          </w:tbl>
          <w:p w14:paraId="0DC01DD6">
            <w:pPr>
              <w:ind w:firstLine="480"/>
              <w:rPr>
                <w:color w:val="auto"/>
                <w:sz w:val="21"/>
                <w:szCs w:val="21"/>
              </w:rPr>
            </w:pPr>
          </w:p>
        </w:tc>
      </w:tr>
      <w:tr w14:paraId="1BD64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26" w:hRule="atLeast"/>
          <w:jc w:val="center"/>
        </w:trPr>
        <w:tc>
          <w:tcPr>
            <w:tcW w:w="427" w:type="pct"/>
            <w:tcBorders>
              <w:top w:val="single" w:color="auto" w:sz="4" w:space="0"/>
              <w:left w:val="single" w:color="auto" w:sz="8" w:space="0"/>
              <w:bottom w:val="single" w:color="auto" w:sz="8" w:space="0"/>
              <w:right w:val="single" w:color="auto" w:sz="4" w:space="0"/>
            </w:tcBorders>
            <w:vAlign w:val="center"/>
          </w:tcPr>
          <w:p w14:paraId="1E1CAA38">
            <w:pPr>
              <w:adjustRightInd w:val="0"/>
              <w:snapToGrid w:val="0"/>
              <w:ind w:firstLine="0" w:firstLineChars="0"/>
              <w:jc w:val="center"/>
              <w:rPr>
                <w:b/>
                <w:color w:val="auto"/>
                <w:kern w:val="0"/>
              </w:rPr>
            </w:pPr>
            <w:r>
              <w:rPr>
                <w:rFonts w:ascii="宋体" w:hAnsi="宋体"/>
                <w:b/>
                <w:color w:val="auto"/>
                <w:kern w:val="0"/>
              </w:rPr>
              <w:t>总量控制指标</w:t>
            </w:r>
          </w:p>
        </w:tc>
        <w:tc>
          <w:tcPr>
            <w:tcW w:w="4572" w:type="pct"/>
            <w:tcBorders>
              <w:top w:val="single" w:color="auto" w:sz="4" w:space="0"/>
              <w:left w:val="single" w:color="auto" w:sz="4" w:space="0"/>
              <w:bottom w:val="single" w:color="auto" w:sz="8" w:space="0"/>
              <w:right w:val="single" w:color="auto" w:sz="8" w:space="0"/>
            </w:tcBorders>
            <w:vAlign w:val="center"/>
          </w:tcPr>
          <w:p w14:paraId="122A1BB8">
            <w:pPr>
              <w:ind w:firstLine="480"/>
              <w:rPr>
                <w:color w:val="auto"/>
              </w:rPr>
            </w:pPr>
            <w:r>
              <w:rPr>
                <w:rFonts w:hint="eastAsia"/>
                <w:color w:val="auto"/>
                <w:lang w:eastAsia="zh-CN"/>
              </w:rPr>
              <w:t>结合国家“十四五”污染物总量控制要求及陕西省排污权交易有关规定</w:t>
            </w:r>
            <w:r>
              <w:rPr>
                <w:rFonts w:hint="eastAsia"/>
                <w:color w:val="auto"/>
              </w:rPr>
              <w:t>，</w:t>
            </w:r>
            <w:r>
              <w:rPr>
                <w:rFonts w:hint="eastAsia"/>
                <w:color w:val="auto"/>
              </w:rPr>
              <w:t>对COD、氨氮、VOC</w:t>
            </w:r>
            <w:r>
              <w:rPr>
                <w:rFonts w:hint="eastAsia"/>
                <w:color w:val="auto"/>
                <w:vertAlign w:val="subscript"/>
              </w:rPr>
              <w:t>S</w:t>
            </w:r>
            <w:r>
              <w:rPr>
                <w:rFonts w:hint="eastAsia"/>
                <w:color w:val="auto"/>
              </w:rPr>
              <w:t>、NO</w:t>
            </w:r>
            <w:r>
              <w:rPr>
                <w:rFonts w:hint="eastAsia"/>
                <w:color w:val="auto"/>
                <w:vertAlign w:val="subscript"/>
              </w:rPr>
              <w:t>X</w:t>
            </w:r>
            <w:r>
              <w:rPr>
                <w:rFonts w:hint="eastAsia"/>
                <w:color w:val="auto"/>
                <w:vertAlign w:val="baseline"/>
                <w:lang w:eastAsia="zh-CN"/>
              </w:rPr>
              <w:t>、</w:t>
            </w:r>
            <w:r>
              <w:rPr>
                <w:rFonts w:hint="eastAsia"/>
                <w:color w:val="auto"/>
                <w:vertAlign w:val="baseline"/>
                <w:lang w:val="en-US" w:eastAsia="zh-CN"/>
              </w:rPr>
              <w:t>SO</w:t>
            </w:r>
            <w:r>
              <w:rPr>
                <w:rFonts w:hint="eastAsia"/>
                <w:color w:val="auto"/>
                <w:vertAlign w:val="subscript"/>
                <w:lang w:val="en-US" w:eastAsia="zh-CN"/>
              </w:rPr>
              <w:t>2</w:t>
            </w:r>
            <w:r>
              <w:rPr>
                <w:rFonts w:hint="eastAsia"/>
                <w:color w:val="auto"/>
              </w:rPr>
              <w:t>这</w:t>
            </w:r>
            <w:r>
              <w:rPr>
                <w:rFonts w:hint="eastAsia"/>
                <w:color w:val="auto"/>
                <w:lang w:val="en-US" w:eastAsia="zh-CN"/>
              </w:rPr>
              <w:t>5</w:t>
            </w:r>
            <w:r>
              <w:rPr>
                <w:rFonts w:hint="eastAsia"/>
                <w:color w:val="auto"/>
              </w:rPr>
              <w:t>种污染物实行排放总量控制。</w:t>
            </w:r>
          </w:p>
          <w:p w14:paraId="2886D7A0">
            <w:pPr>
              <w:ind w:firstLine="480"/>
              <w:rPr>
                <w:color w:val="auto"/>
              </w:rPr>
            </w:pPr>
            <w:r>
              <w:rPr>
                <w:rFonts w:hint="eastAsia"/>
                <w:color w:val="auto"/>
                <w:highlight w:val="none"/>
              </w:rPr>
              <w:t>结合项目实际，大气污染物总量控制指标为</w:t>
            </w:r>
            <w:r>
              <w:rPr>
                <w:rFonts w:hint="eastAsia"/>
                <w:color w:val="auto"/>
                <w:vertAlign w:val="baseline"/>
                <w:lang w:val="en-US" w:eastAsia="zh-CN"/>
              </w:rPr>
              <w:t>SO</w:t>
            </w:r>
            <w:r>
              <w:rPr>
                <w:rFonts w:hint="eastAsia"/>
                <w:color w:val="auto"/>
                <w:vertAlign w:val="subscript"/>
                <w:lang w:val="en-US" w:eastAsia="zh-CN"/>
              </w:rPr>
              <w:t>2</w:t>
            </w:r>
            <w:r>
              <w:rPr>
                <w:rFonts w:hint="eastAsia"/>
                <w:color w:val="auto"/>
                <w:vertAlign w:val="baseline"/>
                <w:lang w:val="en-US" w:eastAsia="zh-CN"/>
              </w:rPr>
              <w:t>、</w:t>
            </w:r>
            <w:r>
              <w:rPr>
                <w:rFonts w:hint="eastAsia"/>
                <w:color w:val="auto"/>
                <w:highlight w:val="none"/>
              </w:rPr>
              <w:t>NO</w:t>
            </w:r>
            <w:r>
              <w:rPr>
                <w:rFonts w:hint="eastAsia"/>
                <w:color w:val="auto"/>
                <w:highlight w:val="none"/>
                <w:vertAlign w:val="subscript"/>
              </w:rPr>
              <w:t>X</w:t>
            </w:r>
            <w:r>
              <w:rPr>
                <w:rFonts w:hint="eastAsia"/>
                <w:color w:val="auto"/>
                <w:highlight w:val="none"/>
                <w:vertAlign w:val="baseline"/>
                <w:lang w:val="en-US" w:eastAsia="zh-CN"/>
              </w:rPr>
              <w:t>和</w:t>
            </w:r>
            <w:r>
              <w:rPr>
                <w:rFonts w:hint="eastAsia"/>
                <w:color w:val="auto"/>
                <w:highlight w:val="none"/>
              </w:rPr>
              <w:t>VOC</w:t>
            </w:r>
            <w:r>
              <w:rPr>
                <w:rFonts w:hint="eastAsia"/>
                <w:color w:val="auto"/>
                <w:highlight w:val="none"/>
                <w:vertAlign w:val="subscript"/>
              </w:rPr>
              <w:t>S</w:t>
            </w:r>
            <w:r>
              <w:rPr>
                <w:rFonts w:hint="eastAsia"/>
                <w:color w:val="auto"/>
                <w:highlight w:val="none"/>
              </w:rPr>
              <w:t>，</w:t>
            </w:r>
            <w:r>
              <w:rPr>
                <w:rFonts w:hint="eastAsia"/>
                <w:color w:val="auto"/>
                <w:highlight w:val="none"/>
                <w:lang w:eastAsia="zh-CN"/>
              </w:rPr>
              <w:t>水污染物（</w:t>
            </w:r>
            <w:r>
              <w:rPr>
                <w:rFonts w:hint="eastAsia"/>
                <w:color w:val="auto"/>
                <w:highlight w:val="none"/>
                <w:lang w:val="en-US" w:eastAsia="zh-CN"/>
              </w:rPr>
              <w:t>间接排放</w:t>
            </w:r>
            <w:r>
              <w:rPr>
                <w:rFonts w:hint="eastAsia"/>
                <w:color w:val="auto"/>
                <w:highlight w:val="none"/>
                <w:lang w:eastAsia="zh-CN"/>
              </w:rPr>
              <w:t>）</w:t>
            </w:r>
            <w:r>
              <w:rPr>
                <w:rFonts w:hint="eastAsia"/>
                <w:color w:val="auto"/>
                <w:highlight w:val="none"/>
              </w:rPr>
              <w:t>总量控制指标为</w:t>
            </w:r>
            <w:r>
              <w:rPr>
                <w:rFonts w:hint="eastAsia"/>
                <w:color w:val="auto"/>
                <w:highlight w:val="none"/>
                <w:lang w:val="en-US" w:eastAsia="zh-CN"/>
              </w:rPr>
              <w:t>COD和氨氮，经核算，建议的污染物</w:t>
            </w:r>
            <w:r>
              <w:rPr>
                <w:rFonts w:hint="eastAsia"/>
                <w:color w:val="auto"/>
                <w:sz w:val="24"/>
                <w:szCs w:val="24"/>
                <w:highlight w:val="none"/>
                <w:vertAlign w:val="baseline"/>
                <w:lang w:eastAsia="zh-CN"/>
              </w:rPr>
              <w:t>排放控制</w:t>
            </w:r>
            <w:r>
              <w:rPr>
                <w:rFonts w:hint="eastAsia"/>
                <w:color w:val="auto"/>
                <w:sz w:val="24"/>
                <w:szCs w:val="24"/>
                <w:highlight w:val="none"/>
              </w:rPr>
              <w:t>总量</w:t>
            </w:r>
            <w:r>
              <w:rPr>
                <w:rFonts w:hint="eastAsia"/>
                <w:color w:val="auto"/>
                <w:sz w:val="24"/>
                <w:szCs w:val="24"/>
                <w:highlight w:val="none"/>
                <w:lang w:val="en-US" w:eastAsia="zh-CN"/>
              </w:rPr>
              <w:t>指标如下：</w:t>
            </w:r>
            <w:r>
              <w:rPr>
                <w:rFonts w:hint="eastAsia"/>
                <w:color w:val="auto"/>
                <w:highlight w:val="none"/>
                <w:vertAlign w:val="baseline"/>
                <w:lang w:val="en-US" w:eastAsia="zh-CN"/>
              </w:rPr>
              <w:t>SO</w:t>
            </w:r>
            <w:r>
              <w:rPr>
                <w:rFonts w:hint="eastAsia"/>
                <w:color w:val="auto"/>
                <w:highlight w:val="none"/>
                <w:vertAlign w:val="subscript"/>
                <w:lang w:val="en-US" w:eastAsia="zh-CN"/>
              </w:rPr>
              <w:t>2</w:t>
            </w:r>
            <w:r>
              <w:rPr>
                <w:rFonts w:hint="eastAsia"/>
                <w:color w:val="auto"/>
                <w:highlight w:val="none"/>
                <w:vertAlign w:val="baseline"/>
                <w:lang w:val="en-US" w:eastAsia="zh-CN"/>
              </w:rPr>
              <w:t>2.941t/a、</w:t>
            </w:r>
            <w:r>
              <w:rPr>
                <w:rFonts w:hint="eastAsia"/>
                <w:color w:val="auto"/>
                <w:highlight w:val="none"/>
              </w:rPr>
              <w:t>NO</w:t>
            </w:r>
            <w:r>
              <w:rPr>
                <w:rFonts w:hint="eastAsia"/>
                <w:color w:val="auto"/>
                <w:highlight w:val="none"/>
                <w:vertAlign w:val="subscript"/>
              </w:rPr>
              <w:t>X</w:t>
            </w:r>
            <w:r>
              <w:rPr>
                <w:rFonts w:hint="eastAsia" w:hAnsi="宋体"/>
                <w:color w:val="auto"/>
                <w:kern w:val="21"/>
                <w:sz w:val="24"/>
                <w:szCs w:val="24"/>
                <w:highlight w:val="none"/>
                <w:lang w:val="en-US" w:eastAsia="zh-CN"/>
              </w:rPr>
              <w:t>5.660</w:t>
            </w:r>
            <w:r>
              <w:rPr>
                <w:rFonts w:hint="eastAsia" w:hAnsi="宋体"/>
                <w:color w:val="auto"/>
                <w:kern w:val="21"/>
                <w:sz w:val="24"/>
                <w:szCs w:val="24"/>
                <w:highlight w:val="none"/>
              </w:rPr>
              <w:t>t/a</w:t>
            </w:r>
            <w:r>
              <w:rPr>
                <w:rFonts w:hint="eastAsia" w:hAnsi="宋体"/>
                <w:color w:val="auto"/>
                <w:kern w:val="21"/>
                <w:sz w:val="24"/>
                <w:szCs w:val="24"/>
                <w:highlight w:val="none"/>
                <w:lang w:eastAsia="zh-CN"/>
              </w:rPr>
              <w:t>、</w:t>
            </w:r>
            <w:r>
              <w:rPr>
                <w:rFonts w:hint="eastAsia"/>
                <w:color w:val="auto"/>
                <w:highlight w:val="none"/>
              </w:rPr>
              <w:t>VOC</w:t>
            </w:r>
            <w:r>
              <w:rPr>
                <w:rFonts w:hint="eastAsia"/>
                <w:color w:val="auto"/>
                <w:highlight w:val="none"/>
                <w:vertAlign w:val="subscript"/>
              </w:rPr>
              <w:t>S</w:t>
            </w:r>
            <w:r>
              <w:rPr>
                <w:rFonts w:hint="eastAsia"/>
                <w:color w:val="auto"/>
                <w:highlight w:val="none"/>
                <w:vertAlign w:val="baseline"/>
                <w:lang w:val="en-US" w:eastAsia="zh-CN"/>
              </w:rPr>
              <w:t>0.240t/a</w:t>
            </w:r>
            <w:r>
              <w:rPr>
                <w:rFonts w:hint="eastAsia"/>
                <w:color w:val="auto"/>
                <w:highlight w:val="none"/>
              </w:rPr>
              <w:t>、</w:t>
            </w:r>
            <w:r>
              <w:rPr>
                <w:rFonts w:hint="eastAsia" w:hAnsi="宋体"/>
                <w:color w:val="auto"/>
                <w:kern w:val="21"/>
                <w:sz w:val="24"/>
                <w:szCs w:val="24"/>
                <w:highlight w:val="none"/>
                <w:lang w:val="en-US" w:eastAsia="zh-CN"/>
              </w:rPr>
              <w:t>COD0.667t/a、</w:t>
            </w:r>
            <w:r>
              <w:rPr>
                <w:rFonts w:hint="eastAsia"/>
                <w:color w:val="auto"/>
                <w:highlight w:val="none"/>
                <w:lang w:val="en-US" w:eastAsia="zh-CN"/>
              </w:rPr>
              <w:t>氨氮0.051t/a</w:t>
            </w:r>
            <w:r>
              <w:rPr>
                <w:rFonts w:hint="eastAsia"/>
                <w:color w:val="auto"/>
                <w:sz w:val="24"/>
                <w:szCs w:val="24"/>
                <w:highlight w:val="none"/>
              </w:rPr>
              <w:t>。</w:t>
            </w:r>
          </w:p>
        </w:tc>
      </w:tr>
    </w:tbl>
    <w:p w14:paraId="343B340B">
      <w:pPr>
        <w:ind w:firstLine="0" w:firstLineChars="0"/>
        <w:rPr>
          <w:color w:val="auto"/>
        </w:rPr>
        <w:sectPr>
          <w:pgSz w:w="11906" w:h="16838"/>
          <w:pgMar w:top="1531" w:right="1304" w:bottom="1531" w:left="1304" w:header="851" w:footer="851" w:gutter="0"/>
          <w:pgBorders>
            <w:top w:val="none" w:sz="0" w:space="0"/>
            <w:left w:val="none" w:sz="0" w:space="0"/>
            <w:bottom w:val="none" w:sz="0" w:space="0"/>
            <w:right w:val="none" w:sz="0" w:space="0"/>
          </w:pgBorders>
          <w:cols w:space="720" w:num="1"/>
          <w:docGrid w:linePitch="312" w:charSpace="0"/>
        </w:sectPr>
      </w:pPr>
    </w:p>
    <w:p w14:paraId="53A668ED">
      <w:pPr>
        <w:pStyle w:val="7"/>
        <w:numPr>
          <w:ilvl w:val="0"/>
          <w:numId w:val="0"/>
        </w:numPr>
        <w:ind w:left="425" w:leftChars="0" w:firstLine="0" w:firstLineChars="0"/>
        <w:rPr>
          <w:color w:val="auto"/>
          <w:kern w:val="0"/>
        </w:rPr>
      </w:pPr>
      <w:r>
        <w:rPr>
          <w:rFonts w:hint="eastAsia" w:ascii="Times New Roman" w:hAnsi="Times New Roman" w:eastAsia="黑体"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4</w:t>
      </w:r>
      <w:r>
        <w:rPr>
          <w:rFonts w:hint="eastAsia"/>
          <w:color w:val="auto"/>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5"/>
        <w:gridCol w:w="8799"/>
      </w:tblGrid>
      <w:tr w14:paraId="7CEE0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076E9CEF">
            <w:pPr>
              <w:adjustRightInd w:val="0"/>
              <w:snapToGrid w:val="0"/>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施工期环境保护措施</w:t>
            </w:r>
          </w:p>
        </w:tc>
        <w:tc>
          <w:tcPr>
            <w:tcW w:w="8799" w:type="dxa"/>
            <w:tcBorders>
              <w:top w:val="single" w:color="auto" w:sz="8" w:space="0"/>
              <w:left w:val="single" w:color="auto" w:sz="4" w:space="0"/>
              <w:bottom w:val="single" w:color="auto" w:sz="4" w:space="0"/>
              <w:right w:val="single" w:color="auto" w:sz="8" w:space="0"/>
            </w:tcBorders>
          </w:tcPr>
          <w:p w14:paraId="0396F044">
            <w:pPr>
              <w:pStyle w:val="8"/>
              <w:spacing w:after="120"/>
              <w:rPr>
                <w:rFonts w:hint="default" w:ascii="Times New Roman" w:hAnsi="Times New Roman" w:cs="Times New Roman"/>
                <w:color w:val="auto"/>
              </w:rPr>
            </w:pPr>
            <w:r>
              <w:rPr>
                <w:rFonts w:hint="default" w:ascii="Times New Roman" w:hAnsi="Times New Roman" w:cs="Times New Roman"/>
                <w:color w:val="auto"/>
              </w:rPr>
              <w:t>一、废气</w:t>
            </w:r>
          </w:p>
          <w:p w14:paraId="07391613">
            <w:pPr>
              <w:ind w:firstLine="480"/>
              <w:rPr>
                <w:rFonts w:hint="default" w:ascii="Times New Roman" w:hAnsi="Times New Roman" w:cs="Times New Roman"/>
                <w:color w:val="auto"/>
              </w:rPr>
            </w:pPr>
            <w:r>
              <w:rPr>
                <w:rFonts w:hint="default" w:ascii="Times New Roman" w:hAnsi="Times New Roman" w:cs="Times New Roman"/>
                <w:color w:val="auto"/>
              </w:rPr>
              <w:t>本项目施工期主要是室内设备安装和调试，废气污染物主要为少量的扬尘和机械废气。</w:t>
            </w:r>
          </w:p>
          <w:p w14:paraId="084D7047">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1.扬尘</w:t>
            </w:r>
          </w:p>
          <w:p w14:paraId="39384C1A">
            <w:pPr>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rPr>
              <w:t>扬尘主要来源于设备材料的现场搬运扬尘、施工垃圾的清理扬尘、人来车往造成的现场道路扬尘。</w:t>
            </w:r>
            <w:r>
              <w:rPr>
                <w:rFonts w:hint="default" w:ascii="Times New Roman" w:hAnsi="Times New Roman" w:cs="Times New Roman"/>
                <w:color w:val="auto"/>
                <w:lang w:val="en-US" w:eastAsia="zh-CN"/>
              </w:rPr>
              <w:t>结合</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榆林</w:t>
            </w:r>
            <w:r>
              <w:rPr>
                <w:rFonts w:hint="default" w:ascii="Times New Roman" w:hAnsi="Times New Roman" w:cs="Times New Roman"/>
                <w:color w:val="auto"/>
                <w:sz w:val="24"/>
                <w:szCs w:val="24"/>
              </w:rPr>
              <w:t>市大气污染治理专项行动方案（2023-2027年）》</w:t>
            </w:r>
            <w:r>
              <w:rPr>
                <w:rFonts w:hint="default" w:ascii="Times New Roman" w:hAnsi="Times New Roman" w:cs="Times New Roman"/>
                <w:color w:val="auto"/>
                <w:sz w:val="24"/>
                <w:szCs w:val="24"/>
                <w:lang w:val="en-US" w:eastAsia="zh-CN"/>
              </w:rPr>
              <w:t>中施工扬尘防治措施要求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rPr>
              <w:t>主要采取的措施如下：</w:t>
            </w:r>
          </w:p>
          <w:p w14:paraId="194A83B6">
            <w:pPr>
              <w:numPr>
                <w:ilvl w:val="3"/>
                <w:numId w:val="5"/>
              </w:numPr>
              <w:ind w:left="0" w:firstLine="480"/>
              <w:rPr>
                <w:rFonts w:hint="default" w:ascii="Times New Roman" w:hAnsi="Times New Roman" w:cs="Times New Roman"/>
                <w:color w:val="auto"/>
                <w:sz w:val="24"/>
                <w:szCs w:val="24"/>
              </w:rPr>
            </w:pPr>
            <w:r>
              <w:rPr>
                <w:rFonts w:hint="default" w:ascii="Times New Roman" w:hAnsi="Times New Roman" w:cs="Times New Roman"/>
                <w:color w:val="auto"/>
              </w:rPr>
              <w:t>积极推行绿色施工、加强对扬尘</w:t>
            </w:r>
            <w:r>
              <w:rPr>
                <w:rFonts w:hint="default" w:ascii="Times New Roman" w:hAnsi="Times New Roman" w:cs="Times New Roman"/>
                <w:color w:val="auto"/>
                <w:sz w:val="24"/>
                <w:szCs w:val="24"/>
              </w:rPr>
              <w:t>的源头的管理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val="en-US" w:eastAsia="zh-CN"/>
              </w:rPr>
              <w:t>施工场地严格执行“六个百分百”</w:t>
            </w:r>
            <w:r>
              <w:rPr>
                <w:rFonts w:hint="default" w:ascii="Times New Roman" w:hAnsi="Times New Roman" w:cs="Times New Roman"/>
                <w:color w:val="auto"/>
                <w:sz w:val="24"/>
                <w:szCs w:val="24"/>
              </w:rPr>
              <w:t>。</w:t>
            </w:r>
          </w:p>
          <w:p w14:paraId="09BD6631">
            <w:pPr>
              <w:numPr>
                <w:ilvl w:val="3"/>
                <w:numId w:val="5"/>
              </w:numPr>
              <w:ind w:left="0" w:firstLine="480"/>
              <w:rPr>
                <w:rFonts w:hint="default" w:ascii="Times New Roman" w:hAnsi="Times New Roman" w:cs="Times New Roman"/>
                <w:color w:val="auto"/>
              </w:rPr>
            </w:pPr>
            <w:r>
              <w:rPr>
                <w:rFonts w:hint="default" w:ascii="Times New Roman" w:hAnsi="Times New Roman" w:cs="Times New Roman"/>
                <w:color w:val="auto"/>
              </w:rPr>
              <w:t>设备运输车禁止超载，装高不得超过车厢板，并加盖篷布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配套洗车设施</w:t>
            </w:r>
            <w:r>
              <w:rPr>
                <w:rFonts w:hint="default" w:ascii="Times New Roman" w:hAnsi="Times New Roman" w:cs="Times New Roman"/>
                <w:color w:val="auto"/>
              </w:rPr>
              <w:t>。</w:t>
            </w:r>
          </w:p>
          <w:p w14:paraId="49B5EB80">
            <w:pPr>
              <w:numPr>
                <w:ilvl w:val="3"/>
                <w:numId w:val="5"/>
              </w:numPr>
              <w:ind w:left="0" w:firstLine="480"/>
              <w:rPr>
                <w:rFonts w:hint="default" w:ascii="Times New Roman" w:hAnsi="Times New Roman" w:cs="Times New Roman"/>
                <w:color w:val="auto"/>
              </w:rPr>
            </w:pPr>
            <w:r>
              <w:rPr>
                <w:rFonts w:hint="default" w:ascii="Times New Roman" w:hAnsi="Times New Roman" w:cs="Times New Roman"/>
                <w:color w:val="auto"/>
              </w:rPr>
              <w:t>运输车辆的运输时间和路线要按照当地城市管理相关部门的要求执行。</w:t>
            </w:r>
          </w:p>
          <w:p w14:paraId="4E1D012A">
            <w:pPr>
              <w:numPr>
                <w:ilvl w:val="3"/>
                <w:numId w:val="5"/>
              </w:numPr>
              <w:ind w:left="0" w:firstLine="480"/>
              <w:rPr>
                <w:rFonts w:hint="default" w:ascii="Times New Roman" w:hAnsi="Times New Roman" w:cs="Times New Roman"/>
                <w:color w:val="auto"/>
              </w:rPr>
            </w:pPr>
            <w:r>
              <w:rPr>
                <w:rFonts w:hint="default" w:ascii="Times New Roman" w:hAnsi="Times New Roman" w:cs="Times New Roman"/>
                <w:color w:val="auto"/>
                <w:lang w:val="en-US" w:eastAsia="zh-CN"/>
              </w:rPr>
              <w:t>起尘较大的施工活动应湿法作业，或洒水抑尘。</w:t>
            </w:r>
          </w:p>
          <w:p w14:paraId="6CC40A0D">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2.机械</w:t>
            </w:r>
            <w:r>
              <w:rPr>
                <w:rFonts w:hint="default" w:ascii="Times New Roman" w:hAnsi="Times New Roman" w:cs="Times New Roman"/>
                <w:color w:val="auto"/>
                <w:lang w:val="en-US" w:eastAsia="zh-CN"/>
              </w:rPr>
              <w:t>及车辆</w:t>
            </w:r>
            <w:r>
              <w:rPr>
                <w:rFonts w:hint="default" w:ascii="Times New Roman" w:hAnsi="Times New Roman" w:cs="Times New Roman"/>
                <w:color w:val="auto"/>
              </w:rPr>
              <w:t>废气</w:t>
            </w:r>
          </w:p>
          <w:p w14:paraId="2D4444C4">
            <w:pPr>
              <w:ind w:firstLine="480"/>
              <w:rPr>
                <w:rFonts w:hint="default" w:ascii="Times New Roman" w:hAnsi="Times New Roman" w:cs="Times New Roman"/>
                <w:color w:val="auto"/>
              </w:rPr>
            </w:pPr>
            <w:r>
              <w:rPr>
                <w:rFonts w:hint="default" w:ascii="Times New Roman" w:hAnsi="Times New Roman" w:cs="Times New Roman"/>
                <w:color w:val="auto"/>
              </w:rPr>
              <w:t>施工过程中，机械设备排放少量无组织废气。</w:t>
            </w:r>
          </w:p>
          <w:p w14:paraId="20C9F230">
            <w:pPr>
              <w:ind w:firstLine="480"/>
              <w:rPr>
                <w:rFonts w:hint="default" w:ascii="Times New Roman" w:hAnsi="Times New Roman" w:cs="Times New Roman"/>
                <w:color w:val="auto"/>
              </w:rPr>
            </w:pPr>
            <w:r>
              <w:rPr>
                <w:rFonts w:hint="default" w:ascii="Times New Roman" w:hAnsi="Times New Roman" w:cs="Times New Roman"/>
                <w:color w:val="auto"/>
              </w:rPr>
              <w:t>项目施工期间，使用机动车运送原材料、设备和建筑机械设备的运转，均会排放一定量的CO、NOx以及未完全燃烧的HC等</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施工单位应加强施工机械及燃油车辆环保管理，确保施工机械及燃油车辆尾气排放均符合现行国家环保标准，或采用新能源，同时选用符合国家标准的燃油，做好机械及车辆维护保养，</w:t>
            </w:r>
            <w:r>
              <w:rPr>
                <w:rFonts w:hint="default" w:ascii="Times New Roman" w:hAnsi="Times New Roman" w:cs="Times New Roman"/>
                <w:color w:val="auto"/>
              </w:rPr>
              <w:t>合理安排调度作业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在此前提下，尾气</w:t>
            </w:r>
            <w:r>
              <w:rPr>
                <w:rFonts w:hint="default" w:ascii="Times New Roman" w:hAnsi="Times New Roman" w:cs="Times New Roman"/>
                <w:color w:val="auto"/>
              </w:rPr>
              <w:t>排放量小，且属间断性无组织排放，加之扩散条件良好，对</w:t>
            </w:r>
            <w:r>
              <w:rPr>
                <w:rFonts w:hint="default" w:ascii="Times New Roman" w:hAnsi="Times New Roman" w:cs="Times New Roman"/>
                <w:color w:val="auto"/>
                <w:lang w:val="en-US" w:eastAsia="zh-CN"/>
              </w:rPr>
              <w:t>环境空气影响较小</w:t>
            </w:r>
            <w:r>
              <w:rPr>
                <w:rFonts w:hint="default" w:ascii="Times New Roman" w:hAnsi="Times New Roman" w:cs="Times New Roman"/>
                <w:color w:val="auto"/>
              </w:rPr>
              <w:t>。</w:t>
            </w:r>
          </w:p>
          <w:p w14:paraId="257F0F16">
            <w:pPr>
              <w:ind w:firstLine="480"/>
              <w:rPr>
                <w:rFonts w:hint="default" w:ascii="Times New Roman" w:hAnsi="Times New Roman" w:cs="Times New Roman"/>
                <w:color w:val="auto"/>
              </w:rPr>
            </w:pPr>
            <w:r>
              <w:rPr>
                <w:rFonts w:hint="default" w:ascii="Times New Roman" w:hAnsi="Times New Roman" w:cs="Times New Roman"/>
                <w:color w:val="auto"/>
              </w:rPr>
              <w:t>综上所述，在采取以上措施后，本项目施工期废气可得到良好的控制，施工期废气影响为暂时影响，施工期结束后影响即消失，对周边环境的影响较小。</w:t>
            </w:r>
          </w:p>
          <w:p w14:paraId="35F3602E">
            <w:pPr>
              <w:pStyle w:val="8"/>
              <w:spacing w:after="120"/>
              <w:rPr>
                <w:rFonts w:hint="default" w:ascii="Times New Roman" w:hAnsi="Times New Roman" w:cs="Times New Roman"/>
                <w:color w:val="auto"/>
              </w:rPr>
            </w:pPr>
            <w:r>
              <w:rPr>
                <w:rFonts w:hint="default" w:ascii="Times New Roman" w:hAnsi="Times New Roman" w:cs="Times New Roman"/>
                <w:color w:val="auto"/>
              </w:rPr>
              <w:t>二、废水</w:t>
            </w:r>
          </w:p>
          <w:p w14:paraId="51BAF401">
            <w:pPr>
              <w:ind w:firstLine="480"/>
              <w:rPr>
                <w:rFonts w:hint="default" w:ascii="Times New Roman" w:hAnsi="Times New Roman" w:cs="Times New Roman"/>
                <w:color w:val="auto"/>
              </w:rPr>
            </w:pPr>
            <w:r>
              <w:rPr>
                <w:rFonts w:hint="default" w:ascii="Times New Roman" w:hAnsi="Times New Roman" w:cs="Times New Roman"/>
                <w:color w:val="auto"/>
              </w:rPr>
              <w:t>施工期废水主要来源于施工人员产生的生活污水，主要污染因子为COD、BOD</w:t>
            </w:r>
            <w:r>
              <w:rPr>
                <w:rFonts w:hint="default" w:ascii="Times New Roman" w:hAnsi="Times New Roman" w:cs="Times New Roman"/>
                <w:color w:val="auto"/>
                <w:vertAlign w:val="subscript"/>
              </w:rPr>
              <w:t>5</w:t>
            </w:r>
            <w:r>
              <w:rPr>
                <w:rFonts w:hint="default" w:ascii="Times New Roman" w:hAnsi="Times New Roman" w:cs="Times New Roman"/>
                <w:color w:val="auto"/>
              </w:rPr>
              <w:t>、SS及氨氮等。依托于</w:t>
            </w:r>
            <w:r>
              <w:rPr>
                <w:rFonts w:hint="default" w:ascii="Times New Roman" w:hAnsi="Times New Roman" w:cs="Times New Roman"/>
                <w:color w:val="auto"/>
                <w:lang w:val="en-US" w:eastAsia="zh-CN"/>
              </w:rPr>
              <w:t>厂区已有设施收集</w:t>
            </w:r>
            <w:r>
              <w:rPr>
                <w:rFonts w:hint="default" w:ascii="Times New Roman" w:hAnsi="Times New Roman" w:cs="Times New Roman"/>
                <w:color w:val="auto"/>
              </w:rPr>
              <w:t>，生活污水经</w:t>
            </w:r>
            <w:r>
              <w:rPr>
                <w:rFonts w:hint="default" w:ascii="Times New Roman" w:hAnsi="Times New Roman" w:cs="Times New Roman"/>
                <w:color w:val="auto"/>
                <w:lang w:val="en-US" w:eastAsia="zh-CN"/>
              </w:rPr>
              <w:t>化粪池处理后经管网</w:t>
            </w:r>
            <w:r>
              <w:rPr>
                <w:rFonts w:hint="default" w:ascii="Times New Roman" w:hAnsi="Times New Roman" w:cs="Times New Roman"/>
                <w:color w:val="auto"/>
              </w:rPr>
              <w:t>进入</w:t>
            </w:r>
            <w:r>
              <w:rPr>
                <w:rFonts w:hint="default" w:ascii="Times New Roman" w:hAnsi="Times New Roman" w:cs="Times New Roman"/>
                <w:color w:val="auto"/>
                <w:lang w:val="en-US" w:eastAsia="zh-CN"/>
              </w:rPr>
              <w:t>园区</w:t>
            </w:r>
            <w:r>
              <w:rPr>
                <w:rFonts w:hint="default" w:ascii="Times New Roman" w:hAnsi="Times New Roman" w:cs="Times New Roman"/>
                <w:color w:val="auto"/>
              </w:rPr>
              <w:t>污水处理</w:t>
            </w:r>
            <w:r>
              <w:rPr>
                <w:rFonts w:hint="default" w:ascii="Times New Roman" w:hAnsi="Times New Roman" w:cs="Times New Roman"/>
                <w:color w:val="auto"/>
                <w:lang w:val="en-US" w:eastAsia="zh-CN"/>
              </w:rPr>
              <w:t>厂</w:t>
            </w:r>
            <w:r>
              <w:rPr>
                <w:rFonts w:hint="default" w:ascii="Times New Roman" w:hAnsi="Times New Roman" w:cs="Times New Roman"/>
                <w:color w:val="auto"/>
              </w:rPr>
              <w:t>，对周围环境影响较小。</w:t>
            </w:r>
          </w:p>
          <w:p w14:paraId="5E6F2E5E">
            <w:pPr>
              <w:pStyle w:val="8"/>
              <w:spacing w:after="120"/>
              <w:rPr>
                <w:rFonts w:hint="default" w:ascii="Times New Roman" w:hAnsi="Times New Roman" w:cs="Times New Roman"/>
                <w:color w:val="auto"/>
              </w:rPr>
            </w:pPr>
            <w:r>
              <w:rPr>
                <w:rFonts w:hint="default" w:ascii="Times New Roman" w:hAnsi="Times New Roman" w:cs="Times New Roman"/>
                <w:color w:val="auto"/>
              </w:rPr>
              <w:t>三、噪声</w:t>
            </w:r>
          </w:p>
          <w:p w14:paraId="38763CD8">
            <w:pPr>
              <w:ind w:firstLine="480"/>
              <w:rPr>
                <w:rFonts w:hint="default" w:ascii="Times New Roman" w:hAnsi="Times New Roman" w:cs="Times New Roman"/>
                <w:color w:val="auto"/>
              </w:rPr>
            </w:pPr>
            <w:r>
              <w:rPr>
                <w:rFonts w:hint="default" w:ascii="Times New Roman" w:hAnsi="Times New Roman" w:cs="Times New Roman"/>
                <w:color w:val="auto"/>
              </w:rPr>
              <w:t>施工期间的场界噪声需满足《建筑施工场界环境噪声排放标准》（GB12523-2011）中标准限值。</w:t>
            </w:r>
          </w:p>
          <w:p w14:paraId="56370B43">
            <w:pPr>
              <w:ind w:firstLine="480"/>
              <w:rPr>
                <w:rFonts w:hint="default" w:ascii="Times New Roman" w:hAnsi="Times New Roman" w:cs="Times New Roman"/>
                <w:color w:val="auto"/>
              </w:rPr>
            </w:pPr>
            <w:r>
              <w:rPr>
                <w:rFonts w:hint="default" w:ascii="Times New Roman" w:hAnsi="Times New Roman" w:cs="Times New Roman"/>
                <w:color w:val="auto"/>
              </w:rPr>
              <w:t>要求施工方在施工过程中，合理进行施工平面布置，合理安排工序，严格控制各种强噪声施工机械的作业时间。为使施工噪声能够达到《建筑施工场界环境噪声排放标准》（GB12523-2011）要求，并不会对周边环境产生影响，须采取减缓措施，其具体治理措施如下：</w:t>
            </w:r>
          </w:p>
          <w:p w14:paraId="4C9C380C">
            <w:pPr>
              <w:numPr>
                <w:ilvl w:val="3"/>
                <w:numId w:val="6"/>
              </w:numPr>
              <w:ind w:left="0" w:firstLine="480"/>
              <w:rPr>
                <w:rFonts w:hint="default" w:ascii="Times New Roman" w:hAnsi="Times New Roman" w:cs="Times New Roman"/>
                <w:color w:val="auto"/>
              </w:rPr>
            </w:pPr>
            <w:r>
              <w:rPr>
                <w:rFonts w:hint="default" w:ascii="Times New Roman" w:hAnsi="Times New Roman" w:cs="Times New Roman"/>
                <w:color w:val="auto"/>
              </w:rPr>
              <w:t>施工单位要合理安排工期，尽量避开夜间</w:t>
            </w:r>
            <w:r>
              <w:rPr>
                <w:rFonts w:hint="default" w:ascii="Times New Roman" w:hAnsi="Times New Roman" w:cs="Times New Roman"/>
                <w:color w:val="auto"/>
                <w:lang w:val="en-US" w:eastAsia="zh-CN"/>
              </w:rPr>
              <w:t>和午间</w:t>
            </w:r>
            <w:r>
              <w:rPr>
                <w:rFonts w:hint="default" w:ascii="Times New Roman" w:hAnsi="Times New Roman" w:cs="Times New Roman"/>
                <w:color w:val="auto"/>
              </w:rPr>
              <w:t>施工。</w:t>
            </w:r>
          </w:p>
          <w:p w14:paraId="6C673038">
            <w:pPr>
              <w:numPr>
                <w:ilvl w:val="3"/>
                <w:numId w:val="6"/>
              </w:numPr>
              <w:ind w:left="0" w:firstLine="480"/>
              <w:rPr>
                <w:rFonts w:hint="default" w:ascii="Times New Roman" w:hAnsi="Times New Roman" w:cs="Times New Roman"/>
                <w:color w:val="auto"/>
              </w:rPr>
            </w:pPr>
            <w:r>
              <w:rPr>
                <w:rFonts w:hint="default" w:ascii="Times New Roman" w:hAnsi="Times New Roman" w:cs="Times New Roman"/>
                <w:color w:val="auto"/>
              </w:rPr>
              <w:t>若因工期确需夜间需要施工的，施工单位必须严格按照《夜间施工许可证》许可时限和许可范围进行夜间施工。</w:t>
            </w:r>
          </w:p>
          <w:p w14:paraId="13787FF8">
            <w:pPr>
              <w:numPr>
                <w:ilvl w:val="3"/>
                <w:numId w:val="6"/>
              </w:numPr>
              <w:ind w:left="0" w:firstLine="480"/>
              <w:rPr>
                <w:rFonts w:hint="default" w:ascii="Times New Roman" w:hAnsi="Times New Roman" w:cs="Times New Roman"/>
                <w:color w:val="auto"/>
              </w:rPr>
            </w:pPr>
            <w:r>
              <w:rPr>
                <w:rFonts w:hint="default" w:ascii="Times New Roman" w:hAnsi="Times New Roman" w:cs="Times New Roman"/>
                <w:color w:val="auto"/>
              </w:rPr>
              <w:t>选用低噪声设备和工艺，选用环保型机械设备，所有设备必须符合项目噪声控制要求。</w:t>
            </w:r>
          </w:p>
          <w:p w14:paraId="4C170C8F">
            <w:pPr>
              <w:numPr>
                <w:ilvl w:val="3"/>
                <w:numId w:val="6"/>
              </w:numPr>
              <w:ind w:left="0" w:firstLine="480"/>
              <w:rPr>
                <w:rFonts w:hint="default" w:ascii="Times New Roman" w:hAnsi="Times New Roman" w:cs="Times New Roman"/>
                <w:color w:val="auto"/>
              </w:rPr>
            </w:pPr>
            <w:r>
              <w:rPr>
                <w:rFonts w:hint="default" w:ascii="Times New Roman" w:hAnsi="Times New Roman" w:cs="Times New Roman"/>
                <w:color w:val="auto"/>
              </w:rPr>
              <w:t>加强施工机械的维修保养，施工过程中严禁机械设备超负荷运转，确保机械设备处于完好的技术状态，减少非正常情况下的强噪声排放。</w:t>
            </w:r>
          </w:p>
          <w:p w14:paraId="553848B9">
            <w:pPr>
              <w:numPr>
                <w:ilvl w:val="3"/>
                <w:numId w:val="6"/>
              </w:numPr>
              <w:ind w:left="0" w:firstLine="480"/>
              <w:rPr>
                <w:rFonts w:hint="default" w:ascii="Times New Roman" w:hAnsi="Times New Roman" w:cs="Times New Roman"/>
                <w:color w:val="auto"/>
              </w:rPr>
            </w:pPr>
            <w:r>
              <w:rPr>
                <w:rFonts w:hint="default" w:ascii="Times New Roman" w:hAnsi="Times New Roman" w:cs="Times New Roman"/>
                <w:color w:val="auto"/>
              </w:rPr>
              <w:t>车辆噪声采取保持技术状态完好和适当减低速度的方法进行控制，尽量压缩施工区域汽车数量和行车密度，控制汽车鸣笛；合理安排原材料运输路线及时间周期，尽量减小对运输路线及周围</w:t>
            </w:r>
            <w:r>
              <w:rPr>
                <w:rFonts w:hint="default" w:ascii="Times New Roman" w:hAnsi="Times New Roman" w:cs="Times New Roman"/>
                <w:color w:val="auto"/>
                <w:lang w:val="en-US" w:eastAsia="zh-CN"/>
              </w:rPr>
              <w:t>村庄、</w:t>
            </w:r>
            <w:r>
              <w:rPr>
                <w:rFonts w:hint="default" w:ascii="Times New Roman" w:hAnsi="Times New Roman" w:cs="Times New Roman"/>
                <w:color w:val="auto"/>
              </w:rPr>
              <w:t>学校等环境敏感点的影响。</w:t>
            </w:r>
          </w:p>
          <w:p w14:paraId="5267E032">
            <w:pPr>
              <w:ind w:firstLine="480"/>
              <w:rPr>
                <w:rFonts w:hint="default" w:ascii="Times New Roman" w:hAnsi="Times New Roman" w:cs="Times New Roman"/>
                <w:color w:val="auto"/>
              </w:rPr>
            </w:pPr>
            <w:r>
              <w:rPr>
                <w:rFonts w:hint="default" w:ascii="Times New Roman" w:hAnsi="Times New Roman" w:cs="Times New Roman"/>
                <w:color w:val="auto"/>
              </w:rPr>
              <w:t>通过采取以上噪声控制措施，施工场界噪声能达到《建筑施工场界环境噪声排放标准》（GB12523-2011）的规定。</w:t>
            </w:r>
          </w:p>
          <w:p w14:paraId="73060A0B">
            <w:pPr>
              <w:pStyle w:val="8"/>
              <w:spacing w:after="120"/>
              <w:rPr>
                <w:rFonts w:hint="default" w:ascii="Times New Roman" w:hAnsi="Times New Roman" w:cs="Times New Roman"/>
                <w:color w:val="auto"/>
              </w:rPr>
            </w:pPr>
            <w:r>
              <w:rPr>
                <w:rFonts w:hint="default" w:ascii="Times New Roman" w:hAnsi="Times New Roman" w:cs="Times New Roman"/>
                <w:color w:val="auto"/>
              </w:rPr>
              <w:t>四、固废</w:t>
            </w:r>
          </w:p>
          <w:p w14:paraId="53286666">
            <w:pPr>
              <w:ind w:firstLine="480"/>
              <w:rPr>
                <w:rFonts w:hint="default" w:ascii="Times New Roman" w:hAnsi="Times New Roman" w:cs="Times New Roman"/>
                <w:color w:val="auto"/>
              </w:rPr>
            </w:pPr>
            <w:r>
              <w:rPr>
                <w:rFonts w:hint="default" w:ascii="Times New Roman" w:hAnsi="Times New Roman" w:cs="Times New Roman"/>
                <w:color w:val="auto"/>
              </w:rPr>
              <w:t>施工期固体废物包括生活垃圾</w:t>
            </w:r>
            <w:r>
              <w:rPr>
                <w:rFonts w:hint="default" w:ascii="Times New Roman" w:hAnsi="Times New Roman" w:cs="Times New Roman"/>
                <w:color w:val="auto"/>
                <w:lang w:val="en-US" w:eastAsia="zh-CN"/>
              </w:rPr>
              <w:t>和</w:t>
            </w:r>
            <w:r>
              <w:rPr>
                <w:rFonts w:hint="default" w:ascii="Times New Roman" w:hAnsi="Times New Roman" w:cs="Times New Roman"/>
                <w:color w:val="auto"/>
              </w:rPr>
              <w:t>设备包装材料。</w:t>
            </w:r>
          </w:p>
          <w:p w14:paraId="58F60893">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1.生活垃圾</w:t>
            </w:r>
          </w:p>
          <w:p w14:paraId="7C94BF58">
            <w:pPr>
              <w:ind w:firstLine="480"/>
              <w:rPr>
                <w:rFonts w:hint="default" w:ascii="Times New Roman" w:hAnsi="Times New Roman" w:cs="Times New Roman"/>
                <w:color w:val="auto"/>
              </w:rPr>
            </w:pPr>
            <w:r>
              <w:rPr>
                <w:rFonts w:hint="default" w:ascii="Times New Roman" w:hAnsi="Times New Roman" w:cs="Times New Roman"/>
                <w:color w:val="auto"/>
              </w:rPr>
              <w:t>施工期间生活垃圾集中收集，</w:t>
            </w:r>
            <w:r>
              <w:rPr>
                <w:rFonts w:hint="default" w:ascii="Times New Roman" w:hAnsi="Times New Roman" w:cs="Times New Roman"/>
                <w:color w:val="auto"/>
                <w:lang w:val="en-US" w:eastAsia="zh-CN"/>
              </w:rPr>
              <w:t>送园区生活垃圾填埋场处置</w:t>
            </w:r>
            <w:r>
              <w:rPr>
                <w:rFonts w:hint="default" w:ascii="Times New Roman" w:hAnsi="Times New Roman" w:cs="Times New Roman"/>
                <w:color w:val="auto"/>
              </w:rPr>
              <w:t>。</w:t>
            </w:r>
          </w:p>
          <w:p w14:paraId="713599B0">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设备包装材料</w:t>
            </w:r>
          </w:p>
          <w:p w14:paraId="549C077A">
            <w:pPr>
              <w:ind w:firstLine="480"/>
              <w:rPr>
                <w:rFonts w:hint="default" w:ascii="Times New Roman" w:hAnsi="Times New Roman" w:cs="Times New Roman"/>
                <w:color w:val="auto"/>
              </w:rPr>
            </w:pPr>
            <w:r>
              <w:rPr>
                <w:rFonts w:hint="default" w:ascii="Times New Roman" w:hAnsi="Times New Roman" w:cs="Times New Roman"/>
                <w:color w:val="auto"/>
              </w:rPr>
              <w:t>设备包装材料主要包括废纸箱、废包装木板和废塑料。以上设备包装材料集中收集，外售废品回收站综合利用。</w:t>
            </w:r>
          </w:p>
        </w:tc>
      </w:tr>
      <w:tr w14:paraId="7A941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60F5C5CF">
            <w:pPr>
              <w:adjustRightInd w:val="0"/>
              <w:snapToGrid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运营期环境影响和保护措施</w:t>
            </w:r>
          </w:p>
        </w:tc>
        <w:tc>
          <w:tcPr>
            <w:tcW w:w="8799" w:type="dxa"/>
            <w:tcBorders>
              <w:top w:val="single" w:color="auto" w:sz="4" w:space="0"/>
              <w:left w:val="single" w:color="auto" w:sz="4" w:space="0"/>
              <w:bottom w:val="single" w:color="auto" w:sz="4" w:space="0"/>
              <w:right w:val="single" w:color="auto" w:sz="8" w:space="0"/>
            </w:tcBorders>
          </w:tcPr>
          <w:p w14:paraId="1016D962">
            <w:pPr>
              <w:pStyle w:val="8"/>
              <w:spacing w:after="120"/>
              <w:rPr>
                <w:rFonts w:hint="default" w:ascii="Times New Roman" w:hAnsi="Times New Roman" w:cs="Times New Roman"/>
                <w:color w:val="auto"/>
              </w:rPr>
            </w:pPr>
            <w:r>
              <w:rPr>
                <w:rFonts w:hint="default" w:ascii="Times New Roman" w:hAnsi="Times New Roman" w:cs="Times New Roman"/>
                <w:color w:val="auto"/>
              </w:rPr>
              <w:t>一、废气</w:t>
            </w:r>
          </w:p>
          <w:p w14:paraId="2E1740DB">
            <w:pPr>
              <w:ind w:firstLine="480"/>
              <w:rPr>
                <w:rFonts w:hint="default" w:ascii="Times New Roman" w:hAnsi="Times New Roman" w:cs="Times New Roman"/>
                <w:color w:val="auto"/>
              </w:rPr>
            </w:pPr>
            <w:r>
              <w:rPr>
                <w:rFonts w:hint="default" w:ascii="Times New Roman" w:hAnsi="Times New Roman" w:cs="Times New Roman"/>
                <w:color w:val="auto"/>
              </w:rPr>
              <w:t>运营期产生的废气主要为</w:t>
            </w:r>
            <w:r>
              <w:rPr>
                <w:rFonts w:hint="default" w:ascii="Times New Roman" w:hAnsi="Times New Roman" w:cs="Times New Roman"/>
                <w:color w:val="auto"/>
                <w:sz w:val="24"/>
                <w:szCs w:val="24"/>
                <w:highlight w:val="none"/>
                <w:lang w:val="en-US" w:eastAsia="zh-CN"/>
              </w:rPr>
              <w:t>熔炼</w:t>
            </w:r>
            <w:r>
              <w:rPr>
                <w:rFonts w:hint="default" w:ascii="Times New Roman" w:hAnsi="Times New Roman" w:cs="Times New Roman"/>
                <w:color w:val="auto"/>
                <w:sz w:val="24"/>
                <w:szCs w:val="24"/>
                <w:highlight w:val="none"/>
                <w:lang w:val="en-US" w:eastAsia="zh-CN"/>
              </w:rPr>
              <w:t>（化）</w:t>
            </w:r>
            <w:r>
              <w:rPr>
                <w:rFonts w:hint="default" w:ascii="Times New Roman" w:hAnsi="Times New Roman" w:cs="Times New Roman"/>
                <w:color w:val="auto"/>
                <w:sz w:val="24"/>
                <w:szCs w:val="24"/>
                <w:highlight w:val="none"/>
                <w:lang w:val="en-US" w:eastAsia="zh-CN"/>
              </w:rPr>
              <w:t>、浇铸、压铸</w:t>
            </w:r>
            <w:r>
              <w:rPr>
                <w:rFonts w:hint="default" w:ascii="Times New Roman" w:hAnsi="Times New Roman" w:cs="Times New Roman"/>
                <w:color w:val="auto"/>
                <w:sz w:val="24"/>
                <w:szCs w:val="24"/>
                <w:highlight w:val="none"/>
              </w:rPr>
              <w:t>废气</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以及打磨、切削等生产粉尘</w:t>
            </w:r>
            <w:r>
              <w:rPr>
                <w:rFonts w:hint="default" w:ascii="Times New Roman" w:hAnsi="Times New Roman" w:cs="Times New Roman"/>
                <w:color w:val="auto"/>
              </w:rPr>
              <w:t>。</w:t>
            </w:r>
          </w:p>
          <w:p w14:paraId="439CF783">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1.废气污染物产排情况</w:t>
            </w:r>
          </w:p>
          <w:p w14:paraId="3D45DEF1">
            <w:pPr>
              <w:ind w:firstLine="480"/>
              <w:rPr>
                <w:rFonts w:hint="default" w:ascii="Times New Roman" w:hAnsi="Times New Roman" w:eastAsia="黑体" w:cs="Times New Roman"/>
                <w:color w:val="auto"/>
                <w:spacing w:val="1"/>
                <w:sz w:val="20"/>
                <w:szCs w:val="20"/>
                <w:highlight w:val="yellow"/>
              </w:rPr>
            </w:pPr>
            <w:r>
              <w:rPr>
                <w:rFonts w:hint="default" w:ascii="Times New Roman" w:hAnsi="Times New Roman" w:cs="Times New Roman"/>
                <w:color w:val="auto"/>
              </w:rPr>
              <w:t>根据源强核算，本项目废气产排情况见表4-1。</w:t>
            </w:r>
          </w:p>
          <w:p w14:paraId="7FEE7C63">
            <w:pPr>
              <w:pStyle w:val="42"/>
              <w:numPr>
                <w:ilvl w:val="3"/>
                <w:numId w:val="0"/>
              </w:numPr>
              <w:ind w:left="0" w:leftChars="0" w:firstLine="0" w:firstLineChars="0"/>
              <w:rPr>
                <w:rFonts w:hint="default" w:ascii="Times New Roman" w:hAnsi="Times New Roman" w:cs="Times New Roman"/>
                <w:color w:val="auto"/>
                <w:highlight w:val="none"/>
              </w:rPr>
            </w:pPr>
            <w:r>
              <w:rPr>
                <w:rFonts w:hint="default" w:ascii="Times New Roman" w:hAnsi="Times New Roman" w:eastAsia="黑体" w:cs="Times New Roman"/>
                <w:color w:val="auto"/>
                <w:kern w:val="2"/>
                <w:sz w:val="24"/>
                <w:szCs w:val="24"/>
                <w:highlight w:val="none"/>
                <w:lang w:val="en-US" w:eastAsia="zh-CN" w:bidi="ar-SA"/>
              </w:rPr>
              <w:t xml:space="preserve">表4-1 </w:t>
            </w:r>
            <w:r>
              <w:rPr>
                <w:rFonts w:hint="default" w:ascii="Times New Roman" w:hAnsi="Times New Roman" w:cs="Times New Roman"/>
                <w:color w:val="auto"/>
                <w:sz w:val="24"/>
                <w:szCs w:val="24"/>
                <w:highlight w:val="none"/>
              </w:rPr>
              <w:t>项目废气产排情况一览表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9"/>
              <w:gridCol w:w="474"/>
              <w:gridCol w:w="685"/>
              <w:gridCol w:w="739"/>
              <w:gridCol w:w="407"/>
              <w:gridCol w:w="559"/>
              <w:gridCol w:w="631"/>
              <w:gridCol w:w="739"/>
              <w:gridCol w:w="739"/>
              <w:gridCol w:w="851"/>
              <w:gridCol w:w="1036"/>
              <w:gridCol w:w="1039"/>
            </w:tblGrid>
            <w:tr w14:paraId="1BA3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Merge w:val="restart"/>
                  <w:vAlign w:val="center"/>
                </w:tcPr>
                <w:p w14:paraId="35923D1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276" w:type="pct"/>
                  <w:vMerge w:val="restart"/>
                  <w:vAlign w:val="center"/>
                </w:tcPr>
                <w:p w14:paraId="3D305EDD">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产污环节</w:t>
                  </w:r>
                </w:p>
              </w:tc>
              <w:tc>
                <w:tcPr>
                  <w:tcW w:w="399" w:type="pct"/>
                  <w:vMerge w:val="restart"/>
                  <w:vAlign w:val="center"/>
                </w:tcPr>
                <w:p w14:paraId="62B8CEB4">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污染物</w:t>
                  </w:r>
                  <w:r>
                    <w:rPr>
                      <w:rFonts w:hint="default" w:ascii="Times New Roman" w:hAnsi="Times New Roman" w:cs="Times New Roman"/>
                      <w:color w:val="auto"/>
                      <w:sz w:val="21"/>
                      <w:szCs w:val="21"/>
                      <w:lang w:val="en-US" w:eastAsia="zh-CN"/>
                    </w:rPr>
                    <w:t>因子</w:t>
                  </w:r>
                </w:p>
              </w:tc>
              <w:tc>
                <w:tcPr>
                  <w:tcW w:w="431" w:type="pct"/>
                  <w:vMerge w:val="restart"/>
                  <w:vAlign w:val="center"/>
                </w:tcPr>
                <w:p w14:paraId="614E6E7A">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931" w:type="pct"/>
                  <w:gridSpan w:val="3"/>
                  <w:vAlign w:val="center"/>
                </w:tcPr>
                <w:p w14:paraId="21E122F4">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收集治理设施</w:t>
                  </w:r>
                </w:p>
              </w:tc>
              <w:tc>
                <w:tcPr>
                  <w:tcW w:w="431" w:type="pct"/>
                  <w:vMerge w:val="restart"/>
                  <w:vAlign w:val="center"/>
                </w:tcPr>
                <w:p w14:paraId="2C2A8A50">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w:t>
                  </w:r>
                  <w:r>
                    <w:rPr>
                      <w:rFonts w:hint="default" w:ascii="Times New Roman" w:hAnsi="Times New Roman" w:cs="Times New Roman"/>
                      <w:color w:val="auto"/>
                      <w:sz w:val="21"/>
                      <w:szCs w:val="21"/>
                    </w:rPr>
                    <w:t>排放量（t/a）</w:t>
                  </w:r>
                </w:p>
              </w:tc>
              <w:tc>
                <w:tcPr>
                  <w:tcW w:w="431" w:type="pct"/>
                  <w:vMerge w:val="restart"/>
                  <w:vAlign w:val="center"/>
                </w:tcPr>
                <w:p w14:paraId="5B958152">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rPr>
                    <w:t>排放量（t/a</w:t>
                  </w:r>
                  <w:r>
                    <w:rPr>
                      <w:rFonts w:hint="default" w:ascii="Times New Roman" w:hAnsi="Times New Roman" w:cs="Times New Roman"/>
                      <w:color w:val="auto"/>
                      <w:sz w:val="21"/>
                      <w:szCs w:val="21"/>
                      <w:lang w:eastAsia="zh-CN"/>
                    </w:rPr>
                    <w:t>）</w:t>
                  </w:r>
                </w:p>
              </w:tc>
              <w:tc>
                <w:tcPr>
                  <w:tcW w:w="496" w:type="pct"/>
                  <w:vMerge w:val="restart"/>
                  <w:vAlign w:val="center"/>
                </w:tcPr>
                <w:p w14:paraId="002D6EA4">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rPr>
                    <w:t>排放速率（kg/h）</w:t>
                  </w:r>
                </w:p>
              </w:tc>
              <w:tc>
                <w:tcPr>
                  <w:tcW w:w="604" w:type="pct"/>
                  <w:vMerge w:val="restart"/>
                  <w:vAlign w:val="center"/>
                </w:tcPr>
                <w:p w14:paraId="279D5B41">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rPr>
                    <w:t>排放浓度</w:t>
                  </w:r>
                </w:p>
                <w:p w14:paraId="2D06F415">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05" w:type="pct"/>
                  <w:vMerge w:val="restart"/>
                  <w:vAlign w:val="center"/>
                </w:tcPr>
                <w:p w14:paraId="5201DC88">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有组织浓度标准限值</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r>
            <w:tr w14:paraId="21E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Merge w:val="continue"/>
                  <w:vAlign w:val="center"/>
                </w:tcPr>
                <w:p w14:paraId="27E5EFE6">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276" w:type="pct"/>
                  <w:vMerge w:val="continue"/>
                  <w:vAlign w:val="center"/>
                </w:tcPr>
                <w:p w14:paraId="5554521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399" w:type="pct"/>
                  <w:vMerge w:val="continue"/>
                  <w:vAlign w:val="center"/>
                </w:tcPr>
                <w:p w14:paraId="3690E10B">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431" w:type="pct"/>
                  <w:vMerge w:val="continue"/>
                  <w:vAlign w:val="center"/>
                </w:tcPr>
                <w:p w14:paraId="450EC4EE">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237" w:type="pct"/>
                  <w:vAlign w:val="center"/>
                </w:tcPr>
                <w:p w14:paraId="1E601869">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设施名称</w:t>
                  </w:r>
                </w:p>
              </w:tc>
              <w:tc>
                <w:tcPr>
                  <w:tcW w:w="326" w:type="pct"/>
                  <w:vAlign w:val="center"/>
                </w:tcPr>
                <w:p w14:paraId="16709D4E">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w:t>
                  </w:r>
                </w:p>
                <w:p w14:paraId="430035C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效率</w:t>
                  </w:r>
                </w:p>
              </w:tc>
              <w:tc>
                <w:tcPr>
                  <w:tcW w:w="368" w:type="pct"/>
                  <w:vAlign w:val="center"/>
                </w:tcPr>
                <w:p w14:paraId="61719FD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是否可行技术</w:t>
                  </w:r>
                </w:p>
              </w:tc>
              <w:tc>
                <w:tcPr>
                  <w:tcW w:w="431" w:type="pct"/>
                  <w:vMerge w:val="continue"/>
                  <w:vAlign w:val="center"/>
                </w:tcPr>
                <w:p w14:paraId="2C57092B">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431" w:type="pct"/>
                  <w:vMerge w:val="continue"/>
                  <w:vAlign w:val="center"/>
                </w:tcPr>
                <w:p w14:paraId="5633963D">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496" w:type="pct"/>
                  <w:vMerge w:val="continue"/>
                  <w:vAlign w:val="center"/>
                </w:tcPr>
                <w:p w14:paraId="2929FD45">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604" w:type="pct"/>
                  <w:vMerge w:val="continue"/>
                  <w:vAlign w:val="center"/>
                </w:tcPr>
                <w:p w14:paraId="4D6A2D51">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605" w:type="pct"/>
                  <w:vMerge w:val="continue"/>
                  <w:vAlign w:val="center"/>
                </w:tcPr>
                <w:p w14:paraId="34FD85F6">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r>
            <w:tr w14:paraId="4EA0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7" w:hRule="atLeast"/>
                <w:jc w:val="center"/>
              </w:trPr>
              <w:tc>
                <w:tcPr>
                  <w:tcW w:w="390" w:type="pct"/>
                  <w:vAlign w:val="center"/>
                </w:tcPr>
                <w:p w14:paraId="01F1BB72">
                  <w:pPr>
                    <w:keepNext w:val="0"/>
                    <w:keepLines w:val="0"/>
                    <w:pageBreakBefore w:val="0"/>
                    <w:widowControl/>
                    <w:kinsoku/>
                    <w:wordWrap/>
                    <w:overflowPunct/>
                    <w:topLinePunct w:val="0"/>
                    <w:autoSpaceDE/>
                    <w:autoSpaceDN/>
                    <w:bidi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w:t>
                  </w:r>
                </w:p>
                <w:p w14:paraId="17123B9D">
                  <w:pPr>
                    <w:keepNext w:val="0"/>
                    <w:keepLines w:val="0"/>
                    <w:pageBreakBefore w:val="0"/>
                    <w:widowControl/>
                    <w:kinsoku/>
                    <w:wordWrap/>
                    <w:overflowPunct/>
                    <w:topLinePunct w:val="0"/>
                    <w:autoSpaceDE/>
                    <w:autoSpaceDN/>
                    <w:bidi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w:t>
                  </w:r>
                </w:p>
                <w:p w14:paraId="03C8798F">
                  <w:pPr>
                    <w:keepNext w:val="0"/>
                    <w:keepLines w:val="0"/>
                    <w:pageBreakBefore w:val="0"/>
                    <w:widowControl/>
                    <w:kinsoku/>
                    <w:wordWrap/>
                    <w:overflowPunct/>
                    <w:topLinePunct w:val="0"/>
                    <w:autoSpaceDE/>
                    <w:autoSpaceDN/>
                    <w:bidi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织</w:t>
                  </w:r>
                  <w:r>
                    <w:rPr>
                      <w:rFonts w:hint="default" w:ascii="Times New Roman" w:hAnsi="Times New Roman" w:cs="Times New Roman"/>
                      <w:color w:val="auto"/>
                      <w:sz w:val="21"/>
                      <w:szCs w:val="21"/>
                      <w:lang w:val="en-US" w:eastAsia="zh-CN"/>
                    </w:rPr>
                    <w:t>DA001</w:t>
                  </w:r>
                </w:p>
              </w:tc>
              <w:tc>
                <w:tcPr>
                  <w:tcW w:w="276" w:type="pct"/>
                  <w:vAlign w:val="center"/>
                </w:tcPr>
                <w:p w14:paraId="21C8C8C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熔炼、浇铸废气</w:t>
                  </w:r>
                </w:p>
              </w:tc>
              <w:tc>
                <w:tcPr>
                  <w:tcW w:w="399" w:type="pct"/>
                  <w:vAlign w:val="center"/>
                </w:tcPr>
                <w:p w14:paraId="27AFB328">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431" w:type="pct"/>
                  <w:vAlign w:val="center"/>
                </w:tcPr>
                <w:p w14:paraId="4C7E6E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97.87</w:t>
                  </w:r>
                </w:p>
              </w:tc>
              <w:tc>
                <w:tcPr>
                  <w:tcW w:w="237" w:type="pct"/>
                  <w:vAlign w:val="center"/>
                </w:tcPr>
                <w:p w14:paraId="54DF8904">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布袋除尘</w:t>
                  </w:r>
                </w:p>
              </w:tc>
              <w:tc>
                <w:tcPr>
                  <w:tcW w:w="326" w:type="pct"/>
                  <w:vAlign w:val="center"/>
                </w:tcPr>
                <w:p w14:paraId="050AACDF">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w:t>
                  </w:r>
                </w:p>
              </w:tc>
              <w:tc>
                <w:tcPr>
                  <w:tcW w:w="368" w:type="pct"/>
                  <w:vAlign w:val="center"/>
                </w:tcPr>
                <w:p w14:paraId="50B7DC9F">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可行</w:t>
                  </w:r>
                </w:p>
              </w:tc>
              <w:tc>
                <w:tcPr>
                  <w:tcW w:w="431" w:type="pct"/>
                  <w:vAlign w:val="center"/>
                </w:tcPr>
                <w:p w14:paraId="41BBE1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z w:val="21"/>
                      <w:szCs w:val="21"/>
                      <w:highlight w:val="none"/>
                      <w:lang w:val="en-US" w:eastAsia="zh-CN"/>
                    </w:rPr>
                    <w:t>9.79</w:t>
                  </w:r>
                </w:p>
              </w:tc>
              <w:tc>
                <w:tcPr>
                  <w:tcW w:w="431" w:type="pct"/>
                  <w:vAlign w:val="center"/>
                </w:tcPr>
                <w:p w14:paraId="6D7EF0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z w:val="21"/>
                      <w:szCs w:val="21"/>
                      <w:highlight w:val="none"/>
                      <w:lang w:val="en-US" w:eastAsia="zh-CN"/>
                    </w:rPr>
                    <w:t>0.88</w:t>
                  </w:r>
                </w:p>
              </w:tc>
              <w:tc>
                <w:tcPr>
                  <w:tcW w:w="496" w:type="pct"/>
                  <w:vAlign w:val="center"/>
                </w:tcPr>
                <w:p w14:paraId="2709BC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cs="Times New Roman"/>
                      <w:color w:val="auto"/>
                      <w:sz w:val="21"/>
                      <w:szCs w:val="21"/>
                      <w:highlight w:val="none"/>
                      <w:lang w:val="en-US" w:eastAsia="zh-CN"/>
                    </w:rPr>
                    <w:t>2</w:t>
                  </w:r>
                </w:p>
              </w:tc>
              <w:tc>
                <w:tcPr>
                  <w:tcW w:w="604" w:type="pct"/>
                  <w:vAlign w:val="center"/>
                </w:tcPr>
                <w:p w14:paraId="42F307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pacing w:val="3"/>
                      <w:sz w:val="21"/>
                      <w:szCs w:val="21"/>
                      <w:highlight w:val="none"/>
                      <w:lang w:val="en-US" w:eastAsia="zh-CN"/>
                    </w:rPr>
                    <w:t>4.18</w:t>
                  </w:r>
                </w:p>
              </w:tc>
              <w:tc>
                <w:tcPr>
                  <w:tcW w:w="605" w:type="pct"/>
                  <w:vAlign w:val="center"/>
                </w:tcPr>
                <w:p w14:paraId="7BE879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r>
            <w:tr w14:paraId="72DC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7" w:hRule="atLeast"/>
                <w:jc w:val="center"/>
              </w:trPr>
              <w:tc>
                <w:tcPr>
                  <w:tcW w:w="390" w:type="pct"/>
                  <w:vMerge w:val="restart"/>
                  <w:vAlign w:val="center"/>
                </w:tcPr>
                <w:p w14:paraId="253795E9">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有组织DA002</w:t>
                  </w:r>
                </w:p>
              </w:tc>
              <w:tc>
                <w:tcPr>
                  <w:tcW w:w="276" w:type="pct"/>
                  <w:vMerge w:val="restart"/>
                  <w:vAlign w:val="center"/>
                </w:tcPr>
                <w:p w14:paraId="171B274A">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熔炼炉煤气燃烧</w:t>
                  </w:r>
                </w:p>
              </w:tc>
              <w:tc>
                <w:tcPr>
                  <w:tcW w:w="399" w:type="pct"/>
                  <w:vAlign w:val="center"/>
                </w:tcPr>
                <w:p w14:paraId="5DB235F7">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431" w:type="pct"/>
                  <w:vAlign w:val="center"/>
                </w:tcPr>
                <w:p w14:paraId="68BDAF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1.83</w:t>
                  </w:r>
                </w:p>
              </w:tc>
              <w:tc>
                <w:tcPr>
                  <w:tcW w:w="237" w:type="pct"/>
                  <w:vMerge w:val="restart"/>
                  <w:vAlign w:val="center"/>
                </w:tcPr>
                <w:p w14:paraId="2799C79B">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湿式脱硫除尘</w:t>
                  </w:r>
                </w:p>
              </w:tc>
              <w:tc>
                <w:tcPr>
                  <w:tcW w:w="326" w:type="pct"/>
                  <w:vAlign w:val="center"/>
                </w:tcPr>
                <w:p w14:paraId="5C3F5A27">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368" w:type="pct"/>
                  <w:vMerge w:val="restart"/>
                  <w:vAlign w:val="center"/>
                </w:tcPr>
                <w:p w14:paraId="52D31ABD">
                  <w:pPr>
                    <w:keepNext w:val="0"/>
                    <w:keepLines w:val="0"/>
                    <w:pageBreakBefore w:val="0"/>
                    <w:kinsoku/>
                    <w:wordWrap/>
                    <w:overflowPunct/>
                    <w:topLinePunct w:val="0"/>
                    <w:autoSpaceDE/>
                    <w:autoSpaceDN/>
                    <w:bidi w:val="0"/>
                    <w:adjustRightInd w:val="0"/>
                    <w:snapToGrid w:val="0"/>
                    <w:spacing w:line="276"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z w:val="21"/>
                      <w:szCs w:val="21"/>
                      <w:highlight w:val="none"/>
                    </w:rPr>
                    <w:t>可行</w:t>
                  </w:r>
                </w:p>
              </w:tc>
              <w:tc>
                <w:tcPr>
                  <w:tcW w:w="431" w:type="pct"/>
                  <w:vAlign w:val="center"/>
                </w:tcPr>
                <w:p w14:paraId="4B06F8F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31" w:type="pct"/>
                  <w:vAlign w:val="center"/>
                </w:tcPr>
                <w:p w14:paraId="41BEAE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0.73</w:t>
                  </w:r>
                </w:p>
              </w:tc>
              <w:tc>
                <w:tcPr>
                  <w:tcW w:w="496" w:type="pct"/>
                  <w:vAlign w:val="center"/>
                </w:tcPr>
                <w:p w14:paraId="7A4B65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0.10</w:t>
                  </w:r>
                </w:p>
              </w:tc>
              <w:tc>
                <w:tcPr>
                  <w:tcW w:w="604" w:type="pct"/>
                  <w:vAlign w:val="center"/>
                </w:tcPr>
                <w:p w14:paraId="5EF4A2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23.44</w:t>
                  </w:r>
                </w:p>
              </w:tc>
              <w:tc>
                <w:tcPr>
                  <w:tcW w:w="605" w:type="pct"/>
                  <w:vAlign w:val="center"/>
                </w:tcPr>
                <w:p w14:paraId="501E53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r>
            <w:tr w14:paraId="32A0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7" w:hRule="atLeast"/>
                <w:jc w:val="center"/>
              </w:trPr>
              <w:tc>
                <w:tcPr>
                  <w:tcW w:w="390" w:type="pct"/>
                  <w:vMerge w:val="continue"/>
                  <w:vAlign w:val="center"/>
                </w:tcPr>
                <w:p w14:paraId="0A9F290A">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cs="Times New Roman"/>
                      <w:color w:val="auto"/>
                      <w:sz w:val="21"/>
                      <w:szCs w:val="21"/>
                    </w:rPr>
                  </w:pPr>
                </w:p>
              </w:tc>
              <w:tc>
                <w:tcPr>
                  <w:tcW w:w="276" w:type="pct"/>
                  <w:vMerge w:val="continue"/>
                  <w:vAlign w:val="center"/>
                </w:tcPr>
                <w:p w14:paraId="7DD15942">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399" w:type="pct"/>
                  <w:vAlign w:val="center"/>
                </w:tcPr>
                <w:p w14:paraId="6CAA1D06">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二氧化硫</w:t>
                  </w:r>
                </w:p>
              </w:tc>
              <w:tc>
                <w:tcPr>
                  <w:tcW w:w="431" w:type="pct"/>
                  <w:vAlign w:val="center"/>
                </w:tcPr>
                <w:p w14:paraId="5D7B1B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29.44</w:t>
                  </w:r>
                </w:p>
              </w:tc>
              <w:tc>
                <w:tcPr>
                  <w:tcW w:w="237" w:type="pct"/>
                  <w:vMerge w:val="continue"/>
                  <w:vAlign w:val="center"/>
                </w:tcPr>
                <w:p w14:paraId="3413DFD7">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rPr>
                  </w:pPr>
                </w:p>
              </w:tc>
              <w:tc>
                <w:tcPr>
                  <w:tcW w:w="326" w:type="pct"/>
                  <w:vAlign w:val="center"/>
                </w:tcPr>
                <w:p w14:paraId="3743A0D6">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368" w:type="pct"/>
                  <w:vMerge w:val="continue"/>
                  <w:vAlign w:val="center"/>
                </w:tcPr>
                <w:p w14:paraId="47CF1C57">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rPr>
                  </w:pPr>
                </w:p>
              </w:tc>
              <w:tc>
                <w:tcPr>
                  <w:tcW w:w="431" w:type="pct"/>
                  <w:vAlign w:val="center"/>
                </w:tcPr>
                <w:p w14:paraId="2302EB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w:t>
                  </w:r>
                </w:p>
              </w:tc>
              <w:tc>
                <w:tcPr>
                  <w:tcW w:w="431" w:type="pct"/>
                  <w:vAlign w:val="center"/>
                </w:tcPr>
                <w:p w14:paraId="44E723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2.94</w:t>
                  </w:r>
                </w:p>
              </w:tc>
              <w:tc>
                <w:tcPr>
                  <w:tcW w:w="496" w:type="pct"/>
                  <w:vAlign w:val="center"/>
                </w:tcPr>
                <w:p w14:paraId="699BF1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0.41</w:t>
                  </w:r>
                </w:p>
              </w:tc>
              <w:tc>
                <w:tcPr>
                  <w:tcW w:w="604" w:type="pct"/>
                  <w:vAlign w:val="center"/>
                </w:tcPr>
                <w:p w14:paraId="180179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pacing w:val="3"/>
                      <w:sz w:val="21"/>
                      <w:szCs w:val="21"/>
                      <w:highlight w:val="none"/>
                      <w:lang w:val="en-US" w:eastAsia="zh-CN"/>
                    </w:rPr>
                    <w:t>94.15</w:t>
                  </w:r>
                </w:p>
              </w:tc>
              <w:tc>
                <w:tcPr>
                  <w:tcW w:w="605" w:type="pct"/>
                  <w:vAlign w:val="center"/>
                </w:tcPr>
                <w:p w14:paraId="209ADF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100</w:t>
                  </w:r>
                </w:p>
              </w:tc>
            </w:tr>
            <w:tr w14:paraId="45DB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390" w:type="pct"/>
                  <w:vMerge w:val="continue"/>
                  <w:vAlign w:val="center"/>
                </w:tcPr>
                <w:p w14:paraId="566D3B23">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cs="Times New Roman"/>
                      <w:color w:val="auto"/>
                      <w:sz w:val="21"/>
                      <w:szCs w:val="21"/>
                    </w:rPr>
                  </w:pPr>
                </w:p>
              </w:tc>
              <w:tc>
                <w:tcPr>
                  <w:tcW w:w="276" w:type="pct"/>
                  <w:vMerge w:val="continue"/>
                  <w:vAlign w:val="center"/>
                </w:tcPr>
                <w:p w14:paraId="7F3CDCDE">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399" w:type="pct"/>
                  <w:vAlign w:val="center"/>
                </w:tcPr>
                <w:p w14:paraId="25666CF1">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氮氧化物</w:t>
                  </w:r>
                </w:p>
              </w:tc>
              <w:tc>
                <w:tcPr>
                  <w:tcW w:w="431" w:type="pct"/>
                  <w:vAlign w:val="center"/>
                </w:tcPr>
                <w:p w14:paraId="6B11C1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z w:val="21"/>
                      <w:szCs w:val="21"/>
                      <w:highlight w:val="none"/>
                      <w:lang w:val="en-US" w:eastAsia="zh-CN"/>
                    </w:rPr>
                    <w:t>5.50</w:t>
                  </w:r>
                </w:p>
              </w:tc>
              <w:tc>
                <w:tcPr>
                  <w:tcW w:w="237" w:type="pct"/>
                  <w:vAlign w:val="center"/>
                </w:tcPr>
                <w:p w14:paraId="0134C046">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低氮燃烧</w:t>
                  </w:r>
                </w:p>
              </w:tc>
              <w:tc>
                <w:tcPr>
                  <w:tcW w:w="326" w:type="pct"/>
                  <w:vAlign w:val="center"/>
                </w:tcPr>
                <w:p w14:paraId="376FEE28">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8" w:type="pct"/>
                  <w:vAlign w:val="center"/>
                </w:tcPr>
                <w:p w14:paraId="762E06B8">
                  <w:pPr>
                    <w:keepNext w:val="0"/>
                    <w:keepLines w:val="0"/>
                    <w:pageBreakBefore w:val="0"/>
                    <w:kinsoku/>
                    <w:wordWrap/>
                    <w:overflowPunct/>
                    <w:topLinePunct w:val="0"/>
                    <w:autoSpaceDE/>
                    <w:autoSpaceDN/>
                    <w:bidi w:val="0"/>
                    <w:adjustRightInd w:val="0"/>
                    <w:snapToGrid w:val="0"/>
                    <w:spacing w:line="276" w:lineRule="auto"/>
                    <w:ind w:left="0" w:lef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可行</w:t>
                  </w:r>
                </w:p>
              </w:tc>
              <w:tc>
                <w:tcPr>
                  <w:tcW w:w="431" w:type="pct"/>
                  <w:vAlign w:val="center"/>
                </w:tcPr>
                <w:p w14:paraId="36E0256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0</w:t>
                  </w:r>
                </w:p>
              </w:tc>
              <w:tc>
                <w:tcPr>
                  <w:tcW w:w="431" w:type="pct"/>
                  <w:vAlign w:val="center"/>
                </w:tcPr>
                <w:p w14:paraId="07F607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z w:val="21"/>
                      <w:szCs w:val="21"/>
                      <w:highlight w:val="none"/>
                      <w:lang w:val="en-US" w:eastAsia="zh-CN"/>
                    </w:rPr>
                    <w:t>5.50</w:t>
                  </w:r>
                </w:p>
              </w:tc>
              <w:tc>
                <w:tcPr>
                  <w:tcW w:w="496" w:type="pct"/>
                  <w:vAlign w:val="center"/>
                </w:tcPr>
                <w:p w14:paraId="23D10C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z w:val="21"/>
                      <w:szCs w:val="21"/>
                      <w:highlight w:val="none"/>
                      <w:lang w:val="en-US" w:eastAsia="zh-CN"/>
                    </w:rPr>
                    <w:t>0.76</w:t>
                  </w:r>
                </w:p>
              </w:tc>
              <w:tc>
                <w:tcPr>
                  <w:tcW w:w="604" w:type="pct"/>
                  <w:vAlign w:val="center"/>
                </w:tcPr>
                <w:p w14:paraId="1C0396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pacing w:val="3"/>
                      <w:sz w:val="21"/>
                      <w:szCs w:val="21"/>
                      <w:highlight w:val="none"/>
                      <w:lang w:val="en-US" w:eastAsia="zh-CN"/>
                    </w:rPr>
                    <w:t>176.13</w:t>
                  </w:r>
                </w:p>
              </w:tc>
              <w:tc>
                <w:tcPr>
                  <w:tcW w:w="605" w:type="pct"/>
                  <w:vAlign w:val="center"/>
                </w:tcPr>
                <w:p w14:paraId="5C6142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400</w:t>
                  </w:r>
                </w:p>
              </w:tc>
            </w:tr>
            <w:tr w14:paraId="78BB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Merge w:val="restart"/>
                  <w:vAlign w:val="center"/>
                </w:tcPr>
                <w:p w14:paraId="5B04AB06">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有组织DA003</w:t>
                  </w:r>
                </w:p>
              </w:tc>
              <w:tc>
                <w:tcPr>
                  <w:tcW w:w="276" w:type="pct"/>
                  <w:vMerge w:val="restart"/>
                  <w:vAlign w:val="center"/>
                </w:tcPr>
                <w:p w14:paraId="7A5CED3E">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压铸车间熔化、</w:t>
                  </w:r>
                  <w:r>
                    <w:rPr>
                      <w:rFonts w:hint="default" w:ascii="Times New Roman" w:hAnsi="Times New Roman" w:cs="Times New Roman"/>
                      <w:color w:val="auto"/>
                      <w:sz w:val="21"/>
                      <w:szCs w:val="21"/>
                      <w:lang w:val="en-US" w:eastAsia="zh-CN"/>
                    </w:rPr>
                    <w:t>压铸</w:t>
                  </w:r>
                </w:p>
              </w:tc>
              <w:tc>
                <w:tcPr>
                  <w:tcW w:w="399" w:type="pct"/>
                  <w:vAlign w:val="center"/>
                </w:tcPr>
                <w:p w14:paraId="328053ED">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颗粒物</w:t>
                  </w:r>
                </w:p>
              </w:tc>
              <w:tc>
                <w:tcPr>
                  <w:tcW w:w="431" w:type="pct"/>
                  <w:vAlign w:val="center"/>
                </w:tcPr>
                <w:p w14:paraId="3D81F2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4.92</w:t>
                  </w:r>
                </w:p>
              </w:tc>
              <w:tc>
                <w:tcPr>
                  <w:tcW w:w="237" w:type="pct"/>
                  <w:vMerge w:val="restart"/>
                  <w:vAlign w:val="center"/>
                </w:tcPr>
                <w:p w14:paraId="6E8A027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布袋除尘</w:t>
                  </w:r>
                </w:p>
              </w:tc>
              <w:tc>
                <w:tcPr>
                  <w:tcW w:w="326" w:type="pct"/>
                  <w:vAlign w:val="center"/>
                </w:tcPr>
                <w:p w14:paraId="2136F20A">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w:t>
                  </w:r>
                </w:p>
              </w:tc>
              <w:tc>
                <w:tcPr>
                  <w:tcW w:w="368" w:type="pct"/>
                  <w:vAlign w:val="center"/>
                </w:tcPr>
                <w:p w14:paraId="7BC3FEE9">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可行</w:t>
                  </w:r>
                </w:p>
              </w:tc>
              <w:tc>
                <w:tcPr>
                  <w:tcW w:w="431" w:type="pct"/>
                  <w:vAlign w:val="center"/>
                </w:tcPr>
                <w:p w14:paraId="58FA12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0.49</w:t>
                  </w:r>
                </w:p>
              </w:tc>
              <w:tc>
                <w:tcPr>
                  <w:tcW w:w="431" w:type="pct"/>
                  <w:vAlign w:val="center"/>
                </w:tcPr>
                <w:p w14:paraId="4AD4D0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22</w:t>
                  </w:r>
                </w:p>
              </w:tc>
              <w:tc>
                <w:tcPr>
                  <w:tcW w:w="496" w:type="pct"/>
                  <w:vAlign w:val="center"/>
                </w:tcPr>
                <w:p w14:paraId="21A127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3</w:t>
                  </w:r>
                </w:p>
              </w:tc>
              <w:tc>
                <w:tcPr>
                  <w:tcW w:w="604" w:type="pct"/>
                  <w:vAlign w:val="center"/>
                </w:tcPr>
                <w:p w14:paraId="72830A9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3.99</w:t>
                  </w:r>
                </w:p>
              </w:tc>
              <w:tc>
                <w:tcPr>
                  <w:tcW w:w="605" w:type="pct"/>
                  <w:vAlign w:val="center"/>
                </w:tcPr>
                <w:p w14:paraId="05A6FF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r>
            <w:tr w14:paraId="5542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Merge w:val="continue"/>
                  <w:vAlign w:val="center"/>
                </w:tcPr>
                <w:p w14:paraId="1B25DD02">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cs="Times New Roman"/>
                      <w:color w:val="auto"/>
                      <w:sz w:val="21"/>
                      <w:szCs w:val="21"/>
                    </w:rPr>
                  </w:pPr>
                </w:p>
              </w:tc>
              <w:tc>
                <w:tcPr>
                  <w:tcW w:w="276" w:type="pct"/>
                  <w:vMerge w:val="continue"/>
                  <w:vAlign w:val="center"/>
                </w:tcPr>
                <w:p w14:paraId="169051F9">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399" w:type="pct"/>
                  <w:vAlign w:val="center"/>
                </w:tcPr>
                <w:p w14:paraId="31718418">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431" w:type="pct"/>
                  <w:vAlign w:val="center"/>
                </w:tcPr>
                <w:p w14:paraId="741632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w:t>
                  </w:r>
                </w:p>
              </w:tc>
              <w:tc>
                <w:tcPr>
                  <w:tcW w:w="237" w:type="pct"/>
                  <w:vMerge w:val="continue"/>
                  <w:vAlign w:val="center"/>
                </w:tcPr>
                <w:p w14:paraId="3CC83DE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p>
              </w:tc>
              <w:tc>
                <w:tcPr>
                  <w:tcW w:w="326" w:type="pct"/>
                  <w:vAlign w:val="center"/>
                </w:tcPr>
                <w:p w14:paraId="2B3D7649">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8" w:type="pct"/>
                  <w:vAlign w:val="center"/>
                </w:tcPr>
                <w:p w14:paraId="12805FDE">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w:t>
                  </w:r>
                </w:p>
              </w:tc>
              <w:tc>
                <w:tcPr>
                  <w:tcW w:w="431" w:type="pct"/>
                  <w:vAlign w:val="center"/>
                </w:tcPr>
                <w:p w14:paraId="21A029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431" w:type="pct"/>
                  <w:vAlign w:val="center"/>
                </w:tcPr>
                <w:p w14:paraId="662231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0.22</w:t>
                  </w:r>
                </w:p>
              </w:tc>
              <w:tc>
                <w:tcPr>
                  <w:tcW w:w="496" w:type="pct"/>
                  <w:vAlign w:val="center"/>
                </w:tcPr>
                <w:p w14:paraId="21BE96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w:t>
                  </w:r>
                </w:p>
              </w:tc>
              <w:tc>
                <w:tcPr>
                  <w:tcW w:w="604" w:type="pct"/>
                  <w:vAlign w:val="center"/>
                </w:tcPr>
                <w:p w14:paraId="323F6C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3.97</w:t>
                  </w:r>
                </w:p>
              </w:tc>
              <w:tc>
                <w:tcPr>
                  <w:tcW w:w="605" w:type="pct"/>
                  <w:vAlign w:val="center"/>
                </w:tcPr>
                <w:p w14:paraId="795DC9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120</w:t>
                  </w:r>
                </w:p>
              </w:tc>
            </w:tr>
            <w:tr w14:paraId="6F53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Merge w:val="restart"/>
                  <w:vAlign w:val="center"/>
                </w:tcPr>
                <w:p w14:paraId="4ECF1412">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有组织DA004</w:t>
                  </w:r>
                </w:p>
              </w:tc>
              <w:tc>
                <w:tcPr>
                  <w:tcW w:w="276" w:type="pct"/>
                  <w:vMerge w:val="restart"/>
                  <w:vAlign w:val="center"/>
                </w:tcPr>
                <w:p w14:paraId="77A5BBCB">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压铸车间保温炉天然气燃烧</w:t>
                  </w:r>
                </w:p>
              </w:tc>
              <w:tc>
                <w:tcPr>
                  <w:tcW w:w="399" w:type="pct"/>
                  <w:vAlign w:val="center"/>
                </w:tcPr>
                <w:p w14:paraId="7617FCDD">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431" w:type="pct"/>
                  <w:vAlign w:val="center"/>
                </w:tcPr>
                <w:p w14:paraId="09C5AF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237" w:type="pct"/>
                  <w:vAlign w:val="center"/>
                </w:tcPr>
                <w:p w14:paraId="72511790">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26" w:type="pct"/>
                  <w:vAlign w:val="center"/>
                </w:tcPr>
                <w:p w14:paraId="33ED0914">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8" w:type="pct"/>
                  <w:vAlign w:val="center"/>
                </w:tcPr>
                <w:p w14:paraId="3BA5DF45">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31" w:type="pct"/>
                  <w:vAlign w:val="center"/>
                </w:tcPr>
                <w:p w14:paraId="2E8141C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31" w:type="pct"/>
                  <w:vAlign w:val="center"/>
                </w:tcPr>
                <w:p w14:paraId="7CDEFC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496" w:type="pct"/>
                  <w:vAlign w:val="center"/>
                </w:tcPr>
                <w:p w14:paraId="0AA846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0.001</w:t>
                  </w:r>
                </w:p>
              </w:tc>
              <w:tc>
                <w:tcPr>
                  <w:tcW w:w="604" w:type="pct"/>
                  <w:vAlign w:val="center"/>
                </w:tcPr>
                <w:p w14:paraId="050B0AC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9.56</w:t>
                  </w:r>
                </w:p>
              </w:tc>
              <w:tc>
                <w:tcPr>
                  <w:tcW w:w="605" w:type="pct"/>
                  <w:vAlign w:val="center"/>
                </w:tcPr>
                <w:p w14:paraId="19963F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r>
            <w:tr w14:paraId="13FF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Merge w:val="continue"/>
                  <w:vAlign w:val="center"/>
                </w:tcPr>
                <w:p w14:paraId="2CF156D3">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cs="Times New Roman"/>
                      <w:color w:val="auto"/>
                      <w:sz w:val="21"/>
                      <w:szCs w:val="21"/>
                    </w:rPr>
                  </w:pPr>
                </w:p>
              </w:tc>
              <w:tc>
                <w:tcPr>
                  <w:tcW w:w="276" w:type="pct"/>
                  <w:vMerge w:val="continue"/>
                  <w:vAlign w:val="center"/>
                </w:tcPr>
                <w:p w14:paraId="505AA141">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399" w:type="pct"/>
                  <w:vAlign w:val="center"/>
                </w:tcPr>
                <w:p w14:paraId="72C1889F">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二氧化硫</w:t>
                  </w:r>
                </w:p>
              </w:tc>
              <w:tc>
                <w:tcPr>
                  <w:tcW w:w="431" w:type="pct"/>
                  <w:vAlign w:val="center"/>
                </w:tcPr>
                <w:p w14:paraId="2E2F4A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0.00022</w:t>
                  </w:r>
                </w:p>
              </w:tc>
              <w:tc>
                <w:tcPr>
                  <w:tcW w:w="237" w:type="pct"/>
                  <w:vAlign w:val="center"/>
                </w:tcPr>
                <w:p w14:paraId="10FD422A">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26" w:type="pct"/>
                  <w:vAlign w:val="center"/>
                </w:tcPr>
                <w:p w14:paraId="68EBFFA0">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8" w:type="pct"/>
                  <w:vAlign w:val="center"/>
                </w:tcPr>
                <w:p w14:paraId="49DB3567">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w:t>
                  </w:r>
                </w:p>
              </w:tc>
              <w:tc>
                <w:tcPr>
                  <w:tcW w:w="431" w:type="pct"/>
                  <w:vAlign w:val="center"/>
                </w:tcPr>
                <w:p w14:paraId="2540C1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31" w:type="pct"/>
                  <w:vAlign w:val="center"/>
                </w:tcPr>
                <w:p w14:paraId="01BAA1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0.00022</w:t>
                  </w:r>
                </w:p>
              </w:tc>
              <w:tc>
                <w:tcPr>
                  <w:tcW w:w="496" w:type="pct"/>
                  <w:vAlign w:val="center"/>
                </w:tcPr>
                <w:p w14:paraId="3309D4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3×10</w:t>
                  </w:r>
                  <w:r>
                    <w:rPr>
                      <w:rFonts w:hint="default" w:ascii="Times New Roman" w:hAnsi="Times New Roman" w:cs="Times New Roman"/>
                      <w:color w:val="auto"/>
                      <w:sz w:val="21"/>
                      <w:szCs w:val="21"/>
                      <w:highlight w:val="none"/>
                      <w:vertAlign w:val="superscript"/>
                      <w:lang w:val="en-US" w:eastAsia="zh-CN"/>
                    </w:rPr>
                    <w:t>-5</w:t>
                  </w:r>
                </w:p>
              </w:tc>
              <w:tc>
                <w:tcPr>
                  <w:tcW w:w="604" w:type="pct"/>
                  <w:vAlign w:val="center"/>
                </w:tcPr>
                <w:p w14:paraId="19F974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0.005</w:t>
                  </w:r>
                </w:p>
              </w:tc>
              <w:tc>
                <w:tcPr>
                  <w:tcW w:w="605" w:type="pct"/>
                  <w:vAlign w:val="center"/>
                </w:tcPr>
                <w:p w14:paraId="7A2A9E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100</w:t>
                  </w:r>
                </w:p>
              </w:tc>
            </w:tr>
            <w:tr w14:paraId="1382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Merge w:val="continue"/>
                  <w:vAlign w:val="center"/>
                </w:tcPr>
                <w:p w14:paraId="69EADB45">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cs="Times New Roman"/>
                      <w:color w:val="auto"/>
                      <w:sz w:val="21"/>
                      <w:szCs w:val="21"/>
                    </w:rPr>
                  </w:pPr>
                </w:p>
              </w:tc>
              <w:tc>
                <w:tcPr>
                  <w:tcW w:w="276" w:type="pct"/>
                  <w:vMerge w:val="continue"/>
                  <w:vAlign w:val="center"/>
                </w:tcPr>
                <w:p w14:paraId="36DAE38A">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rPr>
                  </w:pPr>
                </w:p>
              </w:tc>
              <w:tc>
                <w:tcPr>
                  <w:tcW w:w="399" w:type="pct"/>
                  <w:vAlign w:val="center"/>
                </w:tcPr>
                <w:p w14:paraId="1B25F0B8">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氮氧化物</w:t>
                  </w:r>
                </w:p>
              </w:tc>
              <w:tc>
                <w:tcPr>
                  <w:tcW w:w="431" w:type="pct"/>
                  <w:vAlign w:val="center"/>
                </w:tcPr>
                <w:p w14:paraId="2AE320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237" w:type="pct"/>
                  <w:vAlign w:val="center"/>
                </w:tcPr>
                <w:p w14:paraId="3B9DAEA8">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低氮燃烧</w:t>
                  </w:r>
                </w:p>
              </w:tc>
              <w:tc>
                <w:tcPr>
                  <w:tcW w:w="326" w:type="pct"/>
                  <w:vAlign w:val="center"/>
                </w:tcPr>
                <w:p w14:paraId="33A4AA13">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8" w:type="pct"/>
                  <w:vAlign w:val="center"/>
                </w:tcPr>
                <w:p w14:paraId="472FEFB2">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可行</w:t>
                  </w:r>
                </w:p>
              </w:tc>
              <w:tc>
                <w:tcPr>
                  <w:tcW w:w="431" w:type="pct"/>
                  <w:vAlign w:val="center"/>
                </w:tcPr>
                <w:p w14:paraId="495712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31" w:type="pct"/>
                  <w:vAlign w:val="center"/>
                </w:tcPr>
                <w:p w14:paraId="440A4A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496" w:type="pct"/>
                  <w:vAlign w:val="center"/>
                </w:tcPr>
                <w:p w14:paraId="0138D4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604" w:type="pct"/>
                  <w:vAlign w:val="center"/>
                </w:tcPr>
                <w:p w14:paraId="424B91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3.55</w:t>
                  </w:r>
                </w:p>
              </w:tc>
              <w:tc>
                <w:tcPr>
                  <w:tcW w:w="605" w:type="pct"/>
                  <w:vAlign w:val="center"/>
                </w:tcPr>
                <w:p w14:paraId="4BEFD9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400</w:t>
                  </w:r>
                </w:p>
              </w:tc>
            </w:tr>
            <w:tr w14:paraId="2D27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Align w:val="center"/>
                </w:tcPr>
                <w:p w14:paraId="77F825E7">
                  <w:pPr>
                    <w:keepNext w:val="0"/>
                    <w:keepLines w:val="0"/>
                    <w:pageBreakBefore w:val="0"/>
                    <w:widowControl/>
                    <w:kinsoku/>
                    <w:wordWrap/>
                    <w:overflowPunct/>
                    <w:topLinePunct w:val="0"/>
                    <w:autoSpaceDE/>
                    <w:autoSpaceDN/>
                    <w:bidi w:val="0"/>
                    <w:snapToGrid w:val="0"/>
                    <w:spacing w:line="276"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有组织DA</w:t>
                  </w:r>
                  <w:r>
                    <w:rPr>
                      <w:rFonts w:hint="default" w:ascii="Times New Roman" w:hAnsi="Times New Roman" w:cs="Times New Roman"/>
                      <w:color w:val="auto"/>
                      <w:sz w:val="21"/>
                      <w:szCs w:val="21"/>
                      <w:lang w:val="en-US" w:eastAsia="zh-CN"/>
                    </w:rPr>
                    <w:t>005</w:t>
                  </w:r>
                </w:p>
              </w:tc>
              <w:tc>
                <w:tcPr>
                  <w:tcW w:w="276" w:type="pct"/>
                  <w:vAlign w:val="center"/>
                </w:tcPr>
                <w:p w14:paraId="34D0B754">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铸锭打磨</w:t>
                  </w:r>
                </w:p>
              </w:tc>
              <w:tc>
                <w:tcPr>
                  <w:tcW w:w="399" w:type="pct"/>
                  <w:vAlign w:val="center"/>
                </w:tcPr>
                <w:p w14:paraId="637A72F8">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颗粒物</w:t>
                  </w:r>
                </w:p>
              </w:tc>
              <w:tc>
                <w:tcPr>
                  <w:tcW w:w="431" w:type="pct"/>
                  <w:vAlign w:val="center"/>
                </w:tcPr>
                <w:p w14:paraId="67D5E404">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35.04</w:t>
                  </w:r>
                </w:p>
              </w:tc>
              <w:tc>
                <w:tcPr>
                  <w:tcW w:w="237" w:type="pct"/>
                  <w:vAlign w:val="center"/>
                </w:tcPr>
                <w:p w14:paraId="17A165AA">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水浴除尘</w:t>
                  </w:r>
                </w:p>
              </w:tc>
              <w:tc>
                <w:tcPr>
                  <w:tcW w:w="326" w:type="pct"/>
                  <w:vAlign w:val="center"/>
                </w:tcPr>
                <w:p w14:paraId="672AD2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85%</w:t>
                  </w:r>
                </w:p>
              </w:tc>
              <w:tc>
                <w:tcPr>
                  <w:tcW w:w="368" w:type="pct"/>
                  <w:vAlign w:val="center"/>
                </w:tcPr>
                <w:p w14:paraId="6BFD80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可行</w:t>
                  </w:r>
                </w:p>
              </w:tc>
              <w:tc>
                <w:tcPr>
                  <w:tcW w:w="431" w:type="pct"/>
                  <w:vAlign w:val="center"/>
                </w:tcPr>
                <w:p w14:paraId="021742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14.02</w:t>
                  </w:r>
                </w:p>
              </w:tc>
              <w:tc>
                <w:tcPr>
                  <w:tcW w:w="431" w:type="pct"/>
                  <w:vAlign w:val="center"/>
                </w:tcPr>
                <w:p w14:paraId="68B7D7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3.15</w:t>
                  </w:r>
                </w:p>
              </w:tc>
              <w:tc>
                <w:tcPr>
                  <w:tcW w:w="496" w:type="pct"/>
                  <w:vAlign w:val="center"/>
                </w:tcPr>
                <w:p w14:paraId="348E5A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1.31</w:t>
                  </w:r>
                </w:p>
              </w:tc>
              <w:tc>
                <w:tcPr>
                  <w:tcW w:w="604" w:type="pct"/>
                  <w:vAlign w:val="center"/>
                </w:tcPr>
                <w:p w14:paraId="4AAB4A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23.19</w:t>
                  </w:r>
                </w:p>
              </w:tc>
              <w:tc>
                <w:tcPr>
                  <w:tcW w:w="605" w:type="pct"/>
                  <w:vAlign w:val="center"/>
                </w:tcPr>
                <w:p w14:paraId="610FE0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r>
            <w:tr w14:paraId="269A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0" w:type="pct"/>
                  <w:vAlign w:val="center"/>
                </w:tcPr>
                <w:p w14:paraId="08CC2ADB">
                  <w:pPr>
                    <w:keepNext w:val="0"/>
                    <w:keepLines w:val="0"/>
                    <w:pageBreakBefore w:val="0"/>
                    <w:widowControl/>
                    <w:kinsoku/>
                    <w:wordWrap/>
                    <w:overflowPunct/>
                    <w:topLinePunct w:val="0"/>
                    <w:autoSpaceDE/>
                    <w:autoSpaceDN/>
                    <w:bidi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276" w:type="pct"/>
                  <w:vAlign w:val="center"/>
                </w:tcPr>
                <w:p w14:paraId="6987C2CA">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颗粒切削产线</w:t>
                  </w:r>
                </w:p>
              </w:tc>
              <w:tc>
                <w:tcPr>
                  <w:tcW w:w="399" w:type="pct"/>
                  <w:vAlign w:val="center"/>
                </w:tcPr>
                <w:p w14:paraId="16812A0E">
                  <w:pPr>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color w:val="auto"/>
                      <w:sz w:val="21"/>
                      <w:szCs w:val="21"/>
                    </w:rPr>
                    <w:t>颗粒物</w:t>
                  </w:r>
                </w:p>
              </w:tc>
              <w:tc>
                <w:tcPr>
                  <w:tcW w:w="431" w:type="pct"/>
                  <w:vAlign w:val="center"/>
                </w:tcPr>
                <w:p w14:paraId="39BC6982">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23.32</w:t>
                  </w:r>
                </w:p>
              </w:tc>
              <w:tc>
                <w:tcPr>
                  <w:tcW w:w="237" w:type="pct"/>
                  <w:vAlign w:val="center"/>
                </w:tcPr>
                <w:p w14:paraId="23FBB6D1">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旋风+水浴除尘</w:t>
                  </w:r>
                </w:p>
              </w:tc>
              <w:tc>
                <w:tcPr>
                  <w:tcW w:w="326" w:type="pct"/>
                  <w:vAlign w:val="center"/>
                </w:tcPr>
                <w:p w14:paraId="091B95D7">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w:t>
                  </w:r>
                </w:p>
              </w:tc>
              <w:tc>
                <w:tcPr>
                  <w:tcW w:w="368" w:type="pct"/>
                  <w:vAlign w:val="center"/>
                </w:tcPr>
                <w:p w14:paraId="6F5E3D82">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可行</w:t>
                  </w:r>
                </w:p>
              </w:tc>
              <w:tc>
                <w:tcPr>
                  <w:tcW w:w="431" w:type="pct"/>
                  <w:vAlign w:val="center"/>
                </w:tcPr>
                <w:p w14:paraId="0C718137">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2.33</w:t>
                  </w:r>
                </w:p>
              </w:tc>
              <w:tc>
                <w:tcPr>
                  <w:tcW w:w="431" w:type="pct"/>
                  <w:vAlign w:val="center"/>
                </w:tcPr>
                <w:p w14:paraId="417A4DA2">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w:t>
                  </w:r>
                </w:p>
              </w:tc>
              <w:tc>
                <w:tcPr>
                  <w:tcW w:w="496" w:type="pct"/>
                  <w:vAlign w:val="center"/>
                </w:tcPr>
                <w:p w14:paraId="607581C6">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w:t>
                  </w:r>
                </w:p>
              </w:tc>
              <w:tc>
                <w:tcPr>
                  <w:tcW w:w="604" w:type="pct"/>
                  <w:vAlign w:val="center"/>
                </w:tcPr>
                <w:p w14:paraId="1AF93E8F">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w:t>
                  </w:r>
                </w:p>
              </w:tc>
              <w:tc>
                <w:tcPr>
                  <w:tcW w:w="605" w:type="pct"/>
                  <w:vAlign w:val="center"/>
                </w:tcPr>
                <w:p w14:paraId="6BEAB9EE">
                  <w:pPr>
                    <w:keepNext w:val="0"/>
                    <w:keepLines w:val="0"/>
                    <w:pageBreakBefore w:val="0"/>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lang w:val="en-US" w:eastAsia="zh-CN"/>
                    </w:rPr>
                    <w:t>/</w:t>
                  </w:r>
                </w:p>
              </w:tc>
            </w:tr>
          </w:tbl>
          <w:p w14:paraId="4AF3AB5E">
            <w:pPr>
              <w:pStyle w:val="66"/>
              <w:spacing w:before="1" w:line="360" w:lineRule="auto"/>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7"/>
                <w:sz w:val="24"/>
                <w:szCs w:val="24"/>
                <w:highlight w:val="none"/>
              </w:rPr>
              <w:t>② 核算过程</w:t>
            </w:r>
          </w:p>
          <w:p w14:paraId="700EA4B3">
            <w:pPr>
              <w:pStyle w:val="66"/>
              <w:spacing w:before="184" w:line="360" w:lineRule="auto"/>
              <w:jc w:val="left"/>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A</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rPr>
              <w:t>熔炼</w:t>
            </w:r>
            <w:r>
              <w:rPr>
                <w:rFonts w:hint="default" w:ascii="Times New Roman" w:hAnsi="Times New Roman" w:cs="Times New Roman"/>
                <w:color w:val="auto"/>
                <w:spacing w:val="-1"/>
                <w:sz w:val="24"/>
                <w:szCs w:val="24"/>
                <w:highlight w:val="none"/>
                <w:lang w:eastAsia="zh-CN"/>
              </w:rPr>
              <w:t>、浇铸</w:t>
            </w:r>
            <w:r>
              <w:rPr>
                <w:rFonts w:hint="default" w:ascii="Times New Roman" w:hAnsi="Times New Roman" w:cs="Times New Roman"/>
                <w:color w:val="auto"/>
                <w:spacing w:val="-1"/>
                <w:sz w:val="24"/>
                <w:szCs w:val="24"/>
                <w:highlight w:val="none"/>
              </w:rPr>
              <w:t>废气</w:t>
            </w:r>
          </w:p>
          <w:p w14:paraId="42A665DA">
            <w:pPr>
              <w:keepNext w:val="0"/>
              <w:keepLines w:val="0"/>
              <w:widowControl/>
              <w:suppressLineNumbers w:val="0"/>
              <w:jc w:val="left"/>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1"/>
                <w:sz w:val="24"/>
                <w:szCs w:val="24"/>
                <w:highlight w:val="none"/>
              </w:rPr>
              <w:t>项目熔炼炉</w:t>
            </w:r>
            <w:r>
              <w:rPr>
                <w:rFonts w:hint="default" w:ascii="Times New Roman" w:hAnsi="Times New Roman" w:eastAsia="宋体" w:cs="Times New Roman"/>
                <w:color w:val="auto"/>
                <w:spacing w:val="-1"/>
                <w:sz w:val="24"/>
                <w:szCs w:val="24"/>
                <w:highlight w:val="none"/>
                <w:lang w:eastAsia="zh-CN"/>
              </w:rPr>
              <w:t>属于</w:t>
            </w:r>
            <w:r>
              <w:rPr>
                <w:rFonts w:hint="default" w:ascii="Times New Roman" w:hAnsi="Times New Roman" w:eastAsia="宋体" w:cs="Times New Roman"/>
                <w:color w:val="auto"/>
                <w:spacing w:val="-2"/>
                <w:sz w:val="24"/>
                <w:szCs w:val="24"/>
                <w:highlight w:val="none"/>
                <w:lang w:eastAsia="zh-CN"/>
              </w:rPr>
              <w:t>合金熔炼坩埚</w:t>
            </w:r>
            <w:r>
              <w:rPr>
                <w:rFonts w:hint="default" w:ascii="Times New Roman" w:hAnsi="Times New Roman" w:eastAsia="宋体" w:cs="Times New Roman"/>
                <w:color w:val="auto"/>
                <w:spacing w:val="-2"/>
                <w:sz w:val="24"/>
                <w:szCs w:val="24"/>
                <w:highlight w:val="none"/>
                <w:lang w:val="en-US" w:eastAsia="zh-CN"/>
              </w:rPr>
              <w:t>燃气圆形</w:t>
            </w:r>
            <w:r>
              <w:rPr>
                <w:rFonts w:hint="default" w:ascii="Times New Roman" w:hAnsi="Times New Roman" w:eastAsia="宋体" w:cs="Times New Roman"/>
                <w:color w:val="auto"/>
                <w:spacing w:val="-2"/>
                <w:sz w:val="24"/>
                <w:szCs w:val="24"/>
                <w:highlight w:val="none"/>
                <w:lang w:eastAsia="zh-CN"/>
              </w:rPr>
              <w:t>炉</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采用</w:t>
            </w:r>
            <w:r>
              <w:rPr>
                <w:rFonts w:hint="default" w:ascii="Times New Roman" w:hAnsi="Times New Roman" w:cs="Times New Roman"/>
                <w:color w:val="auto"/>
                <w:spacing w:val="-1"/>
                <w:sz w:val="24"/>
                <w:szCs w:val="24"/>
                <w:highlight w:val="none"/>
                <w:lang w:eastAsia="zh-CN"/>
              </w:rPr>
              <w:t>荒煤气</w:t>
            </w:r>
            <w:r>
              <w:rPr>
                <w:rFonts w:hint="default" w:ascii="Times New Roman" w:hAnsi="Times New Roman" w:eastAsia="宋体" w:cs="Times New Roman"/>
                <w:color w:val="auto"/>
                <w:spacing w:val="-1"/>
                <w:sz w:val="24"/>
                <w:szCs w:val="24"/>
                <w:highlight w:val="none"/>
              </w:rPr>
              <w:t>作为燃</w:t>
            </w:r>
            <w:r>
              <w:rPr>
                <w:rFonts w:hint="default" w:ascii="Times New Roman" w:hAnsi="Times New Roman" w:eastAsia="宋体" w:cs="Times New Roman"/>
                <w:color w:val="auto"/>
                <w:spacing w:val="-2"/>
                <w:sz w:val="24"/>
                <w:szCs w:val="24"/>
                <w:highlight w:val="none"/>
              </w:rPr>
              <w:t>料</w:t>
            </w:r>
            <w:r>
              <w:rPr>
                <w:rFonts w:hint="default" w:ascii="Times New Roman" w:hAnsi="Times New Roman" w:eastAsia="宋体" w:cs="Times New Roman"/>
                <w:color w:val="auto"/>
                <w:spacing w:val="-2"/>
                <w:sz w:val="24"/>
                <w:szCs w:val="24"/>
                <w:highlight w:val="none"/>
                <w:lang w:eastAsia="zh-CN"/>
              </w:rPr>
              <w:t>。熔炼、浇铸产生大气污染物</w:t>
            </w:r>
            <w:r>
              <w:rPr>
                <w:rFonts w:hint="default" w:ascii="Times New Roman" w:hAnsi="Times New Roman" w:cs="Times New Roman"/>
                <w:color w:val="auto"/>
                <w:spacing w:val="-2"/>
                <w:sz w:val="24"/>
                <w:szCs w:val="24"/>
                <w:highlight w:val="none"/>
                <w:lang w:val="en-US" w:eastAsia="zh-CN"/>
              </w:rPr>
              <w:t>主要为</w:t>
            </w:r>
            <w:r>
              <w:rPr>
                <w:rFonts w:hint="default" w:ascii="Times New Roman" w:hAnsi="Times New Roman" w:eastAsia="宋体" w:cs="Times New Roman"/>
                <w:color w:val="auto"/>
                <w:spacing w:val="-2"/>
                <w:sz w:val="24"/>
                <w:szCs w:val="24"/>
                <w:highlight w:val="none"/>
                <w:lang w:eastAsia="zh-CN"/>
              </w:rPr>
              <w:t>熔炼</w:t>
            </w:r>
            <w:r>
              <w:rPr>
                <w:rFonts w:hint="default" w:ascii="Times New Roman" w:hAnsi="Times New Roman" w:cs="Times New Roman"/>
                <w:color w:val="auto"/>
                <w:spacing w:val="-2"/>
                <w:sz w:val="24"/>
                <w:szCs w:val="24"/>
                <w:highlight w:val="none"/>
                <w:lang w:val="en-US" w:eastAsia="zh-CN"/>
              </w:rPr>
              <w:t>及浇铸</w:t>
            </w:r>
            <w:r>
              <w:rPr>
                <w:rFonts w:hint="default" w:ascii="Times New Roman" w:hAnsi="Times New Roman" w:eastAsia="宋体" w:cs="Times New Roman"/>
                <w:color w:val="auto"/>
                <w:spacing w:val="-2"/>
                <w:sz w:val="24"/>
                <w:szCs w:val="24"/>
                <w:highlight w:val="none"/>
                <w:lang w:eastAsia="zh-CN"/>
              </w:rPr>
              <w:t>产生的烟尘</w:t>
            </w:r>
            <w:r>
              <w:rPr>
                <w:rFonts w:hint="default" w:ascii="Times New Roman" w:hAnsi="Times New Roman" w:cs="Times New Roman"/>
                <w:color w:val="auto"/>
                <w:spacing w:val="-2"/>
                <w:sz w:val="24"/>
                <w:szCs w:val="24"/>
                <w:highlight w:val="none"/>
                <w:lang w:val="en-US" w:eastAsia="zh-CN"/>
              </w:rPr>
              <w:t>，</w:t>
            </w:r>
            <w:r>
              <w:rPr>
                <w:rFonts w:hint="default" w:ascii="Times New Roman" w:hAnsi="Times New Roman" w:cs="Times New Roman"/>
                <w:color w:val="auto"/>
                <w:spacing w:val="-2"/>
                <w:sz w:val="24"/>
                <w:szCs w:val="24"/>
                <w:highlight w:val="none"/>
                <w:lang w:val="en-US" w:eastAsia="zh-CN"/>
              </w:rPr>
              <w:t>燃烧废气另行排放，</w:t>
            </w:r>
            <w:r>
              <w:rPr>
                <w:rFonts w:hint="default" w:ascii="Times New Roman" w:hAnsi="Times New Roman" w:eastAsia="宋体" w:cs="Times New Roman"/>
                <w:color w:val="auto"/>
                <w:spacing w:val="-2"/>
                <w:sz w:val="24"/>
                <w:szCs w:val="24"/>
                <w:highlight w:val="none"/>
                <w:lang w:eastAsia="zh-CN"/>
              </w:rPr>
              <w:t>辅料</w:t>
            </w:r>
            <w:r>
              <w:rPr>
                <w:rFonts w:hint="default" w:ascii="Times New Roman" w:hAnsi="Times New Roman" w:cs="Times New Roman"/>
                <w:color w:val="auto"/>
                <w:spacing w:val="-2"/>
                <w:sz w:val="24"/>
                <w:szCs w:val="24"/>
                <w:highlight w:val="none"/>
                <w:lang w:val="en-US" w:eastAsia="zh-CN"/>
              </w:rPr>
              <w:t>产生的HCl和</w:t>
            </w:r>
            <w:r>
              <w:rPr>
                <w:rFonts w:hint="default" w:ascii="Times New Roman" w:hAnsi="Times New Roman" w:eastAsia="宋体" w:cs="Times New Roman"/>
                <w:color w:val="auto"/>
                <w:spacing w:val="-2"/>
                <w:sz w:val="24"/>
                <w:szCs w:val="24"/>
                <w:highlight w:val="none"/>
                <w:lang w:val="en-US" w:eastAsia="zh-CN"/>
              </w:rPr>
              <w:t>氟化物</w:t>
            </w:r>
            <w:r>
              <w:rPr>
                <w:rFonts w:hint="default" w:ascii="Times New Roman" w:hAnsi="Times New Roman" w:cs="Times New Roman"/>
                <w:color w:val="auto"/>
                <w:spacing w:val="-2"/>
                <w:sz w:val="24"/>
                <w:szCs w:val="24"/>
                <w:highlight w:val="none"/>
                <w:lang w:val="en-US" w:eastAsia="zh-CN"/>
              </w:rPr>
              <w:t>量少，本次评价不做定量分析。</w:t>
            </w:r>
          </w:p>
          <w:p w14:paraId="3147F9C1">
            <w:pPr>
              <w:keepNext w:val="0"/>
              <w:keepLines w:val="0"/>
              <w:widowControl/>
              <w:suppressLineNumbers w:val="0"/>
              <w:jc w:val="left"/>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3"/>
                <w:sz w:val="24"/>
                <w:szCs w:val="24"/>
                <w:highlight w:val="none"/>
              </w:rPr>
              <w:t>参考</w:t>
            </w:r>
            <w:r>
              <w:rPr>
                <w:rFonts w:hint="default" w:ascii="Times New Roman" w:hAnsi="Times New Roman" w:eastAsia="宋体" w:cs="Times New Roman"/>
                <w:color w:val="auto"/>
                <w:spacing w:val="2"/>
                <w:position w:val="2"/>
                <w:sz w:val="24"/>
                <w:szCs w:val="24"/>
                <w:highlight w:val="none"/>
              </w:rPr>
              <w:t>《</w:t>
            </w:r>
            <w:r>
              <w:rPr>
                <w:rFonts w:hint="default" w:ascii="Times New Roman" w:hAnsi="Times New Roman" w:eastAsia="宋体" w:cs="Times New Roman"/>
                <w:color w:val="auto"/>
                <w:position w:val="2"/>
                <w:sz w:val="24"/>
                <w:szCs w:val="24"/>
                <w:highlight w:val="none"/>
              </w:rPr>
              <w:t>排放</w:t>
            </w:r>
            <w:r>
              <w:rPr>
                <w:rFonts w:hint="default" w:ascii="Times New Roman" w:hAnsi="Times New Roman" w:eastAsia="宋体" w:cs="Times New Roman"/>
                <w:color w:val="auto"/>
                <w:spacing w:val="2"/>
                <w:sz w:val="24"/>
                <w:szCs w:val="24"/>
                <w:highlight w:val="none"/>
              </w:rPr>
              <w:t>源统计调</w:t>
            </w:r>
            <w:r>
              <w:rPr>
                <w:rFonts w:hint="default" w:ascii="Times New Roman" w:hAnsi="Times New Roman" w:eastAsia="宋体" w:cs="Times New Roman"/>
                <w:color w:val="auto"/>
                <w:sz w:val="24"/>
                <w:szCs w:val="24"/>
                <w:highlight w:val="none"/>
              </w:rPr>
              <w:t>查</w:t>
            </w:r>
            <w:r>
              <w:rPr>
                <w:rFonts w:hint="default" w:ascii="Times New Roman" w:hAnsi="Times New Roman" w:eastAsia="宋体" w:cs="Times New Roman"/>
                <w:color w:val="auto"/>
                <w:spacing w:val="2"/>
                <w:sz w:val="24"/>
                <w:szCs w:val="24"/>
                <w:highlight w:val="none"/>
              </w:rPr>
              <w:t>产排污核算方法</w:t>
            </w:r>
            <w:r>
              <w:rPr>
                <w:rFonts w:hint="default" w:ascii="Times New Roman" w:hAnsi="Times New Roman" w:eastAsia="宋体" w:cs="Times New Roman"/>
                <w:color w:val="auto"/>
                <w:sz w:val="24"/>
                <w:szCs w:val="24"/>
                <w:highlight w:val="none"/>
              </w:rPr>
              <w:t>和</w:t>
            </w:r>
            <w:r>
              <w:rPr>
                <w:rFonts w:hint="default" w:ascii="Times New Roman" w:hAnsi="Times New Roman" w:eastAsia="宋体" w:cs="Times New Roman"/>
                <w:color w:val="auto"/>
                <w:spacing w:val="2"/>
                <w:sz w:val="24"/>
                <w:szCs w:val="24"/>
                <w:highlight w:val="none"/>
              </w:rPr>
              <w:t>系数手册》（</w:t>
            </w:r>
            <w:r>
              <w:rPr>
                <w:rFonts w:hint="default" w:ascii="Times New Roman" w:hAnsi="Times New Roman" w:eastAsia="宋体" w:cs="Times New Roman"/>
                <w:color w:val="auto"/>
                <w:spacing w:val="2"/>
                <w:sz w:val="24"/>
                <w:szCs w:val="24"/>
                <w:highlight w:val="none"/>
                <w:lang w:eastAsia="zh-CN"/>
              </w:rPr>
              <w:t>生态</w:t>
            </w:r>
            <w:r>
              <w:rPr>
                <w:rFonts w:hint="default" w:ascii="Times New Roman" w:hAnsi="Times New Roman" w:eastAsia="宋体" w:cs="Times New Roman"/>
                <w:color w:val="auto"/>
                <w:spacing w:val="2"/>
                <w:sz w:val="24"/>
                <w:szCs w:val="24"/>
                <w:highlight w:val="none"/>
              </w:rPr>
              <w:t>环境</w:t>
            </w:r>
            <w:r>
              <w:rPr>
                <w:rFonts w:hint="default" w:ascii="Times New Roman" w:hAnsi="Times New Roman" w:eastAsia="宋体" w:cs="Times New Roman"/>
                <w:color w:val="auto"/>
                <w:sz w:val="24"/>
                <w:szCs w:val="24"/>
                <w:highlight w:val="none"/>
              </w:rPr>
              <w:t>部</w:t>
            </w:r>
            <w:r>
              <w:rPr>
                <w:rFonts w:hint="default" w:ascii="Times New Roman" w:hAnsi="Times New Roman" w:eastAsia="宋体" w:cs="Times New Roman"/>
                <w:color w:val="auto"/>
                <w:spacing w:val="2"/>
                <w:sz w:val="24"/>
                <w:szCs w:val="24"/>
                <w:highlight w:val="none"/>
              </w:rPr>
              <w:t>公</w:t>
            </w:r>
            <w:r>
              <w:rPr>
                <w:rFonts w:hint="default" w:ascii="Times New Roman" w:hAnsi="Times New Roman" w:eastAsia="宋体" w:cs="Times New Roman"/>
                <w:color w:val="auto"/>
                <w:sz w:val="24"/>
                <w:szCs w:val="24"/>
                <w:highlight w:val="none"/>
              </w:rPr>
              <w:t>告</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sz w:val="24"/>
                <w:szCs w:val="24"/>
                <w:highlight w:val="none"/>
              </w:rPr>
              <w:t>2021</w:t>
            </w:r>
            <w:r>
              <w:rPr>
                <w:rFonts w:hint="default" w:ascii="Times New Roman" w:hAnsi="Times New Roman" w:eastAsia="宋体" w:cs="Times New Roman"/>
                <w:color w:val="auto"/>
                <w:spacing w:val="2"/>
                <w:sz w:val="24"/>
                <w:szCs w:val="24"/>
                <w:highlight w:val="none"/>
              </w:rPr>
              <w:t>年</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sz w:val="24"/>
                <w:szCs w:val="24"/>
                <w:highlight w:val="none"/>
              </w:rPr>
              <w:t>24</w:t>
            </w:r>
            <w:r>
              <w:rPr>
                <w:rFonts w:hint="default" w:ascii="Times New Roman" w:hAnsi="Times New Roman" w:eastAsia="宋体" w:cs="Times New Roman"/>
                <w:color w:val="auto"/>
                <w:spacing w:val="2"/>
                <w:sz w:val="24"/>
                <w:szCs w:val="24"/>
                <w:highlight w:val="none"/>
              </w:rPr>
              <w:t>号）中</w:t>
            </w:r>
            <w:r>
              <w:rPr>
                <w:rFonts w:hint="default" w:ascii="Times New Roman" w:hAnsi="Times New Roman" w:eastAsia="宋体" w:cs="Times New Roman"/>
                <w:color w:val="auto"/>
                <w:kern w:val="0"/>
                <w:sz w:val="24"/>
                <w:szCs w:val="24"/>
                <w:lang w:val="en-US" w:eastAsia="zh-CN" w:bidi="ar"/>
              </w:rPr>
              <w:t>3240 有色金属合金制造行业系数表（续表11）铝镁合金-圆形炉产排污系数，每吨产品产生</w:t>
            </w:r>
            <w:r>
              <w:rPr>
                <w:rFonts w:hint="default" w:ascii="Times New Roman" w:hAnsi="Times New Roman" w:cs="Times New Roman"/>
                <w:color w:val="auto"/>
                <w:kern w:val="0"/>
                <w:sz w:val="24"/>
                <w:szCs w:val="24"/>
                <w:lang w:val="en-US" w:eastAsia="zh-CN" w:bidi="ar"/>
              </w:rPr>
              <w:t>废气量7180标立方米、</w:t>
            </w:r>
            <w:r>
              <w:rPr>
                <w:rFonts w:hint="default" w:ascii="Times New Roman" w:hAnsi="Times New Roman" w:eastAsia="宋体" w:cs="Times New Roman"/>
                <w:color w:val="auto"/>
                <w:kern w:val="0"/>
                <w:sz w:val="24"/>
                <w:szCs w:val="24"/>
                <w:lang w:val="en-US" w:eastAsia="zh-CN" w:bidi="ar"/>
              </w:rPr>
              <w:t>颗粒物5.87kg，本项目镁合金产量为</w:t>
            </w:r>
            <w:r>
              <w:rPr>
                <w:rFonts w:hint="default" w:ascii="Times New Roman" w:hAnsi="Times New Roman" w:cs="Times New Roman"/>
                <w:color w:val="auto"/>
                <w:kern w:val="0"/>
                <w:sz w:val="24"/>
                <w:szCs w:val="24"/>
                <w:lang w:val="en-US" w:eastAsia="zh-CN" w:bidi="ar"/>
              </w:rPr>
              <w:t>16000</w:t>
            </w:r>
            <w:r>
              <w:rPr>
                <w:rFonts w:hint="default" w:ascii="Times New Roman" w:hAnsi="Times New Roman" w:eastAsia="宋体" w:cs="Times New Roman"/>
                <w:color w:val="auto"/>
                <w:kern w:val="0"/>
                <w:sz w:val="24"/>
                <w:szCs w:val="24"/>
                <w:lang w:val="en-US" w:eastAsia="zh-CN" w:bidi="ar"/>
              </w:rPr>
              <w:t>t/a，则熔炼废气产生</w:t>
            </w:r>
            <w:r>
              <w:rPr>
                <w:rFonts w:hint="default" w:ascii="Times New Roman" w:hAnsi="Times New Roman" w:cs="Times New Roman"/>
                <w:color w:val="auto"/>
                <w:kern w:val="0"/>
                <w:sz w:val="24"/>
                <w:szCs w:val="24"/>
                <w:lang w:val="en-US" w:eastAsia="zh-CN" w:bidi="ar"/>
              </w:rPr>
              <w:t>废气量15956m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lang w:val="en-US" w:eastAsia="zh-CN" w:bidi="ar"/>
              </w:rPr>
              <w:t>颗粒物</w:t>
            </w:r>
            <w:r>
              <w:rPr>
                <w:rFonts w:hint="default" w:ascii="Times New Roman" w:hAnsi="Times New Roman" w:cs="Times New Roman"/>
                <w:color w:val="auto"/>
                <w:kern w:val="0"/>
                <w:sz w:val="24"/>
                <w:szCs w:val="24"/>
                <w:lang w:val="en-US" w:eastAsia="zh-CN" w:bidi="ar"/>
              </w:rPr>
              <w:t>93.92</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szCs w:val="24"/>
                <w:highlight w:val="none"/>
                <w:vertAlign w:val="baseline"/>
                <w:lang w:val="en-US" w:eastAsia="zh-CN"/>
              </w:rPr>
              <w:t>。</w:t>
            </w:r>
          </w:p>
          <w:p w14:paraId="439E0E9A">
            <w:pPr>
              <w:pStyle w:val="66"/>
              <w:spacing w:before="2" w:line="344" w:lineRule="auto"/>
              <w:ind w:left="102" w:right="101" w:firstLine="485"/>
              <w:jc w:val="left"/>
              <w:rPr>
                <w:rFonts w:hint="default" w:ascii="Times New Roman" w:hAnsi="Times New Roman" w:eastAsia="宋体" w:cs="Times New Roman"/>
                <w:color w:val="auto"/>
                <w:spacing w:val="-1"/>
                <w:lang w:val="en-US" w:eastAsia="zh-CN"/>
              </w:rPr>
            </w:pPr>
            <w:r>
              <w:rPr>
                <w:rFonts w:hint="default" w:ascii="Times New Roman" w:hAnsi="Times New Roman" w:cs="Times New Roman"/>
                <w:color w:val="auto"/>
                <w:spacing w:val="2"/>
                <w:position w:val="2"/>
                <w:sz w:val="24"/>
                <w:highlight w:val="none"/>
                <w:lang w:val="en-US" w:eastAsia="zh-CN"/>
              </w:rPr>
              <w:t>项目合金熔炼车间浇铸使用脱模剂为氮化硼，性质稳定，无VOCs等污染物排放，浇铸产生污染物为颗粒物。根据</w:t>
            </w:r>
            <w:r>
              <w:rPr>
                <w:rFonts w:hint="default" w:ascii="Times New Roman" w:hAnsi="Times New Roman" w:cs="Times New Roman"/>
                <w:color w:val="auto"/>
                <w:spacing w:val="2"/>
                <w:position w:val="2"/>
                <w:sz w:val="24"/>
                <w:highlight w:val="none"/>
              </w:rPr>
              <w:t>《</w:t>
            </w:r>
            <w:r>
              <w:rPr>
                <w:rFonts w:hint="default" w:ascii="Times New Roman" w:hAnsi="Times New Roman" w:cs="Times New Roman"/>
                <w:color w:val="auto"/>
                <w:position w:val="2"/>
                <w:sz w:val="24"/>
                <w:highlight w:val="none"/>
              </w:rPr>
              <w:t>排放</w:t>
            </w:r>
            <w:r>
              <w:rPr>
                <w:rFonts w:hint="default" w:ascii="Times New Roman" w:hAnsi="Times New Roman" w:cs="Times New Roman"/>
                <w:color w:val="auto"/>
                <w:spacing w:val="2"/>
                <w:sz w:val="24"/>
                <w:highlight w:val="none"/>
              </w:rPr>
              <w:t>源统计调</w:t>
            </w:r>
            <w:r>
              <w:rPr>
                <w:rFonts w:hint="default" w:ascii="Times New Roman" w:hAnsi="Times New Roman" w:cs="Times New Roman"/>
                <w:color w:val="auto"/>
                <w:sz w:val="24"/>
                <w:highlight w:val="none"/>
              </w:rPr>
              <w:t>查</w:t>
            </w:r>
            <w:r>
              <w:rPr>
                <w:rFonts w:hint="default" w:ascii="Times New Roman" w:hAnsi="Times New Roman" w:cs="Times New Roman"/>
                <w:color w:val="auto"/>
                <w:spacing w:val="2"/>
                <w:sz w:val="24"/>
                <w:highlight w:val="none"/>
              </w:rPr>
              <w:t>产排污核算方法</w:t>
            </w:r>
            <w:r>
              <w:rPr>
                <w:rFonts w:hint="default" w:ascii="Times New Roman" w:hAnsi="Times New Roman" w:cs="Times New Roman"/>
                <w:color w:val="auto"/>
                <w:sz w:val="24"/>
                <w:highlight w:val="none"/>
              </w:rPr>
              <w:t>和</w:t>
            </w:r>
            <w:r>
              <w:rPr>
                <w:rFonts w:hint="default" w:ascii="Times New Roman" w:hAnsi="Times New Roman" w:cs="Times New Roman"/>
                <w:color w:val="auto"/>
                <w:spacing w:val="2"/>
                <w:sz w:val="24"/>
                <w:highlight w:val="none"/>
              </w:rPr>
              <w:t>系数手册》（</w:t>
            </w:r>
            <w:r>
              <w:rPr>
                <w:rFonts w:hint="default" w:ascii="Times New Roman" w:hAnsi="Times New Roman" w:cs="Times New Roman"/>
                <w:color w:val="auto"/>
                <w:spacing w:val="2"/>
                <w:sz w:val="24"/>
                <w:highlight w:val="none"/>
                <w:lang w:eastAsia="zh-CN"/>
              </w:rPr>
              <w:t>生态</w:t>
            </w:r>
            <w:r>
              <w:rPr>
                <w:rFonts w:hint="default" w:ascii="Times New Roman" w:hAnsi="Times New Roman" w:cs="Times New Roman"/>
                <w:color w:val="auto"/>
                <w:spacing w:val="2"/>
                <w:sz w:val="24"/>
                <w:highlight w:val="none"/>
              </w:rPr>
              <w:t>环境</w:t>
            </w:r>
            <w:r>
              <w:rPr>
                <w:rFonts w:hint="default" w:ascii="Times New Roman" w:hAnsi="Times New Roman" w:cs="Times New Roman"/>
                <w:color w:val="auto"/>
                <w:sz w:val="24"/>
                <w:highlight w:val="none"/>
              </w:rPr>
              <w:t>部</w:t>
            </w:r>
            <w:r>
              <w:rPr>
                <w:rFonts w:hint="default" w:ascii="Times New Roman" w:hAnsi="Times New Roman" w:cs="Times New Roman"/>
                <w:color w:val="auto"/>
                <w:spacing w:val="2"/>
                <w:sz w:val="24"/>
                <w:highlight w:val="none"/>
              </w:rPr>
              <w:t>公</w:t>
            </w:r>
            <w:r>
              <w:rPr>
                <w:rFonts w:hint="default" w:ascii="Times New Roman" w:hAnsi="Times New Roman" w:cs="Times New Roman"/>
                <w:color w:val="auto"/>
                <w:sz w:val="24"/>
                <w:highlight w:val="none"/>
              </w:rPr>
              <w:t>告</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2021</w:t>
            </w:r>
            <w:r>
              <w:rPr>
                <w:rFonts w:hint="default" w:ascii="Times New Roman" w:hAnsi="Times New Roman" w:cs="Times New Roman"/>
                <w:color w:val="auto"/>
                <w:spacing w:val="2"/>
                <w:sz w:val="24"/>
                <w:highlight w:val="none"/>
              </w:rPr>
              <w:t>年</w:t>
            </w:r>
            <w:r>
              <w:rPr>
                <w:rFonts w:hint="default" w:ascii="Times New Roman" w:hAnsi="Times New Roman" w:cs="Times New Roman"/>
                <w:color w:val="auto"/>
                <w:sz w:val="24"/>
                <w:highlight w:val="none"/>
              </w:rPr>
              <w:t>第</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24</w:t>
            </w:r>
            <w:r>
              <w:rPr>
                <w:rFonts w:hint="default" w:ascii="Times New Roman" w:hAnsi="Times New Roman" w:cs="Times New Roman"/>
                <w:color w:val="auto"/>
                <w:spacing w:val="2"/>
                <w:sz w:val="24"/>
                <w:highlight w:val="none"/>
              </w:rPr>
              <w:t>号）</w:t>
            </w:r>
            <w:r>
              <w:rPr>
                <w:rFonts w:hint="default" w:ascii="Times New Roman" w:hAnsi="Times New Roman" w:eastAsia="宋体" w:cs="Times New Roman"/>
                <w:color w:val="auto"/>
                <w:sz w:val="24"/>
                <w:szCs w:val="24"/>
              </w:rPr>
              <w:t>33-37,431-434</w:t>
            </w:r>
            <w:r>
              <w:rPr>
                <w:rFonts w:hint="default" w:ascii="Times New Roman" w:hAnsi="Times New Roman" w:eastAsia="宋体" w:cs="Times New Roman"/>
                <w:color w:val="auto"/>
                <w:sz w:val="24"/>
                <w:szCs w:val="24"/>
                <w:lang w:val="en-US" w:eastAsia="zh-CN"/>
              </w:rPr>
              <w:t>机械行业系数手册中</w:t>
            </w:r>
            <w:r>
              <w:rPr>
                <w:rFonts w:hint="default" w:ascii="Times New Roman" w:hAnsi="Times New Roman" w:eastAsia="宋体" w:cs="Times New Roman"/>
                <w:color w:val="auto"/>
                <w:sz w:val="24"/>
                <w:szCs w:val="24"/>
              </w:rPr>
              <w:t>造型/浇注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重力、低压）</w:t>
            </w:r>
            <w:r>
              <w:rPr>
                <w:rFonts w:hint="default" w:ascii="Times New Roman" w:hAnsi="Times New Roman" w:eastAsia="宋体" w:cs="Times New Roman"/>
                <w:color w:val="auto"/>
                <w:sz w:val="24"/>
                <w:szCs w:val="24"/>
                <w:highlight w:val="none"/>
                <w:lang w:val="en-US" w:eastAsia="zh-CN"/>
              </w:rPr>
              <w:t>产污系数，</w:t>
            </w:r>
            <w:r>
              <w:rPr>
                <w:rFonts w:hint="default" w:ascii="Times New Roman" w:hAnsi="Times New Roman" w:cs="Times New Roman"/>
                <w:color w:val="auto"/>
                <w:spacing w:val="-2"/>
                <w:sz w:val="24"/>
                <w:szCs w:val="24"/>
                <w:highlight w:val="none"/>
                <w:lang w:val="en-US" w:eastAsia="zh-CN"/>
              </w:rPr>
              <w:t>每吨产品产生废气量6000立方米、颗粒物0.247kg，</w:t>
            </w:r>
            <w:r>
              <w:rPr>
                <w:rFonts w:hint="default" w:ascii="Times New Roman" w:hAnsi="Times New Roman" w:eastAsia="宋体" w:cs="Times New Roman"/>
                <w:color w:val="auto"/>
                <w:kern w:val="0"/>
                <w:sz w:val="24"/>
                <w:szCs w:val="24"/>
                <w:lang w:val="en-US" w:eastAsia="zh-CN" w:bidi="ar"/>
              </w:rPr>
              <w:t>本项目镁合金产量为</w:t>
            </w:r>
            <w:r>
              <w:rPr>
                <w:rFonts w:hint="default" w:ascii="Times New Roman" w:hAnsi="Times New Roman" w:cs="Times New Roman"/>
                <w:color w:val="auto"/>
                <w:kern w:val="0"/>
                <w:sz w:val="24"/>
                <w:szCs w:val="24"/>
                <w:lang w:val="en-US" w:eastAsia="zh-CN" w:bidi="ar"/>
              </w:rPr>
              <w:t>1600</w:t>
            </w:r>
            <w:r>
              <w:rPr>
                <w:rFonts w:hint="default" w:ascii="Times New Roman" w:hAnsi="Times New Roman" w:eastAsia="宋体" w:cs="Times New Roman"/>
                <w:color w:val="auto"/>
                <w:kern w:val="0"/>
                <w:sz w:val="24"/>
                <w:szCs w:val="24"/>
                <w:lang w:val="en-US" w:eastAsia="zh-CN" w:bidi="ar"/>
              </w:rPr>
              <w:t>0t/a，则</w:t>
            </w:r>
            <w:r>
              <w:rPr>
                <w:rFonts w:hint="default" w:ascii="Times New Roman" w:hAnsi="Times New Roman" w:cs="Times New Roman"/>
                <w:color w:val="auto"/>
                <w:kern w:val="0"/>
                <w:sz w:val="24"/>
                <w:szCs w:val="24"/>
                <w:lang w:val="en-US" w:eastAsia="zh-CN" w:bidi="ar"/>
              </w:rPr>
              <w:t>浇铸</w:t>
            </w:r>
            <w:r>
              <w:rPr>
                <w:rFonts w:hint="default" w:ascii="Times New Roman" w:hAnsi="Times New Roman" w:eastAsia="宋体" w:cs="Times New Roman"/>
                <w:color w:val="auto"/>
                <w:kern w:val="0"/>
                <w:sz w:val="24"/>
                <w:szCs w:val="24"/>
                <w:lang w:val="en-US" w:eastAsia="zh-CN" w:bidi="ar"/>
              </w:rPr>
              <w:t>废气产生</w:t>
            </w:r>
            <w:r>
              <w:rPr>
                <w:rFonts w:hint="default" w:ascii="Times New Roman" w:hAnsi="Times New Roman" w:cs="Times New Roman"/>
                <w:color w:val="auto"/>
                <w:kern w:val="0"/>
                <w:sz w:val="24"/>
                <w:szCs w:val="24"/>
                <w:lang w:val="en-US" w:eastAsia="zh-CN" w:bidi="ar"/>
              </w:rPr>
              <w:t>废气量13333m</w:t>
            </w:r>
            <w:r>
              <w:rPr>
                <w:rFonts w:hint="default" w:ascii="Times New Roman" w:hAnsi="Times New Roman" w:cs="Times New Roman"/>
                <w:color w:val="auto"/>
                <w:kern w:val="0"/>
                <w:sz w:val="24"/>
                <w:szCs w:val="24"/>
                <w:vertAlign w:val="superscript"/>
                <w:lang w:val="en-US" w:eastAsia="zh-CN" w:bidi="ar"/>
              </w:rPr>
              <w:t>3</w:t>
            </w:r>
            <w:r>
              <w:rPr>
                <w:rFonts w:hint="default" w:ascii="Times New Roman" w:hAnsi="Times New Roman"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lang w:val="en-US" w:eastAsia="zh-CN" w:bidi="ar"/>
              </w:rPr>
              <w:t>颗粒物</w:t>
            </w:r>
            <w:r>
              <w:rPr>
                <w:rFonts w:hint="default" w:ascii="Times New Roman" w:hAnsi="Times New Roman" w:cs="Times New Roman"/>
                <w:color w:val="auto"/>
                <w:kern w:val="0"/>
                <w:sz w:val="24"/>
                <w:szCs w:val="24"/>
                <w:lang w:val="en-US" w:eastAsia="zh-CN" w:bidi="ar"/>
              </w:rPr>
              <w:t>3.95</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eastAsia="宋体" w:cs="Times New Roman"/>
                <w:color w:val="auto"/>
                <w:spacing w:val="-1"/>
                <w:lang w:val="en-US" w:eastAsia="zh-CN"/>
              </w:rPr>
              <w:t>。</w:t>
            </w:r>
          </w:p>
          <w:p w14:paraId="0CBC01CA">
            <w:pPr>
              <w:pStyle w:val="66"/>
              <w:spacing w:before="54" w:line="345" w:lineRule="auto"/>
              <w:ind w:left="107" w:right="19" w:firstLine="485"/>
              <w:jc w:val="left"/>
              <w:rPr>
                <w:rFonts w:hint="default" w:ascii="Times New Roman" w:hAnsi="Times New Roman" w:cs="Times New Roman"/>
                <w:color w:val="auto"/>
              </w:rPr>
            </w:pPr>
            <w:r>
              <w:rPr>
                <w:rFonts w:hint="default" w:ascii="Times New Roman" w:hAnsi="Times New Roman" w:cs="Times New Roman"/>
                <w:color w:val="auto"/>
                <w:spacing w:val="-7"/>
                <w:lang w:val="en-US" w:eastAsia="zh-CN"/>
              </w:rPr>
              <w:t>项目熔炼炉、铸锭机均为封闭设备，仅进出料和扒渣时有少量废气逸散，采用密闭集气罩收集，收集效率不低于90%</w:t>
            </w:r>
            <w:r>
              <w:rPr>
                <w:rFonts w:hint="default" w:ascii="Times New Roman" w:hAnsi="Times New Roman" w:cs="Times New Roman"/>
                <w:color w:val="auto"/>
                <w:spacing w:val="3"/>
                <w:sz w:val="24"/>
                <w:szCs w:val="24"/>
              </w:rPr>
              <w:t>，</w:t>
            </w:r>
            <w:r>
              <w:rPr>
                <w:rFonts w:hint="default" w:ascii="Times New Roman" w:hAnsi="Times New Roman" w:cs="Times New Roman"/>
                <w:color w:val="auto"/>
                <w:spacing w:val="2"/>
                <w:sz w:val="24"/>
                <w:szCs w:val="24"/>
              </w:rPr>
              <w:t>两条生产线废气经各自的集</w:t>
            </w:r>
            <w:r>
              <w:rPr>
                <w:rFonts w:hint="default" w:ascii="Times New Roman" w:hAnsi="Times New Roman" w:cs="Times New Roman"/>
                <w:color w:val="auto"/>
                <w:spacing w:val="1"/>
                <w:sz w:val="24"/>
                <w:szCs w:val="24"/>
              </w:rPr>
              <w:t>气罩收集</w:t>
            </w:r>
            <w:r>
              <w:rPr>
                <w:rFonts w:hint="default" w:ascii="Times New Roman" w:hAnsi="Times New Roman" w:cs="Times New Roman"/>
                <w:color w:val="auto"/>
                <w:spacing w:val="1"/>
                <w:sz w:val="24"/>
                <w:szCs w:val="24"/>
                <w:lang w:val="en-US" w:eastAsia="zh-CN"/>
              </w:rPr>
              <w:t>汇总</w:t>
            </w:r>
            <w:r>
              <w:rPr>
                <w:rFonts w:hint="default" w:ascii="Times New Roman" w:hAnsi="Times New Roman" w:cs="Times New Roman"/>
                <w:color w:val="auto"/>
                <w:spacing w:val="1"/>
                <w:sz w:val="24"/>
                <w:szCs w:val="24"/>
                <w:lang w:eastAsia="zh-CN"/>
              </w:rPr>
              <w:t>，</w:t>
            </w:r>
            <w:r>
              <w:rPr>
                <w:rFonts w:hint="default" w:ascii="Times New Roman" w:hAnsi="Times New Roman" w:cs="Times New Roman"/>
                <w:color w:val="auto"/>
                <w:spacing w:val="1"/>
                <w:sz w:val="24"/>
                <w:szCs w:val="24"/>
                <w:lang w:val="en-US" w:eastAsia="zh-CN"/>
              </w:rPr>
              <w:t>一起经布袋除尘器处理后经15m高排气筒DA001排放，结合前文计算，汇总废气量29289</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r>
              <w:rPr>
                <w:rFonts w:hint="default" w:ascii="Times New Roman" w:hAnsi="Times New Roman" w:cs="Times New Roman"/>
                <w:color w:val="auto"/>
                <w:spacing w:val="1"/>
                <w:sz w:val="24"/>
                <w:szCs w:val="24"/>
                <w:lang w:val="en-US" w:eastAsia="zh-CN"/>
              </w:rPr>
              <w:t>，</w:t>
            </w:r>
            <w:r>
              <w:rPr>
                <w:rFonts w:hint="default" w:ascii="Times New Roman" w:hAnsi="Times New Roman" w:cs="Times New Roman"/>
                <w:color w:val="auto"/>
                <w:kern w:val="0"/>
                <w:sz w:val="24"/>
                <w:szCs w:val="24"/>
                <w:lang w:val="en-US" w:eastAsia="zh-CN"/>
              </w:rPr>
              <w:t>根据</w:t>
            </w:r>
            <w:r>
              <w:rPr>
                <w:rFonts w:hint="default" w:ascii="Times New Roman" w:hAnsi="Times New Roman" w:cs="Times New Roman"/>
                <w:color w:val="auto"/>
                <w:spacing w:val="1"/>
                <w:highlight w:val="none"/>
                <w:lang w:val="en-US" w:eastAsia="zh-CN"/>
              </w:rPr>
              <w:t>《铸造工业大气污染防治可行技术指南》(HJ1292-2023)》，</w:t>
            </w:r>
            <w:r>
              <w:rPr>
                <w:rFonts w:hint="default" w:ascii="Times New Roman" w:hAnsi="Times New Roman" w:cs="Times New Roman"/>
                <w:color w:val="auto"/>
                <w:spacing w:val="1"/>
                <w:highlight w:val="none"/>
              </w:rPr>
              <w:t>布袋除尘器</w:t>
            </w:r>
            <w:r>
              <w:rPr>
                <w:rFonts w:hint="default" w:ascii="Times New Roman" w:hAnsi="Times New Roman" w:cs="Times New Roman"/>
                <w:color w:val="auto"/>
                <w:spacing w:val="1"/>
              </w:rPr>
              <w:t>除尘效率按</w:t>
            </w:r>
            <w:r>
              <w:rPr>
                <w:rFonts w:hint="default" w:ascii="Times New Roman" w:hAnsi="Times New Roman" w:cs="Times New Roman"/>
                <w:color w:val="auto"/>
                <w:spacing w:val="-51"/>
              </w:rPr>
              <w:t xml:space="preserve"> </w:t>
            </w:r>
            <w:r>
              <w:rPr>
                <w:rFonts w:hint="default" w:ascii="Times New Roman" w:hAnsi="Times New Roman" w:eastAsia="Times New Roman" w:cs="Times New Roman"/>
                <w:color w:val="auto"/>
              </w:rPr>
              <w:t>99%</w:t>
            </w:r>
            <w:r>
              <w:rPr>
                <w:rFonts w:hint="default" w:ascii="Times New Roman" w:hAnsi="Times New Roman" w:cs="Times New Roman"/>
                <w:color w:val="auto"/>
              </w:rPr>
              <w:t>计</w:t>
            </w:r>
            <w:r>
              <w:rPr>
                <w:rFonts w:hint="default" w:ascii="Times New Roman" w:hAnsi="Times New Roman" w:cs="Times New Roman"/>
                <w:color w:val="auto"/>
                <w:lang w:eastAsia="zh-CN"/>
              </w:rPr>
              <w:t>，</w:t>
            </w:r>
            <w:r>
              <w:rPr>
                <w:rFonts w:hint="default" w:ascii="Times New Roman" w:hAnsi="Times New Roman" w:cs="Times New Roman"/>
                <w:color w:val="auto"/>
                <w:spacing w:val="-6"/>
              </w:rPr>
              <w:t>则项目熔炼、</w:t>
            </w:r>
            <w:r>
              <w:rPr>
                <w:rFonts w:hint="default" w:ascii="Times New Roman" w:hAnsi="Times New Roman" w:cs="Times New Roman"/>
                <w:color w:val="auto"/>
                <w:spacing w:val="-1"/>
              </w:rPr>
              <w:t>浇铸废气污染物排放情况见表</w:t>
            </w:r>
            <w:r>
              <w:rPr>
                <w:rFonts w:hint="default" w:ascii="Times New Roman" w:hAnsi="Times New Roman" w:cs="Times New Roman"/>
                <w:color w:val="auto"/>
                <w:spacing w:val="-53"/>
              </w:rPr>
              <w:t xml:space="preserve"> </w:t>
            </w:r>
            <w:r>
              <w:rPr>
                <w:rFonts w:hint="default" w:ascii="Times New Roman" w:hAnsi="Times New Roman" w:eastAsia="宋体" w:cs="Times New Roman"/>
                <w:color w:val="auto"/>
                <w:spacing w:val="-1"/>
                <w:lang w:val="en-US" w:eastAsia="zh-CN"/>
              </w:rPr>
              <w:t>4-2</w:t>
            </w:r>
            <w:r>
              <w:rPr>
                <w:rFonts w:hint="default" w:ascii="Times New Roman" w:hAnsi="Times New Roman" w:cs="Times New Roman"/>
                <w:color w:val="auto"/>
                <w:spacing w:val="-1"/>
              </w:rPr>
              <w:t>。</w:t>
            </w:r>
          </w:p>
          <w:p w14:paraId="24539178">
            <w:pPr>
              <w:keepNext w:val="0"/>
              <w:keepLines w:val="0"/>
              <w:widowControl/>
              <w:suppressLineNumbers w:val="0"/>
              <w:ind w:left="0" w:leftChars="0" w:firstLine="0" w:firstLineChars="0"/>
              <w:jc w:val="center"/>
              <w:rPr>
                <w:rFonts w:hint="default" w:ascii="Times New Roman" w:hAnsi="Times New Roman" w:eastAsia="黑体" w:cs="Times New Roman"/>
                <w:color w:val="auto"/>
                <w:sz w:val="24"/>
                <w:szCs w:val="24"/>
                <w:highlight w:val="none"/>
                <w:vertAlign w:val="baseline"/>
                <w:lang w:val="en-US" w:eastAsia="zh-CN"/>
              </w:rPr>
            </w:pPr>
            <w:r>
              <w:rPr>
                <w:rFonts w:hint="default" w:ascii="Times New Roman" w:hAnsi="Times New Roman" w:eastAsia="黑体" w:cs="Times New Roman"/>
                <w:color w:val="auto"/>
                <w:sz w:val="24"/>
                <w:szCs w:val="24"/>
                <w:highlight w:val="none"/>
                <w:vertAlign w:val="baseline"/>
                <w:lang w:val="en-US" w:eastAsia="zh-CN"/>
              </w:rPr>
              <w:t xml:space="preserve">表4-2  </w:t>
            </w:r>
            <w:r>
              <w:rPr>
                <w:rFonts w:hint="default" w:ascii="Times New Roman" w:hAnsi="Times New Roman" w:eastAsia="黑体" w:cs="Times New Roman"/>
                <w:color w:val="auto"/>
                <w:spacing w:val="8"/>
                <w:sz w:val="24"/>
                <w:szCs w:val="24"/>
                <w:highlight w:val="none"/>
              </w:rPr>
              <w:t>熔炼、浇铸</w:t>
            </w:r>
            <w:r>
              <w:rPr>
                <w:rFonts w:hint="default" w:ascii="Times New Roman" w:hAnsi="Times New Roman" w:eastAsia="黑体" w:cs="Times New Roman"/>
                <w:color w:val="auto"/>
                <w:spacing w:val="8"/>
                <w:sz w:val="24"/>
                <w:szCs w:val="24"/>
                <w:highlight w:val="none"/>
                <w:lang w:val="en-US" w:eastAsia="zh-CN"/>
              </w:rPr>
              <w:t>大气</w:t>
            </w:r>
            <w:r>
              <w:rPr>
                <w:rFonts w:hint="default" w:ascii="Times New Roman" w:hAnsi="Times New Roman" w:eastAsia="黑体" w:cs="Times New Roman"/>
                <w:color w:val="auto"/>
                <w:spacing w:val="8"/>
                <w:sz w:val="24"/>
                <w:szCs w:val="24"/>
                <w:highlight w:val="none"/>
              </w:rPr>
              <w:t>污染物</w:t>
            </w:r>
            <w:r>
              <w:rPr>
                <w:rFonts w:hint="default" w:ascii="Times New Roman" w:hAnsi="Times New Roman" w:eastAsia="黑体" w:cs="Times New Roman"/>
                <w:color w:val="auto"/>
                <w:spacing w:val="8"/>
                <w:sz w:val="24"/>
                <w:szCs w:val="24"/>
                <w:highlight w:val="none"/>
                <w:lang w:val="en-US" w:eastAsia="zh-CN"/>
              </w:rPr>
              <w:t>产生及</w:t>
            </w:r>
            <w:r>
              <w:rPr>
                <w:rFonts w:hint="default" w:ascii="Times New Roman" w:hAnsi="Times New Roman" w:eastAsia="黑体" w:cs="Times New Roman"/>
                <w:color w:val="auto"/>
                <w:spacing w:val="8"/>
                <w:sz w:val="24"/>
                <w:szCs w:val="24"/>
                <w:highlight w:val="none"/>
              </w:rPr>
              <w:t>排放情况</w:t>
            </w:r>
          </w:p>
          <w:tbl>
            <w:tblPr>
              <w:tblStyle w:val="67"/>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1021"/>
              <w:gridCol w:w="959"/>
              <w:gridCol w:w="963"/>
              <w:gridCol w:w="1240"/>
              <w:gridCol w:w="1184"/>
              <w:gridCol w:w="1163"/>
              <w:gridCol w:w="1404"/>
            </w:tblGrid>
            <w:tr w14:paraId="78040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65" w:type="pct"/>
                  <w:vAlign w:val="top"/>
                </w:tcPr>
                <w:p w14:paraId="574463D9">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污染</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
                      <w:sz w:val="21"/>
                      <w:szCs w:val="21"/>
                      <w:highlight w:val="none"/>
                    </w:rPr>
                    <w:t>源</w:t>
                  </w:r>
                </w:p>
              </w:tc>
              <w:tc>
                <w:tcPr>
                  <w:tcW w:w="596" w:type="pct"/>
                  <w:vAlign w:val="top"/>
                </w:tcPr>
                <w:p w14:paraId="1EEDD7E7">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eastAsia="zh-CN"/>
                    </w:rPr>
                    <w:t>废</w:t>
                  </w:r>
                  <w:r>
                    <w:rPr>
                      <w:rFonts w:hint="default" w:ascii="Times New Roman" w:hAnsi="Times New Roman" w:eastAsia="宋体" w:cs="Times New Roman"/>
                      <w:color w:val="auto"/>
                      <w:spacing w:val="6"/>
                      <w:sz w:val="21"/>
                      <w:szCs w:val="21"/>
                      <w:highlight w:val="none"/>
                    </w:rPr>
                    <w:t>气量</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sz w:val="21"/>
                      <w:szCs w:val="21"/>
                      <w:highlight w:val="none"/>
                    </w:rPr>
                    <w:t>）</w:t>
                  </w:r>
                </w:p>
              </w:tc>
              <w:tc>
                <w:tcPr>
                  <w:tcW w:w="560" w:type="pct"/>
                  <w:vAlign w:val="top"/>
                </w:tcPr>
                <w:p w14:paraId="48045AF9">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污染物</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4"/>
                      <w:sz w:val="21"/>
                      <w:szCs w:val="21"/>
                      <w:highlight w:val="none"/>
                    </w:rPr>
                    <w:t>种类</w:t>
                  </w:r>
                </w:p>
              </w:tc>
              <w:tc>
                <w:tcPr>
                  <w:tcW w:w="562" w:type="pct"/>
                  <w:vAlign w:val="top"/>
                </w:tcPr>
                <w:p w14:paraId="532F1BCD">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产生量</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color w:val="auto"/>
                      <w:spacing w:val="-1"/>
                      <w:sz w:val="21"/>
                      <w:szCs w:val="21"/>
                      <w:highlight w:val="none"/>
                    </w:rPr>
                    <w:t>（t/a）</w:t>
                  </w:r>
                </w:p>
              </w:tc>
              <w:tc>
                <w:tcPr>
                  <w:tcW w:w="724" w:type="pct"/>
                  <w:vAlign w:val="top"/>
                </w:tcPr>
                <w:p w14:paraId="0A731DB5">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lang w:eastAsia="zh-CN"/>
                    </w:rPr>
                    <w:t>无组织排放量</w:t>
                  </w:r>
                  <w:r>
                    <w:rPr>
                      <w:rFonts w:hint="default" w:ascii="Times New Roman" w:hAnsi="Times New Roman" w:eastAsia="宋体" w:cs="Times New Roman"/>
                      <w:color w:val="auto"/>
                      <w:spacing w:val="-1"/>
                      <w:sz w:val="21"/>
                      <w:szCs w:val="21"/>
                      <w:highlight w:val="none"/>
                    </w:rPr>
                    <w:t>（t/a）</w:t>
                  </w:r>
                </w:p>
              </w:tc>
              <w:tc>
                <w:tcPr>
                  <w:tcW w:w="691" w:type="pct"/>
                  <w:vAlign w:val="top"/>
                </w:tcPr>
                <w:p w14:paraId="070A0DB8">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eastAsia="zh-CN"/>
                    </w:rPr>
                    <w:t>有组织</w:t>
                  </w:r>
                  <w:r>
                    <w:rPr>
                      <w:rFonts w:hint="default" w:ascii="Times New Roman" w:hAnsi="Times New Roman" w:eastAsia="宋体" w:cs="Times New Roman"/>
                      <w:color w:val="auto"/>
                      <w:spacing w:val="6"/>
                      <w:sz w:val="21"/>
                      <w:szCs w:val="21"/>
                      <w:highlight w:val="none"/>
                    </w:rPr>
                    <w:t>排放量</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color w:val="auto"/>
                      <w:spacing w:val="-1"/>
                      <w:sz w:val="21"/>
                      <w:szCs w:val="21"/>
                      <w:highlight w:val="none"/>
                    </w:rPr>
                    <w:t>（t/a）</w:t>
                  </w:r>
                </w:p>
              </w:tc>
              <w:tc>
                <w:tcPr>
                  <w:tcW w:w="679" w:type="pct"/>
                  <w:vAlign w:val="top"/>
                </w:tcPr>
                <w:p w14:paraId="3C608079">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lang w:eastAsia="zh-CN"/>
                    </w:rPr>
                    <w:t>有组织</w:t>
                  </w:r>
                  <w:r>
                    <w:rPr>
                      <w:rFonts w:hint="default" w:ascii="Times New Roman" w:hAnsi="Times New Roman" w:eastAsia="宋体" w:cs="Times New Roman"/>
                      <w:color w:val="auto"/>
                      <w:spacing w:val="7"/>
                      <w:sz w:val="21"/>
                      <w:szCs w:val="21"/>
                      <w:highlight w:val="none"/>
                    </w:rPr>
                    <w:t>排放速率</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2"/>
                      <w:sz w:val="21"/>
                      <w:szCs w:val="21"/>
                      <w:highlight w:val="none"/>
                    </w:rPr>
                    <w:t>/h）</w:t>
                  </w:r>
                </w:p>
              </w:tc>
              <w:tc>
                <w:tcPr>
                  <w:tcW w:w="820" w:type="pct"/>
                  <w:vAlign w:val="top"/>
                </w:tcPr>
                <w:p w14:paraId="1CFC5F70">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eastAsia="zh-CN"/>
                    </w:rPr>
                    <w:t>有组织排放浓度（</w:t>
                  </w:r>
                  <w:r>
                    <w:rPr>
                      <w:rFonts w:hint="default" w:ascii="Times New Roman" w:hAnsi="Times New Roman" w:eastAsia="宋体" w:cs="Times New Roman"/>
                      <w:color w:val="auto"/>
                      <w:spacing w:val="7"/>
                      <w:sz w:val="21"/>
                      <w:szCs w:val="21"/>
                      <w:highlight w:val="none"/>
                      <w:lang w:val="en-US" w:eastAsia="zh-CN"/>
                    </w:rPr>
                    <w:t>mg/m</w:t>
                  </w:r>
                  <w:r>
                    <w:rPr>
                      <w:rFonts w:hint="default" w:ascii="Times New Roman" w:hAnsi="Times New Roman" w:eastAsia="宋体"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lang w:eastAsia="zh-CN"/>
                    </w:rPr>
                    <w:t>）</w:t>
                  </w:r>
                </w:p>
              </w:tc>
            </w:tr>
            <w:tr w14:paraId="0CAE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365" w:type="pct"/>
                  <w:vAlign w:val="center"/>
                </w:tcPr>
                <w:p w14:paraId="1CC46301">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5"/>
                      <w:sz w:val="21"/>
                      <w:szCs w:val="21"/>
                      <w:highlight w:val="none"/>
                    </w:rPr>
                    <w:t>熔炼、</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5"/>
                      <w:sz w:val="21"/>
                      <w:szCs w:val="21"/>
                      <w:highlight w:val="none"/>
                    </w:rPr>
                    <w:t>浇铸</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5"/>
                      <w:sz w:val="21"/>
                      <w:szCs w:val="21"/>
                      <w:highlight w:val="none"/>
                    </w:rPr>
                    <w:t>废气</w:t>
                  </w:r>
                  <w:r>
                    <w:rPr>
                      <w:rFonts w:hint="default" w:ascii="Times New Roman" w:hAnsi="Times New Roman" w:cs="Times New Roman"/>
                      <w:color w:val="auto"/>
                      <w:spacing w:val="5"/>
                      <w:sz w:val="21"/>
                      <w:szCs w:val="21"/>
                      <w:highlight w:val="none"/>
                      <w:lang w:val="en-US" w:eastAsia="zh-CN"/>
                    </w:rPr>
                    <w:t>DA001</w:t>
                  </w:r>
                </w:p>
              </w:tc>
              <w:tc>
                <w:tcPr>
                  <w:tcW w:w="596" w:type="pct"/>
                  <w:vAlign w:val="center"/>
                </w:tcPr>
                <w:p w14:paraId="1CDF8D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29289</w:t>
                  </w:r>
                </w:p>
              </w:tc>
              <w:tc>
                <w:tcPr>
                  <w:tcW w:w="560" w:type="pct"/>
                  <w:vAlign w:val="center"/>
                </w:tcPr>
                <w:p w14:paraId="690585FB">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颗粒物</w:t>
                  </w:r>
                </w:p>
              </w:tc>
              <w:tc>
                <w:tcPr>
                  <w:tcW w:w="562" w:type="pct"/>
                  <w:vAlign w:val="center"/>
                </w:tcPr>
                <w:p w14:paraId="472B70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97.87</w:t>
                  </w:r>
                </w:p>
              </w:tc>
              <w:tc>
                <w:tcPr>
                  <w:tcW w:w="724" w:type="pct"/>
                  <w:vAlign w:val="center"/>
                </w:tcPr>
                <w:p w14:paraId="295758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9.79</w:t>
                  </w:r>
                </w:p>
              </w:tc>
              <w:tc>
                <w:tcPr>
                  <w:tcW w:w="691" w:type="pct"/>
                  <w:vAlign w:val="center"/>
                </w:tcPr>
                <w:p w14:paraId="4353F1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0.88</w:t>
                  </w:r>
                </w:p>
              </w:tc>
              <w:tc>
                <w:tcPr>
                  <w:tcW w:w="679" w:type="pct"/>
                  <w:vAlign w:val="center"/>
                </w:tcPr>
                <w:p w14:paraId="045B9C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0.12</w:t>
                  </w:r>
                </w:p>
              </w:tc>
              <w:tc>
                <w:tcPr>
                  <w:tcW w:w="820" w:type="pct"/>
                  <w:vAlign w:val="center"/>
                </w:tcPr>
                <w:p w14:paraId="1B8433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4.18</w:t>
                  </w:r>
                </w:p>
              </w:tc>
            </w:tr>
          </w:tbl>
          <w:p w14:paraId="1A85E526">
            <w:pPr>
              <w:pStyle w:val="66"/>
              <w:spacing w:before="2" w:line="344" w:lineRule="auto"/>
              <w:ind w:left="102" w:right="101" w:firstLine="485"/>
              <w:jc w:val="left"/>
              <w:rPr>
                <w:rFonts w:hint="default" w:ascii="Times New Roman" w:hAnsi="Times New Roman" w:eastAsia="宋体" w:cs="Times New Roman"/>
                <w:color w:val="auto"/>
                <w:spacing w:val="-1"/>
                <w:lang w:val="en-US" w:eastAsia="zh-CN"/>
              </w:rPr>
            </w:pPr>
            <w:r>
              <w:rPr>
                <w:rFonts w:hint="default" w:ascii="Times New Roman" w:hAnsi="Times New Roman" w:cs="Times New Roman"/>
                <w:color w:val="auto"/>
                <w:spacing w:val="-1"/>
                <w:lang w:val="en-US" w:eastAsia="zh-CN"/>
              </w:rPr>
              <w:t>B.熔炼燃烧废气</w:t>
            </w:r>
          </w:p>
          <w:p w14:paraId="48CDE128">
            <w:pPr>
              <w:pStyle w:val="66"/>
              <w:spacing w:before="2" w:line="360" w:lineRule="auto"/>
              <w:ind w:left="102" w:right="101" w:firstLine="485"/>
              <w:jc w:val="left"/>
              <w:rPr>
                <w:rFonts w:hint="default" w:ascii="Times New Roman" w:hAnsi="Times New Roman" w:eastAsia="宋体" w:cs="Times New Roman"/>
                <w:color w:val="auto"/>
              </w:rPr>
            </w:pPr>
            <w:r>
              <w:rPr>
                <w:rFonts w:hint="default" w:ascii="Times New Roman" w:hAnsi="Times New Roman" w:eastAsia="宋体" w:cs="Times New Roman"/>
                <w:color w:val="auto"/>
                <w:spacing w:val="-1"/>
                <w:sz w:val="24"/>
                <w:szCs w:val="24"/>
                <w:highlight w:val="none"/>
                <w:lang w:val="en-US" w:eastAsia="zh-CN"/>
              </w:rPr>
              <w:t>项目熔炼炉采用</w:t>
            </w:r>
            <w:r>
              <w:rPr>
                <w:rFonts w:hint="default" w:ascii="Times New Roman" w:hAnsi="Times New Roman" w:cs="Times New Roman"/>
                <w:color w:val="auto"/>
                <w:spacing w:val="-1"/>
                <w:sz w:val="24"/>
                <w:szCs w:val="24"/>
                <w:highlight w:val="none"/>
                <w:lang w:val="en-US" w:eastAsia="zh-CN"/>
              </w:rPr>
              <w:t>荒煤气</w:t>
            </w:r>
            <w:r>
              <w:rPr>
                <w:rFonts w:hint="default" w:ascii="Times New Roman" w:hAnsi="Times New Roman" w:eastAsia="宋体" w:cs="Times New Roman"/>
                <w:color w:val="auto"/>
                <w:spacing w:val="-1"/>
                <w:sz w:val="24"/>
                <w:szCs w:val="24"/>
                <w:highlight w:val="none"/>
                <w:lang w:val="en-US" w:eastAsia="zh-CN"/>
              </w:rPr>
              <w:t>为燃料，属于</w:t>
            </w:r>
            <w:r>
              <w:rPr>
                <w:rFonts w:hint="default" w:ascii="Times New Roman" w:hAnsi="Times New Roman" w:cs="Times New Roman"/>
                <w:color w:val="auto"/>
                <w:spacing w:val="-1"/>
                <w:sz w:val="24"/>
                <w:szCs w:val="24"/>
                <w:highlight w:val="none"/>
                <w:lang w:val="en-US" w:eastAsia="zh-CN"/>
              </w:rPr>
              <w:t>焦炉</w:t>
            </w:r>
            <w:r>
              <w:rPr>
                <w:rFonts w:hint="default" w:ascii="Times New Roman" w:hAnsi="Times New Roman" w:eastAsia="宋体" w:cs="Times New Roman"/>
                <w:color w:val="auto"/>
                <w:spacing w:val="-1"/>
                <w:sz w:val="24"/>
                <w:szCs w:val="24"/>
                <w:highlight w:val="none"/>
                <w:lang w:val="en-US" w:eastAsia="zh-CN"/>
              </w:rPr>
              <w:t>煤气，</w:t>
            </w:r>
            <w:r>
              <w:rPr>
                <w:rFonts w:hint="default" w:ascii="Times New Roman" w:hAnsi="Times New Roman" w:cs="Times New Roman"/>
                <w:color w:val="auto"/>
                <w:spacing w:val="-1"/>
                <w:lang w:val="en-US" w:eastAsia="zh-CN"/>
              </w:rPr>
              <w:t>经确认，燃烧器采用低氮燃烧技术，</w:t>
            </w:r>
            <w:r>
              <w:rPr>
                <w:rFonts w:hint="default" w:ascii="Times New Roman" w:hAnsi="Times New Roman" w:eastAsia="宋体" w:cs="Times New Roman"/>
                <w:color w:val="auto"/>
                <w:spacing w:val="-3"/>
                <w:sz w:val="24"/>
                <w:szCs w:val="24"/>
                <w:highlight w:val="none"/>
              </w:rPr>
              <w:t>参考</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排污许可证申请与核发技术规范 锅炉》（</w:t>
            </w:r>
            <w:r>
              <w:rPr>
                <w:rFonts w:hint="default" w:ascii="Times New Roman" w:hAnsi="Times New Roman" w:eastAsia="宋体" w:cs="Times New Roman"/>
                <w:color w:val="auto"/>
                <w:spacing w:val="2"/>
                <w:position w:val="2"/>
                <w:sz w:val="24"/>
                <w:szCs w:val="24"/>
                <w:highlight w:val="none"/>
                <w:lang w:val="en-US" w:eastAsia="zh-CN"/>
              </w:rPr>
              <w:t>HJ953-2018</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lang w:val="en-US" w:eastAsia="zh-CN"/>
              </w:rPr>
              <w:t>表F.3</w:t>
            </w:r>
            <w:r>
              <w:rPr>
                <w:rFonts w:hint="default" w:ascii="Times New Roman" w:hAnsi="Times New Roman" w:eastAsia="宋体" w:cs="Times New Roman"/>
                <w:color w:val="auto"/>
                <w:spacing w:val="2"/>
                <w:sz w:val="24"/>
                <w:szCs w:val="24"/>
                <w:highlight w:val="none"/>
              </w:rPr>
              <w:t>中</w:t>
            </w:r>
            <w:r>
              <w:rPr>
                <w:rFonts w:hint="default" w:ascii="Times New Roman" w:hAnsi="Times New Roman" w:eastAsia="宋体" w:cs="Times New Roman"/>
                <w:color w:val="auto"/>
                <w:sz w:val="24"/>
                <w:szCs w:val="24"/>
                <w:highlight w:val="none"/>
                <w:lang w:val="en-US" w:eastAsia="zh-CN"/>
              </w:rPr>
              <w:t>煤气室燃炉以及</w:t>
            </w:r>
            <w:r>
              <w:rPr>
                <w:rFonts w:hint="default" w:ascii="Times New Roman" w:hAnsi="Times New Roman" w:eastAsia="宋体" w:cs="Times New Roman"/>
                <w:color w:val="auto"/>
                <w:spacing w:val="2"/>
                <w:position w:val="2"/>
                <w:sz w:val="24"/>
                <w:szCs w:val="24"/>
                <w:highlight w:val="none"/>
              </w:rPr>
              <w:t>《</w:t>
            </w:r>
            <w:r>
              <w:rPr>
                <w:rFonts w:hint="default" w:ascii="Times New Roman" w:hAnsi="Times New Roman" w:eastAsia="宋体" w:cs="Times New Roman"/>
                <w:color w:val="auto"/>
                <w:position w:val="2"/>
                <w:sz w:val="24"/>
                <w:szCs w:val="24"/>
                <w:highlight w:val="none"/>
              </w:rPr>
              <w:t>排放</w:t>
            </w:r>
            <w:r>
              <w:rPr>
                <w:rFonts w:hint="default" w:ascii="Times New Roman" w:hAnsi="Times New Roman" w:eastAsia="宋体" w:cs="Times New Roman"/>
                <w:color w:val="auto"/>
                <w:spacing w:val="2"/>
                <w:sz w:val="24"/>
                <w:szCs w:val="24"/>
                <w:highlight w:val="none"/>
              </w:rPr>
              <w:t>源统计调</w:t>
            </w:r>
            <w:r>
              <w:rPr>
                <w:rFonts w:hint="default" w:ascii="Times New Roman" w:hAnsi="Times New Roman" w:eastAsia="宋体" w:cs="Times New Roman"/>
                <w:color w:val="auto"/>
                <w:sz w:val="24"/>
                <w:szCs w:val="24"/>
                <w:highlight w:val="none"/>
              </w:rPr>
              <w:t>查</w:t>
            </w:r>
            <w:r>
              <w:rPr>
                <w:rFonts w:hint="default" w:ascii="Times New Roman" w:hAnsi="Times New Roman" w:eastAsia="宋体" w:cs="Times New Roman"/>
                <w:color w:val="auto"/>
                <w:spacing w:val="2"/>
                <w:sz w:val="24"/>
                <w:szCs w:val="24"/>
                <w:highlight w:val="none"/>
              </w:rPr>
              <w:t>产排污核算方法</w:t>
            </w:r>
            <w:r>
              <w:rPr>
                <w:rFonts w:hint="default" w:ascii="Times New Roman" w:hAnsi="Times New Roman" w:eastAsia="宋体" w:cs="Times New Roman"/>
                <w:color w:val="auto"/>
                <w:sz w:val="24"/>
                <w:szCs w:val="24"/>
                <w:highlight w:val="none"/>
              </w:rPr>
              <w:t>和</w:t>
            </w:r>
            <w:r>
              <w:rPr>
                <w:rFonts w:hint="default" w:ascii="Times New Roman" w:hAnsi="Times New Roman" w:eastAsia="宋体" w:cs="Times New Roman"/>
                <w:color w:val="auto"/>
                <w:spacing w:val="2"/>
                <w:sz w:val="24"/>
                <w:szCs w:val="24"/>
                <w:highlight w:val="none"/>
              </w:rPr>
              <w:t>系数手册》（</w:t>
            </w:r>
            <w:r>
              <w:rPr>
                <w:rFonts w:hint="default" w:ascii="Times New Roman" w:hAnsi="Times New Roman" w:eastAsia="宋体" w:cs="Times New Roman"/>
                <w:color w:val="auto"/>
                <w:spacing w:val="2"/>
                <w:sz w:val="24"/>
                <w:szCs w:val="24"/>
                <w:highlight w:val="none"/>
                <w:lang w:eastAsia="zh-CN"/>
              </w:rPr>
              <w:t>生态</w:t>
            </w:r>
            <w:r>
              <w:rPr>
                <w:rFonts w:hint="default" w:ascii="Times New Roman" w:hAnsi="Times New Roman" w:eastAsia="宋体" w:cs="Times New Roman"/>
                <w:color w:val="auto"/>
                <w:spacing w:val="2"/>
                <w:sz w:val="24"/>
                <w:szCs w:val="24"/>
                <w:highlight w:val="none"/>
              </w:rPr>
              <w:t>环境</w:t>
            </w:r>
            <w:r>
              <w:rPr>
                <w:rFonts w:hint="default" w:ascii="Times New Roman" w:hAnsi="Times New Roman" w:eastAsia="宋体" w:cs="Times New Roman"/>
                <w:color w:val="auto"/>
                <w:sz w:val="24"/>
                <w:szCs w:val="24"/>
                <w:highlight w:val="none"/>
              </w:rPr>
              <w:t>部</w:t>
            </w:r>
            <w:r>
              <w:rPr>
                <w:rFonts w:hint="default" w:ascii="Times New Roman" w:hAnsi="Times New Roman" w:eastAsia="宋体" w:cs="Times New Roman"/>
                <w:color w:val="auto"/>
                <w:spacing w:val="2"/>
                <w:sz w:val="24"/>
                <w:szCs w:val="24"/>
                <w:highlight w:val="none"/>
              </w:rPr>
              <w:t>公</w:t>
            </w:r>
            <w:r>
              <w:rPr>
                <w:rFonts w:hint="default" w:ascii="Times New Roman" w:hAnsi="Times New Roman" w:eastAsia="宋体" w:cs="Times New Roman"/>
                <w:color w:val="auto"/>
                <w:sz w:val="24"/>
                <w:szCs w:val="24"/>
                <w:highlight w:val="none"/>
              </w:rPr>
              <w:t>告</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sz w:val="24"/>
                <w:szCs w:val="24"/>
                <w:highlight w:val="none"/>
              </w:rPr>
              <w:t>2021</w:t>
            </w:r>
            <w:r>
              <w:rPr>
                <w:rFonts w:hint="default" w:ascii="Times New Roman" w:hAnsi="Times New Roman" w:eastAsia="宋体" w:cs="Times New Roman"/>
                <w:color w:val="auto"/>
                <w:spacing w:val="2"/>
                <w:sz w:val="24"/>
                <w:szCs w:val="24"/>
                <w:highlight w:val="none"/>
              </w:rPr>
              <w:t>年</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sz w:val="24"/>
                <w:szCs w:val="24"/>
                <w:highlight w:val="none"/>
              </w:rPr>
              <w:t>24</w:t>
            </w:r>
            <w:r>
              <w:rPr>
                <w:rFonts w:hint="default" w:ascii="Times New Roman" w:hAnsi="Times New Roman" w:eastAsia="宋体" w:cs="Times New Roman"/>
                <w:color w:val="auto"/>
                <w:spacing w:val="2"/>
                <w:sz w:val="24"/>
                <w:szCs w:val="24"/>
                <w:highlight w:val="none"/>
              </w:rPr>
              <w:t>号）中</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sz w:val="24"/>
                <w:szCs w:val="24"/>
                <w:highlight w:val="none"/>
              </w:rPr>
              <w:t>4430工</w:t>
            </w:r>
            <w:r>
              <w:rPr>
                <w:rFonts w:hint="default" w:ascii="Times New Roman" w:hAnsi="Times New Roman" w:eastAsia="宋体" w:cs="Times New Roman"/>
                <w:color w:val="auto"/>
                <w:spacing w:val="4"/>
                <w:sz w:val="24"/>
                <w:szCs w:val="24"/>
                <w:highlight w:val="none"/>
              </w:rPr>
              <w:t>业锅</w:t>
            </w:r>
            <w:r>
              <w:rPr>
                <w:rFonts w:hint="default" w:ascii="Times New Roman" w:hAnsi="Times New Roman" w:eastAsia="宋体" w:cs="Times New Roman"/>
                <w:color w:val="auto"/>
                <w:spacing w:val="7"/>
                <w:sz w:val="24"/>
                <w:szCs w:val="24"/>
                <w:highlight w:val="none"/>
              </w:rPr>
              <w:t>炉</w:t>
            </w:r>
            <w:r>
              <w:rPr>
                <w:rFonts w:hint="default" w:ascii="Times New Roman" w:hAnsi="Times New Roman" w:eastAsia="宋体" w:cs="Times New Roman"/>
                <w:color w:val="auto"/>
                <w:spacing w:val="4"/>
                <w:sz w:val="24"/>
                <w:szCs w:val="24"/>
                <w:highlight w:val="none"/>
              </w:rPr>
              <w:t>（热力供</w:t>
            </w:r>
            <w:r>
              <w:rPr>
                <w:rFonts w:hint="default" w:ascii="Times New Roman" w:hAnsi="Times New Roman" w:eastAsia="宋体" w:cs="Times New Roman"/>
                <w:color w:val="auto"/>
                <w:spacing w:val="7"/>
                <w:sz w:val="24"/>
                <w:szCs w:val="24"/>
                <w:highlight w:val="none"/>
              </w:rPr>
              <w:t>应</w:t>
            </w:r>
            <w:r>
              <w:rPr>
                <w:rFonts w:hint="default" w:ascii="Times New Roman" w:hAnsi="Times New Roman" w:eastAsia="宋体" w:cs="Times New Roman"/>
                <w:color w:val="auto"/>
                <w:spacing w:val="4"/>
                <w:sz w:val="24"/>
                <w:szCs w:val="24"/>
                <w:highlight w:val="none"/>
              </w:rPr>
              <w:t>）行业系</w:t>
            </w:r>
            <w:r>
              <w:rPr>
                <w:rFonts w:hint="default" w:ascii="Times New Roman" w:hAnsi="Times New Roman" w:eastAsia="宋体" w:cs="Times New Roman"/>
                <w:color w:val="auto"/>
                <w:spacing w:val="7"/>
                <w:sz w:val="24"/>
                <w:szCs w:val="24"/>
                <w:highlight w:val="none"/>
              </w:rPr>
              <w:t>数</w:t>
            </w:r>
            <w:r>
              <w:rPr>
                <w:rFonts w:hint="default" w:ascii="Times New Roman" w:hAnsi="Times New Roman" w:eastAsia="宋体" w:cs="Times New Roman"/>
                <w:color w:val="auto"/>
                <w:spacing w:val="4"/>
                <w:sz w:val="24"/>
                <w:szCs w:val="24"/>
                <w:highlight w:val="none"/>
              </w:rPr>
              <w:t>手册</w:t>
            </w:r>
            <w:r>
              <w:rPr>
                <w:rFonts w:hint="default" w:ascii="Times New Roman" w:hAnsi="Times New Roman" w:eastAsia="宋体" w:cs="Times New Roman"/>
                <w:color w:val="auto"/>
                <w:spacing w:val="4"/>
                <w:sz w:val="24"/>
                <w:szCs w:val="24"/>
                <w:highlight w:val="none"/>
                <w:lang w:val="en-US" w:eastAsia="zh-CN"/>
              </w:rPr>
              <w:t>中焦炉煤气</w:t>
            </w:r>
            <w:r>
              <w:rPr>
                <w:rFonts w:hint="default" w:ascii="Times New Roman" w:hAnsi="Times New Roman" w:eastAsia="宋体" w:cs="Times New Roman"/>
                <w:color w:val="auto"/>
                <w:sz w:val="24"/>
                <w:szCs w:val="24"/>
                <w:highlight w:val="none"/>
                <w:lang w:val="en-US" w:eastAsia="zh-CN"/>
              </w:rPr>
              <w:t>产污系数</w:t>
            </w:r>
            <w:r>
              <w:rPr>
                <w:rFonts w:hint="default" w:ascii="Times New Roman" w:hAnsi="Times New Roman" w:eastAsia="宋体" w:cs="Times New Roman"/>
                <w:color w:val="auto"/>
                <w:spacing w:val="4"/>
                <w:sz w:val="24"/>
                <w:szCs w:val="24"/>
                <w:highlight w:val="none"/>
                <w:lang w:val="en-US" w:eastAsia="zh-CN"/>
              </w:rPr>
              <w:t>：每万立方米燃气产生废气48793标立方米、颗粒物2.86kg、氮氧化物8.6kg、二氧化硫0.02Skg（本项目S=</w:t>
            </w:r>
            <w:r>
              <w:rPr>
                <w:rFonts w:hint="default" w:ascii="Times New Roman" w:hAnsi="Times New Roman" w:cs="Times New Roman"/>
                <w:color w:val="auto"/>
                <w:spacing w:val="4"/>
                <w:sz w:val="24"/>
                <w:szCs w:val="24"/>
                <w:highlight w:val="none"/>
                <w:lang w:val="en-US" w:eastAsia="zh-CN"/>
              </w:rPr>
              <w:t>2300mg/m</w:t>
            </w:r>
            <w:r>
              <w:rPr>
                <w:rFonts w:hint="default" w:ascii="Times New Roman" w:hAnsi="Times New Roman" w:cs="Times New Roman"/>
                <w:color w:val="auto"/>
                <w:spacing w:val="4"/>
                <w:sz w:val="24"/>
                <w:szCs w:val="24"/>
                <w:highlight w:val="none"/>
                <w:vertAlign w:val="superscript"/>
                <w:lang w:val="en-US" w:eastAsia="zh-CN"/>
              </w:rPr>
              <w:t>3</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项目熔炼炉年耗</w:t>
            </w:r>
            <w:r>
              <w:rPr>
                <w:rFonts w:hint="default" w:ascii="Times New Roman" w:hAnsi="Times New Roman" w:cs="Times New Roman"/>
                <w:color w:val="auto"/>
                <w:kern w:val="0"/>
                <w:sz w:val="24"/>
                <w:szCs w:val="24"/>
                <w:highlight w:val="none"/>
                <w:lang w:val="en-US" w:eastAsia="zh-CN" w:bidi="ar"/>
              </w:rPr>
              <w:t>荒煤气</w:t>
            </w:r>
            <w:r>
              <w:rPr>
                <w:rFonts w:hint="default" w:ascii="Times New Roman" w:hAnsi="Times New Roman" w:cs="Times New Roman"/>
                <w:color w:val="auto"/>
                <w:sz w:val="24"/>
                <w:szCs w:val="24"/>
                <w:highlight w:val="none"/>
                <w:lang w:val="en-US" w:eastAsia="zh-CN"/>
              </w:rPr>
              <w:t>640</w:t>
            </w:r>
            <w:r>
              <w:rPr>
                <w:rFonts w:hint="default" w:ascii="Times New Roman" w:hAnsi="Times New Roman" w:eastAsia="宋体" w:cs="Times New Roman"/>
                <w:color w:val="auto"/>
                <w:sz w:val="24"/>
                <w:szCs w:val="24"/>
                <w:highlight w:val="none"/>
              </w:rPr>
              <w:t>万</w:t>
            </w: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则产生废气</w:t>
            </w:r>
            <w:r>
              <w:rPr>
                <w:rFonts w:hint="default" w:ascii="Times New Roman" w:hAnsi="Times New Roman" w:cs="Times New Roman"/>
                <w:color w:val="auto"/>
                <w:sz w:val="24"/>
                <w:szCs w:val="24"/>
                <w:highlight w:val="none"/>
                <w:vertAlign w:val="baseline"/>
                <w:lang w:val="en-US" w:eastAsia="zh-CN"/>
              </w:rPr>
              <w:t>3123</w:t>
            </w:r>
            <w:r>
              <w:rPr>
                <w:rFonts w:hint="default" w:ascii="Times New Roman" w:hAnsi="Times New Roman" w:eastAsia="宋体" w:cs="Times New Roman"/>
                <w:color w:val="auto"/>
                <w:sz w:val="24"/>
                <w:szCs w:val="24"/>
                <w:highlight w:val="none"/>
                <w:vertAlign w:val="baseline"/>
                <w:lang w:val="en-US" w:eastAsia="zh-CN"/>
              </w:rPr>
              <w:t>万标立方米（每小时</w:t>
            </w:r>
            <w:r>
              <w:rPr>
                <w:rFonts w:hint="default" w:ascii="Times New Roman" w:hAnsi="Times New Roman" w:cs="Times New Roman"/>
                <w:color w:val="auto"/>
                <w:spacing w:val="6"/>
                <w:sz w:val="24"/>
                <w:szCs w:val="24"/>
                <w:highlight w:val="none"/>
                <w:lang w:val="en-US" w:eastAsia="zh-CN"/>
              </w:rPr>
              <w:t>4337</w:t>
            </w:r>
            <w:r>
              <w:rPr>
                <w:rFonts w:hint="default" w:ascii="Times New Roman" w:hAnsi="Times New Roman" w:eastAsia="宋体" w:cs="Times New Roman"/>
                <w:color w:val="auto"/>
                <w:spacing w:val="6"/>
                <w:sz w:val="24"/>
                <w:szCs w:val="24"/>
                <w:highlight w:val="none"/>
                <w:lang w:val="en-US" w:eastAsia="zh-CN"/>
              </w:rPr>
              <w:t>标立方米</w:t>
            </w:r>
            <w:r>
              <w:rPr>
                <w:rFonts w:hint="default" w:ascii="Times New Roman" w:hAnsi="Times New Roman" w:eastAsia="宋体" w:cs="Times New Roman"/>
                <w:color w:val="auto"/>
                <w:sz w:val="24"/>
                <w:szCs w:val="24"/>
                <w:highlight w:val="none"/>
                <w:vertAlign w:val="baseline"/>
                <w:lang w:val="en-US" w:eastAsia="zh-CN"/>
              </w:rPr>
              <w:t>）、颗粒物</w:t>
            </w:r>
            <w:r>
              <w:rPr>
                <w:rFonts w:hint="default" w:ascii="Times New Roman" w:hAnsi="Times New Roman" w:cs="Times New Roman"/>
                <w:color w:val="auto"/>
                <w:sz w:val="24"/>
                <w:szCs w:val="24"/>
                <w:highlight w:val="none"/>
                <w:vertAlign w:val="baseline"/>
                <w:lang w:val="en-US" w:eastAsia="zh-CN"/>
              </w:rPr>
              <w:t>1.83</w:t>
            </w:r>
            <w:r>
              <w:rPr>
                <w:rFonts w:hint="default" w:ascii="Times New Roman" w:hAnsi="Times New Roman" w:eastAsia="宋体" w:cs="Times New Roman"/>
                <w:color w:val="auto"/>
                <w:sz w:val="24"/>
                <w:szCs w:val="24"/>
                <w:highlight w:val="none"/>
                <w:vertAlign w:val="baseline"/>
                <w:lang w:val="en-US" w:eastAsia="zh-CN"/>
              </w:rPr>
              <w:t>t/a、氮氧化物</w:t>
            </w:r>
            <w:r>
              <w:rPr>
                <w:rFonts w:hint="default" w:ascii="Times New Roman" w:hAnsi="Times New Roman" w:cs="Times New Roman"/>
                <w:color w:val="auto"/>
                <w:sz w:val="24"/>
                <w:szCs w:val="24"/>
                <w:highlight w:val="none"/>
                <w:vertAlign w:val="baseline"/>
                <w:lang w:val="en-US" w:eastAsia="zh-CN"/>
              </w:rPr>
              <w:t>5.50</w:t>
            </w:r>
            <w:r>
              <w:rPr>
                <w:rFonts w:hint="default" w:ascii="Times New Roman" w:hAnsi="Times New Roman" w:eastAsia="宋体" w:cs="Times New Roman"/>
                <w:color w:val="auto"/>
                <w:sz w:val="24"/>
                <w:szCs w:val="24"/>
                <w:highlight w:val="none"/>
                <w:vertAlign w:val="baseline"/>
                <w:lang w:val="en-US" w:eastAsia="zh-CN"/>
              </w:rPr>
              <w:t>t/a及二氧化硫</w:t>
            </w:r>
            <w:r>
              <w:rPr>
                <w:rFonts w:hint="default" w:ascii="Times New Roman" w:hAnsi="Times New Roman" w:cs="Times New Roman"/>
                <w:color w:val="auto"/>
                <w:sz w:val="24"/>
                <w:szCs w:val="24"/>
                <w:highlight w:val="none"/>
                <w:vertAlign w:val="baseline"/>
                <w:lang w:val="en-US" w:eastAsia="zh-CN"/>
              </w:rPr>
              <w:t>29.44</w:t>
            </w:r>
            <w:r>
              <w:rPr>
                <w:rFonts w:hint="default" w:ascii="Times New Roman" w:hAnsi="Times New Roman" w:eastAsia="宋体" w:cs="Times New Roman"/>
                <w:color w:val="auto"/>
                <w:sz w:val="24"/>
                <w:szCs w:val="24"/>
                <w:highlight w:val="none"/>
                <w:vertAlign w:val="baseline"/>
                <w:lang w:val="en-US" w:eastAsia="zh-CN"/>
              </w:rPr>
              <w:t>t/a。</w:t>
            </w:r>
            <w:r>
              <w:rPr>
                <w:rFonts w:hint="default" w:ascii="Times New Roman" w:hAnsi="Times New Roman" w:cs="Times New Roman"/>
                <w:color w:val="auto"/>
                <w:spacing w:val="1"/>
                <w:sz w:val="24"/>
                <w:szCs w:val="24"/>
                <w:lang w:val="en-US" w:eastAsia="zh-CN"/>
              </w:rPr>
              <w:t>燃烧废气经</w:t>
            </w:r>
            <w:r>
              <w:rPr>
                <w:rFonts w:hint="default" w:ascii="Times New Roman" w:hAnsi="Times New Roman" w:cs="Times New Roman"/>
                <w:color w:val="auto"/>
                <w:spacing w:val="-6"/>
                <w:lang w:val="en-US" w:eastAsia="zh-CN"/>
              </w:rPr>
              <w:t>一套湿式脱硫系统</w:t>
            </w:r>
            <w:r>
              <w:rPr>
                <w:rFonts w:hint="default" w:ascii="Times New Roman" w:hAnsi="Times New Roman" w:cs="Times New Roman"/>
                <w:color w:val="auto"/>
                <w:spacing w:val="1"/>
              </w:rPr>
              <w:t>处理后由高</w:t>
            </w:r>
            <w:r>
              <w:rPr>
                <w:rFonts w:hint="default" w:ascii="Times New Roman" w:hAnsi="Times New Roman" w:cs="Times New Roman"/>
                <w:color w:val="auto"/>
                <w:spacing w:val="-32"/>
              </w:rPr>
              <w:t xml:space="preserve"> </w:t>
            </w:r>
            <w:r>
              <w:rPr>
                <w:rFonts w:hint="default" w:ascii="Times New Roman" w:hAnsi="Times New Roman" w:eastAsia="Times New Roman" w:cs="Times New Roman"/>
                <w:color w:val="auto"/>
              </w:rPr>
              <w:t>15m</w:t>
            </w:r>
            <w:r>
              <w:rPr>
                <w:rFonts w:hint="default" w:ascii="Times New Roman" w:hAnsi="Times New Roman" w:cs="Times New Roman"/>
                <w:color w:val="auto"/>
              </w:rPr>
              <w:t>排气筒</w:t>
            </w:r>
            <w:r>
              <w:rPr>
                <w:rFonts w:hint="default" w:ascii="Times New Roman" w:hAnsi="Times New Roman" w:cs="Times New Roman"/>
                <w:color w:val="auto"/>
                <w:lang w:val="en-US" w:eastAsia="zh-CN"/>
              </w:rPr>
              <w:t>DA002</w:t>
            </w:r>
            <w:r>
              <w:rPr>
                <w:rFonts w:hint="default" w:ascii="Times New Roman" w:hAnsi="Times New Roman" w:cs="Times New Roman"/>
                <w:color w:val="auto"/>
              </w:rPr>
              <w:t>排放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废气量为</w:t>
            </w:r>
            <w:r>
              <w:rPr>
                <w:rFonts w:hint="default" w:ascii="Times New Roman" w:hAnsi="Times New Roman" w:cs="Times New Roman"/>
                <w:color w:val="auto"/>
                <w:sz w:val="24"/>
                <w:szCs w:val="24"/>
                <w:lang w:val="en-US" w:eastAsia="zh-CN"/>
              </w:rPr>
              <w:t>4337</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spacing w:val="-6"/>
                <w:lang w:val="en-US" w:eastAsia="zh-CN"/>
              </w:rPr>
              <w:t>根</w:t>
            </w:r>
            <w:r>
              <w:rPr>
                <w:rFonts w:hint="default" w:ascii="Times New Roman" w:hAnsi="Times New Roman" w:eastAsia="宋体" w:cs="Times New Roman"/>
                <w:color w:val="auto"/>
                <w:spacing w:val="-6"/>
                <w:lang w:val="en-US" w:eastAsia="zh-CN"/>
              </w:rPr>
              <w:t>据《铸造工业大气污染防治可行技术指南》(HJ1292-2023)》，</w:t>
            </w:r>
            <w:r>
              <w:rPr>
                <w:rFonts w:hint="default" w:ascii="Times New Roman" w:hAnsi="Times New Roman" w:eastAsia="宋体" w:cs="Times New Roman"/>
                <w:color w:val="auto"/>
                <w:spacing w:val="-5"/>
              </w:rPr>
              <w:t>二氧化</w:t>
            </w:r>
            <w:r>
              <w:rPr>
                <w:rFonts w:hint="default" w:ascii="Times New Roman" w:hAnsi="Times New Roman" w:eastAsia="宋体" w:cs="Times New Roman"/>
                <w:color w:val="auto"/>
                <w:spacing w:val="-6"/>
              </w:rPr>
              <w:t>硫的去除效率按</w:t>
            </w:r>
            <w:r>
              <w:rPr>
                <w:rFonts w:hint="default" w:ascii="Times New Roman" w:hAnsi="Times New Roman" w:eastAsia="宋体" w:cs="Times New Roman"/>
                <w:color w:val="auto"/>
                <w:lang w:val="en-US" w:eastAsia="zh-CN"/>
              </w:rPr>
              <w:t>90</w:t>
            </w:r>
            <w:r>
              <w:rPr>
                <w:rFonts w:hint="default" w:ascii="Times New Roman" w:hAnsi="Times New Roman" w:eastAsia="宋体" w:cs="Times New Roman"/>
                <w:color w:val="auto"/>
              </w:rPr>
              <w:t>%</w:t>
            </w:r>
            <w:r>
              <w:rPr>
                <w:rFonts w:hint="default" w:ascii="Times New Roman" w:hAnsi="Times New Roman" w:eastAsia="宋体" w:cs="Times New Roman"/>
                <w:color w:val="auto"/>
                <w:spacing w:val="-6"/>
              </w:rPr>
              <w:t>计</w:t>
            </w:r>
            <w:r>
              <w:rPr>
                <w:rFonts w:hint="default" w:ascii="Times New Roman" w:hAnsi="Times New Roman" w:eastAsia="宋体" w:cs="Times New Roman"/>
                <w:color w:val="auto"/>
                <w:spacing w:val="-6"/>
                <w:lang w:eastAsia="zh-CN"/>
              </w:rPr>
              <w:t>；</w:t>
            </w:r>
            <w:r>
              <w:rPr>
                <w:rFonts w:hint="default" w:ascii="Times New Roman" w:hAnsi="Times New Roman" w:eastAsia="宋体" w:cs="Times New Roman"/>
                <w:color w:val="auto"/>
                <w:spacing w:val="-6"/>
                <w:lang w:val="en-US" w:eastAsia="zh-CN"/>
              </w:rPr>
              <w:t>湿式脱硫协同除尘效率按60%计，</w:t>
            </w:r>
            <w:r>
              <w:rPr>
                <w:rFonts w:hint="default" w:ascii="Times New Roman" w:hAnsi="Times New Roman" w:eastAsia="宋体" w:cs="Times New Roman"/>
                <w:color w:val="auto"/>
                <w:spacing w:val="-6"/>
              </w:rPr>
              <w:t>则项目熔炼</w:t>
            </w:r>
            <w:r>
              <w:rPr>
                <w:rFonts w:hint="default" w:ascii="Times New Roman" w:hAnsi="Times New Roman" w:eastAsia="宋体" w:cs="Times New Roman"/>
                <w:color w:val="auto"/>
                <w:spacing w:val="-6"/>
                <w:lang w:val="en-US" w:eastAsia="zh-CN"/>
              </w:rPr>
              <w:t>燃烧</w:t>
            </w:r>
            <w:r>
              <w:rPr>
                <w:rFonts w:hint="default" w:ascii="Times New Roman" w:hAnsi="Times New Roman" w:eastAsia="宋体" w:cs="Times New Roman"/>
                <w:color w:val="auto"/>
                <w:spacing w:val="-1"/>
              </w:rPr>
              <w:t>废气污染物排放情况见表</w:t>
            </w:r>
            <w:r>
              <w:rPr>
                <w:rFonts w:hint="default" w:ascii="Times New Roman" w:hAnsi="Times New Roman" w:eastAsia="宋体" w:cs="Times New Roman"/>
                <w:color w:val="auto"/>
                <w:spacing w:val="-53"/>
              </w:rPr>
              <w:t xml:space="preserve"> </w:t>
            </w:r>
            <w:r>
              <w:rPr>
                <w:rFonts w:hint="default" w:ascii="Times New Roman" w:hAnsi="Times New Roman" w:eastAsia="宋体" w:cs="Times New Roman"/>
                <w:color w:val="auto"/>
                <w:spacing w:val="-1"/>
                <w:lang w:val="en-US" w:eastAsia="zh-CN"/>
              </w:rPr>
              <w:t>4-3</w:t>
            </w:r>
            <w:r>
              <w:rPr>
                <w:rFonts w:hint="default" w:ascii="Times New Roman" w:hAnsi="Times New Roman" w:eastAsia="宋体" w:cs="Times New Roman"/>
                <w:color w:val="auto"/>
                <w:spacing w:val="-1"/>
              </w:rPr>
              <w:t>。</w:t>
            </w:r>
          </w:p>
          <w:p w14:paraId="5EA87A2B">
            <w:pPr>
              <w:keepNext w:val="0"/>
              <w:keepLines w:val="0"/>
              <w:widowControl/>
              <w:suppressLineNumbers w:val="0"/>
              <w:ind w:left="0" w:leftChars="0" w:firstLine="0" w:firstLineChars="0"/>
              <w:jc w:val="center"/>
              <w:rPr>
                <w:rFonts w:hint="default" w:ascii="Times New Roman" w:hAnsi="Times New Roman" w:eastAsia="黑体" w:cs="Times New Roman"/>
                <w:color w:val="auto"/>
                <w:sz w:val="24"/>
                <w:szCs w:val="24"/>
                <w:highlight w:val="none"/>
                <w:vertAlign w:val="baseline"/>
                <w:lang w:val="en-US" w:eastAsia="zh-CN"/>
              </w:rPr>
            </w:pPr>
            <w:r>
              <w:rPr>
                <w:rFonts w:hint="default" w:ascii="Times New Roman" w:hAnsi="Times New Roman" w:eastAsia="黑体" w:cs="Times New Roman"/>
                <w:color w:val="auto"/>
                <w:sz w:val="24"/>
                <w:szCs w:val="24"/>
                <w:highlight w:val="none"/>
                <w:vertAlign w:val="baseline"/>
                <w:lang w:val="en-US" w:eastAsia="zh-CN"/>
              </w:rPr>
              <w:t xml:space="preserve">表4-3  </w:t>
            </w:r>
            <w:r>
              <w:rPr>
                <w:rFonts w:hint="default" w:ascii="Times New Roman" w:hAnsi="Times New Roman" w:eastAsia="黑体" w:cs="Times New Roman"/>
                <w:color w:val="auto"/>
                <w:spacing w:val="8"/>
                <w:sz w:val="24"/>
                <w:szCs w:val="24"/>
                <w:highlight w:val="none"/>
              </w:rPr>
              <w:t>熔炼</w:t>
            </w:r>
            <w:r>
              <w:rPr>
                <w:rFonts w:hint="default" w:ascii="Times New Roman" w:hAnsi="Times New Roman" w:eastAsia="黑体" w:cs="Times New Roman"/>
                <w:color w:val="auto"/>
                <w:spacing w:val="8"/>
                <w:sz w:val="24"/>
                <w:szCs w:val="24"/>
                <w:highlight w:val="none"/>
                <w:lang w:val="en-US" w:eastAsia="zh-CN"/>
              </w:rPr>
              <w:t>燃烧大气</w:t>
            </w:r>
            <w:r>
              <w:rPr>
                <w:rFonts w:hint="default" w:ascii="Times New Roman" w:hAnsi="Times New Roman" w:eastAsia="黑体" w:cs="Times New Roman"/>
                <w:color w:val="auto"/>
                <w:spacing w:val="8"/>
                <w:sz w:val="24"/>
                <w:szCs w:val="24"/>
                <w:highlight w:val="none"/>
              </w:rPr>
              <w:t>污染物</w:t>
            </w:r>
            <w:r>
              <w:rPr>
                <w:rFonts w:hint="default" w:ascii="Times New Roman" w:hAnsi="Times New Roman" w:eastAsia="黑体" w:cs="Times New Roman"/>
                <w:color w:val="auto"/>
                <w:spacing w:val="8"/>
                <w:sz w:val="24"/>
                <w:szCs w:val="24"/>
                <w:highlight w:val="none"/>
                <w:lang w:val="en-US" w:eastAsia="zh-CN"/>
              </w:rPr>
              <w:t>产生及</w:t>
            </w:r>
            <w:r>
              <w:rPr>
                <w:rFonts w:hint="default" w:ascii="Times New Roman" w:hAnsi="Times New Roman" w:eastAsia="黑体" w:cs="Times New Roman"/>
                <w:color w:val="auto"/>
                <w:spacing w:val="8"/>
                <w:sz w:val="24"/>
                <w:szCs w:val="24"/>
                <w:highlight w:val="none"/>
              </w:rPr>
              <w:t>排放情况</w:t>
            </w:r>
          </w:p>
          <w:tbl>
            <w:tblPr>
              <w:tblStyle w:val="67"/>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1195"/>
              <w:gridCol w:w="1123"/>
              <w:gridCol w:w="1127"/>
              <w:gridCol w:w="1386"/>
              <w:gridCol w:w="1405"/>
              <w:gridCol w:w="1604"/>
            </w:tblGrid>
            <w:tr w14:paraId="12D0C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26" w:type="pct"/>
                  <w:vAlign w:val="top"/>
                </w:tcPr>
                <w:p w14:paraId="092EDA1D">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污染</w:t>
                  </w:r>
                  <w:r>
                    <w:rPr>
                      <w:rFonts w:hint="default" w:ascii="Times New Roman" w:hAnsi="Times New Roman" w:eastAsia="宋体" w:cs="Times New Roman"/>
                      <w:color w:val="auto"/>
                      <w:spacing w:val="1"/>
                      <w:sz w:val="21"/>
                      <w:szCs w:val="21"/>
                      <w:highlight w:val="none"/>
                    </w:rPr>
                    <w:t>源</w:t>
                  </w:r>
                </w:p>
              </w:tc>
              <w:tc>
                <w:tcPr>
                  <w:tcW w:w="697" w:type="pct"/>
                  <w:vAlign w:val="top"/>
                </w:tcPr>
                <w:p w14:paraId="1293677D">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eastAsia="zh-CN"/>
                    </w:rPr>
                    <w:t>废</w:t>
                  </w:r>
                  <w:r>
                    <w:rPr>
                      <w:rFonts w:hint="default" w:ascii="Times New Roman" w:hAnsi="Times New Roman" w:eastAsia="宋体" w:cs="Times New Roman"/>
                      <w:color w:val="auto"/>
                      <w:spacing w:val="6"/>
                      <w:sz w:val="21"/>
                      <w:szCs w:val="21"/>
                      <w:highlight w:val="none"/>
                    </w:rPr>
                    <w:t>气量</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sz w:val="21"/>
                      <w:szCs w:val="21"/>
                      <w:highlight w:val="none"/>
                    </w:rPr>
                    <w:t>）</w:t>
                  </w:r>
                </w:p>
              </w:tc>
              <w:tc>
                <w:tcPr>
                  <w:tcW w:w="655" w:type="pct"/>
                  <w:vAlign w:val="top"/>
                </w:tcPr>
                <w:p w14:paraId="0215AF26">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污染物</w:t>
                  </w:r>
                </w:p>
              </w:tc>
              <w:tc>
                <w:tcPr>
                  <w:tcW w:w="657" w:type="pct"/>
                  <w:vAlign w:val="top"/>
                </w:tcPr>
                <w:p w14:paraId="766F2904">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产生量</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color w:val="auto"/>
                      <w:spacing w:val="-1"/>
                      <w:sz w:val="21"/>
                      <w:szCs w:val="21"/>
                      <w:highlight w:val="none"/>
                    </w:rPr>
                    <w:t>（t/a）</w:t>
                  </w:r>
                </w:p>
              </w:tc>
              <w:tc>
                <w:tcPr>
                  <w:tcW w:w="808" w:type="pct"/>
                  <w:vAlign w:val="top"/>
                </w:tcPr>
                <w:p w14:paraId="311A8D8F">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排放量</w:t>
                  </w:r>
                </w:p>
                <w:p w14:paraId="5C8507C9">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（t/a）</w:t>
                  </w:r>
                </w:p>
              </w:tc>
              <w:tc>
                <w:tcPr>
                  <w:tcW w:w="819" w:type="pct"/>
                  <w:vAlign w:val="top"/>
                </w:tcPr>
                <w:p w14:paraId="58F9147E">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排放速率</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2"/>
                      <w:sz w:val="21"/>
                      <w:szCs w:val="21"/>
                      <w:highlight w:val="none"/>
                    </w:rPr>
                    <w:t>/h）</w:t>
                  </w:r>
                </w:p>
              </w:tc>
              <w:tc>
                <w:tcPr>
                  <w:tcW w:w="935" w:type="pct"/>
                  <w:vAlign w:val="top"/>
                </w:tcPr>
                <w:p w14:paraId="225CBFAC">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eastAsia="zh-CN"/>
                    </w:rPr>
                    <w:t>排放浓度（</w:t>
                  </w:r>
                  <w:r>
                    <w:rPr>
                      <w:rFonts w:hint="default" w:ascii="Times New Roman" w:hAnsi="Times New Roman" w:eastAsia="宋体" w:cs="Times New Roman"/>
                      <w:color w:val="auto"/>
                      <w:spacing w:val="7"/>
                      <w:sz w:val="21"/>
                      <w:szCs w:val="21"/>
                      <w:highlight w:val="none"/>
                      <w:lang w:val="en-US" w:eastAsia="zh-CN"/>
                    </w:rPr>
                    <w:t>mg/m</w:t>
                  </w:r>
                  <w:r>
                    <w:rPr>
                      <w:rFonts w:hint="default" w:ascii="Times New Roman" w:hAnsi="Times New Roman" w:eastAsia="宋体"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lang w:eastAsia="zh-CN"/>
                    </w:rPr>
                    <w:t>）</w:t>
                  </w:r>
                </w:p>
              </w:tc>
            </w:tr>
            <w:tr w14:paraId="04B06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426" w:type="pct"/>
                  <w:vMerge w:val="restart"/>
                  <w:vAlign w:val="top"/>
                </w:tcPr>
                <w:p w14:paraId="4CE8F1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熔炼燃烧废气</w:t>
                  </w:r>
                </w:p>
                <w:p w14:paraId="09157868">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highlight w:val="none"/>
                      <w:lang w:val="en-US" w:eastAsia="zh-CN"/>
                    </w:rPr>
                    <w:t>DA002</w:t>
                  </w:r>
                </w:p>
              </w:tc>
              <w:tc>
                <w:tcPr>
                  <w:tcW w:w="697" w:type="pct"/>
                  <w:vMerge w:val="restart"/>
                  <w:vAlign w:val="center"/>
                </w:tcPr>
                <w:p w14:paraId="0FAE0D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4337</w:t>
                  </w:r>
                </w:p>
              </w:tc>
              <w:tc>
                <w:tcPr>
                  <w:tcW w:w="655" w:type="pct"/>
                  <w:vAlign w:val="center"/>
                </w:tcPr>
                <w:p w14:paraId="26F758A7">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57" w:type="pct"/>
                  <w:vAlign w:val="center"/>
                </w:tcPr>
                <w:p w14:paraId="51D3A7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1.83</w:t>
                  </w:r>
                </w:p>
              </w:tc>
              <w:tc>
                <w:tcPr>
                  <w:tcW w:w="808" w:type="pct"/>
                  <w:vAlign w:val="center"/>
                </w:tcPr>
                <w:p w14:paraId="2022F2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0.73</w:t>
                  </w:r>
                </w:p>
              </w:tc>
              <w:tc>
                <w:tcPr>
                  <w:tcW w:w="819" w:type="pct"/>
                  <w:vAlign w:val="center"/>
                </w:tcPr>
                <w:p w14:paraId="1BEA05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0.10</w:t>
                  </w:r>
                </w:p>
              </w:tc>
              <w:tc>
                <w:tcPr>
                  <w:tcW w:w="935" w:type="pct"/>
                  <w:vAlign w:val="center"/>
                </w:tcPr>
                <w:p w14:paraId="1EDC57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23.44</w:t>
                  </w:r>
                </w:p>
              </w:tc>
            </w:tr>
            <w:tr w14:paraId="42950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426" w:type="pct"/>
                  <w:vMerge w:val="continue"/>
                  <w:vAlign w:val="top"/>
                </w:tcPr>
                <w:p w14:paraId="3D9FD254">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1"/>
                      <w:szCs w:val="21"/>
                      <w:highlight w:val="none"/>
                      <w:lang w:val="en-US" w:eastAsia="zh-CN"/>
                    </w:rPr>
                  </w:pPr>
                </w:p>
              </w:tc>
              <w:tc>
                <w:tcPr>
                  <w:tcW w:w="697" w:type="pct"/>
                  <w:vMerge w:val="continue"/>
                  <w:vAlign w:val="top"/>
                </w:tcPr>
                <w:p w14:paraId="2B6798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5" w:type="pct"/>
                  <w:vAlign w:val="center"/>
                </w:tcPr>
                <w:p w14:paraId="16C4A4F7">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二氧化</w:t>
                  </w:r>
                  <w:r>
                    <w:rPr>
                      <w:rFonts w:hint="default" w:ascii="Times New Roman" w:hAnsi="Times New Roman" w:eastAsia="宋体" w:cs="Times New Roman"/>
                      <w:color w:val="auto"/>
                      <w:spacing w:val="1"/>
                      <w:sz w:val="21"/>
                      <w:szCs w:val="21"/>
                      <w:highlight w:val="none"/>
                    </w:rPr>
                    <w:t>硫</w:t>
                  </w:r>
                </w:p>
              </w:tc>
              <w:tc>
                <w:tcPr>
                  <w:tcW w:w="657" w:type="pct"/>
                  <w:vAlign w:val="center"/>
                </w:tcPr>
                <w:p w14:paraId="209344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29.44</w:t>
                  </w:r>
                </w:p>
              </w:tc>
              <w:tc>
                <w:tcPr>
                  <w:tcW w:w="808" w:type="pct"/>
                  <w:vAlign w:val="center"/>
                </w:tcPr>
                <w:p w14:paraId="761D0E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2.94</w:t>
                  </w:r>
                </w:p>
              </w:tc>
              <w:tc>
                <w:tcPr>
                  <w:tcW w:w="819" w:type="pct"/>
                  <w:vAlign w:val="center"/>
                </w:tcPr>
                <w:p w14:paraId="087F02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w:t>
                  </w:r>
                </w:p>
              </w:tc>
              <w:tc>
                <w:tcPr>
                  <w:tcW w:w="935" w:type="pct"/>
                  <w:vAlign w:val="center"/>
                </w:tcPr>
                <w:p w14:paraId="1937CB6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94.15</w:t>
                  </w:r>
                </w:p>
              </w:tc>
            </w:tr>
            <w:tr w14:paraId="405B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6" w:hRule="atLeast"/>
              </w:trPr>
              <w:tc>
                <w:tcPr>
                  <w:tcW w:w="426" w:type="pct"/>
                  <w:vMerge w:val="continue"/>
                  <w:vAlign w:val="top"/>
                </w:tcPr>
                <w:p w14:paraId="6AFD9D25">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1"/>
                      <w:szCs w:val="21"/>
                      <w:highlight w:val="none"/>
                      <w:lang w:val="en-US" w:eastAsia="zh-CN"/>
                    </w:rPr>
                  </w:pPr>
                </w:p>
              </w:tc>
              <w:tc>
                <w:tcPr>
                  <w:tcW w:w="697" w:type="pct"/>
                  <w:vMerge w:val="continue"/>
                  <w:vAlign w:val="top"/>
                </w:tcPr>
                <w:p w14:paraId="514846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5" w:type="pct"/>
                  <w:vAlign w:val="center"/>
                </w:tcPr>
                <w:p w14:paraId="77E4AC75">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氮氧化物</w:t>
                  </w:r>
                </w:p>
              </w:tc>
              <w:tc>
                <w:tcPr>
                  <w:tcW w:w="657" w:type="pct"/>
                  <w:vAlign w:val="center"/>
                </w:tcPr>
                <w:p w14:paraId="656253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5.50</w:t>
                  </w:r>
                </w:p>
              </w:tc>
              <w:tc>
                <w:tcPr>
                  <w:tcW w:w="808" w:type="pct"/>
                  <w:vAlign w:val="center"/>
                </w:tcPr>
                <w:p w14:paraId="2AC9E9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5.50</w:t>
                  </w:r>
                </w:p>
              </w:tc>
              <w:tc>
                <w:tcPr>
                  <w:tcW w:w="819" w:type="pct"/>
                  <w:vAlign w:val="center"/>
                </w:tcPr>
                <w:p w14:paraId="06379F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0.76</w:t>
                  </w:r>
                </w:p>
              </w:tc>
              <w:tc>
                <w:tcPr>
                  <w:tcW w:w="935" w:type="pct"/>
                  <w:vAlign w:val="center"/>
                </w:tcPr>
                <w:p w14:paraId="1000ED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176.13</w:t>
                  </w:r>
                </w:p>
              </w:tc>
            </w:tr>
          </w:tbl>
          <w:p w14:paraId="4700C231">
            <w:pPr>
              <w:spacing w:line="360" w:lineRule="auto"/>
              <w:ind w:left="0" w:leftChars="0" w:firstLine="472" w:firstLineChars="200"/>
              <w:jc w:val="left"/>
              <w:rPr>
                <w:rFonts w:hint="default" w:ascii="Times New Roman" w:hAnsi="Times New Roman" w:cs="Times New Roman"/>
                <w:color w:val="auto"/>
                <w:spacing w:val="-2"/>
                <w:sz w:val="24"/>
                <w:szCs w:val="24"/>
                <w:highlight w:val="none"/>
                <w:lang w:val="en-US" w:eastAsia="zh-CN"/>
              </w:rPr>
            </w:pPr>
            <w:r>
              <w:rPr>
                <w:rFonts w:hint="default" w:ascii="Times New Roman" w:hAnsi="Times New Roman" w:cs="Times New Roman"/>
                <w:color w:val="auto"/>
                <w:spacing w:val="-2"/>
                <w:sz w:val="24"/>
                <w:szCs w:val="24"/>
                <w:highlight w:val="none"/>
                <w:lang w:val="en-US" w:eastAsia="zh-CN"/>
              </w:rPr>
              <w:t>C.压铸车间熔化压铸废气</w:t>
            </w:r>
          </w:p>
          <w:p w14:paraId="5C389085">
            <w:pPr>
              <w:spacing w:line="360" w:lineRule="auto"/>
              <w:ind w:left="0" w:leftChars="0" w:firstLine="472" w:firstLineChars="200"/>
              <w:jc w:val="left"/>
              <w:rPr>
                <w:rFonts w:hint="default" w:ascii="Times New Roman" w:hAnsi="Times New Roman" w:cs="Times New Roman"/>
                <w:color w:val="auto"/>
                <w:spacing w:val="-2"/>
                <w:sz w:val="24"/>
                <w:szCs w:val="24"/>
                <w:highlight w:val="none"/>
                <w:lang w:val="en-US" w:eastAsia="zh-CN"/>
              </w:rPr>
            </w:pPr>
            <w:r>
              <w:rPr>
                <w:rFonts w:hint="default" w:ascii="Times New Roman" w:hAnsi="Times New Roman" w:cs="Times New Roman"/>
                <w:color w:val="auto"/>
                <w:spacing w:val="-2"/>
                <w:sz w:val="24"/>
                <w:szCs w:val="24"/>
                <w:highlight w:val="none"/>
                <w:lang w:val="en-US" w:eastAsia="zh-CN"/>
              </w:rPr>
              <w:t>本项目压铸车间保温炉</w:t>
            </w:r>
            <w:r>
              <w:rPr>
                <w:rFonts w:hint="default" w:ascii="Times New Roman" w:hAnsi="Times New Roman" w:cs="Times New Roman"/>
                <w:color w:val="auto"/>
                <w:spacing w:val="-2"/>
                <w:sz w:val="24"/>
                <w:szCs w:val="24"/>
                <w:highlight w:val="none"/>
                <w:lang w:val="en-US" w:eastAsia="zh-CN"/>
              </w:rPr>
              <w:t>熔化</w:t>
            </w:r>
            <w:r>
              <w:rPr>
                <w:rFonts w:hint="default" w:ascii="Times New Roman" w:hAnsi="Times New Roman" w:cs="Times New Roman"/>
                <w:color w:val="auto"/>
                <w:spacing w:val="-2"/>
                <w:sz w:val="24"/>
                <w:szCs w:val="24"/>
                <w:highlight w:val="none"/>
                <w:lang w:val="en-US" w:eastAsia="zh-CN"/>
              </w:rPr>
              <w:t>、压铸过程中产生的颗粒物，脱模剂挥发产生的VOCs。</w:t>
            </w:r>
          </w:p>
          <w:p w14:paraId="36A56DD6">
            <w:pPr>
              <w:spacing w:line="360" w:lineRule="auto"/>
              <w:ind w:left="0" w:leftChars="0" w:firstLine="472" w:firstLineChars="200"/>
              <w:jc w:val="left"/>
              <w:rPr>
                <w:rFonts w:hint="default" w:ascii="Times New Roman" w:hAnsi="Times New Roman" w:cs="Times New Roman"/>
                <w:color w:val="auto"/>
                <w:spacing w:val="-2"/>
                <w:sz w:val="24"/>
                <w:szCs w:val="24"/>
                <w:highlight w:val="none"/>
                <w:lang w:val="en-US" w:eastAsia="zh-CN"/>
              </w:rPr>
            </w:pPr>
            <w:r>
              <w:rPr>
                <w:rFonts w:hint="default" w:ascii="Times New Roman" w:hAnsi="Times New Roman" w:cs="Times New Roman"/>
                <w:color w:val="auto"/>
                <w:spacing w:val="-2"/>
                <w:sz w:val="24"/>
                <w:szCs w:val="24"/>
                <w:highlight w:val="none"/>
                <w:lang w:val="en-US" w:eastAsia="zh-CN"/>
              </w:rPr>
              <w:t>压铸车间熔化保温炉燃料为天然气，</w:t>
            </w:r>
            <w:r>
              <w:rPr>
                <w:rFonts w:hint="default" w:ascii="Times New Roman" w:hAnsi="Times New Roman" w:cs="Times New Roman"/>
                <w:color w:val="auto"/>
                <w:spacing w:val="-2"/>
                <w:sz w:val="24"/>
                <w:szCs w:val="24"/>
                <w:highlight w:val="none"/>
                <w:lang w:val="en-US" w:eastAsia="zh-CN"/>
              </w:rPr>
              <w:t>根据</w:t>
            </w:r>
            <w:r>
              <w:rPr>
                <w:rFonts w:hint="default" w:ascii="Times New Roman" w:hAnsi="Times New Roman" w:cs="Times New Roman"/>
                <w:color w:val="auto"/>
                <w:spacing w:val="2"/>
                <w:position w:val="2"/>
                <w:sz w:val="24"/>
                <w:highlight w:val="none"/>
              </w:rPr>
              <w:t>《</w:t>
            </w:r>
            <w:r>
              <w:rPr>
                <w:rFonts w:hint="default" w:ascii="Times New Roman" w:hAnsi="Times New Roman" w:cs="Times New Roman"/>
                <w:color w:val="auto"/>
                <w:position w:val="2"/>
                <w:sz w:val="24"/>
                <w:highlight w:val="none"/>
              </w:rPr>
              <w:t>排放</w:t>
            </w:r>
            <w:r>
              <w:rPr>
                <w:rFonts w:hint="default" w:ascii="Times New Roman" w:hAnsi="Times New Roman" w:cs="Times New Roman"/>
                <w:color w:val="auto"/>
                <w:spacing w:val="2"/>
                <w:sz w:val="24"/>
                <w:highlight w:val="none"/>
              </w:rPr>
              <w:t>源统计调</w:t>
            </w:r>
            <w:r>
              <w:rPr>
                <w:rFonts w:hint="default" w:ascii="Times New Roman" w:hAnsi="Times New Roman" w:cs="Times New Roman"/>
                <w:color w:val="auto"/>
                <w:sz w:val="24"/>
                <w:highlight w:val="none"/>
              </w:rPr>
              <w:t>查</w:t>
            </w:r>
            <w:r>
              <w:rPr>
                <w:rFonts w:hint="default" w:ascii="Times New Roman" w:hAnsi="Times New Roman" w:cs="Times New Roman"/>
                <w:color w:val="auto"/>
                <w:spacing w:val="2"/>
                <w:sz w:val="24"/>
                <w:highlight w:val="none"/>
              </w:rPr>
              <w:t>产排污核算方法</w:t>
            </w:r>
            <w:r>
              <w:rPr>
                <w:rFonts w:hint="default" w:ascii="Times New Roman" w:hAnsi="Times New Roman" w:cs="Times New Roman"/>
                <w:color w:val="auto"/>
                <w:sz w:val="24"/>
                <w:highlight w:val="none"/>
              </w:rPr>
              <w:t>和</w:t>
            </w:r>
            <w:r>
              <w:rPr>
                <w:rFonts w:hint="default" w:ascii="Times New Roman" w:hAnsi="Times New Roman" w:cs="Times New Roman"/>
                <w:color w:val="auto"/>
                <w:spacing w:val="2"/>
                <w:sz w:val="24"/>
                <w:highlight w:val="none"/>
              </w:rPr>
              <w:t>系数手册》（</w:t>
            </w:r>
            <w:r>
              <w:rPr>
                <w:rFonts w:hint="default" w:ascii="Times New Roman" w:hAnsi="Times New Roman" w:cs="Times New Roman"/>
                <w:color w:val="auto"/>
                <w:spacing w:val="2"/>
                <w:sz w:val="24"/>
                <w:highlight w:val="none"/>
                <w:lang w:eastAsia="zh-CN"/>
              </w:rPr>
              <w:t>生态</w:t>
            </w:r>
            <w:r>
              <w:rPr>
                <w:rFonts w:hint="default" w:ascii="Times New Roman" w:hAnsi="Times New Roman" w:cs="Times New Roman"/>
                <w:color w:val="auto"/>
                <w:spacing w:val="2"/>
                <w:sz w:val="24"/>
                <w:highlight w:val="none"/>
              </w:rPr>
              <w:t>环境</w:t>
            </w:r>
            <w:r>
              <w:rPr>
                <w:rFonts w:hint="default" w:ascii="Times New Roman" w:hAnsi="Times New Roman" w:cs="Times New Roman"/>
                <w:color w:val="auto"/>
                <w:sz w:val="24"/>
                <w:highlight w:val="none"/>
              </w:rPr>
              <w:t>部</w:t>
            </w:r>
            <w:r>
              <w:rPr>
                <w:rFonts w:hint="default" w:ascii="Times New Roman" w:hAnsi="Times New Roman" w:cs="Times New Roman"/>
                <w:color w:val="auto"/>
                <w:spacing w:val="2"/>
                <w:sz w:val="24"/>
                <w:highlight w:val="none"/>
              </w:rPr>
              <w:t>公</w:t>
            </w:r>
            <w:r>
              <w:rPr>
                <w:rFonts w:hint="default" w:ascii="Times New Roman" w:hAnsi="Times New Roman" w:cs="Times New Roman"/>
                <w:color w:val="auto"/>
                <w:sz w:val="24"/>
                <w:highlight w:val="none"/>
              </w:rPr>
              <w:t>告</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2021</w:t>
            </w:r>
            <w:r>
              <w:rPr>
                <w:rFonts w:hint="default" w:ascii="Times New Roman" w:hAnsi="Times New Roman" w:cs="Times New Roman"/>
                <w:color w:val="auto"/>
                <w:spacing w:val="2"/>
                <w:sz w:val="24"/>
                <w:highlight w:val="none"/>
              </w:rPr>
              <w:t>年</w:t>
            </w:r>
            <w:r>
              <w:rPr>
                <w:rFonts w:hint="default" w:ascii="Times New Roman" w:hAnsi="Times New Roman" w:cs="Times New Roman"/>
                <w:color w:val="auto"/>
                <w:sz w:val="24"/>
                <w:highlight w:val="none"/>
              </w:rPr>
              <w:t>第</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24</w:t>
            </w:r>
            <w:r>
              <w:rPr>
                <w:rFonts w:hint="default" w:ascii="Times New Roman" w:hAnsi="Times New Roman" w:cs="Times New Roman"/>
                <w:color w:val="auto"/>
                <w:spacing w:val="2"/>
                <w:sz w:val="24"/>
                <w:highlight w:val="none"/>
              </w:rPr>
              <w:t>号）</w:t>
            </w:r>
            <w:r>
              <w:rPr>
                <w:rFonts w:hint="default" w:ascii="Times New Roman" w:hAnsi="Times New Roman" w:eastAsia="宋体" w:cs="Times New Roman"/>
                <w:color w:val="auto"/>
                <w:sz w:val="24"/>
                <w:szCs w:val="24"/>
              </w:rPr>
              <w:t>33-37,431-434</w:t>
            </w:r>
            <w:r>
              <w:rPr>
                <w:rFonts w:hint="default" w:ascii="Times New Roman" w:hAnsi="Times New Roman" w:eastAsia="宋体" w:cs="Times New Roman"/>
                <w:color w:val="auto"/>
                <w:sz w:val="24"/>
                <w:szCs w:val="24"/>
                <w:lang w:val="en-US" w:eastAsia="zh-CN"/>
              </w:rPr>
              <w:t>机械行业系数手册中</w:t>
            </w:r>
            <w:r>
              <w:rPr>
                <w:rFonts w:hint="default" w:ascii="Times New Roman" w:hAnsi="Times New Roman" w:cs="Times New Roman"/>
                <w:color w:val="auto"/>
                <w:sz w:val="24"/>
                <w:szCs w:val="24"/>
                <w:lang w:val="en-US" w:eastAsia="zh-CN"/>
              </w:rPr>
              <w:t>镁合金熔炼</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燃气炉</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产污系数，</w:t>
            </w:r>
            <w:r>
              <w:rPr>
                <w:rFonts w:hint="default" w:ascii="Times New Roman" w:hAnsi="Times New Roman" w:cs="Times New Roman"/>
                <w:color w:val="auto"/>
                <w:spacing w:val="-2"/>
                <w:sz w:val="24"/>
                <w:szCs w:val="24"/>
                <w:highlight w:val="none"/>
                <w:lang w:val="en-US" w:eastAsia="zh-CN"/>
              </w:rPr>
              <w:t>每吨产品产生工业废气量11883立方米、颗粒物0.943kg，本项目一半压铸件即1000t/a由镁合金锭需要熔化为液体，</w:t>
            </w:r>
            <w:r>
              <w:rPr>
                <w:rFonts w:hint="default" w:ascii="Times New Roman" w:hAnsi="Times New Roman" w:cs="Times New Roman"/>
                <w:color w:val="auto"/>
                <w:vertAlign w:val="baseline"/>
                <w:lang w:val="en-US" w:eastAsia="zh-CN"/>
              </w:rPr>
              <w:t>年生产7200h，</w:t>
            </w:r>
            <w:r>
              <w:rPr>
                <w:rFonts w:hint="default" w:ascii="Times New Roman" w:hAnsi="Times New Roman" w:cs="Times New Roman"/>
                <w:color w:val="auto"/>
                <w:spacing w:val="-2"/>
                <w:sz w:val="24"/>
                <w:szCs w:val="24"/>
                <w:highlight w:val="none"/>
                <w:lang w:val="en-US" w:eastAsia="zh-CN"/>
              </w:rPr>
              <w:t>则熔化产生废气量1650</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spacing w:val="-2"/>
                <w:sz w:val="24"/>
                <w:szCs w:val="24"/>
                <w:highlight w:val="none"/>
                <w:lang w:val="en-US" w:eastAsia="zh-CN"/>
              </w:rPr>
              <w:t>颗粒物0.94t/a。</w:t>
            </w:r>
          </w:p>
          <w:p w14:paraId="51FABA23">
            <w:pPr>
              <w:spacing w:line="360" w:lineRule="auto"/>
              <w:ind w:left="0" w:leftChars="0" w:firstLine="472" w:firstLineChars="200"/>
              <w:jc w:val="left"/>
              <w:rPr>
                <w:rFonts w:hint="default" w:ascii="Times New Roman" w:hAnsi="Times New Roman" w:cs="Times New Roman"/>
                <w:color w:val="auto"/>
                <w:spacing w:val="-2"/>
                <w:sz w:val="24"/>
                <w:szCs w:val="24"/>
                <w:highlight w:val="none"/>
                <w:lang w:val="en-US" w:eastAsia="zh-CN"/>
              </w:rPr>
            </w:pPr>
            <w:r>
              <w:rPr>
                <w:rFonts w:hint="default" w:ascii="Times New Roman" w:hAnsi="Times New Roman" w:cs="Times New Roman"/>
                <w:color w:val="auto"/>
                <w:spacing w:val="-2"/>
                <w:sz w:val="24"/>
                <w:szCs w:val="24"/>
                <w:highlight w:val="none"/>
                <w:lang w:val="en-US" w:eastAsia="zh-CN"/>
              </w:rPr>
              <w:t>根据</w:t>
            </w:r>
            <w:r>
              <w:rPr>
                <w:rFonts w:hint="default" w:ascii="Times New Roman" w:hAnsi="Times New Roman" w:cs="Times New Roman"/>
                <w:color w:val="auto"/>
                <w:spacing w:val="2"/>
                <w:position w:val="2"/>
                <w:sz w:val="24"/>
                <w:highlight w:val="none"/>
              </w:rPr>
              <w:t>《</w:t>
            </w:r>
            <w:r>
              <w:rPr>
                <w:rFonts w:hint="default" w:ascii="Times New Roman" w:hAnsi="Times New Roman" w:cs="Times New Roman"/>
                <w:color w:val="auto"/>
                <w:position w:val="2"/>
                <w:sz w:val="24"/>
                <w:highlight w:val="none"/>
              </w:rPr>
              <w:t>排放</w:t>
            </w:r>
            <w:r>
              <w:rPr>
                <w:rFonts w:hint="default" w:ascii="Times New Roman" w:hAnsi="Times New Roman" w:cs="Times New Roman"/>
                <w:color w:val="auto"/>
                <w:spacing w:val="2"/>
                <w:sz w:val="24"/>
                <w:highlight w:val="none"/>
              </w:rPr>
              <w:t>源统计调</w:t>
            </w:r>
            <w:r>
              <w:rPr>
                <w:rFonts w:hint="default" w:ascii="Times New Roman" w:hAnsi="Times New Roman" w:cs="Times New Roman"/>
                <w:color w:val="auto"/>
                <w:sz w:val="24"/>
                <w:highlight w:val="none"/>
              </w:rPr>
              <w:t>查</w:t>
            </w:r>
            <w:r>
              <w:rPr>
                <w:rFonts w:hint="default" w:ascii="Times New Roman" w:hAnsi="Times New Roman" w:cs="Times New Roman"/>
                <w:color w:val="auto"/>
                <w:spacing w:val="2"/>
                <w:sz w:val="24"/>
                <w:highlight w:val="none"/>
              </w:rPr>
              <w:t>产排污核算方法</w:t>
            </w:r>
            <w:r>
              <w:rPr>
                <w:rFonts w:hint="default" w:ascii="Times New Roman" w:hAnsi="Times New Roman" w:cs="Times New Roman"/>
                <w:color w:val="auto"/>
                <w:sz w:val="24"/>
                <w:highlight w:val="none"/>
              </w:rPr>
              <w:t>和</w:t>
            </w:r>
            <w:r>
              <w:rPr>
                <w:rFonts w:hint="default" w:ascii="Times New Roman" w:hAnsi="Times New Roman" w:cs="Times New Roman"/>
                <w:color w:val="auto"/>
                <w:spacing w:val="2"/>
                <w:sz w:val="24"/>
                <w:highlight w:val="none"/>
              </w:rPr>
              <w:t>系数手册》（</w:t>
            </w:r>
            <w:r>
              <w:rPr>
                <w:rFonts w:hint="default" w:ascii="Times New Roman" w:hAnsi="Times New Roman" w:cs="Times New Roman"/>
                <w:color w:val="auto"/>
                <w:spacing w:val="2"/>
                <w:sz w:val="24"/>
                <w:highlight w:val="none"/>
                <w:lang w:eastAsia="zh-CN"/>
              </w:rPr>
              <w:t>生态</w:t>
            </w:r>
            <w:r>
              <w:rPr>
                <w:rFonts w:hint="default" w:ascii="Times New Roman" w:hAnsi="Times New Roman" w:cs="Times New Roman"/>
                <w:color w:val="auto"/>
                <w:spacing w:val="2"/>
                <w:sz w:val="24"/>
                <w:highlight w:val="none"/>
              </w:rPr>
              <w:t>环境</w:t>
            </w:r>
            <w:r>
              <w:rPr>
                <w:rFonts w:hint="default" w:ascii="Times New Roman" w:hAnsi="Times New Roman" w:cs="Times New Roman"/>
                <w:color w:val="auto"/>
                <w:sz w:val="24"/>
                <w:highlight w:val="none"/>
              </w:rPr>
              <w:t>部</w:t>
            </w:r>
            <w:r>
              <w:rPr>
                <w:rFonts w:hint="default" w:ascii="Times New Roman" w:hAnsi="Times New Roman" w:cs="Times New Roman"/>
                <w:color w:val="auto"/>
                <w:spacing w:val="2"/>
                <w:sz w:val="24"/>
                <w:highlight w:val="none"/>
              </w:rPr>
              <w:t>公</w:t>
            </w:r>
            <w:r>
              <w:rPr>
                <w:rFonts w:hint="default" w:ascii="Times New Roman" w:hAnsi="Times New Roman" w:cs="Times New Roman"/>
                <w:color w:val="auto"/>
                <w:sz w:val="24"/>
                <w:highlight w:val="none"/>
              </w:rPr>
              <w:t>告</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2021</w:t>
            </w:r>
            <w:r>
              <w:rPr>
                <w:rFonts w:hint="default" w:ascii="Times New Roman" w:hAnsi="Times New Roman" w:cs="Times New Roman"/>
                <w:color w:val="auto"/>
                <w:spacing w:val="2"/>
                <w:sz w:val="24"/>
                <w:highlight w:val="none"/>
              </w:rPr>
              <w:t>年</w:t>
            </w:r>
            <w:r>
              <w:rPr>
                <w:rFonts w:hint="default" w:ascii="Times New Roman" w:hAnsi="Times New Roman" w:cs="Times New Roman"/>
                <w:color w:val="auto"/>
                <w:sz w:val="24"/>
                <w:highlight w:val="none"/>
              </w:rPr>
              <w:t>第</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24</w:t>
            </w:r>
            <w:r>
              <w:rPr>
                <w:rFonts w:hint="default" w:ascii="Times New Roman" w:hAnsi="Times New Roman" w:cs="Times New Roman"/>
                <w:color w:val="auto"/>
                <w:spacing w:val="2"/>
                <w:sz w:val="24"/>
                <w:highlight w:val="none"/>
              </w:rPr>
              <w:t>号）</w:t>
            </w:r>
            <w:r>
              <w:rPr>
                <w:rFonts w:hint="default" w:ascii="Times New Roman" w:hAnsi="Times New Roman" w:eastAsia="宋体" w:cs="Times New Roman"/>
                <w:color w:val="auto"/>
                <w:sz w:val="24"/>
                <w:szCs w:val="24"/>
              </w:rPr>
              <w:t>33-37,431-434</w:t>
            </w:r>
            <w:r>
              <w:rPr>
                <w:rFonts w:hint="default" w:ascii="Times New Roman" w:hAnsi="Times New Roman" w:eastAsia="宋体" w:cs="Times New Roman"/>
                <w:color w:val="auto"/>
                <w:sz w:val="24"/>
                <w:szCs w:val="24"/>
                <w:lang w:val="en-US" w:eastAsia="zh-CN"/>
              </w:rPr>
              <w:t>机械行业系数手册中</w:t>
            </w:r>
            <w:r>
              <w:rPr>
                <w:rFonts w:hint="default" w:ascii="Times New Roman" w:hAnsi="Times New Roman" w:eastAsia="宋体" w:cs="Times New Roman"/>
                <w:color w:val="auto"/>
                <w:sz w:val="24"/>
                <w:szCs w:val="24"/>
              </w:rPr>
              <w:t>造型/浇注(有色压铸)</w:t>
            </w:r>
            <w:r>
              <w:rPr>
                <w:rFonts w:hint="default" w:ascii="Times New Roman" w:hAnsi="Times New Roman" w:eastAsia="宋体" w:cs="Times New Roman"/>
                <w:color w:val="auto"/>
                <w:sz w:val="24"/>
                <w:szCs w:val="24"/>
                <w:lang w:val="en-US" w:eastAsia="zh-CN"/>
              </w:rPr>
              <w:t>产污系数，</w:t>
            </w:r>
            <w:r>
              <w:rPr>
                <w:rFonts w:hint="default" w:ascii="Times New Roman" w:hAnsi="Times New Roman" w:cs="Times New Roman"/>
                <w:color w:val="auto"/>
                <w:spacing w:val="-2"/>
                <w:sz w:val="24"/>
                <w:szCs w:val="24"/>
                <w:highlight w:val="none"/>
                <w:lang w:val="en-US" w:eastAsia="zh-CN"/>
              </w:rPr>
              <w:t>每吨产品产生工业废气量21785立方米、颗粒物1.99kg、挥发性有机物0.12kg，本项目产压铸件共2000t/a，</w:t>
            </w:r>
            <w:r>
              <w:rPr>
                <w:rFonts w:hint="default" w:ascii="Times New Roman" w:hAnsi="Times New Roman" w:cs="Times New Roman"/>
                <w:color w:val="auto"/>
                <w:vertAlign w:val="baseline"/>
                <w:lang w:val="en-US" w:eastAsia="zh-CN"/>
              </w:rPr>
              <w:t>年生产7200h，</w:t>
            </w:r>
            <w:r>
              <w:rPr>
                <w:rFonts w:hint="default" w:ascii="Times New Roman" w:hAnsi="Times New Roman" w:cs="Times New Roman"/>
                <w:color w:val="auto"/>
                <w:spacing w:val="-2"/>
                <w:sz w:val="24"/>
                <w:szCs w:val="24"/>
                <w:highlight w:val="none"/>
                <w:lang w:val="en-US" w:eastAsia="zh-CN"/>
              </w:rPr>
              <w:t>则压铸产生废气量6051</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spacing w:val="-2"/>
                <w:sz w:val="24"/>
                <w:szCs w:val="24"/>
                <w:highlight w:val="none"/>
                <w:lang w:val="en-US" w:eastAsia="zh-CN"/>
              </w:rPr>
              <w:t>颗粒物3.98t/a、挥发性有机物（以非甲烷总烃计）0.24t/a。</w:t>
            </w:r>
          </w:p>
          <w:p w14:paraId="25179681">
            <w:pPr>
              <w:spacing w:line="360" w:lineRule="auto"/>
              <w:ind w:left="0" w:leftChars="0" w:firstLine="472" w:firstLineChars="200"/>
              <w:jc w:val="left"/>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spacing w:val="-2"/>
                <w:sz w:val="24"/>
                <w:szCs w:val="24"/>
                <w:highlight w:val="none"/>
                <w:lang w:val="en-US" w:eastAsia="zh-CN"/>
              </w:rPr>
              <w:t>项目熔化保温炉、压铸机设备密闭，主要由进、出料口逸散废气，</w:t>
            </w:r>
            <w:r>
              <w:rPr>
                <w:rFonts w:hint="default" w:ascii="Times New Roman" w:hAnsi="Times New Roman" w:cs="Times New Roman"/>
                <w:color w:val="auto"/>
                <w:spacing w:val="-2"/>
                <w:sz w:val="24"/>
                <w:szCs w:val="24"/>
                <w:highlight w:val="none"/>
                <w:lang w:val="en-US" w:eastAsia="zh-CN"/>
              </w:rPr>
              <w:t>设密闭集气罩，收集效率不低于90%，采用布袋除尘处理</w:t>
            </w:r>
            <w:r>
              <w:rPr>
                <w:rFonts w:hint="default" w:ascii="Times New Roman" w:hAnsi="Times New Roman" w:cs="Times New Roman"/>
                <w:color w:val="auto"/>
                <w:spacing w:val="-2"/>
                <w:sz w:val="24"/>
                <w:szCs w:val="24"/>
                <w:highlight w:val="none"/>
                <w:lang w:val="en-US" w:eastAsia="zh-CN"/>
              </w:rPr>
              <w:t>后经15m高排气筒DA003排放，</w:t>
            </w:r>
            <w:r>
              <w:rPr>
                <w:rFonts w:hint="eastAsia" w:cs="Times New Roman"/>
                <w:color w:val="auto"/>
                <w:spacing w:val="-2"/>
                <w:sz w:val="24"/>
                <w:szCs w:val="24"/>
                <w:highlight w:val="none"/>
                <w:lang w:val="en-US" w:eastAsia="zh-CN"/>
              </w:rPr>
              <w:t>经计算除尘器进口浓度仅为79.86</w:t>
            </w:r>
            <w:r>
              <w:rPr>
                <w:rFonts w:hint="default" w:ascii="Times New Roman" w:hAnsi="Times New Roman" w:eastAsia="宋体" w:cs="Times New Roman"/>
                <w:color w:val="auto"/>
                <w:spacing w:val="7"/>
                <w:sz w:val="21"/>
                <w:szCs w:val="21"/>
                <w:highlight w:val="none"/>
                <w:lang w:val="en-US" w:eastAsia="zh-CN"/>
              </w:rPr>
              <w:t>mg/m</w:t>
            </w:r>
            <w:r>
              <w:rPr>
                <w:rFonts w:hint="default" w:ascii="Times New Roman" w:hAnsi="Times New Roman" w:eastAsia="宋体" w:cs="Times New Roman"/>
                <w:color w:val="auto"/>
                <w:spacing w:val="7"/>
                <w:sz w:val="21"/>
                <w:szCs w:val="21"/>
                <w:highlight w:val="none"/>
                <w:vertAlign w:val="superscript"/>
                <w:lang w:val="en-US" w:eastAsia="zh-CN"/>
              </w:rPr>
              <w:t>3</w:t>
            </w:r>
            <w:r>
              <w:rPr>
                <w:rFonts w:hint="eastAsia" w:cs="Times New Roman"/>
                <w:color w:val="auto"/>
                <w:spacing w:val="7"/>
                <w:sz w:val="21"/>
                <w:szCs w:val="21"/>
                <w:highlight w:val="none"/>
                <w:vertAlign w:val="baseline"/>
                <w:lang w:val="en-US" w:eastAsia="zh-CN"/>
              </w:rPr>
              <w:t>，</w:t>
            </w:r>
            <w:r>
              <w:rPr>
                <w:rFonts w:hint="default" w:ascii="Times New Roman" w:hAnsi="Times New Roman" w:cs="Times New Roman"/>
                <w:color w:val="auto"/>
                <w:spacing w:val="-2"/>
                <w:sz w:val="24"/>
                <w:szCs w:val="24"/>
                <w:highlight w:val="none"/>
                <w:lang w:val="en-US" w:eastAsia="zh-CN"/>
              </w:rPr>
              <w:t>除尘效率</w:t>
            </w:r>
            <w:r>
              <w:rPr>
                <w:rFonts w:hint="eastAsia" w:cs="Times New Roman"/>
                <w:color w:val="auto"/>
                <w:spacing w:val="-2"/>
                <w:sz w:val="24"/>
                <w:szCs w:val="24"/>
                <w:highlight w:val="none"/>
                <w:lang w:val="en-US" w:eastAsia="zh-CN"/>
              </w:rPr>
              <w:t>按95</w:t>
            </w:r>
            <w:r>
              <w:rPr>
                <w:rFonts w:hint="default" w:ascii="Times New Roman" w:hAnsi="Times New Roman" w:cs="Times New Roman"/>
                <w:color w:val="auto"/>
                <w:spacing w:val="-2"/>
                <w:sz w:val="24"/>
                <w:szCs w:val="24"/>
                <w:highlight w:val="none"/>
                <w:lang w:val="en-US" w:eastAsia="zh-CN"/>
              </w:rPr>
              <w:t>%</w:t>
            </w:r>
            <w:r>
              <w:rPr>
                <w:rFonts w:hint="eastAsia" w:cs="Times New Roman"/>
                <w:color w:val="auto"/>
                <w:spacing w:val="-2"/>
                <w:sz w:val="24"/>
                <w:szCs w:val="24"/>
                <w:highlight w:val="none"/>
                <w:lang w:val="en-US" w:eastAsia="zh-CN"/>
              </w:rPr>
              <w:t>计算</w:t>
            </w:r>
            <w:r>
              <w:rPr>
                <w:rFonts w:hint="default" w:ascii="Times New Roman" w:hAnsi="Times New Roman" w:cs="Times New Roman"/>
                <w:color w:val="auto"/>
                <w:spacing w:val="-2"/>
                <w:sz w:val="24"/>
                <w:szCs w:val="24"/>
                <w:highlight w:val="none"/>
                <w:lang w:val="en-US" w:eastAsia="zh-CN"/>
              </w:rPr>
              <w:t>，</w:t>
            </w:r>
            <w:r>
              <w:rPr>
                <w:rFonts w:hint="default" w:ascii="Times New Roman" w:hAnsi="Times New Roman" w:cs="Times New Roman"/>
                <w:color w:val="auto"/>
                <w:spacing w:val="-2"/>
                <w:sz w:val="24"/>
                <w:szCs w:val="24"/>
                <w:highlight w:val="none"/>
                <w:lang w:val="en-US" w:eastAsia="zh-CN"/>
              </w:rPr>
              <w:t>结合上文计算，熔化压铸</w:t>
            </w:r>
            <w:r>
              <w:rPr>
                <w:rFonts w:hint="default" w:ascii="Times New Roman" w:hAnsi="Times New Roman" w:cs="Times New Roman"/>
                <w:color w:val="auto"/>
                <w:spacing w:val="-1"/>
                <w:lang w:val="en-US" w:eastAsia="zh-CN"/>
              </w:rPr>
              <w:t>大</w:t>
            </w:r>
            <w:r>
              <w:rPr>
                <w:rFonts w:hint="default" w:ascii="Times New Roman" w:hAnsi="Times New Roman" w:cs="Times New Roman"/>
                <w:color w:val="auto"/>
                <w:spacing w:val="-1"/>
              </w:rPr>
              <w:t>气污染物排放情况见表</w:t>
            </w:r>
            <w:r>
              <w:rPr>
                <w:rFonts w:hint="default" w:ascii="Times New Roman" w:hAnsi="Times New Roman" w:cs="Times New Roman"/>
                <w:color w:val="auto"/>
                <w:spacing w:val="-53"/>
              </w:rPr>
              <w:t xml:space="preserve"> </w:t>
            </w:r>
            <w:r>
              <w:rPr>
                <w:rFonts w:hint="default" w:ascii="Times New Roman" w:hAnsi="Times New Roman" w:eastAsia="宋体" w:cs="Times New Roman"/>
                <w:color w:val="auto"/>
                <w:spacing w:val="-1"/>
                <w:lang w:val="en-US" w:eastAsia="zh-CN"/>
              </w:rPr>
              <w:t>4-</w:t>
            </w:r>
            <w:r>
              <w:rPr>
                <w:rFonts w:hint="default" w:ascii="Times New Roman" w:hAnsi="Times New Roman" w:cs="Times New Roman"/>
                <w:color w:val="auto"/>
                <w:spacing w:val="-1"/>
                <w:lang w:val="en-US" w:eastAsia="zh-CN"/>
              </w:rPr>
              <w:t>4</w:t>
            </w:r>
            <w:r>
              <w:rPr>
                <w:rFonts w:hint="default" w:ascii="Times New Roman" w:hAnsi="Times New Roman" w:cs="Times New Roman"/>
                <w:color w:val="auto"/>
                <w:spacing w:val="-1"/>
              </w:rPr>
              <w:t>。</w:t>
            </w:r>
          </w:p>
          <w:p w14:paraId="77810BE9">
            <w:pPr>
              <w:keepNext w:val="0"/>
              <w:keepLines w:val="0"/>
              <w:widowControl/>
              <w:suppressLineNumbers w:val="0"/>
              <w:ind w:left="0" w:leftChars="0" w:firstLine="0" w:firstLineChars="0"/>
              <w:jc w:val="center"/>
              <w:rPr>
                <w:rFonts w:hint="default" w:ascii="Times New Roman" w:hAnsi="Times New Roman" w:eastAsia="黑体" w:cs="Times New Roman"/>
                <w:color w:val="auto"/>
                <w:sz w:val="24"/>
                <w:szCs w:val="24"/>
                <w:highlight w:val="none"/>
                <w:vertAlign w:val="baseline"/>
                <w:lang w:val="en-US" w:eastAsia="zh-CN"/>
              </w:rPr>
            </w:pPr>
            <w:r>
              <w:rPr>
                <w:rFonts w:hint="default" w:ascii="Times New Roman" w:hAnsi="Times New Roman" w:eastAsia="黑体" w:cs="Times New Roman"/>
                <w:color w:val="auto"/>
                <w:sz w:val="24"/>
                <w:szCs w:val="24"/>
                <w:highlight w:val="none"/>
                <w:vertAlign w:val="baseline"/>
                <w:lang w:val="en-US" w:eastAsia="zh-CN"/>
              </w:rPr>
              <w:t xml:space="preserve">表4-4  </w:t>
            </w:r>
            <w:r>
              <w:rPr>
                <w:rFonts w:hint="default" w:ascii="Times New Roman" w:hAnsi="Times New Roman" w:eastAsia="黑体" w:cs="Times New Roman"/>
                <w:color w:val="auto"/>
                <w:spacing w:val="8"/>
                <w:sz w:val="24"/>
                <w:szCs w:val="24"/>
                <w:highlight w:val="none"/>
                <w:lang w:val="en-US" w:eastAsia="zh-CN"/>
              </w:rPr>
              <w:t>压铸车间DA003</w:t>
            </w:r>
            <w:r>
              <w:rPr>
                <w:rFonts w:hint="default" w:ascii="Times New Roman" w:hAnsi="Times New Roman" w:eastAsia="黑体" w:cs="Times New Roman"/>
                <w:color w:val="auto"/>
                <w:spacing w:val="8"/>
                <w:sz w:val="24"/>
                <w:szCs w:val="24"/>
                <w:highlight w:val="none"/>
                <w:lang w:val="en-US" w:eastAsia="zh-CN"/>
              </w:rPr>
              <w:t>熔化、</w:t>
            </w:r>
            <w:r>
              <w:rPr>
                <w:rFonts w:hint="default" w:ascii="Times New Roman" w:hAnsi="Times New Roman" w:eastAsia="黑体" w:cs="Times New Roman"/>
                <w:color w:val="auto"/>
                <w:spacing w:val="8"/>
                <w:sz w:val="24"/>
                <w:szCs w:val="24"/>
                <w:highlight w:val="none"/>
                <w:lang w:val="en-US" w:eastAsia="zh-CN"/>
              </w:rPr>
              <w:t>压铸大气</w:t>
            </w:r>
            <w:r>
              <w:rPr>
                <w:rFonts w:hint="default" w:ascii="Times New Roman" w:hAnsi="Times New Roman" w:eastAsia="黑体" w:cs="Times New Roman"/>
                <w:color w:val="auto"/>
                <w:spacing w:val="8"/>
                <w:sz w:val="24"/>
                <w:szCs w:val="24"/>
                <w:highlight w:val="none"/>
              </w:rPr>
              <w:t>污染物</w:t>
            </w:r>
            <w:r>
              <w:rPr>
                <w:rFonts w:hint="default" w:ascii="Times New Roman" w:hAnsi="Times New Roman" w:eastAsia="黑体" w:cs="Times New Roman"/>
                <w:color w:val="auto"/>
                <w:spacing w:val="8"/>
                <w:sz w:val="24"/>
                <w:szCs w:val="24"/>
                <w:highlight w:val="none"/>
                <w:lang w:val="en-US" w:eastAsia="zh-CN"/>
              </w:rPr>
              <w:t>产生及</w:t>
            </w:r>
            <w:r>
              <w:rPr>
                <w:rFonts w:hint="default" w:ascii="Times New Roman" w:hAnsi="Times New Roman" w:eastAsia="黑体" w:cs="Times New Roman"/>
                <w:color w:val="auto"/>
                <w:spacing w:val="8"/>
                <w:sz w:val="24"/>
                <w:szCs w:val="24"/>
                <w:highlight w:val="none"/>
              </w:rPr>
              <w:t>排放情况</w:t>
            </w:r>
          </w:p>
          <w:tbl>
            <w:tblPr>
              <w:tblStyle w:val="67"/>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885"/>
              <w:gridCol w:w="1114"/>
              <w:gridCol w:w="973"/>
              <w:gridCol w:w="1251"/>
              <w:gridCol w:w="1191"/>
              <w:gridCol w:w="1170"/>
              <w:gridCol w:w="1383"/>
            </w:tblGrid>
            <w:tr w14:paraId="0EEC6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52" w:type="pct"/>
                  <w:vAlign w:val="top"/>
                </w:tcPr>
                <w:p w14:paraId="53CE3CDF">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污染</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
                      <w:sz w:val="21"/>
                      <w:szCs w:val="21"/>
                      <w:highlight w:val="none"/>
                    </w:rPr>
                    <w:t>源</w:t>
                  </w:r>
                </w:p>
              </w:tc>
              <w:tc>
                <w:tcPr>
                  <w:tcW w:w="516" w:type="pct"/>
                  <w:vAlign w:val="top"/>
                </w:tcPr>
                <w:p w14:paraId="1F9538CE">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eastAsia="zh-CN"/>
                    </w:rPr>
                    <w:t>废</w:t>
                  </w:r>
                  <w:r>
                    <w:rPr>
                      <w:rFonts w:hint="default" w:ascii="Times New Roman" w:hAnsi="Times New Roman" w:eastAsia="宋体" w:cs="Times New Roman"/>
                      <w:color w:val="auto"/>
                      <w:spacing w:val="6"/>
                      <w:sz w:val="21"/>
                      <w:szCs w:val="21"/>
                      <w:highlight w:val="none"/>
                    </w:rPr>
                    <w:t>气量</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sz w:val="21"/>
                      <w:szCs w:val="21"/>
                      <w:highlight w:val="none"/>
                    </w:rPr>
                    <w:t>）</w:t>
                  </w:r>
                </w:p>
              </w:tc>
              <w:tc>
                <w:tcPr>
                  <w:tcW w:w="649" w:type="pct"/>
                  <w:vAlign w:val="top"/>
                </w:tcPr>
                <w:p w14:paraId="545FB3C0">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污染物</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4"/>
                      <w:sz w:val="21"/>
                      <w:szCs w:val="21"/>
                      <w:highlight w:val="none"/>
                    </w:rPr>
                    <w:t>种类</w:t>
                  </w:r>
                </w:p>
              </w:tc>
              <w:tc>
                <w:tcPr>
                  <w:tcW w:w="567" w:type="pct"/>
                  <w:vAlign w:val="top"/>
                </w:tcPr>
                <w:p w14:paraId="42B2C953">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产生量</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color w:val="auto"/>
                      <w:spacing w:val="-1"/>
                      <w:sz w:val="21"/>
                      <w:szCs w:val="21"/>
                      <w:highlight w:val="none"/>
                    </w:rPr>
                    <w:t>（t/a）</w:t>
                  </w:r>
                </w:p>
              </w:tc>
              <w:tc>
                <w:tcPr>
                  <w:tcW w:w="729" w:type="pct"/>
                  <w:vAlign w:val="top"/>
                </w:tcPr>
                <w:p w14:paraId="3C4D9CC2">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lang w:eastAsia="zh-CN"/>
                    </w:rPr>
                    <w:t>无组织排放量</w:t>
                  </w:r>
                  <w:r>
                    <w:rPr>
                      <w:rFonts w:hint="default" w:ascii="Times New Roman" w:hAnsi="Times New Roman" w:eastAsia="宋体" w:cs="Times New Roman"/>
                      <w:color w:val="auto"/>
                      <w:spacing w:val="-1"/>
                      <w:sz w:val="21"/>
                      <w:szCs w:val="21"/>
                      <w:highlight w:val="none"/>
                    </w:rPr>
                    <w:t>（t/a）</w:t>
                  </w:r>
                </w:p>
              </w:tc>
              <w:tc>
                <w:tcPr>
                  <w:tcW w:w="694" w:type="pct"/>
                  <w:vAlign w:val="top"/>
                </w:tcPr>
                <w:p w14:paraId="72834622">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eastAsia="zh-CN"/>
                    </w:rPr>
                    <w:t>有组织</w:t>
                  </w:r>
                  <w:r>
                    <w:rPr>
                      <w:rFonts w:hint="default" w:ascii="Times New Roman" w:hAnsi="Times New Roman" w:eastAsia="宋体" w:cs="Times New Roman"/>
                      <w:color w:val="auto"/>
                      <w:spacing w:val="6"/>
                      <w:sz w:val="21"/>
                      <w:szCs w:val="21"/>
                      <w:highlight w:val="none"/>
                    </w:rPr>
                    <w:t>排放量</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color w:val="auto"/>
                      <w:spacing w:val="-1"/>
                      <w:sz w:val="21"/>
                      <w:szCs w:val="21"/>
                      <w:highlight w:val="none"/>
                    </w:rPr>
                    <w:t>（t/a）</w:t>
                  </w:r>
                </w:p>
              </w:tc>
              <w:tc>
                <w:tcPr>
                  <w:tcW w:w="682" w:type="pct"/>
                  <w:vAlign w:val="top"/>
                </w:tcPr>
                <w:p w14:paraId="33952FE2">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lang w:eastAsia="zh-CN"/>
                    </w:rPr>
                    <w:t>有组织</w:t>
                  </w:r>
                  <w:r>
                    <w:rPr>
                      <w:rFonts w:hint="default" w:ascii="Times New Roman" w:hAnsi="Times New Roman" w:eastAsia="宋体" w:cs="Times New Roman"/>
                      <w:color w:val="auto"/>
                      <w:spacing w:val="7"/>
                      <w:sz w:val="21"/>
                      <w:szCs w:val="21"/>
                      <w:highlight w:val="none"/>
                    </w:rPr>
                    <w:t>排放速率</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2"/>
                      <w:sz w:val="21"/>
                      <w:szCs w:val="21"/>
                      <w:highlight w:val="none"/>
                    </w:rPr>
                    <w:t>/h）</w:t>
                  </w:r>
                </w:p>
              </w:tc>
              <w:tc>
                <w:tcPr>
                  <w:tcW w:w="806" w:type="pct"/>
                  <w:vAlign w:val="top"/>
                </w:tcPr>
                <w:p w14:paraId="580B4C06">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eastAsia="zh-CN"/>
                    </w:rPr>
                    <w:t>有组织排放浓度（</w:t>
                  </w:r>
                  <w:r>
                    <w:rPr>
                      <w:rFonts w:hint="default" w:ascii="Times New Roman" w:hAnsi="Times New Roman" w:eastAsia="宋体" w:cs="Times New Roman"/>
                      <w:color w:val="auto"/>
                      <w:spacing w:val="7"/>
                      <w:sz w:val="21"/>
                      <w:szCs w:val="21"/>
                      <w:highlight w:val="none"/>
                      <w:lang w:val="en-US" w:eastAsia="zh-CN"/>
                    </w:rPr>
                    <w:t>mg/m</w:t>
                  </w:r>
                  <w:r>
                    <w:rPr>
                      <w:rFonts w:hint="default" w:ascii="Times New Roman" w:hAnsi="Times New Roman" w:eastAsia="宋体"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lang w:eastAsia="zh-CN"/>
                    </w:rPr>
                    <w:t>）</w:t>
                  </w:r>
                </w:p>
              </w:tc>
            </w:tr>
            <w:tr w14:paraId="3253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352" w:type="pct"/>
                  <w:vMerge w:val="restart"/>
                  <w:vAlign w:val="center"/>
                </w:tcPr>
                <w:p w14:paraId="0AC47669">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压铸车间熔化、</w:t>
                  </w:r>
                  <w:r>
                    <w:rPr>
                      <w:rFonts w:hint="default" w:ascii="Times New Roman" w:hAnsi="Times New Roman" w:eastAsia="宋体" w:cs="Times New Roman"/>
                      <w:color w:val="auto"/>
                      <w:spacing w:val="3"/>
                      <w:sz w:val="21"/>
                      <w:szCs w:val="21"/>
                      <w:highlight w:val="none"/>
                      <w:lang w:val="en-US" w:eastAsia="zh-CN"/>
                    </w:rPr>
                    <w:t>压铸、</w:t>
                  </w:r>
                  <w:r>
                    <w:rPr>
                      <w:rFonts w:hint="default" w:ascii="Times New Roman" w:hAnsi="Times New Roman" w:eastAsia="宋体" w:cs="Times New Roman"/>
                      <w:color w:val="auto"/>
                      <w:spacing w:val="3"/>
                      <w:sz w:val="21"/>
                      <w:szCs w:val="21"/>
                      <w:highlight w:val="none"/>
                    </w:rPr>
                    <w:t xml:space="preserve">  废气</w:t>
                  </w:r>
                  <w:r>
                    <w:rPr>
                      <w:rFonts w:hint="default" w:ascii="Times New Roman" w:hAnsi="Times New Roman" w:cs="Times New Roman"/>
                      <w:color w:val="auto"/>
                      <w:spacing w:val="3"/>
                      <w:sz w:val="21"/>
                      <w:szCs w:val="21"/>
                      <w:highlight w:val="none"/>
                      <w:lang w:val="en-US" w:eastAsia="zh-CN"/>
                    </w:rPr>
                    <w:t>DA003</w:t>
                  </w:r>
                </w:p>
              </w:tc>
              <w:tc>
                <w:tcPr>
                  <w:tcW w:w="516" w:type="pct"/>
                  <w:vMerge w:val="restart"/>
                  <w:vAlign w:val="center"/>
                </w:tcPr>
                <w:p w14:paraId="33F744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7701</w:t>
                  </w:r>
                </w:p>
              </w:tc>
              <w:tc>
                <w:tcPr>
                  <w:tcW w:w="649" w:type="pct"/>
                  <w:vAlign w:val="center"/>
                </w:tcPr>
                <w:p w14:paraId="2E436F3B">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67" w:type="pct"/>
                  <w:vAlign w:val="center"/>
                </w:tcPr>
                <w:p w14:paraId="6196E834">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4.92</w:t>
                  </w:r>
                </w:p>
              </w:tc>
              <w:tc>
                <w:tcPr>
                  <w:tcW w:w="729" w:type="pct"/>
                  <w:vAlign w:val="center"/>
                </w:tcPr>
                <w:p w14:paraId="27245C73">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w:t>
                  </w:r>
                </w:p>
              </w:tc>
              <w:tc>
                <w:tcPr>
                  <w:tcW w:w="694" w:type="pct"/>
                  <w:vAlign w:val="center"/>
                </w:tcPr>
                <w:p w14:paraId="6C8CB448">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22</w:t>
                  </w:r>
                </w:p>
              </w:tc>
              <w:tc>
                <w:tcPr>
                  <w:tcW w:w="682" w:type="pct"/>
                  <w:vAlign w:val="center"/>
                </w:tcPr>
                <w:p w14:paraId="7A57C616">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3</w:t>
                  </w:r>
                </w:p>
              </w:tc>
              <w:tc>
                <w:tcPr>
                  <w:tcW w:w="806" w:type="pct"/>
                  <w:vAlign w:val="center"/>
                </w:tcPr>
                <w:p w14:paraId="132D44C3">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3"/>
                      <w:sz w:val="21"/>
                      <w:szCs w:val="21"/>
                      <w:highlight w:val="yellow"/>
                      <w:lang w:val="en-US" w:eastAsia="zh-CN"/>
                    </w:rPr>
                  </w:pPr>
                  <w:r>
                    <w:rPr>
                      <w:rFonts w:hint="eastAsia" w:cs="Times New Roman"/>
                      <w:color w:val="auto"/>
                      <w:spacing w:val="3"/>
                      <w:sz w:val="21"/>
                      <w:szCs w:val="21"/>
                      <w:highlight w:val="none"/>
                      <w:lang w:val="en-US" w:eastAsia="zh-CN"/>
                    </w:rPr>
                    <w:t>3.99</w:t>
                  </w:r>
                </w:p>
              </w:tc>
            </w:tr>
            <w:tr w14:paraId="191A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52" w:type="pct"/>
                  <w:vMerge w:val="continue"/>
                  <w:vAlign w:val="top"/>
                </w:tcPr>
                <w:p w14:paraId="4E544002">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16" w:type="pct"/>
                  <w:vMerge w:val="continue"/>
                  <w:vAlign w:val="top"/>
                </w:tcPr>
                <w:p w14:paraId="681E8E39">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9" w:type="pct"/>
                  <w:vAlign w:val="center"/>
                </w:tcPr>
                <w:p w14:paraId="615D8D05">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3"/>
                      <w:sz w:val="21"/>
                      <w:szCs w:val="21"/>
                      <w:highlight w:val="none"/>
                      <w:lang w:val="en-US" w:eastAsia="zh-CN"/>
                    </w:rPr>
                    <w:t>非甲烷总烃</w:t>
                  </w:r>
                </w:p>
              </w:tc>
              <w:tc>
                <w:tcPr>
                  <w:tcW w:w="567" w:type="pct"/>
                  <w:vAlign w:val="center"/>
                </w:tcPr>
                <w:p w14:paraId="56B752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w:t>
                  </w:r>
                </w:p>
              </w:tc>
              <w:tc>
                <w:tcPr>
                  <w:tcW w:w="729" w:type="pct"/>
                  <w:vAlign w:val="center"/>
                </w:tcPr>
                <w:p w14:paraId="41A6BA68">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02</w:t>
                  </w:r>
                </w:p>
              </w:tc>
              <w:tc>
                <w:tcPr>
                  <w:tcW w:w="694" w:type="pct"/>
                  <w:vAlign w:val="center"/>
                </w:tcPr>
                <w:p w14:paraId="22CD6081">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22</w:t>
                  </w:r>
                </w:p>
              </w:tc>
              <w:tc>
                <w:tcPr>
                  <w:tcW w:w="682" w:type="pct"/>
                  <w:vAlign w:val="center"/>
                </w:tcPr>
                <w:p w14:paraId="3D2A7E95">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val="en-US" w:eastAsia="zh-CN"/>
                    </w:rPr>
                    <w:t>3</w:t>
                  </w:r>
                </w:p>
              </w:tc>
              <w:tc>
                <w:tcPr>
                  <w:tcW w:w="806" w:type="pct"/>
                  <w:vAlign w:val="center"/>
                </w:tcPr>
                <w:p w14:paraId="5A78BED2">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3"/>
                      <w:sz w:val="21"/>
                      <w:szCs w:val="21"/>
                      <w:highlight w:val="yellow"/>
                      <w:lang w:val="en-US" w:eastAsia="zh-CN"/>
                    </w:rPr>
                  </w:pPr>
                  <w:r>
                    <w:rPr>
                      <w:rFonts w:hint="default" w:ascii="Times New Roman" w:hAnsi="Times New Roman" w:cs="Times New Roman"/>
                      <w:color w:val="auto"/>
                      <w:spacing w:val="3"/>
                      <w:sz w:val="21"/>
                      <w:szCs w:val="21"/>
                      <w:highlight w:val="none"/>
                      <w:lang w:val="en-US" w:eastAsia="zh-CN"/>
                    </w:rPr>
                    <w:t>3.97</w:t>
                  </w:r>
                </w:p>
              </w:tc>
            </w:tr>
          </w:tbl>
          <w:p w14:paraId="2DE4314D">
            <w:pPr>
              <w:pStyle w:val="2"/>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D.压铸车间保温炉燃烧废气</w:t>
            </w:r>
          </w:p>
          <w:p w14:paraId="64258C75">
            <w:pPr>
              <w:spacing w:line="360" w:lineRule="auto"/>
              <w:ind w:left="0" w:leftChars="0" w:firstLine="472" w:firstLineChars="200"/>
              <w:jc w:val="left"/>
              <w:rPr>
                <w:rFonts w:hint="default" w:ascii="Times New Roman" w:hAnsi="Times New Roman" w:cs="Times New Roman"/>
                <w:color w:val="auto"/>
                <w:vertAlign w:val="baseline"/>
                <w:lang w:val="en-US" w:eastAsia="zh-CN"/>
              </w:rPr>
            </w:pPr>
            <w:r>
              <w:rPr>
                <w:rFonts w:hint="default" w:ascii="Times New Roman" w:hAnsi="Times New Roman" w:cs="Times New Roman"/>
                <w:color w:val="auto"/>
                <w:spacing w:val="-2"/>
                <w:sz w:val="24"/>
                <w:szCs w:val="24"/>
                <w:highlight w:val="none"/>
                <w:lang w:val="en-US" w:eastAsia="zh-CN"/>
              </w:rPr>
              <w:t>压铸车间熔化保温炉燃料为天然气，</w:t>
            </w:r>
            <w:r>
              <w:rPr>
                <w:rFonts w:hint="default" w:ascii="Times New Roman" w:hAnsi="Times New Roman" w:cs="Times New Roman"/>
                <w:color w:val="auto"/>
                <w:spacing w:val="-1"/>
                <w:lang w:val="en-US" w:eastAsia="zh-CN"/>
              </w:rPr>
              <w:t>经确认，燃烧器采用低氮燃烧技术，</w:t>
            </w:r>
            <w:r>
              <w:rPr>
                <w:rFonts w:hint="default" w:ascii="Times New Roman" w:hAnsi="Times New Roman" w:cs="Times New Roman"/>
                <w:color w:val="auto"/>
                <w:spacing w:val="-3"/>
                <w:sz w:val="24"/>
                <w:szCs w:val="24"/>
                <w:highlight w:val="none"/>
              </w:rPr>
              <w:t>参考</w:t>
            </w:r>
            <w:r>
              <w:rPr>
                <w:rFonts w:hint="default" w:ascii="Times New Roman" w:hAnsi="Times New Roman" w:cs="Times New Roman"/>
                <w:color w:val="auto"/>
                <w:spacing w:val="2"/>
                <w:position w:val="2"/>
                <w:sz w:val="24"/>
                <w:highlight w:val="none"/>
              </w:rPr>
              <w:t>《</w:t>
            </w:r>
            <w:r>
              <w:rPr>
                <w:rFonts w:hint="default" w:ascii="Times New Roman" w:hAnsi="Times New Roman" w:cs="Times New Roman"/>
                <w:color w:val="auto"/>
                <w:position w:val="2"/>
                <w:sz w:val="24"/>
                <w:highlight w:val="none"/>
              </w:rPr>
              <w:t>排放</w:t>
            </w:r>
            <w:r>
              <w:rPr>
                <w:rFonts w:hint="default" w:ascii="Times New Roman" w:hAnsi="Times New Roman" w:cs="Times New Roman"/>
                <w:color w:val="auto"/>
                <w:spacing w:val="2"/>
                <w:sz w:val="24"/>
                <w:highlight w:val="none"/>
              </w:rPr>
              <w:t>源统计调</w:t>
            </w:r>
            <w:r>
              <w:rPr>
                <w:rFonts w:hint="default" w:ascii="Times New Roman" w:hAnsi="Times New Roman" w:cs="Times New Roman"/>
                <w:color w:val="auto"/>
                <w:sz w:val="24"/>
                <w:highlight w:val="none"/>
              </w:rPr>
              <w:t>查</w:t>
            </w:r>
            <w:r>
              <w:rPr>
                <w:rFonts w:hint="default" w:ascii="Times New Roman" w:hAnsi="Times New Roman" w:cs="Times New Roman"/>
                <w:color w:val="auto"/>
                <w:spacing w:val="2"/>
                <w:sz w:val="24"/>
                <w:highlight w:val="none"/>
              </w:rPr>
              <w:t>产排污核算方法</w:t>
            </w:r>
            <w:r>
              <w:rPr>
                <w:rFonts w:hint="default" w:ascii="Times New Roman" w:hAnsi="Times New Roman" w:cs="Times New Roman"/>
                <w:color w:val="auto"/>
                <w:sz w:val="24"/>
                <w:highlight w:val="none"/>
              </w:rPr>
              <w:t>和</w:t>
            </w:r>
            <w:r>
              <w:rPr>
                <w:rFonts w:hint="default" w:ascii="Times New Roman" w:hAnsi="Times New Roman" w:cs="Times New Roman"/>
                <w:color w:val="auto"/>
                <w:spacing w:val="2"/>
                <w:sz w:val="24"/>
                <w:highlight w:val="none"/>
              </w:rPr>
              <w:t>系数手册》（</w:t>
            </w:r>
            <w:r>
              <w:rPr>
                <w:rFonts w:hint="default" w:ascii="Times New Roman" w:hAnsi="Times New Roman" w:cs="Times New Roman"/>
                <w:color w:val="auto"/>
                <w:spacing w:val="2"/>
                <w:sz w:val="24"/>
                <w:highlight w:val="none"/>
                <w:lang w:eastAsia="zh-CN"/>
              </w:rPr>
              <w:t>生态</w:t>
            </w:r>
            <w:r>
              <w:rPr>
                <w:rFonts w:hint="default" w:ascii="Times New Roman" w:hAnsi="Times New Roman" w:cs="Times New Roman"/>
                <w:color w:val="auto"/>
                <w:spacing w:val="2"/>
                <w:sz w:val="24"/>
                <w:highlight w:val="none"/>
              </w:rPr>
              <w:t>环境</w:t>
            </w:r>
            <w:r>
              <w:rPr>
                <w:rFonts w:hint="default" w:ascii="Times New Roman" w:hAnsi="Times New Roman" w:cs="Times New Roman"/>
                <w:color w:val="auto"/>
                <w:sz w:val="24"/>
                <w:highlight w:val="none"/>
              </w:rPr>
              <w:t>部</w:t>
            </w:r>
            <w:r>
              <w:rPr>
                <w:rFonts w:hint="default" w:ascii="Times New Roman" w:hAnsi="Times New Roman" w:cs="Times New Roman"/>
                <w:color w:val="auto"/>
                <w:spacing w:val="2"/>
                <w:sz w:val="24"/>
                <w:highlight w:val="none"/>
              </w:rPr>
              <w:t>公</w:t>
            </w:r>
            <w:r>
              <w:rPr>
                <w:rFonts w:hint="default" w:ascii="Times New Roman" w:hAnsi="Times New Roman" w:cs="Times New Roman"/>
                <w:color w:val="auto"/>
                <w:sz w:val="24"/>
                <w:highlight w:val="none"/>
              </w:rPr>
              <w:t>告</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2021</w:t>
            </w:r>
            <w:r>
              <w:rPr>
                <w:rFonts w:hint="default" w:ascii="Times New Roman" w:hAnsi="Times New Roman" w:cs="Times New Roman"/>
                <w:color w:val="auto"/>
                <w:spacing w:val="2"/>
                <w:sz w:val="24"/>
                <w:highlight w:val="none"/>
              </w:rPr>
              <w:t>年</w:t>
            </w:r>
            <w:r>
              <w:rPr>
                <w:rFonts w:hint="default" w:ascii="Times New Roman" w:hAnsi="Times New Roman" w:cs="Times New Roman"/>
                <w:color w:val="auto"/>
                <w:sz w:val="24"/>
                <w:highlight w:val="none"/>
              </w:rPr>
              <w:t>第</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24</w:t>
            </w:r>
            <w:r>
              <w:rPr>
                <w:rFonts w:hint="default" w:ascii="Times New Roman" w:hAnsi="Times New Roman" w:cs="Times New Roman"/>
                <w:color w:val="auto"/>
                <w:spacing w:val="2"/>
                <w:sz w:val="24"/>
                <w:highlight w:val="none"/>
              </w:rPr>
              <w:t>号）中</w:t>
            </w:r>
            <w:r>
              <w:rPr>
                <w:rFonts w:hint="default" w:ascii="Times New Roman" w:hAnsi="Times New Roman" w:cs="Times New Roman"/>
                <w:color w:val="auto"/>
                <w:sz w:val="24"/>
                <w:highlight w:val="none"/>
              </w:rPr>
              <w:t>的</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4430工</w:t>
            </w:r>
            <w:r>
              <w:rPr>
                <w:rFonts w:hint="default" w:ascii="Times New Roman" w:hAnsi="Times New Roman" w:cs="Times New Roman"/>
                <w:color w:val="auto"/>
                <w:spacing w:val="4"/>
                <w:sz w:val="24"/>
                <w:highlight w:val="none"/>
              </w:rPr>
              <w:t>业锅</w:t>
            </w:r>
            <w:r>
              <w:rPr>
                <w:rFonts w:hint="default" w:ascii="Times New Roman" w:hAnsi="Times New Roman" w:cs="Times New Roman"/>
                <w:color w:val="auto"/>
                <w:spacing w:val="7"/>
                <w:sz w:val="24"/>
                <w:highlight w:val="none"/>
              </w:rPr>
              <w:t>炉</w:t>
            </w:r>
            <w:r>
              <w:rPr>
                <w:rFonts w:hint="default" w:ascii="Times New Roman" w:hAnsi="Times New Roman" w:cs="Times New Roman"/>
                <w:color w:val="auto"/>
                <w:spacing w:val="4"/>
                <w:sz w:val="24"/>
                <w:highlight w:val="none"/>
              </w:rPr>
              <w:t>（热力供</w:t>
            </w:r>
            <w:r>
              <w:rPr>
                <w:rFonts w:hint="default" w:ascii="Times New Roman" w:hAnsi="Times New Roman" w:cs="Times New Roman"/>
                <w:color w:val="auto"/>
                <w:spacing w:val="7"/>
                <w:sz w:val="24"/>
                <w:highlight w:val="none"/>
              </w:rPr>
              <w:t>应</w:t>
            </w:r>
            <w:r>
              <w:rPr>
                <w:rFonts w:hint="default" w:ascii="Times New Roman" w:hAnsi="Times New Roman" w:cs="Times New Roman"/>
                <w:color w:val="auto"/>
                <w:spacing w:val="4"/>
                <w:sz w:val="24"/>
                <w:highlight w:val="none"/>
              </w:rPr>
              <w:t>）行业系</w:t>
            </w:r>
            <w:r>
              <w:rPr>
                <w:rFonts w:hint="default" w:ascii="Times New Roman" w:hAnsi="Times New Roman" w:cs="Times New Roman"/>
                <w:color w:val="auto"/>
                <w:spacing w:val="7"/>
                <w:sz w:val="24"/>
                <w:highlight w:val="none"/>
              </w:rPr>
              <w:t>数</w:t>
            </w:r>
            <w:r>
              <w:rPr>
                <w:rFonts w:hint="default" w:ascii="Times New Roman" w:hAnsi="Times New Roman" w:cs="Times New Roman"/>
                <w:color w:val="auto"/>
                <w:spacing w:val="4"/>
                <w:sz w:val="24"/>
                <w:highlight w:val="none"/>
              </w:rPr>
              <w:t>手册</w:t>
            </w:r>
            <w:r>
              <w:rPr>
                <w:rFonts w:hint="default" w:ascii="Times New Roman" w:hAnsi="Times New Roman" w:cs="Times New Roman"/>
                <w:color w:val="auto"/>
                <w:spacing w:val="-3"/>
                <w:sz w:val="24"/>
                <w:szCs w:val="24"/>
                <w:highlight w:val="none"/>
                <w:lang w:val="en-US" w:eastAsia="zh-CN"/>
              </w:rPr>
              <w:t>以及</w:t>
            </w:r>
            <w:r>
              <w:rPr>
                <w:rFonts w:hint="default" w:ascii="Times New Roman" w:hAnsi="Times New Roman" w:cs="Times New Roman"/>
                <w:color w:val="auto"/>
                <w:highlight w:val="none"/>
              </w:rPr>
              <w:t>《纳入排污许可管理的火电等</w:t>
            </w:r>
            <w:r>
              <w:rPr>
                <w:rFonts w:hint="default" w:ascii="Times New Roman" w:hAnsi="Times New Roman" w:cs="Times New Roman"/>
                <w:color w:val="auto"/>
              </w:rPr>
              <w:t>17个行业污染物实际排放量计算方法（含排污系数、物料衡算方法）（试行</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产污系数，每</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vertAlign w:val="baseline"/>
                <w:lang w:val="en-US" w:eastAsia="zh-CN"/>
              </w:rPr>
              <w:t>天然气产生废气107753标立方米、颗粒物1.03kg、二氧化硫0.02Skg（S=1.1）、氮氧化物15.87kg，本项目压铸保温炉燃用天然气10万m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/a，年运行7200h，则产生废气量150</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vertAlign w:val="baseline"/>
                <w:lang w:val="en-US" w:eastAsia="zh-CN"/>
              </w:rPr>
              <w:t>颗粒物0.01t/a（0.001kg/h）、二氧化硫0.00022t/a（3×10</w:t>
            </w:r>
            <w:r>
              <w:rPr>
                <w:rFonts w:hint="default" w:ascii="Times New Roman" w:hAnsi="Times New Roman" w:cs="Times New Roman"/>
                <w:color w:val="auto"/>
                <w:vertAlign w:val="superscript"/>
                <w:lang w:val="en-US" w:eastAsia="zh-CN"/>
              </w:rPr>
              <w:t>-5</w:t>
            </w:r>
            <w:r>
              <w:rPr>
                <w:rFonts w:hint="default" w:ascii="Times New Roman" w:hAnsi="Times New Roman" w:cs="Times New Roman"/>
                <w:color w:val="auto"/>
                <w:vertAlign w:val="baseline"/>
                <w:lang w:val="en-US" w:eastAsia="zh-CN"/>
              </w:rPr>
              <w:t>kg/h）、氮氧化物0.16t/a（0.02kg/h），经15m高排气筒DA004排放。</w:t>
            </w:r>
            <w:r>
              <w:rPr>
                <w:rFonts w:hint="default" w:ascii="Times New Roman" w:hAnsi="Times New Roman" w:cs="Times New Roman"/>
                <w:color w:val="auto"/>
                <w:kern w:val="0"/>
                <w:sz w:val="24"/>
                <w:szCs w:val="24"/>
                <w:lang w:val="en-US" w:eastAsia="zh-CN"/>
              </w:rPr>
              <w:t>压铸车间保温炉燃烧废气</w:t>
            </w:r>
            <w:r>
              <w:rPr>
                <w:rFonts w:hint="default" w:ascii="Times New Roman" w:hAnsi="Times New Roman" w:cs="Times New Roman"/>
                <w:color w:val="auto"/>
                <w:vertAlign w:val="baseline"/>
                <w:lang w:val="en-US" w:eastAsia="zh-CN"/>
              </w:rPr>
              <w:t>废气产生及排放情况如下表。</w:t>
            </w:r>
          </w:p>
          <w:p w14:paraId="6093134A">
            <w:pPr>
              <w:keepNext w:val="0"/>
              <w:keepLines w:val="0"/>
              <w:widowControl/>
              <w:suppressLineNumbers w:val="0"/>
              <w:ind w:left="0" w:leftChars="0" w:firstLine="0" w:firstLineChars="0"/>
              <w:jc w:val="center"/>
              <w:rPr>
                <w:rFonts w:hint="default" w:ascii="Times New Roman" w:hAnsi="Times New Roman" w:eastAsia="黑体" w:cs="Times New Roman"/>
                <w:color w:val="auto"/>
                <w:spacing w:val="8"/>
                <w:sz w:val="24"/>
                <w:szCs w:val="24"/>
                <w:highlight w:val="none"/>
              </w:rPr>
            </w:pPr>
            <w:r>
              <w:rPr>
                <w:rFonts w:hint="default" w:ascii="Times New Roman" w:hAnsi="Times New Roman" w:eastAsia="黑体" w:cs="Times New Roman"/>
                <w:color w:val="auto"/>
                <w:sz w:val="24"/>
                <w:szCs w:val="24"/>
                <w:highlight w:val="none"/>
                <w:vertAlign w:val="baseline"/>
                <w:lang w:val="en-US" w:eastAsia="zh-CN"/>
              </w:rPr>
              <w:t xml:space="preserve">表4-5  </w:t>
            </w:r>
            <w:r>
              <w:rPr>
                <w:rFonts w:hint="default" w:ascii="Times New Roman" w:hAnsi="Times New Roman" w:eastAsia="黑体" w:cs="Times New Roman"/>
                <w:color w:val="auto"/>
                <w:spacing w:val="8"/>
                <w:sz w:val="24"/>
                <w:szCs w:val="24"/>
                <w:highlight w:val="none"/>
                <w:lang w:val="en-US" w:eastAsia="zh-CN"/>
              </w:rPr>
              <w:t>压铸车间DA004</w:t>
            </w:r>
            <w:r>
              <w:rPr>
                <w:rFonts w:hint="default" w:ascii="Times New Roman" w:hAnsi="Times New Roman" w:eastAsia="黑体" w:cs="Times New Roman"/>
                <w:color w:val="auto"/>
                <w:spacing w:val="8"/>
                <w:sz w:val="24"/>
                <w:szCs w:val="24"/>
                <w:highlight w:val="none"/>
                <w:lang w:val="en-US" w:eastAsia="zh-CN"/>
              </w:rPr>
              <w:t>保温炉燃烧废气</w:t>
            </w:r>
            <w:r>
              <w:rPr>
                <w:rFonts w:hint="default" w:ascii="Times New Roman" w:hAnsi="Times New Roman" w:eastAsia="黑体" w:cs="Times New Roman"/>
                <w:color w:val="auto"/>
                <w:spacing w:val="8"/>
                <w:sz w:val="24"/>
                <w:szCs w:val="24"/>
                <w:highlight w:val="none"/>
                <w:lang w:val="en-US" w:eastAsia="zh-CN"/>
              </w:rPr>
              <w:t>产生及</w:t>
            </w:r>
            <w:r>
              <w:rPr>
                <w:rFonts w:hint="default" w:ascii="Times New Roman" w:hAnsi="Times New Roman" w:eastAsia="黑体" w:cs="Times New Roman"/>
                <w:color w:val="auto"/>
                <w:spacing w:val="8"/>
                <w:sz w:val="24"/>
                <w:szCs w:val="24"/>
                <w:highlight w:val="none"/>
              </w:rPr>
              <w:t>排放情况</w:t>
            </w:r>
          </w:p>
          <w:tbl>
            <w:tblPr>
              <w:tblStyle w:val="67"/>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1008"/>
              <w:gridCol w:w="1123"/>
              <w:gridCol w:w="1127"/>
              <w:gridCol w:w="1386"/>
              <w:gridCol w:w="1404"/>
              <w:gridCol w:w="1604"/>
            </w:tblGrid>
            <w:tr w14:paraId="0A836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35" w:type="pct"/>
                  <w:vAlign w:val="top"/>
                </w:tcPr>
                <w:p w14:paraId="57F8BABC">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污染</w:t>
                  </w:r>
                  <w:r>
                    <w:rPr>
                      <w:rFonts w:hint="default" w:ascii="Times New Roman" w:hAnsi="Times New Roman" w:eastAsia="宋体" w:cs="Times New Roman"/>
                      <w:color w:val="auto"/>
                      <w:spacing w:val="1"/>
                      <w:sz w:val="21"/>
                      <w:szCs w:val="21"/>
                      <w:highlight w:val="none"/>
                    </w:rPr>
                    <w:t>源</w:t>
                  </w:r>
                </w:p>
              </w:tc>
              <w:tc>
                <w:tcPr>
                  <w:tcW w:w="588" w:type="pct"/>
                  <w:vAlign w:val="top"/>
                </w:tcPr>
                <w:p w14:paraId="3A7956DA">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eastAsia="zh-CN"/>
                    </w:rPr>
                    <w:t>废</w:t>
                  </w:r>
                  <w:r>
                    <w:rPr>
                      <w:rFonts w:hint="default" w:ascii="Times New Roman" w:hAnsi="Times New Roman" w:eastAsia="宋体" w:cs="Times New Roman"/>
                      <w:color w:val="auto"/>
                      <w:spacing w:val="6"/>
                      <w:sz w:val="21"/>
                      <w:szCs w:val="21"/>
                      <w:highlight w:val="none"/>
                    </w:rPr>
                    <w:t>气量</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sz w:val="21"/>
                      <w:szCs w:val="21"/>
                      <w:highlight w:val="none"/>
                    </w:rPr>
                    <w:t>）</w:t>
                  </w:r>
                </w:p>
              </w:tc>
              <w:tc>
                <w:tcPr>
                  <w:tcW w:w="655" w:type="pct"/>
                  <w:vAlign w:val="top"/>
                </w:tcPr>
                <w:p w14:paraId="7FF99B7F">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污染物</w:t>
                  </w:r>
                </w:p>
              </w:tc>
              <w:tc>
                <w:tcPr>
                  <w:tcW w:w="657" w:type="pct"/>
                  <w:vAlign w:val="top"/>
                </w:tcPr>
                <w:p w14:paraId="1291671C">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产生量</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color w:val="auto"/>
                      <w:spacing w:val="-1"/>
                      <w:sz w:val="21"/>
                      <w:szCs w:val="21"/>
                      <w:highlight w:val="none"/>
                    </w:rPr>
                    <w:t>（t/a）</w:t>
                  </w:r>
                </w:p>
              </w:tc>
              <w:tc>
                <w:tcPr>
                  <w:tcW w:w="808" w:type="pct"/>
                  <w:vAlign w:val="top"/>
                </w:tcPr>
                <w:p w14:paraId="42762CEC">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排放量</w:t>
                  </w:r>
                </w:p>
                <w:p w14:paraId="03F199F4">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（t/a）</w:t>
                  </w:r>
                </w:p>
              </w:tc>
              <w:tc>
                <w:tcPr>
                  <w:tcW w:w="819" w:type="pct"/>
                  <w:vAlign w:val="top"/>
                </w:tcPr>
                <w:p w14:paraId="3AAB8E8D">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排放速率</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2"/>
                      <w:sz w:val="21"/>
                      <w:szCs w:val="21"/>
                      <w:highlight w:val="none"/>
                    </w:rPr>
                    <w:t>/h）</w:t>
                  </w:r>
                </w:p>
              </w:tc>
              <w:tc>
                <w:tcPr>
                  <w:tcW w:w="935" w:type="pct"/>
                  <w:vAlign w:val="top"/>
                </w:tcPr>
                <w:p w14:paraId="14705432">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eastAsia="zh-CN"/>
                    </w:rPr>
                    <w:t>排放浓度（</w:t>
                  </w:r>
                  <w:r>
                    <w:rPr>
                      <w:rFonts w:hint="default" w:ascii="Times New Roman" w:hAnsi="Times New Roman" w:eastAsia="宋体" w:cs="Times New Roman"/>
                      <w:color w:val="auto"/>
                      <w:spacing w:val="7"/>
                      <w:sz w:val="21"/>
                      <w:szCs w:val="21"/>
                      <w:highlight w:val="none"/>
                      <w:lang w:val="en-US" w:eastAsia="zh-CN"/>
                    </w:rPr>
                    <w:t>mg/m</w:t>
                  </w:r>
                  <w:r>
                    <w:rPr>
                      <w:rFonts w:hint="default" w:ascii="Times New Roman" w:hAnsi="Times New Roman" w:eastAsia="宋体"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lang w:eastAsia="zh-CN"/>
                    </w:rPr>
                    <w:t>）</w:t>
                  </w:r>
                </w:p>
              </w:tc>
            </w:tr>
            <w:tr w14:paraId="580D5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535" w:type="pct"/>
                  <w:vMerge w:val="restart"/>
                  <w:vAlign w:val="top"/>
                </w:tcPr>
                <w:p w14:paraId="03E2BD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highlight w:val="none"/>
                      <w:lang w:val="en-US" w:eastAsia="zh-CN"/>
                    </w:rPr>
                    <w:t>压铸车间保温炉燃烧废气DA004</w:t>
                  </w:r>
                </w:p>
              </w:tc>
              <w:tc>
                <w:tcPr>
                  <w:tcW w:w="588" w:type="pct"/>
                  <w:vMerge w:val="restart"/>
                  <w:vAlign w:val="center"/>
                </w:tcPr>
                <w:p w14:paraId="0617BE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w:t>
                  </w:r>
                </w:p>
              </w:tc>
              <w:tc>
                <w:tcPr>
                  <w:tcW w:w="655" w:type="pct"/>
                  <w:vAlign w:val="center"/>
                </w:tcPr>
                <w:p w14:paraId="704C6346">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57" w:type="pct"/>
                  <w:vAlign w:val="center"/>
                </w:tcPr>
                <w:p w14:paraId="5BBF44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808" w:type="pct"/>
                  <w:vAlign w:val="center"/>
                </w:tcPr>
                <w:p w14:paraId="318113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819" w:type="pct"/>
                  <w:vAlign w:val="center"/>
                </w:tcPr>
                <w:p w14:paraId="11D362B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0.001</w:t>
                  </w:r>
                </w:p>
              </w:tc>
              <w:tc>
                <w:tcPr>
                  <w:tcW w:w="935" w:type="pct"/>
                  <w:vAlign w:val="center"/>
                </w:tcPr>
                <w:p w14:paraId="6EB72E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9.56</w:t>
                  </w:r>
                </w:p>
              </w:tc>
            </w:tr>
            <w:tr w14:paraId="0B9A3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jc w:val="center"/>
              </w:trPr>
              <w:tc>
                <w:tcPr>
                  <w:tcW w:w="535" w:type="pct"/>
                  <w:vMerge w:val="continue"/>
                  <w:vAlign w:val="top"/>
                </w:tcPr>
                <w:p w14:paraId="00598280">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1"/>
                      <w:szCs w:val="21"/>
                      <w:highlight w:val="none"/>
                      <w:lang w:val="en-US" w:eastAsia="zh-CN"/>
                    </w:rPr>
                  </w:pPr>
                </w:p>
              </w:tc>
              <w:tc>
                <w:tcPr>
                  <w:tcW w:w="588" w:type="pct"/>
                  <w:vMerge w:val="continue"/>
                  <w:vAlign w:val="top"/>
                </w:tcPr>
                <w:p w14:paraId="1F855B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5" w:type="pct"/>
                  <w:vAlign w:val="center"/>
                </w:tcPr>
                <w:p w14:paraId="2F036647">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二氧化</w:t>
                  </w:r>
                  <w:r>
                    <w:rPr>
                      <w:rFonts w:hint="default" w:ascii="Times New Roman" w:hAnsi="Times New Roman" w:eastAsia="宋体" w:cs="Times New Roman"/>
                      <w:color w:val="auto"/>
                      <w:spacing w:val="1"/>
                      <w:sz w:val="21"/>
                      <w:szCs w:val="21"/>
                      <w:highlight w:val="none"/>
                    </w:rPr>
                    <w:t>硫</w:t>
                  </w:r>
                </w:p>
              </w:tc>
              <w:tc>
                <w:tcPr>
                  <w:tcW w:w="657" w:type="pct"/>
                  <w:vAlign w:val="center"/>
                </w:tcPr>
                <w:p w14:paraId="292A14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0.00022</w:t>
                  </w:r>
                </w:p>
              </w:tc>
              <w:tc>
                <w:tcPr>
                  <w:tcW w:w="808" w:type="pct"/>
                  <w:vAlign w:val="center"/>
                </w:tcPr>
                <w:p w14:paraId="0822850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0.00022</w:t>
                  </w:r>
                </w:p>
              </w:tc>
              <w:tc>
                <w:tcPr>
                  <w:tcW w:w="819" w:type="pct"/>
                  <w:vAlign w:val="center"/>
                </w:tcPr>
                <w:p w14:paraId="736E8C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vertAlign w:val="baseline"/>
                      <w:lang w:val="en-US" w:eastAsia="zh-CN"/>
                    </w:rPr>
                    <w:t>3×10</w:t>
                  </w:r>
                  <w:r>
                    <w:rPr>
                      <w:rFonts w:hint="default" w:ascii="Times New Roman" w:hAnsi="Times New Roman" w:cs="Times New Roman"/>
                      <w:color w:val="auto"/>
                      <w:sz w:val="21"/>
                      <w:szCs w:val="21"/>
                      <w:vertAlign w:val="superscript"/>
                      <w:lang w:val="en-US" w:eastAsia="zh-CN"/>
                    </w:rPr>
                    <w:t>-5</w:t>
                  </w:r>
                </w:p>
              </w:tc>
              <w:tc>
                <w:tcPr>
                  <w:tcW w:w="935" w:type="pct"/>
                  <w:vAlign w:val="center"/>
                </w:tcPr>
                <w:p w14:paraId="0F7BDC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0.20</w:t>
                  </w:r>
                </w:p>
              </w:tc>
            </w:tr>
            <w:tr w14:paraId="55104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jc w:val="center"/>
              </w:trPr>
              <w:tc>
                <w:tcPr>
                  <w:tcW w:w="535" w:type="pct"/>
                  <w:vMerge w:val="continue"/>
                  <w:vAlign w:val="top"/>
                </w:tcPr>
                <w:p w14:paraId="7C3E5093">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1"/>
                      <w:szCs w:val="21"/>
                      <w:highlight w:val="none"/>
                      <w:lang w:val="en-US" w:eastAsia="zh-CN"/>
                    </w:rPr>
                  </w:pPr>
                </w:p>
              </w:tc>
              <w:tc>
                <w:tcPr>
                  <w:tcW w:w="588" w:type="pct"/>
                  <w:vMerge w:val="continue"/>
                  <w:vAlign w:val="top"/>
                </w:tcPr>
                <w:p w14:paraId="1EA537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5" w:type="pct"/>
                  <w:vAlign w:val="center"/>
                </w:tcPr>
                <w:p w14:paraId="445468F1">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氮氧化物</w:t>
                  </w:r>
                </w:p>
              </w:tc>
              <w:tc>
                <w:tcPr>
                  <w:tcW w:w="657" w:type="pct"/>
                  <w:vAlign w:val="center"/>
                </w:tcPr>
                <w:p w14:paraId="508E61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808" w:type="pct"/>
                  <w:vAlign w:val="center"/>
                </w:tcPr>
                <w:p w14:paraId="663490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w:t>
                  </w:r>
                </w:p>
              </w:tc>
              <w:tc>
                <w:tcPr>
                  <w:tcW w:w="819" w:type="pct"/>
                  <w:vAlign w:val="center"/>
                </w:tcPr>
                <w:p w14:paraId="00E35F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935" w:type="pct"/>
                  <w:vAlign w:val="center"/>
                </w:tcPr>
                <w:p w14:paraId="1C4CC6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147.28</w:t>
                  </w:r>
                </w:p>
              </w:tc>
            </w:tr>
          </w:tbl>
          <w:p w14:paraId="02D137EB">
            <w:pPr>
              <w:spacing w:line="360" w:lineRule="auto"/>
              <w:ind w:left="0" w:leftChars="0" w:firstLine="480" w:firstLineChars="200"/>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E.铸锭打磨粉尘</w:t>
            </w:r>
          </w:p>
          <w:p w14:paraId="2C83441D">
            <w:pPr>
              <w:spacing w:line="360" w:lineRule="auto"/>
              <w:ind w:left="0" w:leftChars="0" w:firstLine="480" w:firstLineChars="200"/>
              <w:jc w:val="left"/>
              <w:rPr>
                <w:rFonts w:hint="default" w:ascii="Times New Roman" w:hAnsi="Times New Roman" w:cs="Times New Roman"/>
                <w:color w:val="auto"/>
                <w:vertAlign w:val="baseline"/>
                <w:lang w:val="en-US" w:eastAsia="zh-CN"/>
              </w:rPr>
            </w:pPr>
            <w:r>
              <w:rPr>
                <w:rFonts w:hint="default" w:ascii="Times New Roman" w:hAnsi="Times New Roman" w:cs="Times New Roman"/>
                <w:color w:val="auto"/>
                <w:highlight w:val="none"/>
                <w:vertAlign w:val="baseline"/>
                <w:lang w:val="en-US" w:eastAsia="zh-CN"/>
              </w:rPr>
              <w:t>项目</w:t>
            </w:r>
            <w:r>
              <w:rPr>
                <w:rFonts w:hint="default" w:ascii="Times New Roman" w:hAnsi="Times New Roman" w:cs="Times New Roman"/>
                <w:color w:val="auto"/>
                <w:spacing w:val="-2"/>
                <w:highlight w:val="none"/>
                <w:lang w:val="en-US" w:eastAsia="zh-CN"/>
              </w:rPr>
              <w:t>对产品合金铸锭进行打磨，在打磨工位设置</w:t>
            </w:r>
            <w:r>
              <w:rPr>
                <w:rFonts w:hint="default" w:ascii="Times New Roman" w:hAnsi="Times New Roman" w:cs="Times New Roman"/>
                <w:color w:val="auto"/>
                <w:spacing w:val="-2"/>
                <w:highlight w:val="none"/>
                <w:lang w:val="en-US" w:eastAsia="zh-CN"/>
              </w:rPr>
              <w:t>收集效率不低于60%的包围型集气罩收集废气</w:t>
            </w:r>
            <w:r>
              <w:rPr>
                <w:rFonts w:hint="default" w:ascii="Times New Roman" w:hAnsi="Times New Roman" w:cs="Times New Roman"/>
                <w:color w:val="auto"/>
                <w:spacing w:val="-2"/>
                <w:highlight w:val="none"/>
                <w:lang w:val="en-US" w:eastAsia="zh-CN"/>
              </w:rPr>
              <w:t>，采取水浴除尘后经1根15m高排气筒DA005排放。</w:t>
            </w:r>
            <w:r>
              <w:rPr>
                <w:rFonts w:hint="default" w:ascii="Times New Roman" w:hAnsi="Times New Roman" w:cs="Times New Roman"/>
                <w:color w:val="auto"/>
                <w:spacing w:val="-2"/>
                <w:sz w:val="24"/>
                <w:szCs w:val="24"/>
                <w:highlight w:val="none"/>
                <w:lang w:val="en-US" w:eastAsia="zh-CN"/>
              </w:rPr>
              <w:t>根据</w:t>
            </w:r>
            <w:r>
              <w:rPr>
                <w:rFonts w:hint="default" w:ascii="Times New Roman" w:hAnsi="Times New Roman" w:cs="Times New Roman"/>
                <w:color w:val="auto"/>
                <w:spacing w:val="2"/>
                <w:position w:val="2"/>
                <w:sz w:val="24"/>
                <w:highlight w:val="none"/>
              </w:rPr>
              <w:t>《</w:t>
            </w:r>
            <w:r>
              <w:rPr>
                <w:rFonts w:hint="default" w:ascii="Times New Roman" w:hAnsi="Times New Roman" w:cs="Times New Roman"/>
                <w:color w:val="auto"/>
                <w:position w:val="2"/>
                <w:sz w:val="24"/>
                <w:highlight w:val="none"/>
              </w:rPr>
              <w:t>排放</w:t>
            </w:r>
            <w:r>
              <w:rPr>
                <w:rFonts w:hint="default" w:ascii="Times New Roman" w:hAnsi="Times New Roman" w:cs="Times New Roman"/>
                <w:color w:val="auto"/>
                <w:spacing w:val="2"/>
                <w:sz w:val="24"/>
                <w:highlight w:val="none"/>
              </w:rPr>
              <w:t>源统计调</w:t>
            </w:r>
            <w:r>
              <w:rPr>
                <w:rFonts w:hint="default" w:ascii="Times New Roman" w:hAnsi="Times New Roman" w:cs="Times New Roman"/>
                <w:color w:val="auto"/>
                <w:sz w:val="24"/>
                <w:highlight w:val="none"/>
              </w:rPr>
              <w:t>查</w:t>
            </w:r>
            <w:r>
              <w:rPr>
                <w:rFonts w:hint="default" w:ascii="Times New Roman" w:hAnsi="Times New Roman" w:cs="Times New Roman"/>
                <w:color w:val="auto"/>
                <w:spacing w:val="2"/>
                <w:sz w:val="24"/>
                <w:highlight w:val="none"/>
              </w:rPr>
              <w:t>产排污核算方法</w:t>
            </w:r>
            <w:r>
              <w:rPr>
                <w:rFonts w:hint="default" w:ascii="Times New Roman" w:hAnsi="Times New Roman" w:cs="Times New Roman"/>
                <w:color w:val="auto"/>
                <w:sz w:val="24"/>
                <w:highlight w:val="none"/>
              </w:rPr>
              <w:t>和</w:t>
            </w:r>
            <w:r>
              <w:rPr>
                <w:rFonts w:hint="default" w:ascii="Times New Roman" w:hAnsi="Times New Roman" w:cs="Times New Roman"/>
                <w:color w:val="auto"/>
                <w:spacing w:val="2"/>
                <w:sz w:val="24"/>
                <w:highlight w:val="none"/>
              </w:rPr>
              <w:t>系数手册》（</w:t>
            </w:r>
            <w:r>
              <w:rPr>
                <w:rFonts w:hint="default" w:ascii="Times New Roman" w:hAnsi="Times New Roman" w:cs="Times New Roman"/>
                <w:color w:val="auto"/>
                <w:spacing w:val="2"/>
                <w:sz w:val="24"/>
                <w:highlight w:val="none"/>
                <w:lang w:eastAsia="zh-CN"/>
              </w:rPr>
              <w:t>生态</w:t>
            </w:r>
            <w:r>
              <w:rPr>
                <w:rFonts w:hint="default" w:ascii="Times New Roman" w:hAnsi="Times New Roman" w:cs="Times New Roman"/>
                <w:color w:val="auto"/>
                <w:spacing w:val="2"/>
                <w:sz w:val="24"/>
                <w:highlight w:val="none"/>
              </w:rPr>
              <w:t>环境</w:t>
            </w:r>
            <w:r>
              <w:rPr>
                <w:rFonts w:hint="default" w:ascii="Times New Roman" w:hAnsi="Times New Roman" w:cs="Times New Roman"/>
                <w:color w:val="auto"/>
                <w:sz w:val="24"/>
                <w:highlight w:val="none"/>
              </w:rPr>
              <w:t>部</w:t>
            </w:r>
            <w:r>
              <w:rPr>
                <w:rFonts w:hint="default" w:ascii="Times New Roman" w:hAnsi="Times New Roman" w:cs="Times New Roman"/>
                <w:color w:val="auto"/>
                <w:spacing w:val="2"/>
                <w:sz w:val="24"/>
                <w:highlight w:val="none"/>
              </w:rPr>
              <w:t>公</w:t>
            </w:r>
            <w:r>
              <w:rPr>
                <w:rFonts w:hint="default" w:ascii="Times New Roman" w:hAnsi="Times New Roman" w:cs="Times New Roman"/>
                <w:color w:val="auto"/>
                <w:sz w:val="24"/>
                <w:highlight w:val="none"/>
              </w:rPr>
              <w:t>告</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2021</w:t>
            </w:r>
            <w:r>
              <w:rPr>
                <w:rFonts w:hint="default" w:ascii="Times New Roman" w:hAnsi="Times New Roman" w:cs="Times New Roman"/>
                <w:color w:val="auto"/>
                <w:spacing w:val="2"/>
                <w:sz w:val="24"/>
                <w:highlight w:val="none"/>
              </w:rPr>
              <w:t>年</w:t>
            </w:r>
            <w:r>
              <w:rPr>
                <w:rFonts w:hint="default" w:ascii="Times New Roman" w:hAnsi="Times New Roman" w:cs="Times New Roman"/>
                <w:color w:val="auto"/>
                <w:sz w:val="24"/>
                <w:highlight w:val="none"/>
              </w:rPr>
              <w:t>第</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24</w:t>
            </w:r>
            <w:r>
              <w:rPr>
                <w:rFonts w:hint="default" w:ascii="Times New Roman" w:hAnsi="Times New Roman" w:cs="Times New Roman"/>
                <w:color w:val="auto"/>
                <w:spacing w:val="2"/>
                <w:sz w:val="24"/>
                <w:highlight w:val="none"/>
              </w:rPr>
              <w:t>号）</w:t>
            </w:r>
            <w:r>
              <w:rPr>
                <w:rFonts w:hint="default" w:ascii="Times New Roman" w:hAnsi="Times New Roman" w:eastAsia="宋体" w:cs="Times New Roman"/>
                <w:color w:val="auto"/>
                <w:sz w:val="24"/>
                <w:szCs w:val="24"/>
              </w:rPr>
              <w:t>33-37,431-434</w:t>
            </w:r>
            <w:r>
              <w:rPr>
                <w:rFonts w:hint="default" w:ascii="Times New Roman" w:hAnsi="Times New Roman" w:eastAsia="宋体" w:cs="Times New Roman"/>
                <w:color w:val="auto"/>
                <w:sz w:val="24"/>
                <w:szCs w:val="24"/>
                <w:lang w:val="en-US" w:eastAsia="zh-CN"/>
              </w:rPr>
              <w:t>机械行业系数手册中</w:t>
            </w:r>
            <w:r>
              <w:rPr>
                <w:rFonts w:hint="default" w:ascii="Times New Roman" w:hAnsi="Times New Roman" w:cs="Times New Roman"/>
                <w:color w:val="auto"/>
                <w:spacing w:val="-1"/>
                <w:highlight w:val="none"/>
              </w:rPr>
              <w:t>金属制品业</w:t>
            </w:r>
            <w:r>
              <w:rPr>
                <w:rFonts w:hint="default" w:ascii="Times New Roman" w:hAnsi="Times New Roman" w:cs="Times New Roman"/>
                <w:color w:val="auto"/>
                <w:spacing w:val="-1"/>
                <w:highlight w:val="none"/>
                <w:lang w:val="en-US" w:eastAsia="zh-CN"/>
              </w:rPr>
              <w:t>干式</w:t>
            </w:r>
            <w:r>
              <w:rPr>
                <w:rFonts w:hint="default" w:ascii="Times New Roman" w:hAnsi="Times New Roman" w:cs="Times New Roman"/>
                <w:color w:val="auto"/>
                <w:spacing w:val="-1"/>
                <w:highlight w:val="none"/>
              </w:rPr>
              <w:t>预处理工段（抛丸、喷砂、打磨、滚筒）</w:t>
            </w:r>
            <w:r>
              <w:rPr>
                <w:rFonts w:hint="default" w:ascii="Times New Roman" w:hAnsi="Times New Roman" w:cs="Times New Roman"/>
                <w:color w:val="auto"/>
                <w:spacing w:val="-1"/>
                <w:highlight w:val="none"/>
                <w:lang w:val="en-US" w:eastAsia="zh-CN"/>
              </w:rPr>
              <w:t>每吨原料产生废气8500立方米、</w:t>
            </w:r>
            <w:r>
              <w:rPr>
                <w:rFonts w:hint="default" w:ascii="Times New Roman" w:hAnsi="Times New Roman" w:cs="Times New Roman"/>
                <w:color w:val="auto"/>
                <w:spacing w:val="1"/>
                <w:highlight w:val="none"/>
              </w:rPr>
              <w:t>颗粒物</w:t>
            </w:r>
            <w:r>
              <w:rPr>
                <w:rFonts w:hint="default" w:ascii="Times New Roman" w:hAnsi="Times New Roman" w:cs="Times New Roman"/>
                <w:color w:val="auto"/>
                <w:spacing w:val="-40"/>
                <w:highlight w:val="none"/>
              </w:rPr>
              <w:t xml:space="preserve"> </w:t>
            </w:r>
            <w:r>
              <w:rPr>
                <w:rFonts w:hint="default" w:ascii="Times New Roman" w:hAnsi="Times New Roman" w:eastAsia="Times New Roman" w:cs="Times New Roman"/>
                <w:color w:val="auto"/>
                <w:spacing w:val="1"/>
                <w:highlight w:val="none"/>
              </w:rPr>
              <w:t>2.</w:t>
            </w:r>
            <w:r>
              <w:rPr>
                <w:rFonts w:hint="default" w:ascii="Times New Roman" w:hAnsi="Times New Roman" w:eastAsia="Times New Roman" w:cs="Times New Roman"/>
                <w:color w:val="auto"/>
                <w:spacing w:val="-32"/>
                <w:highlight w:val="none"/>
              </w:rPr>
              <w:t xml:space="preserve"> </w:t>
            </w:r>
            <w:r>
              <w:rPr>
                <w:rFonts w:hint="default" w:ascii="Times New Roman" w:hAnsi="Times New Roman" w:eastAsia="Times New Roman" w:cs="Times New Roman"/>
                <w:color w:val="auto"/>
                <w:spacing w:val="1"/>
                <w:highlight w:val="none"/>
              </w:rPr>
              <w:t>19</w:t>
            </w:r>
            <w:r>
              <w:rPr>
                <w:rFonts w:hint="default" w:ascii="Times New Roman" w:hAnsi="Times New Roman" w:cs="Times New Roman"/>
                <w:color w:val="auto"/>
                <w:spacing w:val="1"/>
                <w:highlight w:val="none"/>
              </w:rPr>
              <w:t>千克，</w:t>
            </w:r>
            <w:r>
              <w:rPr>
                <w:rFonts w:hint="default" w:ascii="Times New Roman" w:hAnsi="Times New Roman" w:cs="Times New Roman"/>
                <w:color w:val="auto"/>
                <w:spacing w:val="-1"/>
                <w:highlight w:val="none"/>
              </w:rPr>
              <w:t>项目镁合金锭生产规模为</w:t>
            </w:r>
            <w:r>
              <w:rPr>
                <w:rFonts w:hint="default" w:ascii="Times New Roman" w:hAnsi="Times New Roman" w:eastAsia="Times New Roman" w:cs="Times New Roman"/>
                <w:color w:val="auto"/>
                <w:spacing w:val="-1"/>
                <w:highlight w:val="none"/>
              </w:rPr>
              <w:t>16000t/a</w:t>
            </w:r>
            <w:r>
              <w:rPr>
                <w:rFonts w:hint="default" w:ascii="Times New Roman" w:hAnsi="Times New Roman" w:eastAsia="Times New Roman" w:cs="Times New Roman"/>
                <w:color w:val="auto"/>
                <w:spacing w:val="-32"/>
                <w:highlight w:val="none"/>
              </w:rPr>
              <w:t xml:space="preserve"> </w:t>
            </w:r>
            <w:r>
              <w:rPr>
                <w:rFonts w:hint="default" w:ascii="Times New Roman" w:hAnsi="Times New Roman" w:cs="Times New Roman"/>
                <w:color w:val="auto"/>
                <w:spacing w:val="-1"/>
                <w:highlight w:val="none"/>
              </w:rPr>
              <w:t>，</w:t>
            </w:r>
            <w:r>
              <w:rPr>
                <w:rFonts w:hint="default" w:ascii="Times New Roman" w:hAnsi="Times New Roman" w:cs="Times New Roman"/>
                <w:color w:val="auto"/>
                <w:spacing w:val="-1"/>
                <w:highlight w:val="none"/>
                <w:lang w:val="en-US" w:eastAsia="zh-CN"/>
              </w:rPr>
              <w:t>年打磨2400h，则铸锭打磨产尘量为35.04t/a，产生废气56667m</w:t>
            </w:r>
            <w:r>
              <w:rPr>
                <w:rFonts w:hint="default" w:ascii="Times New Roman" w:hAnsi="Times New Roman" w:cs="Times New Roman"/>
                <w:color w:val="auto"/>
                <w:spacing w:val="-1"/>
                <w:highlight w:val="none"/>
                <w:vertAlign w:val="superscript"/>
                <w:lang w:val="en-US" w:eastAsia="zh-CN"/>
              </w:rPr>
              <w:t>3</w:t>
            </w:r>
            <w:r>
              <w:rPr>
                <w:rFonts w:hint="default" w:ascii="Times New Roman" w:hAnsi="Times New Roman" w:cs="Times New Roman"/>
                <w:color w:val="auto"/>
                <w:spacing w:val="-1"/>
                <w:highlight w:val="none"/>
                <w:lang w:val="en-US" w:eastAsia="zh-CN"/>
              </w:rPr>
              <w:t>/h，水浴除尘效率</w:t>
            </w:r>
            <w:r>
              <w:rPr>
                <w:rFonts w:hint="default" w:ascii="Times New Roman" w:hAnsi="Times New Roman" w:cs="Times New Roman"/>
                <w:color w:val="auto"/>
                <w:spacing w:val="-2"/>
                <w:sz w:val="24"/>
                <w:szCs w:val="24"/>
                <w:highlight w:val="none"/>
                <w:lang w:val="en-US" w:eastAsia="zh-CN"/>
              </w:rPr>
              <w:t>按上述系数手册的85%计算，则铸锭打磨DA005有组织粉尘排放量为</w:t>
            </w:r>
            <w:r>
              <w:rPr>
                <w:rFonts w:hint="default" w:ascii="Times New Roman" w:hAnsi="Times New Roman" w:cs="Times New Roman"/>
                <w:color w:val="auto"/>
                <w:spacing w:val="-2"/>
                <w:sz w:val="24"/>
                <w:szCs w:val="24"/>
                <w:highlight w:val="none"/>
                <w:lang w:val="en-US" w:eastAsia="zh-CN"/>
              </w:rPr>
              <w:t>3.15</w:t>
            </w:r>
            <w:r>
              <w:rPr>
                <w:rFonts w:hint="default" w:ascii="Times New Roman" w:hAnsi="Times New Roman" w:cs="Times New Roman"/>
                <w:color w:val="auto"/>
                <w:spacing w:val="-2"/>
                <w:sz w:val="24"/>
                <w:szCs w:val="24"/>
                <w:highlight w:val="none"/>
                <w:lang w:val="en-US" w:eastAsia="zh-CN"/>
              </w:rPr>
              <w:t>t/a，有组织</w:t>
            </w:r>
            <w:r>
              <w:rPr>
                <w:rFonts w:hint="default" w:ascii="Times New Roman" w:hAnsi="Times New Roman" w:cs="Times New Roman"/>
                <w:color w:val="auto"/>
                <w:vertAlign w:val="baseline"/>
                <w:lang w:val="en-US" w:eastAsia="zh-CN"/>
              </w:rPr>
              <w:t>排放速率</w:t>
            </w:r>
            <w:r>
              <w:rPr>
                <w:rFonts w:hint="default" w:ascii="Times New Roman" w:hAnsi="Times New Roman" w:cs="Times New Roman"/>
                <w:color w:val="auto"/>
                <w:vertAlign w:val="baseline"/>
                <w:lang w:val="en-US" w:eastAsia="zh-CN"/>
              </w:rPr>
              <w:t>1.31</w:t>
            </w:r>
            <w:r>
              <w:rPr>
                <w:rFonts w:hint="default" w:ascii="Times New Roman" w:hAnsi="Times New Roman" w:cs="Times New Roman"/>
                <w:color w:val="auto"/>
                <w:vertAlign w:val="baseline"/>
                <w:lang w:val="en-US" w:eastAsia="zh-CN"/>
              </w:rPr>
              <w:t>kg/h，</w:t>
            </w:r>
            <w:r>
              <w:rPr>
                <w:rFonts w:hint="default" w:ascii="Times New Roman" w:hAnsi="Times New Roman" w:cs="Times New Roman"/>
                <w:color w:val="auto"/>
                <w:spacing w:val="-2"/>
                <w:sz w:val="24"/>
                <w:szCs w:val="24"/>
                <w:highlight w:val="none"/>
                <w:lang w:val="en-US" w:eastAsia="zh-CN"/>
              </w:rPr>
              <w:t>有组织</w:t>
            </w:r>
            <w:r>
              <w:rPr>
                <w:rFonts w:hint="default" w:ascii="Times New Roman" w:hAnsi="Times New Roman" w:cs="Times New Roman"/>
                <w:color w:val="auto"/>
                <w:vertAlign w:val="baseline"/>
                <w:lang w:val="en-US" w:eastAsia="zh-CN"/>
              </w:rPr>
              <w:t>排放浓度</w:t>
            </w:r>
            <w:r>
              <w:rPr>
                <w:rFonts w:hint="default" w:ascii="Times New Roman" w:hAnsi="Times New Roman" w:cs="Times New Roman"/>
                <w:color w:val="auto"/>
                <w:vertAlign w:val="baseline"/>
                <w:lang w:val="en-US" w:eastAsia="zh-CN"/>
              </w:rPr>
              <w:t>23.19</w:t>
            </w:r>
            <w:r>
              <w:rPr>
                <w:rFonts w:hint="default" w:ascii="Times New Roman" w:hAnsi="Times New Roman" w:eastAsia="宋体" w:cs="Times New Roman"/>
                <w:color w:val="auto"/>
                <w:spacing w:val="7"/>
                <w:sz w:val="24"/>
                <w:szCs w:val="24"/>
                <w:highlight w:val="none"/>
                <w:lang w:val="en-US" w:eastAsia="zh-CN"/>
              </w:rPr>
              <w:t>mg/m</w:t>
            </w:r>
            <w:r>
              <w:rPr>
                <w:rFonts w:hint="default" w:ascii="Times New Roman" w:hAnsi="Times New Roman" w:eastAsia="宋体" w:cs="Times New Roman"/>
                <w:color w:val="auto"/>
                <w:spacing w:val="7"/>
                <w:sz w:val="24"/>
                <w:szCs w:val="24"/>
                <w:highlight w:val="none"/>
                <w:vertAlign w:val="superscript"/>
                <w:lang w:val="en-US" w:eastAsia="zh-CN"/>
              </w:rPr>
              <w:t>3</w:t>
            </w:r>
            <w:r>
              <w:rPr>
                <w:rFonts w:hint="default" w:ascii="Times New Roman" w:hAnsi="Times New Roman" w:cs="Times New Roman"/>
                <w:color w:val="auto"/>
                <w:spacing w:val="7"/>
                <w:sz w:val="24"/>
                <w:szCs w:val="24"/>
                <w:highlight w:val="none"/>
                <w:vertAlign w:val="baseline"/>
                <w:lang w:val="en-US" w:eastAsia="zh-CN"/>
              </w:rPr>
              <w:t>；无组织粉尘排放量为</w:t>
            </w:r>
            <w:r>
              <w:rPr>
                <w:rFonts w:hint="default" w:ascii="Times New Roman" w:hAnsi="Times New Roman" w:cs="Times New Roman"/>
                <w:color w:val="auto"/>
                <w:spacing w:val="7"/>
                <w:sz w:val="24"/>
                <w:szCs w:val="24"/>
                <w:highlight w:val="none"/>
                <w:vertAlign w:val="baseline"/>
                <w:lang w:val="en-US" w:eastAsia="zh-CN"/>
              </w:rPr>
              <w:t>14.02</w:t>
            </w:r>
            <w:r>
              <w:rPr>
                <w:rFonts w:hint="default" w:ascii="Times New Roman" w:hAnsi="Times New Roman" w:cs="Times New Roman"/>
                <w:color w:val="auto"/>
                <w:spacing w:val="7"/>
                <w:sz w:val="24"/>
                <w:szCs w:val="24"/>
                <w:highlight w:val="none"/>
                <w:vertAlign w:val="baseline"/>
                <w:lang w:val="en-US" w:eastAsia="zh-CN"/>
              </w:rPr>
              <w:t>t/a。</w:t>
            </w:r>
          </w:p>
          <w:p w14:paraId="1880FC9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F.颗粒切削产线粉尘</w:t>
            </w:r>
          </w:p>
          <w:p w14:paraId="764F283F">
            <w:pPr>
              <w:spacing w:line="360" w:lineRule="auto"/>
              <w:ind w:left="0" w:leftChars="0" w:firstLine="480" w:firstLineChars="200"/>
              <w:jc w:val="left"/>
              <w:rPr>
                <w:rFonts w:hint="default" w:ascii="Times New Roman" w:hAnsi="Times New Roman" w:cs="Times New Roman"/>
                <w:color w:val="auto"/>
                <w:spacing w:val="-2"/>
                <w:sz w:val="24"/>
                <w:szCs w:val="24"/>
                <w:highlight w:val="none"/>
                <w:lang w:val="en-US" w:eastAsia="zh-CN"/>
              </w:rPr>
            </w:pPr>
            <w:r>
              <w:rPr>
                <w:rFonts w:hint="default" w:ascii="Times New Roman" w:hAnsi="Times New Roman" w:cs="Times New Roman"/>
                <w:color w:val="auto"/>
                <w:vertAlign w:val="baseline"/>
                <w:lang w:val="en-US" w:eastAsia="zh-CN"/>
              </w:rPr>
              <w:t>项目颗粒切削产线粉尘包括切削和</w:t>
            </w:r>
            <w:r>
              <w:rPr>
                <w:rFonts w:hint="default" w:ascii="Times New Roman" w:hAnsi="Times New Roman" w:eastAsia="宋体" w:cs="Times New Roman"/>
                <w:color w:val="auto"/>
                <w:highlight w:val="none"/>
                <w:vertAlign w:val="baseline"/>
                <w:lang w:val="en-US" w:eastAsia="zh-CN"/>
              </w:rPr>
              <w:t>筛选两处粉尘，均收集至</w:t>
            </w:r>
            <w:r>
              <w:rPr>
                <w:rFonts w:hint="default" w:ascii="Times New Roman" w:hAnsi="Times New Roman" w:cs="Times New Roman"/>
                <w:color w:val="auto"/>
                <w:highlight w:val="none"/>
                <w:vertAlign w:val="baseline"/>
                <w:lang w:val="en-US" w:eastAsia="zh-CN"/>
              </w:rPr>
              <w:t>设备自带的旋</w:t>
            </w:r>
            <w:r>
              <w:rPr>
                <w:rFonts w:hint="default" w:ascii="Times New Roman" w:hAnsi="Times New Roman" w:eastAsia="宋体" w:cs="Times New Roman"/>
                <w:color w:val="auto"/>
                <w:highlight w:val="none"/>
                <w:vertAlign w:val="baseline"/>
                <w:lang w:val="en-US" w:eastAsia="zh-CN"/>
              </w:rPr>
              <w:t>风除尘+水浴除尘系统处理后无组织排放。</w:t>
            </w:r>
            <w:r>
              <w:rPr>
                <w:rFonts w:hint="default" w:ascii="Times New Roman" w:hAnsi="Times New Roman" w:cs="Times New Roman"/>
                <w:color w:val="auto"/>
                <w:spacing w:val="-2"/>
                <w:sz w:val="24"/>
                <w:szCs w:val="24"/>
                <w:highlight w:val="none"/>
                <w:lang w:val="en-US" w:eastAsia="zh-CN"/>
              </w:rPr>
              <w:t>根据</w:t>
            </w:r>
            <w:r>
              <w:rPr>
                <w:rFonts w:hint="default" w:ascii="Times New Roman" w:hAnsi="Times New Roman" w:cs="Times New Roman"/>
                <w:color w:val="auto"/>
                <w:spacing w:val="2"/>
                <w:position w:val="2"/>
                <w:sz w:val="24"/>
                <w:highlight w:val="none"/>
              </w:rPr>
              <w:t>《</w:t>
            </w:r>
            <w:r>
              <w:rPr>
                <w:rFonts w:hint="default" w:ascii="Times New Roman" w:hAnsi="Times New Roman" w:cs="Times New Roman"/>
                <w:color w:val="auto"/>
                <w:position w:val="2"/>
                <w:sz w:val="24"/>
                <w:highlight w:val="none"/>
              </w:rPr>
              <w:t>排放</w:t>
            </w:r>
            <w:r>
              <w:rPr>
                <w:rFonts w:hint="default" w:ascii="Times New Roman" w:hAnsi="Times New Roman" w:cs="Times New Roman"/>
                <w:color w:val="auto"/>
                <w:spacing w:val="2"/>
                <w:sz w:val="24"/>
                <w:highlight w:val="none"/>
              </w:rPr>
              <w:t>源统计调</w:t>
            </w:r>
            <w:r>
              <w:rPr>
                <w:rFonts w:hint="default" w:ascii="Times New Roman" w:hAnsi="Times New Roman" w:cs="Times New Roman"/>
                <w:color w:val="auto"/>
                <w:sz w:val="24"/>
                <w:highlight w:val="none"/>
              </w:rPr>
              <w:t>查</w:t>
            </w:r>
            <w:r>
              <w:rPr>
                <w:rFonts w:hint="default" w:ascii="Times New Roman" w:hAnsi="Times New Roman" w:cs="Times New Roman"/>
                <w:color w:val="auto"/>
                <w:spacing w:val="2"/>
                <w:sz w:val="24"/>
                <w:highlight w:val="none"/>
              </w:rPr>
              <w:t>产排污核算方法</w:t>
            </w:r>
            <w:r>
              <w:rPr>
                <w:rFonts w:hint="default" w:ascii="Times New Roman" w:hAnsi="Times New Roman" w:cs="Times New Roman"/>
                <w:color w:val="auto"/>
                <w:sz w:val="24"/>
                <w:highlight w:val="none"/>
              </w:rPr>
              <w:t>和</w:t>
            </w:r>
            <w:r>
              <w:rPr>
                <w:rFonts w:hint="default" w:ascii="Times New Roman" w:hAnsi="Times New Roman" w:cs="Times New Roman"/>
                <w:color w:val="auto"/>
                <w:spacing w:val="2"/>
                <w:sz w:val="24"/>
                <w:highlight w:val="none"/>
              </w:rPr>
              <w:t>系数手册》（</w:t>
            </w:r>
            <w:r>
              <w:rPr>
                <w:rFonts w:hint="default" w:ascii="Times New Roman" w:hAnsi="Times New Roman" w:cs="Times New Roman"/>
                <w:color w:val="auto"/>
                <w:spacing w:val="2"/>
                <w:sz w:val="24"/>
                <w:highlight w:val="none"/>
                <w:lang w:eastAsia="zh-CN"/>
              </w:rPr>
              <w:t>生态</w:t>
            </w:r>
            <w:r>
              <w:rPr>
                <w:rFonts w:hint="default" w:ascii="Times New Roman" w:hAnsi="Times New Roman" w:cs="Times New Roman"/>
                <w:color w:val="auto"/>
                <w:spacing w:val="2"/>
                <w:sz w:val="24"/>
                <w:highlight w:val="none"/>
              </w:rPr>
              <w:t>环境</w:t>
            </w:r>
            <w:r>
              <w:rPr>
                <w:rFonts w:hint="default" w:ascii="Times New Roman" w:hAnsi="Times New Roman" w:cs="Times New Roman"/>
                <w:color w:val="auto"/>
                <w:sz w:val="24"/>
                <w:highlight w:val="none"/>
              </w:rPr>
              <w:t>部</w:t>
            </w:r>
            <w:r>
              <w:rPr>
                <w:rFonts w:hint="default" w:ascii="Times New Roman" w:hAnsi="Times New Roman" w:cs="Times New Roman"/>
                <w:color w:val="auto"/>
                <w:spacing w:val="2"/>
                <w:sz w:val="24"/>
                <w:highlight w:val="none"/>
              </w:rPr>
              <w:t>公</w:t>
            </w:r>
            <w:r>
              <w:rPr>
                <w:rFonts w:hint="default" w:ascii="Times New Roman" w:hAnsi="Times New Roman" w:cs="Times New Roman"/>
                <w:color w:val="auto"/>
                <w:sz w:val="24"/>
                <w:highlight w:val="none"/>
              </w:rPr>
              <w:t>告</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2021</w:t>
            </w:r>
            <w:r>
              <w:rPr>
                <w:rFonts w:hint="default" w:ascii="Times New Roman" w:hAnsi="Times New Roman" w:cs="Times New Roman"/>
                <w:color w:val="auto"/>
                <w:spacing w:val="2"/>
                <w:sz w:val="24"/>
                <w:highlight w:val="none"/>
              </w:rPr>
              <w:t>年</w:t>
            </w:r>
            <w:r>
              <w:rPr>
                <w:rFonts w:hint="default" w:ascii="Times New Roman" w:hAnsi="Times New Roman" w:cs="Times New Roman"/>
                <w:color w:val="auto"/>
                <w:sz w:val="24"/>
                <w:highlight w:val="none"/>
              </w:rPr>
              <w:t>第</w:t>
            </w:r>
            <w:r>
              <w:rPr>
                <w:rFonts w:hint="default" w:ascii="Times New Roman" w:hAnsi="Times New Roman" w:cs="Times New Roman"/>
                <w:color w:val="auto"/>
                <w:spacing w:val="-58"/>
                <w:sz w:val="24"/>
                <w:highlight w:val="none"/>
              </w:rPr>
              <w:t xml:space="preserve"> </w:t>
            </w:r>
            <w:r>
              <w:rPr>
                <w:rFonts w:hint="default" w:ascii="Times New Roman" w:hAnsi="Times New Roman" w:cs="Times New Roman"/>
                <w:color w:val="auto"/>
                <w:sz w:val="24"/>
                <w:highlight w:val="none"/>
              </w:rPr>
              <w:t>24</w:t>
            </w:r>
            <w:r>
              <w:rPr>
                <w:rFonts w:hint="default" w:ascii="Times New Roman" w:hAnsi="Times New Roman" w:cs="Times New Roman"/>
                <w:color w:val="auto"/>
                <w:spacing w:val="2"/>
                <w:sz w:val="24"/>
                <w:highlight w:val="none"/>
              </w:rPr>
              <w:t>号）</w:t>
            </w:r>
            <w:r>
              <w:rPr>
                <w:rFonts w:hint="default" w:ascii="Times New Roman" w:hAnsi="Times New Roman" w:eastAsia="宋体" w:cs="Times New Roman"/>
                <w:color w:val="auto"/>
                <w:sz w:val="24"/>
                <w:szCs w:val="24"/>
              </w:rPr>
              <w:t>33-37,431-434</w:t>
            </w:r>
            <w:r>
              <w:rPr>
                <w:rFonts w:hint="default" w:ascii="Times New Roman" w:hAnsi="Times New Roman" w:eastAsia="宋体" w:cs="Times New Roman"/>
                <w:color w:val="auto"/>
                <w:sz w:val="24"/>
                <w:szCs w:val="24"/>
                <w:lang w:val="en-US" w:eastAsia="zh-CN"/>
              </w:rPr>
              <w:t>机械行业系数手册中</w:t>
            </w:r>
            <w:r>
              <w:rPr>
                <w:rFonts w:hint="default" w:ascii="Times New Roman" w:hAnsi="Times New Roman" w:eastAsia="宋体" w:cs="Times New Roman"/>
                <w:color w:val="auto"/>
                <w:spacing w:val="2"/>
                <w:highlight w:val="none"/>
              </w:rPr>
              <w:t>金属制品业下料工段颗粒物的产污系数为</w:t>
            </w:r>
            <w:r>
              <w:rPr>
                <w:rFonts w:hint="default" w:ascii="Times New Roman" w:hAnsi="Times New Roman" w:eastAsia="宋体" w:cs="Times New Roman"/>
                <w:color w:val="auto"/>
                <w:spacing w:val="-46"/>
                <w:highlight w:val="none"/>
              </w:rPr>
              <w:t xml:space="preserve"> </w:t>
            </w:r>
            <w:r>
              <w:rPr>
                <w:rFonts w:hint="default" w:ascii="Times New Roman" w:hAnsi="Times New Roman" w:eastAsia="宋体" w:cs="Times New Roman"/>
                <w:color w:val="auto"/>
                <w:spacing w:val="2"/>
                <w:highlight w:val="none"/>
              </w:rPr>
              <w:t>5.3千克/吨原料，</w:t>
            </w:r>
            <w:r>
              <w:rPr>
                <w:rFonts w:hint="default" w:ascii="Times New Roman" w:hAnsi="Times New Roman" w:eastAsia="宋体" w:cs="Times New Roman"/>
                <w:color w:val="auto"/>
                <w:spacing w:val="2"/>
                <w:highlight w:val="none"/>
                <w:lang w:val="en-US" w:eastAsia="zh-CN"/>
              </w:rPr>
              <w:t>本项目切削原料量约4400t/a，则切削产线粉尘产生量为23.32t/a，</w:t>
            </w:r>
            <w:r>
              <w:rPr>
                <w:rFonts w:hint="default" w:ascii="Times New Roman" w:hAnsi="Times New Roman" w:eastAsia="宋体" w:cs="Times New Roman"/>
                <w:color w:val="auto"/>
                <w:highlight w:val="none"/>
                <w:vertAlign w:val="baseline"/>
                <w:lang w:val="en-US" w:eastAsia="zh-CN"/>
              </w:rPr>
              <w:t>旋风除尘+水浴除尘系统处理效率按90%计算，则</w:t>
            </w:r>
            <w:r>
              <w:rPr>
                <w:rFonts w:hint="default" w:ascii="Times New Roman" w:hAnsi="Times New Roman" w:eastAsia="宋体" w:cs="Times New Roman"/>
                <w:color w:val="auto"/>
                <w:spacing w:val="2"/>
                <w:highlight w:val="none"/>
                <w:lang w:val="en-US" w:eastAsia="zh-CN"/>
              </w:rPr>
              <w:t>切削产线粉尘排放量为2.33t/a</w:t>
            </w:r>
            <w:r>
              <w:rPr>
                <w:rFonts w:hint="default" w:ascii="Times New Roman" w:hAnsi="Times New Roman" w:cs="Times New Roman"/>
                <w:color w:val="auto"/>
                <w:vertAlign w:val="baseline"/>
                <w:lang w:val="en-US" w:eastAsia="zh-CN"/>
              </w:rPr>
              <w:t>，排放量较少，因收尘系统为设备本身配套所限，无组织排放。</w:t>
            </w:r>
          </w:p>
          <w:p w14:paraId="7F3F1104">
            <w:pPr>
              <w:pStyle w:val="66"/>
              <w:keepNext w:val="0"/>
              <w:keepLines w:val="0"/>
              <w:pageBreakBefore w:val="0"/>
              <w:widowControl w:val="0"/>
              <w:kinsoku/>
              <w:wordWrap/>
              <w:overflowPunct/>
              <w:topLinePunct w:val="0"/>
              <w:autoSpaceDE/>
              <w:autoSpaceDN/>
              <w:bidi w:val="0"/>
              <w:adjustRightInd/>
              <w:snapToGrid/>
              <w:spacing w:line="348" w:lineRule="auto"/>
              <w:ind w:left="0" w:leftChars="0" w:right="102" w:firstLine="484" w:firstLineChars="200"/>
              <w:jc w:val="left"/>
              <w:textAlignment w:val="auto"/>
              <w:rPr>
                <w:rFonts w:hint="default" w:ascii="Times New Roman" w:hAnsi="Times New Roman" w:eastAsia="黑体" w:cs="Times New Roman"/>
                <w:color w:val="auto"/>
                <w:spacing w:val="1"/>
                <w:highlight w:val="none"/>
                <w:lang w:val="en-US" w:eastAsia="zh-CN"/>
              </w:rPr>
            </w:pPr>
            <w:r>
              <w:rPr>
                <w:rFonts w:hint="default" w:ascii="Times New Roman" w:hAnsi="Times New Roman" w:eastAsia="黑体" w:cs="Times New Roman"/>
                <w:color w:val="auto"/>
                <w:spacing w:val="1"/>
                <w:highlight w:val="none"/>
                <w:lang w:val="en-US" w:eastAsia="zh-CN"/>
              </w:rPr>
              <w:t>2、废气达标排放分析</w:t>
            </w:r>
          </w:p>
          <w:p w14:paraId="02D0D88B">
            <w:pPr>
              <w:pStyle w:val="66"/>
              <w:spacing w:before="182" w:line="347" w:lineRule="auto"/>
              <w:ind w:left="108" w:right="101" w:firstLine="482"/>
              <w:jc w:val="left"/>
              <w:rPr>
                <w:rFonts w:hint="default" w:ascii="Times New Roman" w:hAnsi="Times New Roman" w:eastAsia="宋体"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综上，</w:t>
            </w:r>
            <w:r>
              <w:rPr>
                <w:rFonts w:hint="default" w:ascii="Times New Roman" w:hAnsi="Times New Roman" w:eastAsia="宋体" w:cs="Times New Roman"/>
                <w:color w:val="auto"/>
                <w:spacing w:val="1"/>
                <w:highlight w:val="none"/>
                <w:lang w:val="en-US" w:eastAsia="zh-CN"/>
              </w:rPr>
              <w:t>本项目有组织废气排放满足</w:t>
            </w:r>
            <w:r>
              <w:rPr>
                <w:rFonts w:hint="default" w:ascii="Times New Roman" w:hAnsi="Times New Roman" w:cs="Times New Roman"/>
                <w:color w:val="auto"/>
                <w:spacing w:val="8"/>
                <w:sz w:val="24"/>
                <w:szCs w:val="24"/>
                <w:highlight w:val="none"/>
              </w:rPr>
              <w:t>《铸造工业大气污染物排</w:t>
            </w:r>
            <w:r>
              <w:rPr>
                <w:rFonts w:hint="default" w:ascii="Times New Roman" w:hAnsi="Times New Roman" w:cs="Times New Roman"/>
                <w:color w:val="auto"/>
                <w:spacing w:val="-2"/>
                <w:sz w:val="24"/>
                <w:szCs w:val="24"/>
                <w:highlight w:val="none"/>
              </w:rPr>
              <w:t>放标准》（</w:t>
            </w:r>
            <w:r>
              <w:rPr>
                <w:rFonts w:hint="default" w:ascii="Times New Roman" w:hAnsi="Times New Roman" w:eastAsia="Times New Roman" w:cs="Times New Roman"/>
                <w:color w:val="auto"/>
                <w:spacing w:val="-2"/>
                <w:sz w:val="24"/>
                <w:szCs w:val="24"/>
                <w:highlight w:val="none"/>
              </w:rPr>
              <w:t>GB39726-2020</w:t>
            </w:r>
            <w:r>
              <w:rPr>
                <w:rFonts w:hint="default" w:ascii="Times New Roman" w:hAnsi="Times New Roman" w:cs="Times New Roman"/>
                <w:color w:val="auto"/>
                <w:spacing w:val="-2"/>
                <w:sz w:val="24"/>
                <w:szCs w:val="24"/>
                <w:highlight w:val="none"/>
              </w:rPr>
              <w:t>）</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pacing w:val="8"/>
                <w:sz w:val="24"/>
                <w:szCs w:val="24"/>
                <w:highlight w:val="none"/>
              </w:rPr>
              <w:t>《大气污染物综合排放标</w:t>
            </w:r>
            <w:r>
              <w:rPr>
                <w:rFonts w:hint="default" w:ascii="Times New Roman" w:hAnsi="Times New Roman" w:cs="Times New Roman"/>
                <w:color w:val="auto"/>
                <w:spacing w:val="5"/>
                <w:sz w:val="24"/>
                <w:szCs w:val="24"/>
                <w:highlight w:val="none"/>
              </w:rPr>
              <w:t>准》（</w:t>
            </w:r>
            <w:r>
              <w:rPr>
                <w:rFonts w:hint="default" w:ascii="Times New Roman" w:hAnsi="Times New Roman" w:eastAsia="Times New Roman" w:cs="Times New Roman"/>
                <w:color w:val="auto"/>
                <w:sz w:val="24"/>
                <w:szCs w:val="24"/>
                <w:highlight w:val="none"/>
              </w:rPr>
              <w:t>GB</w:t>
            </w:r>
            <w:r>
              <w:rPr>
                <w:rFonts w:hint="default" w:ascii="Times New Roman" w:hAnsi="Times New Roman" w:eastAsia="Times New Roman" w:cs="Times New Roman"/>
                <w:color w:val="auto"/>
                <w:spacing w:val="5"/>
                <w:sz w:val="24"/>
                <w:szCs w:val="24"/>
                <w:highlight w:val="none"/>
              </w:rPr>
              <w:t>16297-1996</w:t>
            </w:r>
            <w:r>
              <w:rPr>
                <w:rFonts w:hint="default" w:ascii="Times New Roman" w:hAnsi="Times New Roman" w:cs="Times New Roman"/>
                <w:color w:val="auto"/>
                <w:spacing w:val="5"/>
                <w:sz w:val="24"/>
                <w:szCs w:val="24"/>
                <w:highlight w:val="none"/>
              </w:rPr>
              <w:t>）</w:t>
            </w:r>
            <w:r>
              <w:rPr>
                <w:rFonts w:hint="default" w:ascii="Times New Roman" w:hAnsi="Times New Roman" w:cs="Times New Roman"/>
                <w:color w:val="auto"/>
                <w:spacing w:val="5"/>
                <w:sz w:val="24"/>
                <w:szCs w:val="24"/>
                <w:highlight w:val="none"/>
                <w:lang w:val="en-US" w:eastAsia="zh-CN"/>
              </w:rPr>
              <w:t>表2中二级排放标准</w:t>
            </w:r>
            <w:r>
              <w:rPr>
                <w:rFonts w:hint="default" w:ascii="Times New Roman" w:hAnsi="Times New Roman" w:cs="Times New Roman"/>
                <w:color w:val="auto"/>
                <w:spacing w:val="4"/>
                <w:sz w:val="24"/>
                <w:szCs w:val="24"/>
                <w:lang w:val="en-US" w:eastAsia="zh-CN"/>
              </w:rPr>
              <w:t>要求，即可以达标排放，详见表4-6</w:t>
            </w:r>
            <w:r>
              <w:rPr>
                <w:rFonts w:hint="default" w:ascii="Times New Roman" w:hAnsi="Times New Roman" w:eastAsia="宋体" w:cs="Times New Roman"/>
                <w:color w:val="auto"/>
                <w:spacing w:val="1"/>
                <w:highlight w:val="none"/>
                <w:lang w:val="en-US" w:eastAsia="zh-CN"/>
              </w:rPr>
              <w:t>。</w:t>
            </w:r>
          </w:p>
          <w:p w14:paraId="14A58F11">
            <w:pPr>
              <w:pStyle w:val="42"/>
              <w:numPr>
                <w:ilvl w:val="3"/>
                <w:numId w:val="0"/>
              </w:numPr>
              <w:ind w:left="0" w:leftChars="0" w:firstLine="0" w:firstLineChars="0"/>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kern w:val="2"/>
                <w:sz w:val="24"/>
                <w:szCs w:val="24"/>
                <w:lang w:val="en-US" w:eastAsia="zh-CN" w:bidi="ar-SA"/>
              </w:rPr>
              <w:t>表4-</w:t>
            </w:r>
            <w:r>
              <w:rPr>
                <w:rFonts w:hint="default" w:ascii="Times New Roman" w:hAnsi="Times New Roman" w:cs="Times New Roman"/>
                <w:color w:val="auto"/>
                <w:kern w:val="2"/>
                <w:sz w:val="24"/>
                <w:szCs w:val="24"/>
                <w:lang w:val="en-US" w:eastAsia="zh-CN" w:bidi="ar-SA"/>
              </w:rPr>
              <w:t>6</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项目废气</w:t>
            </w:r>
            <w:r>
              <w:rPr>
                <w:rFonts w:hint="default" w:ascii="Times New Roman" w:hAnsi="Times New Roman" w:cs="Times New Roman"/>
                <w:color w:val="auto"/>
                <w:sz w:val="24"/>
                <w:szCs w:val="24"/>
                <w:lang w:val="en-US" w:eastAsia="zh-CN"/>
              </w:rPr>
              <w:t>达标排放分析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8"/>
              <w:gridCol w:w="958"/>
              <w:gridCol w:w="463"/>
              <w:gridCol w:w="1001"/>
              <w:gridCol w:w="1026"/>
              <w:gridCol w:w="1084"/>
              <w:gridCol w:w="1183"/>
              <w:gridCol w:w="2100"/>
            </w:tblGrid>
            <w:tr w14:paraId="0C85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9" w:hRule="atLeast"/>
                <w:jc w:val="center"/>
              </w:trPr>
              <w:tc>
                <w:tcPr>
                  <w:tcW w:w="758" w:type="dxa"/>
                  <w:vAlign w:val="center"/>
                </w:tcPr>
                <w:p w14:paraId="7193E4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958" w:type="dxa"/>
                  <w:vAlign w:val="center"/>
                </w:tcPr>
                <w:p w14:paraId="329845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产污环节</w:t>
                  </w:r>
                </w:p>
              </w:tc>
              <w:tc>
                <w:tcPr>
                  <w:tcW w:w="463" w:type="dxa"/>
                  <w:vAlign w:val="center"/>
                </w:tcPr>
                <w:p w14:paraId="4F0353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污染物</w:t>
                  </w:r>
                </w:p>
              </w:tc>
              <w:tc>
                <w:tcPr>
                  <w:tcW w:w="1001" w:type="dxa"/>
                  <w:vAlign w:val="center"/>
                </w:tcPr>
                <w:p w14:paraId="1CC3C3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rPr>
                    <w:t>排放速率（kg/h）</w:t>
                  </w:r>
                </w:p>
              </w:tc>
              <w:tc>
                <w:tcPr>
                  <w:tcW w:w="1026" w:type="dxa"/>
                  <w:vAlign w:val="center"/>
                </w:tcPr>
                <w:p w14:paraId="39E228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rPr>
                    <w:t>排放浓度</w:t>
                  </w:r>
                </w:p>
                <w:p w14:paraId="43FCE5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84" w:type="dxa"/>
                  <w:vAlign w:val="center"/>
                </w:tcPr>
                <w:p w14:paraId="71F88E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有组织浓度标准限值</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183" w:type="dxa"/>
                  <w:vAlign w:val="center"/>
                </w:tcPr>
                <w:p w14:paraId="741B70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rPr>
                    <w:t>排放速率</w:t>
                  </w:r>
                  <w:r>
                    <w:rPr>
                      <w:rFonts w:hint="default" w:ascii="Times New Roman" w:hAnsi="Times New Roman" w:cs="Times New Roman"/>
                      <w:color w:val="auto"/>
                      <w:sz w:val="21"/>
                      <w:szCs w:val="21"/>
                      <w:lang w:val="en-US" w:eastAsia="zh-CN"/>
                    </w:rPr>
                    <w:t>标准限值</w:t>
                  </w:r>
                  <w:r>
                    <w:rPr>
                      <w:rFonts w:hint="default" w:ascii="Times New Roman" w:hAnsi="Times New Roman" w:cs="Times New Roman"/>
                      <w:color w:val="auto"/>
                      <w:sz w:val="21"/>
                      <w:szCs w:val="21"/>
                    </w:rPr>
                    <w:t>（kg/h）</w:t>
                  </w:r>
                </w:p>
              </w:tc>
              <w:tc>
                <w:tcPr>
                  <w:tcW w:w="2100" w:type="dxa"/>
                  <w:vAlign w:val="center"/>
                </w:tcPr>
                <w:p w14:paraId="76CFB6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执行标准</w:t>
                  </w:r>
                </w:p>
              </w:tc>
            </w:tr>
            <w:tr w14:paraId="0E08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shd w:val="clear" w:color="auto" w:fill="auto"/>
                  <w:vAlign w:val="center"/>
                </w:tcPr>
                <w:p w14:paraId="195895BF">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有组织</w:t>
                  </w:r>
                  <w:r>
                    <w:rPr>
                      <w:rFonts w:hint="default" w:ascii="Times New Roman" w:hAnsi="Times New Roman" w:cs="Times New Roman"/>
                      <w:color w:val="auto"/>
                      <w:sz w:val="21"/>
                      <w:szCs w:val="21"/>
                      <w:lang w:val="en-US" w:eastAsia="zh-CN"/>
                    </w:rPr>
                    <w:t>DA001</w:t>
                  </w:r>
                </w:p>
              </w:tc>
              <w:tc>
                <w:tcPr>
                  <w:tcW w:w="958" w:type="dxa"/>
                  <w:shd w:val="clear" w:color="auto" w:fill="auto"/>
                  <w:vAlign w:val="center"/>
                </w:tcPr>
                <w:p w14:paraId="5C8188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熔炼、浇铸</w:t>
                  </w:r>
                </w:p>
              </w:tc>
              <w:tc>
                <w:tcPr>
                  <w:tcW w:w="463" w:type="dxa"/>
                  <w:vAlign w:val="center"/>
                </w:tcPr>
                <w:p w14:paraId="02C7F9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1001" w:type="dxa"/>
                  <w:vAlign w:val="center"/>
                </w:tcPr>
                <w:p w14:paraId="04B62B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0.12</w:t>
                  </w:r>
                </w:p>
              </w:tc>
              <w:tc>
                <w:tcPr>
                  <w:tcW w:w="1026" w:type="dxa"/>
                  <w:vAlign w:val="center"/>
                </w:tcPr>
                <w:p w14:paraId="210567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4.18</w:t>
                  </w:r>
                </w:p>
              </w:tc>
              <w:tc>
                <w:tcPr>
                  <w:tcW w:w="1084" w:type="dxa"/>
                  <w:vAlign w:val="center"/>
                </w:tcPr>
                <w:p w14:paraId="20C550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c>
                <w:tcPr>
                  <w:tcW w:w="1183" w:type="dxa"/>
                  <w:vAlign w:val="center"/>
                </w:tcPr>
                <w:p w14:paraId="1D7E9D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Align w:val="center"/>
                </w:tcPr>
                <w:p w14:paraId="27025A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《铸造工业大气污染物排</w:t>
                  </w:r>
                  <w:r>
                    <w:rPr>
                      <w:rFonts w:hint="default" w:ascii="Times New Roman" w:hAnsi="Times New Roman" w:cs="Times New Roman"/>
                      <w:color w:val="auto"/>
                      <w:spacing w:val="-2"/>
                      <w:sz w:val="21"/>
                      <w:szCs w:val="21"/>
                      <w:highlight w:val="none"/>
                    </w:rPr>
                    <w:t>放标准》（</w:t>
                  </w:r>
                  <w:r>
                    <w:rPr>
                      <w:rFonts w:hint="default" w:ascii="Times New Roman" w:hAnsi="Times New Roman" w:eastAsia="Times New Roman" w:cs="Times New Roman"/>
                      <w:color w:val="auto"/>
                      <w:spacing w:val="-2"/>
                      <w:sz w:val="21"/>
                      <w:szCs w:val="21"/>
                      <w:highlight w:val="none"/>
                    </w:rPr>
                    <w:t>GB39726-2020</w:t>
                  </w:r>
                  <w:r>
                    <w:rPr>
                      <w:rFonts w:hint="default" w:ascii="Times New Roman" w:hAnsi="Times New Roman" w:cs="Times New Roman"/>
                      <w:color w:val="auto"/>
                      <w:spacing w:val="-2"/>
                      <w:sz w:val="21"/>
                      <w:szCs w:val="21"/>
                      <w:highlight w:val="none"/>
                    </w:rPr>
                    <w:t>）</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1</w:t>
                  </w:r>
                </w:p>
              </w:tc>
            </w:tr>
            <w:tr w14:paraId="10A5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Merge w:val="restart"/>
                  <w:vAlign w:val="center"/>
                </w:tcPr>
                <w:p w14:paraId="0D6B698C">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有组织DA002</w:t>
                  </w:r>
                </w:p>
              </w:tc>
              <w:tc>
                <w:tcPr>
                  <w:tcW w:w="958" w:type="dxa"/>
                  <w:vMerge w:val="restart"/>
                  <w:vAlign w:val="center"/>
                </w:tcPr>
                <w:p w14:paraId="14A28A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熔炼炉煤气燃烧</w:t>
                  </w:r>
                </w:p>
              </w:tc>
              <w:tc>
                <w:tcPr>
                  <w:tcW w:w="463" w:type="dxa"/>
                  <w:vAlign w:val="center"/>
                </w:tcPr>
                <w:p w14:paraId="7569D5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001" w:type="dxa"/>
                  <w:vAlign w:val="center"/>
                </w:tcPr>
                <w:p w14:paraId="58721C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cs="Times New Roman"/>
                      <w:color w:val="auto"/>
                      <w:sz w:val="21"/>
                      <w:szCs w:val="21"/>
                      <w:highlight w:val="none"/>
                      <w:lang w:val="en-US" w:eastAsia="zh-CN"/>
                    </w:rPr>
                    <w:t>0</w:t>
                  </w:r>
                </w:p>
              </w:tc>
              <w:tc>
                <w:tcPr>
                  <w:tcW w:w="1026" w:type="dxa"/>
                  <w:vAlign w:val="center"/>
                </w:tcPr>
                <w:p w14:paraId="128E2A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pacing w:val="3"/>
                      <w:sz w:val="21"/>
                      <w:szCs w:val="21"/>
                      <w:highlight w:val="none"/>
                      <w:lang w:val="en-US" w:eastAsia="zh-CN"/>
                    </w:rPr>
                    <w:t>23.44</w:t>
                  </w:r>
                </w:p>
              </w:tc>
              <w:tc>
                <w:tcPr>
                  <w:tcW w:w="1084" w:type="dxa"/>
                  <w:vAlign w:val="center"/>
                </w:tcPr>
                <w:p w14:paraId="463BB8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c>
                <w:tcPr>
                  <w:tcW w:w="1183" w:type="dxa"/>
                  <w:vAlign w:val="center"/>
                </w:tcPr>
                <w:p w14:paraId="37956E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Merge w:val="restart"/>
                  <w:vAlign w:val="center"/>
                </w:tcPr>
                <w:p w14:paraId="03B811C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8"/>
                      <w:sz w:val="21"/>
                      <w:szCs w:val="21"/>
                      <w:highlight w:val="none"/>
                    </w:rPr>
                    <w:t>《铸造工业大气污染物排</w:t>
                  </w:r>
                  <w:r>
                    <w:rPr>
                      <w:rFonts w:hint="default" w:ascii="Times New Roman" w:hAnsi="Times New Roman" w:cs="Times New Roman"/>
                      <w:color w:val="auto"/>
                      <w:spacing w:val="-2"/>
                      <w:sz w:val="21"/>
                      <w:szCs w:val="21"/>
                      <w:highlight w:val="none"/>
                    </w:rPr>
                    <w:t>放标准》（</w:t>
                  </w:r>
                  <w:r>
                    <w:rPr>
                      <w:rFonts w:hint="default" w:ascii="Times New Roman" w:hAnsi="Times New Roman" w:eastAsia="Times New Roman" w:cs="Times New Roman"/>
                      <w:color w:val="auto"/>
                      <w:spacing w:val="-2"/>
                      <w:sz w:val="21"/>
                      <w:szCs w:val="21"/>
                      <w:highlight w:val="none"/>
                    </w:rPr>
                    <w:t>GB39726-2020</w:t>
                  </w:r>
                  <w:r>
                    <w:rPr>
                      <w:rFonts w:hint="default" w:ascii="Times New Roman" w:hAnsi="Times New Roman" w:cs="Times New Roman"/>
                      <w:color w:val="auto"/>
                      <w:spacing w:val="-2"/>
                      <w:sz w:val="21"/>
                      <w:szCs w:val="21"/>
                      <w:highlight w:val="none"/>
                    </w:rPr>
                    <w:t>）</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1</w:t>
                  </w:r>
                </w:p>
              </w:tc>
            </w:tr>
            <w:tr w14:paraId="23D1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758" w:type="dxa"/>
                  <w:vMerge w:val="continue"/>
                  <w:vAlign w:val="center"/>
                </w:tcPr>
                <w:p w14:paraId="5EE0F067">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958" w:type="dxa"/>
                  <w:vMerge w:val="continue"/>
                  <w:vAlign w:val="center"/>
                </w:tcPr>
                <w:p w14:paraId="28E3C0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463" w:type="dxa"/>
                  <w:shd w:val="clear" w:color="auto" w:fill="auto"/>
                  <w:vAlign w:val="center"/>
                </w:tcPr>
                <w:p w14:paraId="204DB7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二氧化硫</w:t>
                  </w:r>
                </w:p>
              </w:tc>
              <w:tc>
                <w:tcPr>
                  <w:tcW w:w="1001" w:type="dxa"/>
                  <w:shd w:val="clear" w:color="auto" w:fill="auto"/>
                  <w:vAlign w:val="center"/>
                </w:tcPr>
                <w:p w14:paraId="24FACB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0.41</w:t>
                  </w:r>
                </w:p>
              </w:tc>
              <w:tc>
                <w:tcPr>
                  <w:tcW w:w="1026" w:type="dxa"/>
                  <w:shd w:val="clear" w:color="auto" w:fill="auto"/>
                  <w:vAlign w:val="center"/>
                </w:tcPr>
                <w:p w14:paraId="2ADE67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94.15</w:t>
                  </w:r>
                </w:p>
              </w:tc>
              <w:tc>
                <w:tcPr>
                  <w:tcW w:w="1084" w:type="dxa"/>
                  <w:shd w:val="clear" w:color="auto" w:fill="auto"/>
                  <w:vAlign w:val="center"/>
                </w:tcPr>
                <w:p w14:paraId="3559F0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100</w:t>
                  </w:r>
                </w:p>
              </w:tc>
              <w:tc>
                <w:tcPr>
                  <w:tcW w:w="1183" w:type="dxa"/>
                  <w:vAlign w:val="center"/>
                </w:tcPr>
                <w:p w14:paraId="1A97CC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Merge w:val="continue"/>
                  <w:vAlign w:val="center"/>
                </w:tcPr>
                <w:p w14:paraId="540D0C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p>
              </w:tc>
            </w:tr>
            <w:tr w14:paraId="6BD0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Merge w:val="continue"/>
                  <w:vAlign w:val="center"/>
                </w:tcPr>
                <w:p w14:paraId="5E372FE2">
                  <w:pPr>
                    <w:keepNext w:val="0"/>
                    <w:keepLines w:val="0"/>
                    <w:pageBreakBefore w:val="0"/>
                    <w:widowControl/>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958" w:type="dxa"/>
                  <w:vMerge w:val="continue"/>
                  <w:vAlign w:val="center"/>
                </w:tcPr>
                <w:p w14:paraId="41DC30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463" w:type="dxa"/>
                  <w:shd w:val="clear" w:color="auto" w:fill="auto"/>
                  <w:vAlign w:val="center"/>
                </w:tcPr>
                <w:p w14:paraId="4761D8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氮氧化物</w:t>
                  </w:r>
                </w:p>
              </w:tc>
              <w:tc>
                <w:tcPr>
                  <w:tcW w:w="1001" w:type="dxa"/>
                  <w:shd w:val="clear" w:color="auto" w:fill="auto"/>
                  <w:vAlign w:val="center"/>
                </w:tcPr>
                <w:p w14:paraId="1F9FE1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0.76</w:t>
                  </w:r>
                </w:p>
              </w:tc>
              <w:tc>
                <w:tcPr>
                  <w:tcW w:w="1026" w:type="dxa"/>
                  <w:shd w:val="clear" w:color="auto" w:fill="auto"/>
                  <w:vAlign w:val="center"/>
                </w:tcPr>
                <w:p w14:paraId="05C1F4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176.13</w:t>
                  </w:r>
                </w:p>
              </w:tc>
              <w:tc>
                <w:tcPr>
                  <w:tcW w:w="1084" w:type="dxa"/>
                  <w:shd w:val="clear" w:color="auto" w:fill="auto"/>
                  <w:vAlign w:val="center"/>
                </w:tcPr>
                <w:p w14:paraId="409DBB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400</w:t>
                  </w:r>
                </w:p>
              </w:tc>
              <w:tc>
                <w:tcPr>
                  <w:tcW w:w="1183" w:type="dxa"/>
                  <w:vAlign w:val="center"/>
                </w:tcPr>
                <w:p w14:paraId="708C5F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Merge w:val="continue"/>
                  <w:vAlign w:val="center"/>
                </w:tcPr>
                <w:p w14:paraId="53A184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p>
              </w:tc>
            </w:tr>
            <w:tr w14:paraId="1597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Merge w:val="restart"/>
                  <w:vAlign w:val="center"/>
                </w:tcPr>
                <w:p w14:paraId="65D4ADFD">
                  <w:pPr>
                    <w:keepNext w:val="0"/>
                    <w:keepLines w:val="0"/>
                    <w:pageBreakBefore w:val="0"/>
                    <w:widowControl/>
                    <w:kinsoku/>
                    <w:wordWrap/>
                    <w:overflowPunct/>
                    <w:topLinePunct w:val="0"/>
                    <w:autoSpaceDE/>
                    <w:autoSpaceDN/>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有组织DA003</w:t>
                  </w:r>
                </w:p>
              </w:tc>
              <w:tc>
                <w:tcPr>
                  <w:tcW w:w="958" w:type="dxa"/>
                  <w:vMerge w:val="restart"/>
                  <w:vAlign w:val="center"/>
                </w:tcPr>
                <w:p w14:paraId="168784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压铸车间熔化、压铸</w:t>
                  </w:r>
                </w:p>
              </w:tc>
              <w:tc>
                <w:tcPr>
                  <w:tcW w:w="463" w:type="dxa"/>
                  <w:vAlign w:val="center"/>
                </w:tcPr>
                <w:p w14:paraId="7A5936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颗粒物</w:t>
                  </w:r>
                </w:p>
              </w:tc>
              <w:tc>
                <w:tcPr>
                  <w:tcW w:w="1001" w:type="dxa"/>
                  <w:vAlign w:val="center"/>
                </w:tcPr>
                <w:p w14:paraId="5C0683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3</w:t>
                  </w:r>
                </w:p>
              </w:tc>
              <w:tc>
                <w:tcPr>
                  <w:tcW w:w="1026" w:type="dxa"/>
                  <w:vAlign w:val="center"/>
                </w:tcPr>
                <w:p w14:paraId="61D3E7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eastAsia" w:ascii="Times New Roman" w:hAnsi="Times New Roman" w:cs="Times New Roman"/>
                      <w:color w:val="auto"/>
                      <w:sz w:val="21"/>
                      <w:szCs w:val="21"/>
                      <w:highlight w:val="none"/>
                      <w:lang w:val="en-US" w:eastAsia="zh-CN"/>
                    </w:rPr>
                    <w:t>3.99</w:t>
                  </w:r>
                </w:p>
              </w:tc>
              <w:tc>
                <w:tcPr>
                  <w:tcW w:w="1084" w:type="dxa"/>
                  <w:vAlign w:val="center"/>
                </w:tcPr>
                <w:p w14:paraId="46403F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c>
                <w:tcPr>
                  <w:tcW w:w="1183" w:type="dxa"/>
                  <w:vAlign w:val="center"/>
                </w:tcPr>
                <w:p w14:paraId="1876FF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Align w:val="center"/>
                </w:tcPr>
                <w:p w14:paraId="6A132F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8"/>
                      <w:sz w:val="21"/>
                      <w:szCs w:val="21"/>
                      <w:highlight w:val="none"/>
                    </w:rPr>
                    <w:t>《铸造工业大气污染物排</w:t>
                  </w:r>
                  <w:r>
                    <w:rPr>
                      <w:rFonts w:hint="default" w:ascii="Times New Roman" w:hAnsi="Times New Roman" w:cs="Times New Roman"/>
                      <w:color w:val="auto"/>
                      <w:spacing w:val="-2"/>
                      <w:sz w:val="21"/>
                      <w:szCs w:val="21"/>
                      <w:highlight w:val="none"/>
                    </w:rPr>
                    <w:t>放标准》（</w:t>
                  </w:r>
                  <w:r>
                    <w:rPr>
                      <w:rFonts w:hint="default" w:ascii="Times New Roman" w:hAnsi="Times New Roman" w:eastAsia="Times New Roman" w:cs="Times New Roman"/>
                      <w:color w:val="auto"/>
                      <w:spacing w:val="-2"/>
                      <w:sz w:val="21"/>
                      <w:szCs w:val="21"/>
                      <w:highlight w:val="none"/>
                    </w:rPr>
                    <w:t>GB39726-2020</w:t>
                  </w:r>
                  <w:r>
                    <w:rPr>
                      <w:rFonts w:hint="default" w:ascii="Times New Roman" w:hAnsi="Times New Roman" w:cs="Times New Roman"/>
                      <w:color w:val="auto"/>
                      <w:spacing w:val="-2"/>
                      <w:sz w:val="21"/>
                      <w:szCs w:val="21"/>
                      <w:highlight w:val="none"/>
                    </w:rPr>
                    <w:t>）</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1</w:t>
                  </w:r>
                </w:p>
              </w:tc>
            </w:tr>
            <w:tr w14:paraId="4ED2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Merge w:val="continue"/>
                  <w:vAlign w:val="center"/>
                </w:tcPr>
                <w:p w14:paraId="5CE2CB6C">
                  <w:pPr>
                    <w:keepNext w:val="0"/>
                    <w:keepLines w:val="0"/>
                    <w:pageBreakBefore w:val="0"/>
                    <w:widowControl/>
                    <w:kinsoku/>
                    <w:wordWrap/>
                    <w:overflowPunct/>
                    <w:topLinePunct w:val="0"/>
                    <w:autoSpaceDE/>
                    <w:autoSpaceDN/>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p>
              </w:tc>
              <w:tc>
                <w:tcPr>
                  <w:tcW w:w="958" w:type="dxa"/>
                  <w:vMerge w:val="continue"/>
                  <w:vAlign w:val="center"/>
                </w:tcPr>
                <w:p w14:paraId="153C3E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463" w:type="dxa"/>
                  <w:shd w:val="clear" w:color="auto" w:fill="auto"/>
                  <w:vAlign w:val="center"/>
                </w:tcPr>
                <w:p w14:paraId="5348B4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非甲烷总烃</w:t>
                  </w:r>
                </w:p>
              </w:tc>
              <w:tc>
                <w:tcPr>
                  <w:tcW w:w="1001" w:type="dxa"/>
                  <w:shd w:val="clear" w:color="auto" w:fill="auto"/>
                  <w:vAlign w:val="center"/>
                </w:tcPr>
                <w:p w14:paraId="115C98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0.03</w:t>
                  </w:r>
                </w:p>
              </w:tc>
              <w:tc>
                <w:tcPr>
                  <w:tcW w:w="1026" w:type="dxa"/>
                  <w:shd w:val="clear" w:color="auto" w:fill="auto"/>
                  <w:vAlign w:val="center"/>
                </w:tcPr>
                <w:p w14:paraId="490542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3.97</w:t>
                  </w:r>
                </w:p>
              </w:tc>
              <w:tc>
                <w:tcPr>
                  <w:tcW w:w="1084" w:type="dxa"/>
                  <w:shd w:val="clear" w:color="auto" w:fill="auto"/>
                  <w:vAlign w:val="center"/>
                </w:tcPr>
                <w:p w14:paraId="6A0930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120</w:t>
                  </w:r>
                </w:p>
              </w:tc>
              <w:tc>
                <w:tcPr>
                  <w:tcW w:w="1183" w:type="dxa"/>
                  <w:shd w:val="clear" w:color="auto" w:fill="auto"/>
                  <w:vAlign w:val="center"/>
                </w:tcPr>
                <w:p w14:paraId="7A3BB3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10</w:t>
                  </w:r>
                </w:p>
              </w:tc>
              <w:tc>
                <w:tcPr>
                  <w:tcW w:w="2100" w:type="dxa"/>
                  <w:vAlign w:val="center"/>
                </w:tcPr>
                <w:p w14:paraId="517250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《大气污染物综合排放标</w:t>
                  </w:r>
                  <w:r>
                    <w:rPr>
                      <w:rFonts w:hint="default" w:ascii="Times New Roman" w:hAnsi="Times New Roman" w:cs="Times New Roman"/>
                      <w:color w:val="auto"/>
                      <w:spacing w:val="5"/>
                      <w:sz w:val="21"/>
                      <w:szCs w:val="21"/>
                      <w:highlight w:val="none"/>
                    </w:rPr>
                    <w:t>准》（</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5"/>
                      <w:sz w:val="21"/>
                      <w:szCs w:val="21"/>
                      <w:highlight w:val="none"/>
                    </w:rPr>
                    <w:t>16297-1996</w:t>
                  </w:r>
                  <w:r>
                    <w:rPr>
                      <w:rFonts w:hint="default" w:ascii="Times New Roman" w:hAnsi="Times New Roman" w:cs="Times New Roman"/>
                      <w:color w:val="auto"/>
                      <w:spacing w:val="5"/>
                      <w:sz w:val="21"/>
                      <w:szCs w:val="21"/>
                      <w:highlight w:val="none"/>
                    </w:rPr>
                    <w:t>）</w:t>
                  </w:r>
                  <w:r>
                    <w:rPr>
                      <w:rFonts w:hint="default" w:ascii="Times New Roman" w:hAnsi="Times New Roman" w:cs="Times New Roman"/>
                      <w:color w:val="auto"/>
                      <w:spacing w:val="5"/>
                      <w:sz w:val="21"/>
                      <w:szCs w:val="21"/>
                      <w:highlight w:val="none"/>
                      <w:lang w:val="en-US" w:eastAsia="zh-CN"/>
                    </w:rPr>
                    <w:t>表2中二级</w:t>
                  </w:r>
                </w:p>
              </w:tc>
            </w:tr>
            <w:tr w14:paraId="43A5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Merge w:val="restart"/>
                  <w:vAlign w:val="center"/>
                </w:tcPr>
                <w:p w14:paraId="36E6B580">
                  <w:pPr>
                    <w:keepNext w:val="0"/>
                    <w:keepLines w:val="0"/>
                    <w:pageBreakBefore w:val="0"/>
                    <w:widowControl/>
                    <w:kinsoku/>
                    <w:wordWrap/>
                    <w:overflowPunct/>
                    <w:topLinePunct w:val="0"/>
                    <w:autoSpaceDE/>
                    <w:autoSpaceDN/>
                    <w:bidi w:val="0"/>
                    <w:snapToGrid w:val="0"/>
                    <w:spacing w:line="240" w:lineRule="auto"/>
                    <w:ind w:firstLine="0" w:firstLineChars="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有组织DA004</w:t>
                  </w:r>
                </w:p>
              </w:tc>
              <w:tc>
                <w:tcPr>
                  <w:tcW w:w="958" w:type="dxa"/>
                  <w:vMerge w:val="restart"/>
                  <w:vAlign w:val="center"/>
                </w:tcPr>
                <w:p w14:paraId="390298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压铸车间保温炉天然气燃烧</w:t>
                  </w:r>
                </w:p>
              </w:tc>
              <w:tc>
                <w:tcPr>
                  <w:tcW w:w="463" w:type="dxa"/>
                  <w:vAlign w:val="center"/>
                </w:tcPr>
                <w:p w14:paraId="489694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001" w:type="dxa"/>
                  <w:vAlign w:val="center"/>
                </w:tcPr>
                <w:p w14:paraId="5000C7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0.001</w:t>
                  </w:r>
                </w:p>
              </w:tc>
              <w:tc>
                <w:tcPr>
                  <w:tcW w:w="1026" w:type="dxa"/>
                  <w:vAlign w:val="center"/>
                </w:tcPr>
                <w:p w14:paraId="6B801B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9.56</w:t>
                  </w:r>
                </w:p>
              </w:tc>
              <w:tc>
                <w:tcPr>
                  <w:tcW w:w="1084" w:type="dxa"/>
                  <w:vAlign w:val="center"/>
                </w:tcPr>
                <w:p w14:paraId="48BA18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c>
                <w:tcPr>
                  <w:tcW w:w="1183" w:type="dxa"/>
                  <w:vAlign w:val="center"/>
                </w:tcPr>
                <w:p w14:paraId="57A2F6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Merge w:val="restart"/>
                  <w:vAlign w:val="center"/>
                </w:tcPr>
                <w:p w14:paraId="60322E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《铸造工业大气污染物排</w:t>
                  </w:r>
                  <w:r>
                    <w:rPr>
                      <w:rFonts w:hint="default" w:ascii="Times New Roman" w:hAnsi="Times New Roman" w:cs="Times New Roman"/>
                      <w:color w:val="auto"/>
                      <w:spacing w:val="-2"/>
                      <w:sz w:val="21"/>
                      <w:szCs w:val="21"/>
                      <w:highlight w:val="none"/>
                    </w:rPr>
                    <w:t>放标准》（</w:t>
                  </w:r>
                  <w:r>
                    <w:rPr>
                      <w:rFonts w:hint="default" w:ascii="Times New Roman" w:hAnsi="Times New Roman" w:eastAsia="Times New Roman" w:cs="Times New Roman"/>
                      <w:color w:val="auto"/>
                      <w:spacing w:val="-2"/>
                      <w:sz w:val="21"/>
                      <w:szCs w:val="21"/>
                      <w:highlight w:val="none"/>
                    </w:rPr>
                    <w:t>GB39726-2020</w:t>
                  </w:r>
                  <w:r>
                    <w:rPr>
                      <w:rFonts w:hint="default" w:ascii="Times New Roman" w:hAnsi="Times New Roman" w:cs="Times New Roman"/>
                      <w:color w:val="auto"/>
                      <w:spacing w:val="-2"/>
                      <w:sz w:val="21"/>
                      <w:szCs w:val="21"/>
                      <w:highlight w:val="none"/>
                    </w:rPr>
                    <w:t>）</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1</w:t>
                  </w:r>
                </w:p>
              </w:tc>
            </w:tr>
            <w:tr w14:paraId="40EE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Merge w:val="continue"/>
                  <w:vAlign w:val="center"/>
                </w:tcPr>
                <w:p w14:paraId="3F43917D">
                  <w:pPr>
                    <w:keepNext w:val="0"/>
                    <w:keepLines w:val="0"/>
                    <w:pageBreakBefore w:val="0"/>
                    <w:widowControl/>
                    <w:kinsoku/>
                    <w:wordWrap/>
                    <w:overflowPunct/>
                    <w:topLinePunct w:val="0"/>
                    <w:autoSpaceDE/>
                    <w:autoSpaceDN/>
                    <w:bidi w:val="0"/>
                    <w:snapToGrid w:val="0"/>
                    <w:spacing w:line="240" w:lineRule="auto"/>
                    <w:ind w:firstLine="0" w:firstLineChars="0"/>
                    <w:jc w:val="left"/>
                    <w:textAlignment w:val="auto"/>
                    <w:rPr>
                      <w:rFonts w:hint="default" w:ascii="Times New Roman" w:hAnsi="Times New Roman" w:cs="Times New Roman"/>
                      <w:color w:val="auto"/>
                      <w:sz w:val="21"/>
                      <w:szCs w:val="21"/>
                      <w:lang w:val="en-US" w:eastAsia="zh-CN"/>
                    </w:rPr>
                  </w:pPr>
                </w:p>
              </w:tc>
              <w:tc>
                <w:tcPr>
                  <w:tcW w:w="958" w:type="dxa"/>
                  <w:vMerge w:val="continue"/>
                  <w:vAlign w:val="center"/>
                </w:tcPr>
                <w:p w14:paraId="7F07D9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463" w:type="dxa"/>
                  <w:shd w:val="clear" w:color="auto" w:fill="auto"/>
                  <w:vAlign w:val="center"/>
                </w:tcPr>
                <w:p w14:paraId="1DAC351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二氧化硫</w:t>
                  </w:r>
                </w:p>
              </w:tc>
              <w:tc>
                <w:tcPr>
                  <w:tcW w:w="1001" w:type="dxa"/>
                  <w:shd w:val="clear" w:color="auto" w:fill="auto"/>
                  <w:vAlign w:val="center"/>
                </w:tcPr>
                <w:p w14:paraId="314BC4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3×10</w:t>
                  </w:r>
                  <w:r>
                    <w:rPr>
                      <w:rFonts w:hint="default" w:ascii="Times New Roman" w:hAnsi="Times New Roman" w:cs="Times New Roman"/>
                      <w:color w:val="auto"/>
                      <w:sz w:val="21"/>
                      <w:szCs w:val="21"/>
                      <w:highlight w:val="none"/>
                      <w:vertAlign w:val="superscript"/>
                      <w:lang w:val="en-US" w:eastAsia="zh-CN"/>
                    </w:rPr>
                    <w:t>-5</w:t>
                  </w:r>
                </w:p>
              </w:tc>
              <w:tc>
                <w:tcPr>
                  <w:tcW w:w="1026" w:type="dxa"/>
                  <w:shd w:val="clear" w:color="auto" w:fill="auto"/>
                  <w:vAlign w:val="center"/>
                </w:tcPr>
                <w:p w14:paraId="635D32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0.2</w:t>
                  </w:r>
                </w:p>
              </w:tc>
              <w:tc>
                <w:tcPr>
                  <w:tcW w:w="1084" w:type="dxa"/>
                  <w:shd w:val="clear" w:color="auto" w:fill="auto"/>
                  <w:vAlign w:val="center"/>
                </w:tcPr>
                <w:p w14:paraId="512C7E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100</w:t>
                  </w:r>
                </w:p>
              </w:tc>
              <w:tc>
                <w:tcPr>
                  <w:tcW w:w="1183" w:type="dxa"/>
                  <w:vAlign w:val="center"/>
                </w:tcPr>
                <w:p w14:paraId="3C99B2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Merge w:val="continue"/>
                  <w:vAlign w:val="center"/>
                </w:tcPr>
                <w:p w14:paraId="630DFE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8"/>
                      <w:sz w:val="21"/>
                      <w:szCs w:val="21"/>
                      <w:highlight w:val="none"/>
                    </w:rPr>
                  </w:pPr>
                </w:p>
              </w:tc>
            </w:tr>
            <w:tr w14:paraId="7CAC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Merge w:val="continue"/>
                  <w:vAlign w:val="center"/>
                </w:tcPr>
                <w:p w14:paraId="321C47A8">
                  <w:pPr>
                    <w:keepNext w:val="0"/>
                    <w:keepLines w:val="0"/>
                    <w:pageBreakBefore w:val="0"/>
                    <w:widowControl/>
                    <w:kinsoku/>
                    <w:wordWrap/>
                    <w:overflowPunct/>
                    <w:topLinePunct w:val="0"/>
                    <w:autoSpaceDE/>
                    <w:autoSpaceDN/>
                    <w:bidi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958" w:type="dxa"/>
                  <w:vMerge w:val="continue"/>
                  <w:vAlign w:val="center"/>
                </w:tcPr>
                <w:p w14:paraId="182D18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63" w:type="dxa"/>
                  <w:shd w:val="clear" w:color="auto" w:fill="auto"/>
                  <w:vAlign w:val="center"/>
                </w:tcPr>
                <w:p w14:paraId="4E654A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氮氧化物</w:t>
                  </w:r>
                </w:p>
              </w:tc>
              <w:tc>
                <w:tcPr>
                  <w:tcW w:w="1001" w:type="dxa"/>
                  <w:shd w:val="clear" w:color="auto" w:fill="auto"/>
                  <w:vAlign w:val="center"/>
                </w:tcPr>
                <w:p w14:paraId="5AEF6E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0.02</w:t>
                  </w:r>
                </w:p>
              </w:tc>
              <w:tc>
                <w:tcPr>
                  <w:tcW w:w="1026" w:type="dxa"/>
                  <w:shd w:val="clear" w:color="auto" w:fill="auto"/>
                  <w:vAlign w:val="center"/>
                </w:tcPr>
                <w:p w14:paraId="2AB454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147.28</w:t>
                  </w:r>
                </w:p>
              </w:tc>
              <w:tc>
                <w:tcPr>
                  <w:tcW w:w="1084" w:type="dxa"/>
                  <w:shd w:val="clear" w:color="auto" w:fill="auto"/>
                  <w:vAlign w:val="center"/>
                </w:tcPr>
                <w:p w14:paraId="0E54AD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400</w:t>
                  </w:r>
                </w:p>
              </w:tc>
              <w:tc>
                <w:tcPr>
                  <w:tcW w:w="1183" w:type="dxa"/>
                  <w:vAlign w:val="center"/>
                </w:tcPr>
                <w:p w14:paraId="6CE52C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Merge w:val="continue"/>
                  <w:vAlign w:val="center"/>
                </w:tcPr>
                <w:p w14:paraId="37B60C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p>
              </w:tc>
            </w:tr>
            <w:tr w14:paraId="0CD8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dxa"/>
                  <w:vAlign w:val="center"/>
                </w:tcPr>
                <w:p w14:paraId="30F6C1A0">
                  <w:pPr>
                    <w:keepNext w:val="0"/>
                    <w:keepLines w:val="0"/>
                    <w:pageBreakBefore w:val="0"/>
                    <w:widowControl/>
                    <w:kinsoku/>
                    <w:wordWrap/>
                    <w:overflowPunct/>
                    <w:topLinePunct w:val="0"/>
                    <w:autoSpaceDE/>
                    <w:autoSpaceDN/>
                    <w:bidi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有组织DA00</w:t>
                  </w:r>
                  <w:r>
                    <w:rPr>
                      <w:rFonts w:hint="default" w:ascii="Times New Roman" w:hAnsi="Times New Roman" w:cs="Times New Roman"/>
                      <w:color w:val="auto"/>
                      <w:sz w:val="21"/>
                      <w:szCs w:val="21"/>
                      <w:lang w:val="en-US" w:eastAsia="zh-CN"/>
                    </w:rPr>
                    <w:t>5</w:t>
                  </w:r>
                </w:p>
              </w:tc>
              <w:tc>
                <w:tcPr>
                  <w:tcW w:w="958" w:type="dxa"/>
                  <w:vAlign w:val="center"/>
                </w:tcPr>
                <w:p w14:paraId="260DF3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铸锭打磨</w:t>
                  </w:r>
                </w:p>
              </w:tc>
              <w:tc>
                <w:tcPr>
                  <w:tcW w:w="463" w:type="dxa"/>
                  <w:vAlign w:val="center"/>
                </w:tcPr>
                <w:p w14:paraId="1CF1A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颗粒物</w:t>
                  </w:r>
                </w:p>
              </w:tc>
              <w:tc>
                <w:tcPr>
                  <w:tcW w:w="1001" w:type="dxa"/>
                  <w:vAlign w:val="center"/>
                </w:tcPr>
                <w:p w14:paraId="0E75EF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1.31</w:t>
                  </w:r>
                </w:p>
              </w:tc>
              <w:tc>
                <w:tcPr>
                  <w:tcW w:w="1026" w:type="dxa"/>
                  <w:vAlign w:val="center"/>
                </w:tcPr>
                <w:p w14:paraId="3E9A81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23.19</w:t>
                  </w:r>
                </w:p>
              </w:tc>
              <w:tc>
                <w:tcPr>
                  <w:tcW w:w="1084" w:type="dxa"/>
                  <w:vAlign w:val="center"/>
                </w:tcPr>
                <w:p w14:paraId="3A595F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30</w:t>
                  </w:r>
                </w:p>
              </w:tc>
              <w:tc>
                <w:tcPr>
                  <w:tcW w:w="1183" w:type="dxa"/>
                  <w:vAlign w:val="center"/>
                </w:tcPr>
                <w:p w14:paraId="355F66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w:t>
                  </w:r>
                </w:p>
              </w:tc>
              <w:tc>
                <w:tcPr>
                  <w:tcW w:w="2100" w:type="dxa"/>
                  <w:vAlign w:val="center"/>
                </w:tcPr>
                <w:p w14:paraId="45177D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8"/>
                      <w:sz w:val="21"/>
                      <w:szCs w:val="21"/>
                      <w:highlight w:val="none"/>
                    </w:rPr>
                    <w:t>《铸造工业大气污染物排</w:t>
                  </w:r>
                  <w:r>
                    <w:rPr>
                      <w:rFonts w:hint="default" w:ascii="Times New Roman" w:hAnsi="Times New Roman" w:cs="Times New Roman"/>
                      <w:color w:val="auto"/>
                      <w:spacing w:val="-2"/>
                      <w:sz w:val="21"/>
                      <w:szCs w:val="21"/>
                      <w:highlight w:val="none"/>
                    </w:rPr>
                    <w:t>放标准》（</w:t>
                  </w:r>
                  <w:r>
                    <w:rPr>
                      <w:rFonts w:hint="default" w:ascii="Times New Roman" w:hAnsi="Times New Roman" w:eastAsia="Times New Roman" w:cs="Times New Roman"/>
                      <w:color w:val="auto"/>
                      <w:spacing w:val="-2"/>
                      <w:sz w:val="21"/>
                      <w:szCs w:val="21"/>
                      <w:highlight w:val="none"/>
                    </w:rPr>
                    <w:t>GB39726-2020</w:t>
                  </w:r>
                  <w:r>
                    <w:rPr>
                      <w:rFonts w:hint="default" w:ascii="Times New Roman" w:hAnsi="Times New Roman" w:cs="Times New Roman"/>
                      <w:color w:val="auto"/>
                      <w:spacing w:val="-2"/>
                      <w:sz w:val="21"/>
                      <w:szCs w:val="21"/>
                      <w:highlight w:val="none"/>
                    </w:rPr>
                    <w:t>）</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1</w:t>
                  </w:r>
                </w:p>
              </w:tc>
            </w:tr>
          </w:tbl>
          <w:p w14:paraId="354B7B97">
            <w:pPr>
              <w:pStyle w:val="66"/>
              <w:numPr>
                <w:ilvl w:val="0"/>
                <w:numId w:val="7"/>
              </w:numPr>
              <w:spacing w:before="182" w:line="347" w:lineRule="auto"/>
              <w:ind w:left="0" w:leftChars="0" w:right="101" w:firstLine="484" w:firstLineChars="200"/>
              <w:jc w:val="left"/>
              <w:rPr>
                <w:rFonts w:hint="default" w:ascii="Times New Roman" w:hAnsi="Times New Roman" w:eastAsia="黑体" w:cs="Times New Roman"/>
                <w:color w:val="auto"/>
                <w:spacing w:val="1"/>
                <w:highlight w:val="none"/>
                <w:lang w:val="en-US" w:eastAsia="zh-CN"/>
              </w:rPr>
            </w:pPr>
            <w:r>
              <w:rPr>
                <w:rFonts w:hint="default" w:ascii="Times New Roman" w:hAnsi="Times New Roman" w:eastAsia="黑体" w:cs="Times New Roman"/>
                <w:color w:val="auto"/>
                <w:spacing w:val="1"/>
                <w:highlight w:val="none"/>
                <w:lang w:val="en-US" w:eastAsia="zh-CN"/>
              </w:rPr>
              <w:t>废气治理措施可行性分析</w:t>
            </w:r>
          </w:p>
          <w:p w14:paraId="6A7BC41B">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（1）熔炼</w:t>
            </w:r>
            <w:r>
              <w:rPr>
                <w:rFonts w:hint="default" w:ascii="Times New Roman" w:hAnsi="Times New Roman" w:eastAsia="宋体" w:cs="Times New Roman"/>
                <w:color w:val="auto"/>
                <w:spacing w:val="1"/>
                <w:highlight w:val="none"/>
                <w:lang w:val="en-US" w:eastAsia="zh-CN"/>
              </w:rPr>
              <w:t>、浇铸废气</w:t>
            </w:r>
          </w:p>
          <w:p w14:paraId="649BEF57">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eastAsia="宋体" w:cs="Times New Roman"/>
                <w:color w:val="auto"/>
                <w:spacing w:val="1"/>
                <w:highlight w:val="none"/>
                <w:lang w:val="en-US" w:eastAsia="zh-CN"/>
              </w:rPr>
              <w:t>本项目熔炼、浇铸废气</w:t>
            </w:r>
            <w:r>
              <w:rPr>
                <w:rFonts w:hint="default" w:ascii="Times New Roman" w:hAnsi="Times New Roman" w:cs="Times New Roman"/>
                <w:color w:val="auto"/>
                <w:spacing w:val="1"/>
                <w:highlight w:val="none"/>
                <w:lang w:val="en-US" w:eastAsia="zh-CN"/>
              </w:rPr>
              <w:t>主要污染物为颗粒物，</w:t>
            </w:r>
            <w:r>
              <w:rPr>
                <w:rFonts w:hint="default" w:ascii="Times New Roman" w:hAnsi="Times New Roman" w:cs="Times New Roman"/>
                <w:color w:val="auto"/>
                <w:spacing w:val="1"/>
                <w:highlight w:val="none"/>
                <w:lang w:val="en-US" w:eastAsia="zh-CN"/>
              </w:rPr>
              <w:t>采用布袋除尘器处理，</w:t>
            </w:r>
            <w:r>
              <w:rPr>
                <w:rFonts w:hint="default" w:ascii="Times New Roman" w:hAnsi="Times New Roman" w:cs="Times New Roman"/>
                <w:color w:val="auto"/>
                <w:spacing w:val="1"/>
                <w:highlight w:val="none"/>
                <w:lang w:val="en-US" w:eastAsia="zh-CN"/>
              </w:rPr>
              <w:t>布袋除尘器设施为迁建前原有设施，</w:t>
            </w:r>
            <w:r>
              <w:rPr>
                <w:rFonts w:hint="default" w:ascii="Times New Roman" w:hAnsi="Times New Roman" w:cs="Times New Roman"/>
                <w:color w:val="auto"/>
                <w:spacing w:val="1"/>
                <w:highlight w:val="none"/>
                <w:lang w:val="en-US" w:eastAsia="zh-CN"/>
              </w:rPr>
              <w:t>工艺流程图如下：</w:t>
            </w:r>
          </w:p>
          <w:p w14:paraId="4EB1881B">
            <w:pPr>
              <w:pStyle w:val="66"/>
              <w:spacing w:before="182" w:line="347" w:lineRule="auto"/>
              <w:ind w:left="0" w:leftChars="0" w:right="101" w:firstLine="0" w:firstLineChars="0"/>
              <w:jc w:val="center"/>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drawing>
                <wp:inline distT="0" distB="0" distL="114300" distR="114300">
                  <wp:extent cx="4897755" cy="2027555"/>
                  <wp:effectExtent l="0" t="0" r="17145" b="10795"/>
                  <wp:docPr id="2" name="图片 2" descr="174822877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8228774891"/>
                          <pic:cNvPicPr>
                            <a:picLocks noChangeAspect="1"/>
                          </pic:cNvPicPr>
                        </pic:nvPicPr>
                        <pic:blipFill>
                          <a:blip r:embed="rId16"/>
                          <a:srcRect l="18127" r="28542" b="66604"/>
                          <a:stretch>
                            <a:fillRect/>
                          </a:stretch>
                        </pic:blipFill>
                        <pic:spPr>
                          <a:xfrm>
                            <a:off x="0" y="0"/>
                            <a:ext cx="4897755" cy="2027555"/>
                          </a:xfrm>
                          <a:prstGeom prst="rect">
                            <a:avLst/>
                          </a:prstGeom>
                        </pic:spPr>
                      </pic:pic>
                    </a:graphicData>
                  </a:graphic>
                </wp:inline>
              </w:drawing>
            </w:r>
          </w:p>
          <w:p w14:paraId="64287CDB">
            <w:pPr>
              <w:pStyle w:val="66"/>
              <w:spacing w:before="182" w:line="347" w:lineRule="auto"/>
              <w:ind w:left="0" w:leftChars="0" w:right="101" w:firstLine="0" w:firstLineChars="0"/>
              <w:jc w:val="center"/>
              <w:rPr>
                <w:rFonts w:hint="default" w:ascii="Times New Roman" w:hAnsi="Times New Roman" w:eastAsia="黑体" w:cs="Times New Roman"/>
                <w:b w:val="0"/>
                <w:bCs w:val="0"/>
                <w:color w:val="auto"/>
                <w:spacing w:val="1"/>
                <w:highlight w:val="none"/>
                <w:lang w:val="en-US" w:eastAsia="zh-CN"/>
              </w:rPr>
            </w:pPr>
            <w:r>
              <w:rPr>
                <w:rFonts w:hint="default" w:ascii="Times New Roman" w:hAnsi="Times New Roman" w:eastAsia="黑体" w:cs="Times New Roman"/>
                <w:b w:val="0"/>
                <w:bCs w:val="0"/>
                <w:color w:val="auto"/>
                <w:spacing w:val="1"/>
                <w:highlight w:val="none"/>
                <w:lang w:val="en-US" w:eastAsia="zh-CN"/>
              </w:rPr>
              <w:t>图4-1  原有布袋除尘处理系统工艺流程示意图</w:t>
            </w:r>
          </w:p>
          <w:p w14:paraId="4C73EF00">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熔炼、浇铸废气由密闭捕集罩捕集，每个捕集罩按需配备一个手动和电动/气动蝶阀，控制该风机及蝶阀，可以调节该部分风量甚至关闭。废气经各分支管路汇总进入总管道。</w:t>
            </w:r>
          </w:p>
          <w:p w14:paraId="3263D8C9">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废气经管道汇集进入布袋除尘系统。因某些情况下烟气温度很高，不能直接进入除尘器进行净化处理，每套系统设置了高温烟气冷却器，将烟气温度降到适合除尘器处理的水平。烟气将进入布袋除尘器进行净化处理，其前部还设置安全阀，以进一步保证除尘器的运行安全。通过实测除尘器前的烟气温度，控制冷风阀及安全阀的开闭程度。</w:t>
            </w:r>
          </w:p>
          <w:p w14:paraId="131C6368">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根据本项目熔炼浇铸废气特点，废气可能存在高温、酸性、易燃等特点，因此除尘滤袋应采用耐酸、耐高温、防燃爆的材质，保证处理效果，防范非正常排放及环境风险。</w:t>
            </w:r>
          </w:p>
          <w:p w14:paraId="6B2C356A">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处理后的洁净废气经消音风机、烟囱排放大气。</w:t>
            </w:r>
          </w:p>
          <w:p w14:paraId="43E6B52C">
            <w:pPr>
              <w:pStyle w:val="66"/>
              <w:spacing w:before="182" w:line="347" w:lineRule="auto"/>
              <w:ind w:left="108" w:right="101" w:firstLine="482"/>
              <w:jc w:val="left"/>
              <w:rPr>
                <w:rFonts w:hint="default" w:ascii="Times New Roman" w:hAnsi="Times New Roman" w:eastAsia="宋体" w:cs="Times New Roman"/>
                <w:color w:val="auto"/>
                <w:spacing w:val="6"/>
                <w:highlight w:val="yellow"/>
                <w:lang w:val="en-US" w:eastAsia="zh-CN"/>
              </w:rPr>
            </w:pPr>
            <w:r>
              <w:rPr>
                <w:rFonts w:hint="default" w:ascii="Times New Roman" w:hAnsi="Times New Roman" w:cs="Times New Roman"/>
                <w:color w:val="auto"/>
                <w:spacing w:val="1"/>
                <w:highlight w:val="none"/>
                <w:lang w:val="en-US" w:eastAsia="zh-CN"/>
              </w:rPr>
              <w:t>同时，布袋除尘处理技术属于《铸造工业大气污染防治可行技术指南》(HJ1292-2023)》</w:t>
            </w:r>
            <w:r>
              <w:rPr>
                <w:rFonts w:hint="default" w:ascii="Times New Roman" w:hAnsi="Times New Roman" w:cs="Times New Roman"/>
                <w:color w:val="auto"/>
                <w:spacing w:val="-9"/>
                <w:highlight w:val="none"/>
              </w:rPr>
              <w:t>《排污许可证申请与核发技术规范 金属铸造工业》（</w:t>
            </w:r>
            <w:r>
              <w:rPr>
                <w:rFonts w:hint="default" w:ascii="Times New Roman" w:hAnsi="Times New Roman" w:eastAsia="Times New Roman" w:cs="Times New Roman"/>
                <w:color w:val="auto"/>
                <w:spacing w:val="-9"/>
                <w:highlight w:val="none"/>
              </w:rPr>
              <w:t>HJ1115-2020</w:t>
            </w:r>
            <w:r>
              <w:rPr>
                <w:rFonts w:hint="default" w:ascii="Times New Roman" w:hAnsi="Times New Roman" w:cs="Times New Roman"/>
                <w:color w:val="auto"/>
                <w:spacing w:val="-9"/>
                <w:highlight w:val="none"/>
              </w:rPr>
              <w:t>）</w:t>
            </w:r>
            <w:r>
              <w:rPr>
                <w:rFonts w:hint="default" w:ascii="Times New Roman" w:hAnsi="Times New Roman" w:cs="Times New Roman"/>
                <w:color w:val="auto"/>
                <w:spacing w:val="-9"/>
                <w:highlight w:val="none"/>
                <w:lang w:val="en-US" w:eastAsia="zh-CN"/>
              </w:rPr>
              <w:t>中的</w:t>
            </w:r>
            <w:r>
              <w:rPr>
                <w:rFonts w:hint="default" w:ascii="Times New Roman" w:hAnsi="Times New Roman" w:eastAsia="宋体" w:cs="Times New Roman"/>
                <w:color w:val="auto"/>
                <w:spacing w:val="6"/>
                <w:highlight w:val="none"/>
                <w:lang w:val="en-US" w:eastAsia="zh-CN"/>
              </w:rPr>
              <w:t>可行技术。</w:t>
            </w:r>
          </w:p>
          <w:p w14:paraId="63DB9A5E">
            <w:pPr>
              <w:pStyle w:val="66"/>
              <w:spacing w:before="182" w:line="360" w:lineRule="auto"/>
              <w:ind w:left="108" w:right="101" w:firstLine="482"/>
              <w:jc w:val="left"/>
              <w:rPr>
                <w:rFonts w:hint="default" w:ascii="Times New Roman" w:hAnsi="Times New Roman" w:eastAsia="宋体" w:cs="Times New Roman"/>
                <w:color w:val="auto"/>
                <w:spacing w:val="-3"/>
                <w:highlight w:val="yellow"/>
                <w:lang w:val="en-US" w:eastAsia="zh-CN"/>
              </w:rPr>
            </w:pPr>
            <w:r>
              <w:rPr>
                <w:rFonts w:hint="default" w:ascii="Times New Roman" w:hAnsi="Times New Roman" w:cs="Times New Roman"/>
                <w:color w:val="auto"/>
                <w:spacing w:val="-3"/>
                <w:highlight w:val="none"/>
                <w:lang w:val="en-US" w:eastAsia="zh-CN"/>
              </w:rPr>
              <w:t>因此，</w:t>
            </w:r>
            <w:r>
              <w:rPr>
                <w:rFonts w:hint="default" w:ascii="Times New Roman" w:hAnsi="Times New Roman" w:eastAsia="宋体" w:cs="Times New Roman"/>
                <w:color w:val="auto"/>
                <w:spacing w:val="1"/>
                <w:highlight w:val="none"/>
                <w:lang w:val="en-US" w:eastAsia="zh-CN"/>
              </w:rPr>
              <w:t>熔炼、浇铸废气采用</w:t>
            </w:r>
            <w:r>
              <w:rPr>
                <w:rFonts w:hint="default" w:ascii="Times New Roman" w:hAnsi="Times New Roman" w:cs="Times New Roman"/>
                <w:color w:val="auto"/>
                <w:spacing w:val="1"/>
                <w:highlight w:val="none"/>
                <w:lang w:val="en-US" w:eastAsia="zh-CN"/>
              </w:rPr>
              <w:t>布袋除尘的治理措施可行。</w:t>
            </w:r>
          </w:p>
          <w:p w14:paraId="2F1CAF79">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（2）熔炼燃烧废气</w:t>
            </w:r>
          </w:p>
          <w:p w14:paraId="2E113C85">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本项目熔炼炉燃烧荒煤气，烟气主要污染物为颗粒物、二氧化硫和氮氧化物，设湿式脱硫设施，同时也具备协同除尘功能；经与设备厂家确认，燃烧器采用低氮燃烧技术。</w:t>
            </w:r>
          </w:p>
          <w:p w14:paraId="508708E6">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熔炼炉燃烧荒煤气产生的热烟气经热交换器吸收大部分热量后经废气管道进入湿式脱硫设施，以氢氧化钠、碳酸钠和碳酸氢钠等碱性溶液为吸收剂，对烟气中的二氧化硫及颗粒物去除净化，此措施也是国内外工业废气脱硫的常见措施，可靠性强。</w:t>
            </w:r>
          </w:p>
          <w:p w14:paraId="7CA960C1">
            <w:pPr>
              <w:pStyle w:val="66"/>
              <w:spacing w:before="182" w:line="347" w:lineRule="auto"/>
              <w:ind w:left="108" w:right="101" w:firstLine="482"/>
              <w:jc w:val="left"/>
              <w:rPr>
                <w:rFonts w:hint="default" w:ascii="Times New Roman" w:hAnsi="Times New Roman" w:eastAsia="宋体" w:cs="Times New Roman"/>
                <w:color w:val="auto"/>
                <w:spacing w:val="6"/>
                <w:highlight w:val="yellow"/>
                <w:lang w:val="en-US" w:eastAsia="zh-CN"/>
              </w:rPr>
            </w:pPr>
            <w:r>
              <w:rPr>
                <w:rFonts w:hint="default" w:ascii="Times New Roman" w:hAnsi="Times New Roman" w:cs="Times New Roman"/>
                <w:color w:val="auto"/>
                <w:spacing w:val="1"/>
                <w:highlight w:val="none"/>
                <w:lang w:val="en-US" w:eastAsia="zh-CN"/>
              </w:rPr>
              <w:t>湿式脱硫、湿式除尘、低氮燃烧</w:t>
            </w:r>
            <w:r>
              <w:rPr>
                <w:rFonts w:hint="default" w:ascii="Times New Roman" w:hAnsi="Times New Roman" w:cs="Times New Roman"/>
                <w:color w:val="auto"/>
                <w:spacing w:val="1"/>
                <w:highlight w:val="none"/>
                <w:lang w:val="en-US" w:eastAsia="zh-CN"/>
              </w:rPr>
              <w:t>技术均属于《铸造工业大气污染防治可行技术指南》(HJ1292-2023)》</w:t>
            </w:r>
            <w:r>
              <w:rPr>
                <w:rFonts w:hint="default" w:ascii="Times New Roman" w:hAnsi="Times New Roman" w:cs="Times New Roman"/>
                <w:color w:val="auto"/>
                <w:spacing w:val="-9"/>
                <w:highlight w:val="none"/>
              </w:rPr>
              <w:t>《排污许可证申请与核发技术规范 金属铸造工业》（</w:t>
            </w:r>
            <w:r>
              <w:rPr>
                <w:rFonts w:hint="default" w:ascii="Times New Roman" w:hAnsi="Times New Roman" w:eastAsia="Times New Roman" w:cs="Times New Roman"/>
                <w:color w:val="auto"/>
                <w:spacing w:val="-9"/>
                <w:highlight w:val="none"/>
              </w:rPr>
              <w:t>HJ1115-2020</w:t>
            </w:r>
            <w:r>
              <w:rPr>
                <w:rFonts w:hint="default" w:ascii="Times New Roman" w:hAnsi="Times New Roman" w:cs="Times New Roman"/>
                <w:color w:val="auto"/>
                <w:spacing w:val="-9"/>
                <w:highlight w:val="none"/>
              </w:rPr>
              <w:t>）</w:t>
            </w:r>
            <w:r>
              <w:rPr>
                <w:rFonts w:hint="default" w:ascii="Times New Roman" w:hAnsi="Times New Roman" w:cs="Times New Roman"/>
                <w:color w:val="auto"/>
                <w:spacing w:val="-9"/>
                <w:highlight w:val="none"/>
                <w:lang w:val="en-US" w:eastAsia="zh-CN"/>
              </w:rPr>
              <w:t>中的</w:t>
            </w:r>
            <w:r>
              <w:rPr>
                <w:rFonts w:hint="default" w:ascii="Times New Roman" w:hAnsi="Times New Roman" w:eastAsia="宋体" w:cs="Times New Roman"/>
                <w:color w:val="auto"/>
                <w:spacing w:val="6"/>
                <w:highlight w:val="none"/>
                <w:lang w:val="en-US" w:eastAsia="zh-CN"/>
              </w:rPr>
              <w:t>可行技术。</w:t>
            </w:r>
          </w:p>
          <w:p w14:paraId="66A6E668">
            <w:pPr>
              <w:pStyle w:val="66"/>
              <w:spacing w:before="182" w:line="360" w:lineRule="auto"/>
              <w:ind w:left="108" w:right="101" w:firstLine="482"/>
              <w:jc w:val="left"/>
              <w:rPr>
                <w:rFonts w:hint="default" w:ascii="Times New Roman" w:hAnsi="Times New Roman" w:eastAsia="宋体" w:cs="Times New Roman"/>
                <w:color w:val="auto"/>
                <w:spacing w:val="-3"/>
                <w:highlight w:val="yellow"/>
                <w:lang w:val="en-US" w:eastAsia="zh-CN"/>
              </w:rPr>
            </w:pPr>
            <w:r>
              <w:rPr>
                <w:rFonts w:hint="default" w:ascii="Times New Roman" w:hAnsi="Times New Roman" w:cs="Times New Roman"/>
                <w:color w:val="auto"/>
                <w:spacing w:val="-3"/>
                <w:highlight w:val="none"/>
                <w:lang w:val="en-US" w:eastAsia="zh-CN"/>
              </w:rPr>
              <w:t>因此，</w:t>
            </w:r>
            <w:r>
              <w:rPr>
                <w:rFonts w:hint="default" w:ascii="Times New Roman" w:hAnsi="Times New Roman" w:eastAsia="宋体" w:cs="Times New Roman"/>
                <w:color w:val="auto"/>
                <w:spacing w:val="1"/>
                <w:highlight w:val="none"/>
                <w:lang w:val="en-US" w:eastAsia="zh-CN"/>
              </w:rPr>
              <w:t>熔炼</w:t>
            </w:r>
            <w:r>
              <w:rPr>
                <w:rFonts w:hint="default" w:ascii="Times New Roman" w:hAnsi="Times New Roman" w:cs="Times New Roman"/>
                <w:color w:val="auto"/>
                <w:spacing w:val="1"/>
                <w:highlight w:val="none"/>
                <w:lang w:val="en-US" w:eastAsia="zh-CN"/>
              </w:rPr>
              <w:t>燃烧</w:t>
            </w:r>
            <w:r>
              <w:rPr>
                <w:rFonts w:hint="default" w:ascii="Times New Roman" w:hAnsi="Times New Roman" w:eastAsia="宋体" w:cs="Times New Roman"/>
                <w:color w:val="auto"/>
                <w:spacing w:val="1"/>
                <w:highlight w:val="none"/>
                <w:lang w:val="en-US" w:eastAsia="zh-CN"/>
              </w:rPr>
              <w:t>废气采用</w:t>
            </w:r>
            <w:r>
              <w:rPr>
                <w:rFonts w:hint="default" w:ascii="Times New Roman" w:hAnsi="Times New Roman" w:cs="Times New Roman"/>
                <w:color w:val="auto"/>
                <w:spacing w:val="1"/>
                <w:highlight w:val="none"/>
                <w:lang w:val="en-US" w:eastAsia="zh-CN"/>
              </w:rPr>
              <w:t>低氮燃烧+湿式脱硫除尘</w:t>
            </w:r>
            <w:r>
              <w:rPr>
                <w:rFonts w:hint="default" w:ascii="Times New Roman" w:hAnsi="Times New Roman" w:cs="Times New Roman"/>
                <w:color w:val="auto"/>
                <w:spacing w:val="1"/>
                <w:highlight w:val="none"/>
                <w:lang w:val="en-US" w:eastAsia="zh-CN"/>
              </w:rPr>
              <w:t>的治理措施可行。</w:t>
            </w:r>
          </w:p>
          <w:p w14:paraId="600E8C09">
            <w:pPr>
              <w:pStyle w:val="66"/>
              <w:numPr>
                <w:ilvl w:val="0"/>
                <w:numId w:val="0"/>
              </w:numPr>
              <w:spacing w:before="167" w:line="360" w:lineRule="auto"/>
              <w:ind w:left="480" w:leftChars="0"/>
              <w:jc w:val="left"/>
              <w:rPr>
                <w:rFonts w:hint="default" w:ascii="Times New Roman" w:hAnsi="Times New Roman" w:eastAsia="宋体"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（3）</w:t>
            </w:r>
            <w:r>
              <w:rPr>
                <w:rFonts w:hint="default" w:ascii="Times New Roman" w:hAnsi="Times New Roman" w:eastAsia="宋体" w:cs="Times New Roman"/>
                <w:color w:val="auto"/>
                <w:spacing w:val="-4"/>
                <w:highlight w:val="none"/>
                <w:lang w:val="en-US" w:eastAsia="zh-CN"/>
              </w:rPr>
              <w:t>压铸车间</w:t>
            </w:r>
            <w:r>
              <w:rPr>
                <w:rFonts w:hint="default" w:ascii="Times New Roman" w:hAnsi="Times New Roman" w:cs="Times New Roman"/>
                <w:color w:val="auto"/>
                <w:spacing w:val="-4"/>
                <w:highlight w:val="none"/>
                <w:lang w:val="en-US" w:eastAsia="zh-CN"/>
              </w:rPr>
              <w:t>熔化压铸</w:t>
            </w:r>
            <w:r>
              <w:rPr>
                <w:rFonts w:hint="default" w:ascii="Times New Roman" w:hAnsi="Times New Roman" w:eastAsia="宋体" w:cs="Times New Roman"/>
                <w:color w:val="auto"/>
                <w:spacing w:val="-4"/>
                <w:highlight w:val="none"/>
                <w:lang w:val="en-US" w:eastAsia="zh-CN"/>
              </w:rPr>
              <w:t>废气</w:t>
            </w:r>
          </w:p>
          <w:p w14:paraId="10150537">
            <w:pPr>
              <w:pStyle w:val="66"/>
              <w:numPr>
                <w:ilvl w:val="0"/>
                <w:numId w:val="0"/>
              </w:numPr>
              <w:spacing w:before="167" w:line="360" w:lineRule="auto"/>
              <w:ind w:firstLine="464" w:firstLineChars="200"/>
              <w:jc w:val="left"/>
              <w:rPr>
                <w:rFonts w:hint="default" w:ascii="Times New Roman" w:hAnsi="Times New Roman" w:cs="Times New Roman"/>
                <w:color w:val="auto"/>
                <w:spacing w:val="-4"/>
                <w:highlight w:val="none"/>
                <w:lang w:val="en-US" w:eastAsia="zh-CN"/>
              </w:rPr>
            </w:pPr>
            <w:r>
              <w:rPr>
                <w:rFonts w:hint="default" w:ascii="Times New Roman" w:hAnsi="Times New Roman" w:eastAsia="宋体" w:cs="Times New Roman"/>
                <w:color w:val="auto"/>
                <w:spacing w:val="-4"/>
                <w:highlight w:val="none"/>
                <w:lang w:val="en-US" w:eastAsia="zh-CN"/>
              </w:rPr>
              <w:t>项目压铸车间</w:t>
            </w:r>
            <w:r>
              <w:rPr>
                <w:rFonts w:hint="default" w:ascii="Times New Roman" w:hAnsi="Times New Roman" w:cs="Times New Roman"/>
                <w:color w:val="auto"/>
                <w:spacing w:val="-4"/>
                <w:highlight w:val="none"/>
                <w:lang w:val="en-US" w:eastAsia="zh-CN"/>
              </w:rPr>
              <w:t>熔化压铸</w:t>
            </w:r>
            <w:r>
              <w:rPr>
                <w:rFonts w:hint="default" w:ascii="Times New Roman" w:hAnsi="Times New Roman" w:eastAsia="宋体" w:cs="Times New Roman"/>
                <w:color w:val="auto"/>
                <w:spacing w:val="-4"/>
                <w:highlight w:val="none"/>
                <w:lang w:val="en-US" w:eastAsia="zh-CN"/>
              </w:rPr>
              <w:t>废气</w:t>
            </w:r>
            <w:r>
              <w:rPr>
                <w:rFonts w:hint="default" w:ascii="Times New Roman" w:hAnsi="Times New Roman" w:cs="Times New Roman"/>
                <w:color w:val="auto"/>
                <w:spacing w:val="-4"/>
                <w:highlight w:val="none"/>
                <w:lang w:val="en-US" w:eastAsia="zh-CN"/>
              </w:rPr>
              <w:t>主要污染物</w:t>
            </w:r>
            <w:r>
              <w:rPr>
                <w:rFonts w:hint="default" w:ascii="Times New Roman" w:hAnsi="Times New Roman" w:eastAsia="宋体" w:cs="Times New Roman"/>
                <w:color w:val="auto"/>
                <w:spacing w:val="-4"/>
                <w:highlight w:val="none"/>
                <w:lang w:val="en-US" w:eastAsia="zh-CN"/>
              </w:rPr>
              <w:t>包括</w:t>
            </w:r>
            <w:r>
              <w:rPr>
                <w:rFonts w:hint="default" w:ascii="Times New Roman" w:hAnsi="Times New Roman" w:cs="Times New Roman"/>
                <w:color w:val="auto"/>
                <w:spacing w:val="-4"/>
                <w:highlight w:val="none"/>
                <w:lang w:val="en-US" w:eastAsia="zh-CN"/>
              </w:rPr>
              <w:t>熔化、</w:t>
            </w:r>
            <w:r>
              <w:rPr>
                <w:rFonts w:hint="default" w:ascii="Times New Roman" w:hAnsi="Times New Roman" w:eastAsia="宋体" w:cs="Times New Roman"/>
                <w:color w:val="auto"/>
                <w:spacing w:val="-4"/>
                <w:highlight w:val="none"/>
                <w:lang w:val="en-US" w:eastAsia="zh-CN"/>
              </w:rPr>
              <w:t>压铸烟尘</w:t>
            </w:r>
            <w:r>
              <w:rPr>
                <w:rFonts w:hint="default" w:ascii="Times New Roman" w:hAnsi="Times New Roman" w:cs="Times New Roman"/>
                <w:color w:val="auto"/>
                <w:spacing w:val="-4"/>
                <w:highlight w:val="none"/>
                <w:lang w:val="en-US" w:eastAsia="zh-CN"/>
              </w:rPr>
              <w:t>以及脱模剂挥发</w:t>
            </w:r>
            <w:r>
              <w:rPr>
                <w:rFonts w:hint="default" w:ascii="Times New Roman" w:hAnsi="Times New Roman" w:eastAsia="宋体" w:cs="Times New Roman"/>
                <w:color w:val="auto"/>
                <w:spacing w:val="-4"/>
                <w:highlight w:val="none"/>
                <w:lang w:val="en-US" w:eastAsia="zh-CN"/>
              </w:rPr>
              <w:t>VOCs</w:t>
            </w:r>
            <w:r>
              <w:rPr>
                <w:rFonts w:hint="default" w:ascii="Times New Roman" w:hAnsi="Times New Roman" w:cs="Times New Roman"/>
                <w:color w:val="auto"/>
                <w:spacing w:val="-4"/>
                <w:highlight w:val="none"/>
                <w:lang w:val="en-US" w:eastAsia="zh-CN"/>
              </w:rPr>
              <w:t>。</w:t>
            </w:r>
          </w:p>
          <w:p w14:paraId="691C226D">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2"/>
                <w:sz w:val="24"/>
                <w:szCs w:val="24"/>
                <w:highlight w:val="none"/>
                <w:lang w:val="en-US" w:eastAsia="zh-CN"/>
              </w:rPr>
              <w:t>项目熔化保温炉、压铸机设备密闭，主要由进、出料口逸散废气，</w:t>
            </w:r>
            <w:r>
              <w:rPr>
                <w:rFonts w:hint="default" w:ascii="Times New Roman" w:hAnsi="Times New Roman" w:cs="Times New Roman"/>
                <w:color w:val="auto"/>
                <w:spacing w:val="-2"/>
                <w:sz w:val="24"/>
                <w:szCs w:val="24"/>
                <w:highlight w:val="none"/>
                <w:lang w:val="en-US" w:eastAsia="zh-CN"/>
              </w:rPr>
              <w:t>设置密闭集气罩</w:t>
            </w:r>
            <w:r>
              <w:rPr>
                <w:rFonts w:hint="default" w:ascii="Times New Roman" w:hAnsi="Times New Roman" w:cs="Times New Roman"/>
                <w:color w:val="auto"/>
                <w:spacing w:val="-2"/>
                <w:sz w:val="24"/>
                <w:szCs w:val="24"/>
                <w:highlight w:val="none"/>
                <w:lang w:val="en-US" w:eastAsia="zh-CN"/>
              </w:rPr>
              <w:t>收集，</w:t>
            </w:r>
            <w:r>
              <w:rPr>
                <w:rFonts w:hint="default" w:ascii="Times New Roman" w:hAnsi="Times New Roman" w:cs="Times New Roman"/>
                <w:color w:val="auto"/>
                <w:spacing w:val="1"/>
                <w:highlight w:val="none"/>
                <w:lang w:val="en-US" w:eastAsia="zh-CN"/>
              </w:rPr>
              <w:t>经管道汇集进入布袋除尘器。该处废气可能存在高温、易燃特性，应采取温度控制措施，除尘滤袋采用耐高温、防燃爆的材质，保证处理效果，防范非正常排放及环境风险。</w:t>
            </w:r>
          </w:p>
          <w:p w14:paraId="3B15E929">
            <w:pPr>
              <w:pStyle w:val="66"/>
              <w:spacing w:before="182" w:line="347" w:lineRule="auto"/>
              <w:ind w:left="108" w:right="101" w:firstLine="482"/>
              <w:jc w:val="left"/>
              <w:rPr>
                <w:rFonts w:hint="default" w:ascii="Times New Roman" w:hAnsi="Times New Roman" w:eastAsia="宋体" w:cs="Times New Roman"/>
                <w:color w:val="auto"/>
                <w:spacing w:val="6"/>
                <w:highlight w:val="yellow"/>
                <w:lang w:val="en-US" w:eastAsia="zh-CN"/>
              </w:rPr>
            </w:pPr>
            <w:r>
              <w:rPr>
                <w:rFonts w:hint="default" w:ascii="Times New Roman" w:hAnsi="Times New Roman" w:cs="Times New Roman"/>
                <w:color w:val="auto"/>
                <w:spacing w:val="1"/>
                <w:highlight w:val="none"/>
                <w:lang w:val="en-US" w:eastAsia="zh-CN"/>
              </w:rPr>
              <w:t>布袋除尘处理技术属于《铸造工业大气污染防治可行技术指南》(HJ1292-2023)》</w:t>
            </w:r>
            <w:r>
              <w:rPr>
                <w:rFonts w:hint="default" w:ascii="Times New Roman" w:hAnsi="Times New Roman" w:cs="Times New Roman"/>
                <w:color w:val="auto"/>
                <w:spacing w:val="-9"/>
                <w:highlight w:val="none"/>
              </w:rPr>
              <w:t>《排污许可证申请与核发技术规范 金属铸造工业》（</w:t>
            </w:r>
            <w:r>
              <w:rPr>
                <w:rFonts w:hint="default" w:ascii="Times New Roman" w:hAnsi="Times New Roman" w:eastAsia="Times New Roman" w:cs="Times New Roman"/>
                <w:color w:val="auto"/>
                <w:spacing w:val="-9"/>
                <w:highlight w:val="none"/>
              </w:rPr>
              <w:t>HJ1115-2020</w:t>
            </w:r>
            <w:r>
              <w:rPr>
                <w:rFonts w:hint="default" w:ascii="Times New Roman" w:hAnsi="Times New Roman" w:cs="Times New Roman"/>
                <w:color w:val="auto"/>
                <w:spacing w:val="-9"/>
                <w:highlight w:val="none"/>
              </w:rPr>
              <w:t>）</w:t>
            </w:r>
            <w:r>
              <w:rPr>
                <w:rFonts w:hint="default" w:ascii="Times New Roman" w:hAnsi="Times New Roman" w:cs="Times New Roman"/>
                <w:color w:val="auto"/>
                <w:spacing w:val="-9"/>
                <w:highlight w:val="none"/>
                <w:lang w:val="en-US" w:eastAsia="zh-CN"/>
              </w:rPr>
              <w:t>中的</w:t>
            </w:r>
            <w:r>
              <w:rPr>
                <w:rFonts w:hint="default" w:ascii="Times New Roman" w:hAnsi="Times New Roman" w:eastAsia="宋体" w:cs="Times New Roman"/>
                <w:color w:val="auto"/>
                <w:spacing w:val="6"/>
                <w:highlight w:val="none"/>
                <w:lang w:val="en-US" w:eastAsia="zh-CN"/>
              </w:rPr>
              <w:t>可行技术。</w:t>
            </w:r>
          </w:p>
          <w:p w14:paraId="0E13437F">
            <w:pPr>
              <w:pStyle w:val="66"/>
              <w:numPr>
                <w:ilvl w:val="0"/>
                <w:numId w:val="0"/>
              </w:numPr>
              <w:spacing w:before="167" w:line="360" w:lineRule="auto"/>
              <w:ind w:firstLine="464"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4"/>
                <w:highlight w:val="none"/>
                <w:lang w:val="en-US" w:eastAsia="zh-CN"/>
              </w:rPr>
              <w:t>项目压铸废气VOCs主要来源于少量挥发的脱模剂，采用环保水性的脱模剂，从源头上控制排污；</w:t>
            </w:r>
            <w:r>
              <w:rPr>
                <w:rFonts w:hint="default" w:ascii="Times New Roman" w:hAnsi="Times New Roman" w:cs="Times New Roman"/>
                <w:color w:val="auto"/>
                <w:spacing w:val="-4"/>
                <w:highlight w:val="none"/>
                <w:lang w:val="en-US" w:eastAsia="zh-CN"/>
              </w:rPr>
              <w:t>同时，项目VOCs产生速率仅0.03kg/h，远小于3kg/h，根据《铸造工业大气污染物排放标准》（</w:t>
            </w:r>
            <w:r>
              <w:rPr>
                <w:rFonts w:hint="default" w:ascii="Times New Roman" w:hAnsi="Times New Roman" w:eastAsia="宋体" w:cs="Times New Roman"/>
                <w:color w:val="auto"/>
                <w:sz w:val="24"/>
                <w:szCs w:val="24"/>
              </w:rPr>
              <w:t>GB3</w:t>
            </w:r>
            <w:r>
              <w:rPr>
                <w:rFonts w:hint="default" w:ascii="Times New Roman" w:hAnsi="Times New Roman" w:cs="Times New Roman"/>
                <w:color w:val="auto"/>
                <w:sz w:val="24"/>
                <w:szCs w:val="24"/>
                <w:lang w:val="en-US" w:eastAsia="zh-CN"/>
              </w:rPr>
              <w:t>9726-2020）4.2节相关要求，</w:t>
            </w:r>
            <w:r>
              <w:rPr>
                <w:rFonts w:hint="default" w:ascii="Times New Roman" w:hAnsi="Times New Roman" w:eastAsia="宋体" w:cs="Times New Roman"/>
                <w:color w:val="auto"/>
                <w:sz w:val="24"/>
                <w:szCs w:val="24"/>
                <w:lang w:val="en-US" w:eastAsia="zh-CN"/>
              </w:rPr>
              <w:t>可不采取末端治理措施。</w:t>
            </w:r>
          </w:p>
          <w:p w14:paraId="5F30B7DF">
            <w:pPr>
              <w:pStyle w:val="66"/>
              <w:numPr>
                <w:ilvl w:val="0"/>
                <w:numId w:val="0"/>
              </w:numPr>
              <w:spacing w:before="167"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因此，压铸车间</w:t>
            </w:r>
            <w:r>
              <w:rPr>
                <w:rFonts w:hint="default" w:ascii="Times New Roman" w:hAnsi="Times New Roman" w:cs="Times New Roman"/>
                <w:color w:val="auto"/>
                <w:sz w:val="24"/>
                <w:szCs w:val="24"/>
                <w:lang w:val="en-US" w:eastAsia="zh-CN"/>
              </w:rPr>
              <w:t>熔化压铸</w:t>
            </w:r>
            <w:r>
              <w:rPr>
                <w:rFonts w:hint="default" w:ascii="Times New Roman" w:hAnsi="Times New Roman" w:eastAsia="宋体" w:cs="Times New Roman"/>
                <w:color w:val="auto"/>
                <w:sz w:val="24"/>
                <w:szCs w:val="24"/>
                <w:lang w:val="en-US" w:eastAsia="zh-CN"/>
              </w:rPr>
              <w:t>废气治理措施可行。</w:t>
            </w:r>
          </w:p>
          <w:p w14:paraId="58864932">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（4）压铸车间保温炉燃烧废气</w:t>
            </w:r>
          </w:p>
          <w:p w14:paraId="6DD6C1F2">
            <w:pPr>
              <w:pStyle w:val="66"/>
              <w:spacing w:before="182" w:line="347" w:lineRule="auto"/>
              <w:ind w:left="108" w:right="101" w:firstLine="482"/>
              <w:jc w:val="left"/>
              <w:rPr>
                <w:rFonts w:hint="default" w:ascii="Times New Roman" w:hAnsi="Times New Roman" w:cs="Times New Roman"/>
                <w:color w:val="auto"/>
                <w:spacing w:val="1"/>
                <w:highlight w:val="none"/>
                <w:lang w:val="en-US" w:eastAsia="zh-CN"/>
              </w:rPr>
            </w:pPr>
            <w:r>
              <w:rPr>
                <w:rFonts w:hint="default" w:ascii="Times New Roman" w:hAnsi="Times New Roman" w:cs="Times New Roman"/>
                <w:color w:val="auto"/>
                <w:spacing w:val="1"/>
                <w:highlight w:val="none"/>
                <w:lang w:val="en-US" w:eastAsia="zh-CN"/>
              </w:rPr>
              <w:t>本项目</w:t>
            </w:r>
            <w:r>
              <w:rPr>
                <w:rFonts w:hint="default" w:ascii="Times New Roman" w:hAnsi="Times New Roman" w:cs="Times New Roman"/>
                <w:color w:val="auto"/>
                <w:spacing w:val="1"/>
                <w:highlight w:val="none"/>
                <w:lang w:val="en-US" w:eastAsia="zh-CN"/>
              </w:rPr>
              <w:t>压铸车间保温炉</w:t>
            </w:r>
            <w:r>
              <w:rPr>
                <w:rFonts w:hint="default" w:ascii="Times New Roman" w:hAnsi="Times New Roman" w:cs="Times New Roman"/>
                <w:color w:val="auto"/>
                <w:spacing w:val="1"/>
                <w:highlight w:val="none"/>
                <w:lang w:val="en-US" w:eastAsia="zh-CN"/>
              </w:rPr>
              <w:t>燃烧天然气，烟气主要污染物为颗粒物、二氧化硫和氮氧化物。</w:t>
            </w:r>
          </w:p>
          <w:p w14:paraId="571C2B9B">
            <w:pPr>
              <w:pStyle w:val="66"/>
              <w:numPr>
                <w:ilvl w:val="0"/>
                <w:numId w:val="0"/>
              </w:numPr>
              <w:spacing w:before="167" w:line="360" w:lineRule="auto"/>
              <w:ind w:firstLine="484" w:firstLineChars="200"/>
              <w:jc w:val="left"/>
              <w:rPr>
                <w:rFonts w:hint="default" w:ascii="Times New Roman" w:hAnsi="Times New Roman" w:eastAsia="宋体" w:cs="Times New Roman"/>
                <w:color w:val="auto"/>
                <w:spacing w:val="-4"/>
                <w:highlight w:val="none"/>
                <w:lang w:val="en-US" w:eastAsia="zh-CN"/>
              </w:rPr>
            </w:pPr>
            <w:r>
              <w:rPr>
                <w:rFonts w:hint="default" w:ascii="Times New Roman" w:hAnsi="Times New Roman" w:cs="Times New Roman"/>
                <w:color w:val="auto"/>
                <w:spacing w:val="1"/>
                <w:highlight w:val="none"/>
                <w:lang w:val="en-US" w:eastAsia="zh-CN"/>
              </w:rPr>
              <w:t>经与设备厂家确认，燃烧器采用低氮燃烧技术。</w:t>
            </w:r>
            <w:r>
              <w:rPr>
                <w:rFonts w:hint="default" w:ascii="Times New Roman" w:hAnsi="Times New Roman" w:eastAsia="宋体" w:cs="Times New Roman"/>
                <w:color w:val="auto"/>
                <w:spacing w:val="-4"/>
                <w:highlight w:val="none"/>
                <w:lang w:val="en-US" w:eastAsia="zh-CN"/>
              </w:rPr>
              <w:t>燃用天然气</w:t>
            </w:r>
            <w:r>
              <w:rPr>
                <w:rFonts w:hint="default" w:ascii="Times New Roman" w:hAnsi="Times New Roman" w:cs="Times New Roman"/>
                <w:color w:val="auto"/>
                <w:spacing w:val="-4"/>
                <w:highlight w:val="none"/>
                <w:lang w:val="en-US" w:eastAsia="zh-CN"/>
              </w:rPr>
              <w:t>来自园区管道，主要通过控制燃气含硫量、含氮量控制排放，</w:t>
            </w:r>
            <w:r>
              <w:rPr>
                <w:rFonts w:hint="default" w:ascii="Times New Roman" w:hAnsi="Times New Roman" w:eastAsia="宋体" w:cs="Times New Roman"/>
                <w:color w:val="auto"/>
                <w:spacing w:val="-4"/>
                <w:highlight w:val="none"/>
                <w:lang w:val="en-US" w:eastAsia="zh-CN"/>
              </w:rPr>
              <w:t>废气</w:t>
            </w:r>
            <w:r>
              <w:rPr>
                <w:rFonts w:hint="default" w:ascii="Times New Roman" w:hAnsi="Times New Roman" w:cs="Times New Roman"/>
                <w:color w:val="auto"/>
                <w:spacing w:val="-4"/>
                <w:highlight w:val="none"/>
                <w:lang w:val="en-US" w:eastAsia="zh-CN"/>
              </w:rPr>
              <w:t>排放量很少，对环境影响轻微，也</w:t>
            </w:r>
            <w:r>
              <w:rPr>
                <w:rFonts w:hint="default" w:ascii="Times New Roman" w:hAnsi="Times New Roman" w:cs="Times New Roman"/>
                <w:color w:val="auto"/>
                <w:spacing w:val="1"/>
                <w:highlight w:val="none"/>
                <w:lang w:val="en-US" w:eastAsia="zh-CN"/>
              </w:rPr>
              <w:t>属于</w:t>
            </w:r>
            <w:r>
              <w:rPr>
                <w:rFonts w:hint="default" w:ascii="Times New Roman" w:hAnsi="Times New Roman" w:cs="Times New Roman"/>
                <w:color w:val="auto"/>
                <w:spacing w:val="-9"/>
                <w:highlight w:val="none"/>
              </w:rPr>
              <w:t>《排污许可证申请与核发技术规范 金属铸造工业》（</w:t>
            </w:r>
            <w:r>
              <w:rPr>
                <w:rFonts w:hint="default" w:ascii="Times New Roman" w:hAnsi="Times New Roman" w:eastAsia="Times New Roman" w:cs="Times New Roman"/>
                <w:color w:val="auto"/>
                <w:spacing w:val="-9"/>
                <w:highlight w:val="none"/>
              </w:rPr>
              <w:t>HJ1115-2020</w:t>
            </w:r>
            <w:r>
              <w:rPr>
                <w:rFonts w:hint="default" w:ascii="Times New Roman" w:hAnsi="Times New Roman" w:cs="Times New Roman"/>
                <w:color w:val="auto"/>
                <w:spacing w:val="-9"/>
                <w:highlight w:val="none"/>
              </w:rPr>
              <w:t xml:space="preserve">）表 </w:t>
            </w:r>
            <w:r>
              <w:rPr>
                <w:rFonts w:hint="default" w:ascii="Times New Roman" w:hAnsi="Times New Roman" w:eastAsia="Times New Roman" w:cs="Times New Roman"/>
                <w:color w:val="auto"/>
                <w:spacing w:val="-9"/>
                <w:highlight w:val="none"/>
              </w:rPr>
              <w:t>A.1</w:t>
            </w:r>
            <w:r>
              <w:rPr>
                <w:rFonts w:hint="default" w:ascii="Times New Roman" w:hAnsi="Times New Roman" w:eastAsia="宋体" w:cs="Times New Roman"/>
                <w:color w:val="auto"/>
                <w:spacing w:val="-9"/>
                <w:highlight w:val="none"/>
                <w:lang w:val="en-US" w:eastAsia="zh-CN"/>
              </w:rPr>
              <w:t>中可行技术。</w:t>
            </w:r>
          </w:p>
          <w:p w14:paraId="2B142473">
            <w:pPr>
              <w:pStyle w:val="66"/>
              <w:spacing w:before="182" w:line="360" w:lineRule="auto"/>
              <w:ind w:left="108" w:right="101" w:firstLine="482"/>
              <w:jc w:val="left"/>
              <w:rPr>
                <w:rFonts w:hint="default" w:ascii="Times New Roman" w:hAnsi="Times New Roman" w:eastAsia="宋体" w:cs="Times New Roman"/>
                <w:color w:val="auto"/>
                <w:spacing w:val="-3"/>
                <w:highlight w:val="yellow"/>
                <w:lang w:val="en-US" w:eastAsia="zh-CN"/>
              </w:rPr>
            </w:pPr>
            <w:r>
              <w:rPr>
                <w:rFonts w:hint="default" w:ascii="Times New Roman" w:hAnsi="Times New Roman" w:cs="Times New Roman"/>
                <w:color w:val="auto"/>
                <w:spacing w:val="-3"/>
                <w:highlight w:val="none"/>
                <w:lang w:val="en-US" w:eastAsia="zh-CN"/>
              </w:rPr>
              <w:t>因此，</w:t>
            </w:r>
            <w:r>
              <w:rPr>
                <w:rFonts w:hint="default" w:ascii="Times New Roman" w:hAnsi="Times New Roman" w:cs="Times New Roman"/>
                <w:color w:val="auto"/>
                <w:spacing w:val="1"/>
                <w:highlight w:val="none"/>
                <w:lang w:val="en-US" w:eastAsia="zh-CN"/>
              </w:rPr>
              <w:t>压铸车间保温炉燃烧废气</w:t>
            </w:r>
            <w:r>
              <w:rPr>
                <w:rFonts w:hint="default" w:ascii="Times New Roman" w:hAnsi="Times New Roman" w:eastAsia="宋体" w:cs="Times New Roman"/>
                <w:color w:val="auto"/>
                <w:spacing w:val="1"/>
                <w:highlight w:val="none"/>
                <w:lang w:val="en-US" w:eastAsia="zh-CN"/>
              </w:rPr>
              <w:t>采用</w:t>
            </w:r>
            <w:r>
              <w:rPr>
                <w:rFonts w:hint="default" w:ascii="Times New Roman" w:hAnsi="Times New Roman" w:cs="Times New Roman"/>
                <w:color w:val="auto"/>
                <w:spacing w:val="1"/>
                <w:highlight w:val="none"/>
                <w:lang w:val="en-US" w:eastAsia="zh-CN"/>
              </w:rPr>
              <w:t>低氮燃烧、</w:t>
            </w:r>
            <w:r>
              <w:rPr>
                <w:rFonts w:hint="default" w:ascii="Times New Roman" w:hAnsi="Times New Roman" w:cs="Times New Roman"/>
                <w:color w:val="auto"/>
                <w:spacing w:val="-4"/>
                <w:highlight w:val="none"/>
                <w:lang w:val="en-US" w:eastAsia="zh-CN"/>
              </w:rPr>
              <w:t>控制燃气含硫量及含氮量</w:t>
            </w:r>
            <w:r>
              <w:rPr>
                <w:rFonts w:hint="default" w:ascii="Times New Roman" w:hAnsi="Times New Roman" w:cs="Times New Roman"/>
                <w:color w:val="auto"/>
                <w:spacing w:val="1"/>
                <w:highlight w:val="none"/>
                <w:lang w:val="en-US" w:eastAsia="zh-CN"/>
              </w:rPr>
              <w:t>的治理措施可行。</w:t>
            </w:r>
          </w:p>
          <w:p w14:paraId="52455975">
            <w:pPr>
              <w:pStyle w:val="66"/>
              <w:numPr>
                <w:ilvl w:val="0"/>
                <w:numId w:val="0"/>
              </w:numPr>
              <w:spacing w:before="167" w:line="360" w:lineRule="auto"/>
              <w:ind w:left="480" w:leftChars="0"/>
              <w:jc w:val="left"/>
              <w:rPr>
                <w:rFonts w:hint="default" w:ascii="Times New Roman" w:hAnsi="Times New Roman"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（5）铸锭打磨、颗粒切削产线废气</w:t>
            </w:r>
          </w:p>
          <w:p w14:paraId="7DE9F796">
            <w:pPr>
              <w:pStyle w:val="66"/>
              <w:numPr>
                <w:ilvl w:val="0"/>
                <w:numId w:val="0"/>
              </w:numPr>
              <w:spacing w:before="167" w:line="360" w:lineRule="auto"/>
              <w:ind w:firstLine="464" w:firstLineChars="200"/>
              <w:jc w:val="left"/>
              <w:rPr>
                <w:rFonts w:hint="default" w:ascii="Times New Roman" w:hAnsi="Times New Roman" w:eastAsia="宋体"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铸锭打磨、颗粒切削产线废气均为金属粉尘，采取措施分别为水浴除尘和旋风+水浴除尘，以上治理措施属于湿式除尘和旋风除尘技术，均为常见可行技术，应用广泛，属于</w:t>
            </w:r>
            <w:r>
              <w:rPr>
                <w:rFonts w:hint="default" w:ascii="Times New Roman" w:hAnsi="Times New Roman" w:cs="Times New Roman"/>
                <w:color w:val="auto"/>
                <w:spacing w:val="1"/>
                <w:highlight w:val="none"/>
                <w:lang w:val="en-US" w:eastAsia="zh-CN"/>
              </w:rPr>
              <w:t>《铸造工业大气污染防治可行技术指南》(HJ1292-2023)》</w:t>
            </w:r>
            <w:r>
              <w:rPr>
                <w:rFonts w:hint="default" w:ascii="Times New Roman" w:hAnsi="Times New Roman" w:cs="Times New Roman"/>
                <w:color w:val="auto"/>
                <w:spacing w:val="-9"/>
                <w:highlight w:val="none"/>
              </w:rPr>
              <w:t>《排污许可证申请与核发技术规范 金属铸造工业》（</w:t>
            </w:r>
            <w:r>
              <w:rPr>
                <w:rFonts w:hint="default" w:ascii="Times New Roman" w:hAnsi="Times New Roman" w:eastAsia="Times New Roman" w:cs="Times New Roman"/>
                <w:color w:val="auto"/>
                <w:spacing w:val="-9"/>
                <w:highlight w:val="none"/>
              </w:rPr>
              <w:t>HJ1115-2020</w:t>
            </w:r>
            <w:r>
              <w:rPr>
                <w:rFonts w:hint="default" w:ascii="Times New Roman" w:hAnsi="Times New Roman" w:cs="Times New Roman"/>
                <w:color w:val="auto"/>
                <w:spacing w:val="-9"/>
                <w:highlight w:val="none"/>
              </w:rPr>
              <w:t>）</w:t>
            </w:r>
            <w:r>
              <w:rPr>
                <w:rFonts w:hint="default" w:ascii="Times New Roman" w:hAnsi="Times New Roman" w:cs="Times New Roman"/>
                <w:color w:val="auto"/>
                <w:spacing w:val="-9"/>
                <w:highlight w:val="none"/>
                <w:lang w:val="en-US" w:eastAsia="zh-CN"/>
              </w:rPr>
              <w:t>中</w:t>
            </w:r>
            <w:r>
              <w:rPr>
                <w:rFonts w:hint="default" w:ascii="Times New Roman" w:hAnsi="Times New Roman" w:eastAsia="宋体" w:cs="Times New Roman"/>
                <w:color w:val="auto"/>
                <w:spacing w:val="-9"/>
                <w:highlight w:val="none"/>
                <w:lang w:val="en-US" w:eastAsia="zh-CN"/>
              </w:rPr>
              <w:t>的可行技术，措施可行。</w:t>
            </w:r>
          </w:p>
          <w:p w14:paraId="645C2E49">
            <w:pPr>
              <w:pStyle w:val="66"/>
              <w:numPr>
                <w:ilvl w:val="0"/>
                <w:numId w:val="0"/>
              </w:numPr>
              <w:spacing w:before="167" w:line="360" w:lineRule="auto"/>
              <w:ind w:firstLine="484" w:firstLineChars="200"/>
              <w:jc w:val="left"/>
              <w:rPr>
                <w:rFonts w:hint="default" w:ascii="Times New Roman" w:hAnsi="Times New Roman" w:cs="Times New Roman"/>
                <w:color w:val="auto"/>
                <w:spacing w:val="-4"/>
                <w:highlight w:val="none"/>
                <w:lang w:val="en-US" w:eastAsia="zh-CN"/>
              </w:rPr>
            </w:pPr>
            <w:r>
              <w:rPr>
                <w:rFonts w:hint="default" w:ascii="Times New Roman" w:hAnsi="Times New Roman" w:eastAsia="黑体" w:cs="Times New Roman"/>
                <w:color w:val="auto"/>
                <w:spacing w:val="1"/>
                <w:highlight w:val="none"/>
                <w:lang w:val="en-US" w:eastAsia="zh-CN"/>
              </w:rPr>
              <w:t>4、废气排放口基本情况</w:t>
            </w:r>
          </w:p>
          <w:p w14:paraId="2CA407A7">
            <w:pPr>
              <w:pStyle w:val="66"/>
              <w:numPr>
                <w:ilvl w:val="0"/>
                <w:numId w:val="0"/>
              </w:numPr>
              <w:spacing w:before="167" w:line="360" w:lineRule="auto"/>
              <w:ind w:firstLine="464" w:firstLineChars="200"/>
              <w:jc w:val="left"/>
              <w:rPr>
                <w:rFonts w:hint="default" w:ascii="Times New Roman" w:hAnsi="Times New Roman"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本项目废气排放口基本情况见下表。</w:t>
            </w:r>
          </w:p>
          <w:p w14:paraId="13FABA9C">
            <w:pPr>
              <w:pStyle w:val="42"/>
              <w:numPr>
                <w:ilvl w:val="3"/>
                <w:numId w:val="0"/>
              </w:numPr>
              <w:ind w:left="0" w:leftChars="0" w:firstLine="0" w:firstLineChars="0"/>
              <w:rPr>
                <w:rFonts w:hint="default" w:ascii="Times New Roman" w:hAnsi="Times New Roman" w:cs="Times New Roman"/>
                <w:color w:val="auto"/>
              </w:rPr>
            </w:pPr>
            <w:r>
              <w:rPr>
                <w:rFonts w:hint="default" w:ascii="Times New Roman" w:hAnsi="Times New Roman" w:eastAsia="黑体" w:cs="Times New Roman"/>
                <w:color w:val="auto"/>
                <w:kern w:val="2"/>
                <w:sz w:val="24"/>
                <w:szCs w:val="24"/>
                <w:lang w:val="en-US" w:eastAsia="zh-CN" w:bidi="ar-SA"/>
              </w:rPr>
              <w:t>表4-</w:t>
            </w:r>
            <w:r>
              <w:rPr>
                <w:rFonts w:hint="default" w:ascii="Times New Roman" w:hAnsi="Times New Roman" w:cs="Times New Roman"/>
                <w:color w:val="auto"/>
                <w:kern w:val="2"/>
                <w:sz w:val="24"/>
                <w:szCs w:val="24"/>
                <w:lang w:val="en-US" w:eastAsia="zh-CN" w:bidi="ar-SA"/>
              </w:rPr>
              <w:t>7</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项目废气排放口设置情况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3"/>
              <w:gridCol w:w="741"/>
              <w:gridCol w:w="705"/>
              <w:gridCol w:w="492"/>
              <w:gridCol w:w="501"/>
              <w:gridCol w:w="499"/>
              <w:gridCol w:w="640"/>
              <w:gridCol w:w="1705"/>
              <w:gridCol w:w="2647"/>
            </w:tblGrid>
            <w:tr w14:paraId="32CE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0" w:hRule="atLeast"/>
                <w:jc w:val="center"/>
              </w:trPr>
              <w:tc>
                <w:tcPr>
                  <w:tcW w:w="375" w:type="pct"/>
                  <w:vAlign w:val="center"/>
                </w:tcPr>
                <w:p w14:paraId="2705558B">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排放口名称</w:t>
                  </w:r>
                </w:p>
              </w:tc>
              <w:tc>
                <w:tcPr>
                  <w:tcW w:w="432" w:type="pct"/>
                  <w:vAlign w:val="center"/>
                </w:tcPr>
                <w:p w14:paraId="05B608BF">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排放口编号</w:t>
                  </w:r>
                </w:p>
              </w:tc>
              <w:tc>
                <w:tcPr>
                  <w:tcW w:w="411" w:type="pct"/>
                  <w:vAlign w:val="center"/>
                </w:tcPr>
                <w:p w14:paraId="73160CA7">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污染物</w:t>
                  </w:r>
                </w:p>
              </w:tc>
              <w:tc>
                <w:tcPr>
                  <w:tcW w:w="287" w:type="pct"/>
                  <w:vAlign w:val="center"/>
                </w:tcPr>
                <w:p w14:paraId="3747A662">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高度/m</w:t>
                  </w:r>
                </w:p>
              </w:tc>
              <w:tc>
                <w:tcPr>
                  <w:tcW w:w="292" w:type="pct"/>
                  <w:vAlign w:val="center"/>
                </w:tcPr>
                <w:p w14:paraId="31D4A1AC">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内径/m</w:t>
                  </w:r>
                </w:p>
              </w:tc>
              <w:tc>
                <w:tcPr>
                  <w:tcW w:w="291" w:type="pct"/>
                  <w:vAlign w:val="center"/>
                </w:tcPr>
                <w:p w14:paraId="05D4D2D3">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温度/℃</w:t>
                  </w:r>
                </w:p>
              </w:tc>
              <w:tc>
                <w:tcPr>
                  <w:tcW w:w="373" w:type="pct"/>
                  <w:vAlign w:val="center"/>
                </w:tcPr>
                <w:p w14:paraId="66FADD52">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类型</w:t>
                  </w:r>
                </w:p>
              </w:tc>
              <w:tc>
                <w:tcPr>
                  <w:tcW w:w="994" w:type="pct"/>
                  <w:vAlign w:val="center"/>
                </w:tcPr>
                <w:p w14:paraId="3EA6E37F">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坐标</w:t>
                  </w:r>
                </w:p>
              </w:tc>
              <w:tc>
                <w:tcPr>
                  <w:tcW w:w="1543" w:type="pct"/>
                  <w:vAlign w:val="center"/>
                </w:tcPr>
                <w:p w14:paraId="63872AAE">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排放标准</w:t>
                  </w:r>
                </w:p>
              </w:tc>
            </w:tr>
            <w:tr w14:paraId="50CC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5" w:type="pct"/>
                  <w:vAlign w:val="center"/>
                </w:tcPr>
                <w:p w14:paraId="62256A7A">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熔炼浇铸排气筒</w:t>
                  </w:r>
                </w:p>
              </w:tc>
              <w:tc>
                <w:tcPr>
                  <w:tcW w:w="432" w:type="pct"/>
                  <w:vAlign w:val="center"/>
                </w:tcPr>
                <w:p w14:paraId="11458C92">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DA001</w:t>
                  </w:r>
                </w:p>
              </w:tc>
              <w:tc>
                <w:tcPr>
                  <w:tcW w:w="411" w:type="pct"/>
                  <w:vAlign w:val="center"/>
                </w:tcPr>
                <w:p w14:paraId="57F8A28B">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颗粒物</w:t>
                  </w:r>
                </w:p>
              </w:tc>
              <w:tc>
                <w:tcPr>
                  <w:tcW w:w="287" w:type="pct"/>
                  <w:vAlign w:val="center"/>
                </w:tcPr>
                <w:p w14:paraId="7512AA7E">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292" w:type="pct"/>
                  <w:vAlign w:val="center"/>
                </w:tcPr>
                <w:p w14:paraId="716212A7">
                  <w:pPr>
                    <w:pStyle w:val="39"/>
                    <w:spacing w:before="0" w:beforeAutospacing="0" w:after="0" w:afterAutospacing="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0.85</w:t>
                  </w:r>
                </w:p>
              </w:tc>
              <w:tc>
                <w:tcPr>
                  <w:tcW w:w="291" w:type="pct"/>
                  <w:vAlign w:val="center"/>
                </w:tcPr>
                <w:p w14:paraId="6CBEDF2A">
                  <w:pPr>
                    <w:pStyle w:val="39"/>
                    <w:spacing w:before="0" w:beforeAutospacing="0" w:after="0" w:afterAutospacing="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w:t>
                  </w:r>
                </w:p>
              </w:tc>
              <w:tc>
                <w:tcPr>
                  <w:tcW w:w="373" w:type="pct"/>
                  <w:vAlign w:val="center"/>
                </w:tcPr>
                <w:p w14:paraId="53F81BAF">
                  <w:pPr>
                    <w:pStyle w:val="39"/>
                    <w:spacing w:before="0" w:beforeAutospacing="0" w:after="0" w:afterAutospacing="0"/>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w:t>
                  </w:r>
                  <w:r>
                    <w:rPr>
                      <w:rFonts w:hint="default" w:ascii="Times New Roman" w:hAnsi="Times New Roman" w:cs="Times New Roman"/>
                      <w:color w:val="auto"/>
                      <w:highlight w:val="none"/>
                    </w:rPr>
                    <w:t>排放口</w:t>
                  </w:r>
                </w:p>
              </w:tc>
              <w:tc>
                <w:tcPr>
                  <w:tcW w:w="994" w:type="pct"/>
                  <w:vAlign w:val="center"/>
                </w:tcPr>
                <w:p w14:paraId="16CDAF84">
                  <w:pPr>
                    <w:pStyle w:val="39"/>
                    <w:spacing w:before="0" w:beforeAutospacing="0" w:after="0" w:afterAutospacing="0"/>
                    <w:ind w:firstLine="0" w:firstLineChars="0"/>
                    <w:rPr>
                      <w:rFonts w:hint="default" w:ascii="Times New Roman" w:hAnsi="Times New Roman" w:cs="Times New Roman"/>
                      <w:color w:val="auto"/>
                    </w:rPr>
                  </w:pPr>
                  <w:r>
                    <w:rPr>
                      <w:rFonts w:hint="default" w:ascii="Times New Roman" w:hAnsi="Times New Roman" w:cs="Times New Roman"/>
                      <w:color w:val="auto"/>
                    </w:rPr>
                    <w:t>38°16′25.9″N，110°14′39″E</w:t>
                  </w:r>
                </w:p>
              </w:tc>
              <w:tc>
                <w:tcPr>
                  <w:tcW w:w="1543" w:type="pct"/>
                  <w:vAlign w:val="center"/>
                </w:tcPr>
                <w:p w14:paraId="7CD0BA42">
                  <w:pPr>
                    <w:pStyle w:val="39"/>
                    <w:wordWrap w:val="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7D64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5" w:type="pct"/>
                  <w:vMerge w:val="restart"/>
                  <w:vAlign w:val="center"/>
                </w:tcPr>
                <w:p w14:paraId="31DFC780">
                  <w:pPr>
                    <w:pStyle w:val="39"/>
                    <w:spacing w:before="0" w:beforeAutospacing="0" w:after="0" w:afterAutospacing="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熔炼燃烧</w:t>
                  </w:r>
                  <w:r>
                    <w:rPr>
                      <w:rFonts w:hint="default" w:ascii="Times New Roman" w:hAnsi="Times New Roman" w:cs="Times New Roman"/>
                      <w:color w:val="auto"/>
                    </w:rPr>
                    <w:t>废气</w:t>
                  </w:r>
                  <w:r>
                    <w:rPr>
                      <w:rFonts w:hint="default" w:ascii="Times New Roman" w:hAnsi="Times New Roman" w:cs="Times New Roman"/>
                      <w:color w:val="auto"/>
                      <w:lang w:eastAsia="zh-CN"/>
                    </w:rPr>
                    <w:t>排气筒</w:t>
                  </w:r>
                </w:p>
              </w:tc>
              <w:tc>
                <w:tcPr>
                  <w:tcW w:w="432" w:type="pct"/>
                  <w:vMerge w:val="restart"/>
                  <w:vAlign w:val="center"/>
                </w:tcPr>
                <w:p w14:paraId="11857E30">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rPr>
                    <w:t>DA0</w:t>
                  </w:r>
                  <w:r>
                    <w:rPr>
                      <w:rFonts w:hint="default" w:ascii="Times New Roman" w:hAnsi="Times New Roman" w:cs="Times New Roman"/>
                      <w:color w:val="auto"/>
                      <w:lang w:val="en-US" w:eastAsia="zh-CN"/>
                    </w:rPr>
                    <w:t>02</w:t>
                  </w:r>
                </w:p>
              </w:tc>
              <w:tc>
                <w:tcPr>
                  <w:tcW w:w="411" w:type="pct"/>
                  <w:vAlign w:val="center"/>
                </w:tcPr>
                <w:p w14:paraId="7CED31E0">
                  <w:pPr>
                    <w:pStyle w:val="39"/>
                    <w:spacing w:before="0" w:beforeAutospacing="0" w:after="0" w:afterAutospacing="0"/>
                    <w:rPr>
                      <w:rFonts w:hint="default" w:ascii="Times New Roman" w:hAnsi="Times New Roman" w:cs="Times New Roman"/>
                      <w:color w:val="auto"/>
                      <w:vertAlign w:val="subscript"/>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287" w:type="pct"/>
                  <w:vMerge w:val="restart"/>
                  <w:vAlign w:val="center"/>
                </w:tcPr>
                <w:p w14:paraId="4CCB8B65">
                  <w:pPr>
                    <w:pStyle w:val="39"/>
                    <w:spacing w:before="0" w:beforeAutospacing="0" w:after="0" w:afterAutospacing="0"/>
                    <w:rPr>
                      <w:rFonts w:hint="default" w:ascii="Times New Roman" w:hAnsi="Times New Roman" w:eastAsia="宋体"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5</w:t>
                  </w:r>
                </w:p>
              </w:tc>
              <w:tc>
                <w:tcPr>
                  <w:tcW w:w="292" w:type="pct"/>
                  <w:vMerge w:val="restart"/>
                  <w:vAlign w:val="center"/>
                </w:tcPr>
                <w:p w14:paraId="7F13C905">
                  <w:pPr>
                    <w:pStyle w:val="39"/>
                    <w:spacing w:before="0" w:beforeAutospacing="0" w:after="0" w:afterAutospacing="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35</w:t>
                  </w:r>
                </w:p>
              </w:tc>
              <w:tc>
                <w:tcPr>
                  <w:tcW w:w="291" w:type="pct"/>
                  <w:vMerge w:val="restart"/>
                  <w:vAlign w:val="center"/>
                </w:tcPr>
                <w:p w14:paraId="36539163">
                  <w:pPr>
                    <w:pStyle w:val="39"/>
                    <w:spacing w:before="0" w:beforeAutospacing="0" w:after="0" w:afterAutospacing="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60</w:t>
                  </w:r>
                </w:p>
              </w:tc>
              <w:tc>
                <w:tcPr>
                  <w:tcW w:w="373" w:type="pct"/>
                  <w:vMerge w:val="restart"/>
                  <w:vAlign w:val="center"/>
                </w:tcPr>
                <w:p w14:paraId="0B8AFE02">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highlight w:val="none"/>
                      <w:lang w:val="en-US" w:eastAsia="zh-CN"/>
                    </w:rPr>
                    <w:t>一般</w:t>
                  </w:r>
                  <w:r>
                    <w:rPr>
                      <w:rFonts w:hint="default" w:ascii="Times New Roman" w:hAnsi="Times New Roman" w:cs="Times New Roman"/>
                      <w:color w:val="auto"/>
                      <w:highlight w:val="none"/>
                    </w:rPr>
                    <w:t>排放口</w:t>
                  </w:r>
                </w:p>
              </w:tc>
              <w:tc>
                <w:tcPr>
                  <w:tcW w:w="994" w:type="pct"/>
                  <w:vMerge w:val="restart"/>
                  <w:vAlign w:val="center"/>
                </w:tcPr>
                <w:p w14:paraId="26FC5AF1">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38°16′25.5″N，110°14′40″E</w:t>
                  </w:r>
                </w:p>
              </w:tc>
              <w:tc>
                <w:tcPr>
                  <w:tcW w:w="1543" w:type="pct"/>
                  <w:vMerge w:val="restart"/>
                  <w:vAlign w:val="center"/>
                </w:tcPr>
                <w:p w14:paraId="016FA20B">
                  <w:pPr>
                    <w:pStyle w:val="39"/>
                    <w:wordWrap w:val="0"/>
                    <w:rPr>
                      <w:rFonts w:hint="default" w:ascii="Times New Roman" w:hAnsi="Times New Roman" w:cs="Times New Roman"/>
                      <w:color w:val="auto"/>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0050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8" w:hRule="atLeast"/>
                <w:jc w:val="center"/>
              </w:trPr>
              <w:tc>
                <w:tcPr>
                  <w:tcW w:w="375" w:type="pct"/>
                  <w:vMerge w:val="continue"/>
                  <w:vAlign w:val="center"/>
                </w:tcPr>
                <w:p w14:paraId="475A7B9A">
                  <w:pPr>
                    <w:pStyle w:val="39"/>
                    <w:spacing w:before="0" w:beforeAutospacing="0" w:after="0" w:afterAutospacing="0"/>
                    <w:rPr>
                      <w:rFonts w:hint="default" w:ascii="Times New Roman" w:hAnsi="Times New Roman" w:cs="Times New Roman"/>
                      <w:color w:val="auto"/>
                    </w:rPr>
                  </w:pPr>
                </w:p>
              </w:tc>
              <w:tc>
                <w:tcPr>
                  <w:tcW w:w="432" w:type="pct"/>
                  <w:vMerge w:val="continue"/>
                  <w:vAlign w:val="center"/>
                </w:tcPr>
                <w:p w14:paraId="624AA6A5">
                  <w:pPr>
                    <w:pStyle w:val="39"/>
                    <w:spacing w:before="0" w:beforeAutospacing="0" w:after="0" w:afterAutospacing="0"/>
                    <w:rPr>
                      <w:rFonts w:hint="default" w:ascii="Times New Roman" w:hAnsi="Times New Roman" w:cs="Times New Roman"/>
                      <w:color w:val="auto"/>
                    </w:rPr>
                  </w:pPr>
                </w:p>
              </w:tc>
              <w:tc>
                <w:tcPr>
                  <w:tcW w:w="411" w:type="pct"/>
                  <w:vAlign w:val="center"/>
                </w:tcPr>
                <w:p w14:paraId="1E42ACE6">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颗粒物</w:t>
                  </w:r>
                </w:p>
              </w:tc>
              <w:tc>
                <w:tcPr>
                  <w:tcW w:w="287" w:type="pct"/>
                  <w:vMerge w:val="continue"/>
                  <w:vAlign w:val="center"/>
                </w:tcPr>
                <w:p w14:paraId="19CCC201">
                  <w:pPr>
                    <w:pStyle w:val="39"/>
                    <w:spacing w:before="0" w:beforeAutospacing="0" w:after="0" w:afterAutospacing="0"/>
                    <w:rPr>
                      <w:rFonts w:hint="default" w:ascii="Times New Roman" w:hAnsi="Times New Roman" w:cs="Times New Roman"/>
                      <w:color w:val="auto"/>
                    </w:rPr>
                  </w:pPr>
                </w:p>
              </w:tc>
              <w:tc>
                <w:tcPr>
                  <w:tcW w:w="292" w:type="pct"/>
                  <w:vMerge w:val="continue"/>
                  <w:vAlign w:val="center"/>
                </w:tcPr>
                <w:p w14:paraId="382560E1">
                  <w:pPr>
                    <w:pStyle w:val="39"/>
                    <w:spacing w:before="0" w:beforeAutospacing="0" w:after="0" w:afterAutospacing="0"/>
                    <w:rPr>
                      <w:rFonts w:hint="default" w:ascii="Times New Roman" w:hAnsi="Times New Roman" w:cs="Times New Roman"/>
                      <w:color w:val="auto"/>
                    </w:rPr>
                  </w:pPr>
                </w:p>
              </w:tc>
              <w:tc>
                <w:tcPr>
                  <w:tcW w:w="291" w:type="pct"/>
                  <w:vMerge w:val="continue"/>
                  <w:vAlign w:val="center"/>
                </w:tcPr>
                <w:p w14:paraId="4BA7F6FC">
                  <w:pPr>
                    <w:pStyle w:val="39"/>
                    <w:spacing w:before="0" w:beforeAutospacing="0" w:after="0" w:afterAutospacing="0"/>
                    <w:rPr>
                      <w:rFonts w:hint="default" w:ascii="Times New Roman" w:hAnsi="Times New Roman" w:cs="Times New Roman"/>
                      <w:color w:val="auto"/>
                    </w:rPr>
                  </w:pPr>
                </w:p>
              </w:tc>
              <w:tc>
                <w:tcPr>
                  <w:tcW w:w="373" w:type="pct"/>
                  <w:vMerge w:val="continue"/>
                  <w:vAlign w:val="center"/>
                </w:tcPr>
                <w:p w14:paraId="11DED1DF">
                  <w:pPr>
                    <w:pStyle w:val="39"/>
                    <w:spacing w:before="0" w:beforeAutospacing="0" w:after="0" w:afterAutospacing="0"/>
                    <w:rPr>
                      <w:rFonts w:hint="default" w:ascii="Times New Roman" w:hAnsi="Times New Roman" w:cs="Times New Roman"/>
                      <w:color w:val="auto"/>
                    </w:rPr>
                  </w:pPr>
                </w:p>
              </w:tc>
              <w:tc>
                <w:tcPr>
                  <w:tcW w:w="994" w:type="pct"/>
                  <w:vMerge w:val="continue"/>
                  <w:vAlign w:val="center"/>
                </w:tcPr>
                <w:p w14:paraId="4DEC9C67">
                  <w:pPr>
                    <w:pStyle w:val="39"/>
                    <w:spacing w:before="0" w:beforeAutospacing="0" w:after="0" w:afterAutospacing="0"/>
                    <w:rPr>
                      <w:rFonts w:hint="default" w:ascii="Times New Roman" w:hAnsi="Times New Roman" w:cs="Times New Roman"/>
                      <w:color w:val="auto"/>
                    </w:rPr>
                  </w:pPr>
                </w:p>
              </w:tc>
              <w:tc>
                <w:tcPr>
                  <w:tcW w:w="1543" w:type="pct"/>
                  <w:vMerge w:val="continue"/>
                  <w:vAlign w:val="center"/>
                </w:tcPr>
                <w:p w14:paraId="73E74884">
                  <w:pPr>
                    <w:pStyle w:val="39"/>
                    <w:wordWrap w:val="0"/>
                    <w:spacing w:before="0" w:beforeAutospacing="0" w:after="0" w:afterAutospacing="0"/>
                    <w:rPr>
                      <w:rFonts w:hint="default" w:ascii="Times New Roman" w:hAnsi="Times New Roman" w:cs="Times New Roman"/>
                      <w:color w:val="auto"/>
                    </w:rPr>
                  </w:pPr>
                </w:p>
              </w:tc>
            </w:tr>
            <w:tr w14:paraId="5626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5" w:type="pct"/>
                  <w:vMerge w:val="continue"/>
                  <w:vAlign w:val="center"/>
                </w:tcPr>
                <w:p w14:paraId="418A4E93">
                  <w:pPr>
                    <w:pStyle w:val="39"/>
                    <w:spacing w:before="0" w:beforeAutospacing="0" w:after="0" w:afterAutospacing="0"/>
                    <w:rPr>
                      <w:rFonts w:hint="default" w:ascii="Times New Roman" w:hAnsi="Times New Roman" w:cs="Times New Roman"/>
                      <w:color w:val="auto"/>
                    </w:rPr>
                  </w:pPr>
                </w:p>
              </w:tc>
              <w:tc>
                <w:tcPr>
                  <w:tcW w:w="432" w:type="pct"/>
                  <w:vMerge w:val="continue"/>
                  <w:vAlign w:val="center"/>
                </w:tcPr>
                <w:p w14:paraId="2A261EDA">
                  <w:pPr>
                    <w:pStyle w:val="39"/>
                    <w:spacing w:before="0" w:beforeAutospacing="0" w:after="0" w:afterAutospacing="0"/>
                    <w:rPr>
                      <w:rFonts w:hint="default" w:ascii="Times New Roman" w:hAnsi="Times New Roman" w:cs="Times New Roman"/>
                      <w:color w:val="auto"/>
                    </w:rPr>
                  </w:pPr>
                </w:p>
              </w:tc>
              <w:tc>
                <w:tcPr>
                  <w:tcW w:w="411" w:type="pct"/>
                  <w:vAlign w:val="center"/>
                </w:tcPr>
                <w:p w14:paraId="6BC8F154">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NOx</w:t>
                  </w:r>
                </w:p>
              </w:tc>
              <w:tc>
                <w:tcPr>
                  <w:tcW w:w="287" w:type="pct"/>
                  <w:vMerge w:val="continue"/>
                  <w:vAlign w:val="center"/>
                </w:tcPr>
                <w:p w14:paraId="1E24E058">
                  <w:pPr>
                    <w:pStyle w:val="39"/>
                    <w:spacing w:before="0" w:beforeAutospacing="0" w:after="0" w:afterAutospacing="0"/>
                    <w:rPr>
                      <w:rFonts w:hint="default" w:ascii="Times New Roman" w:hAnsi="Times New Roman" w:cs="Times New Roman"/>
                      <w:color w:val="auto"/>
                    </w:rPr>
                  </w:pPr>
                </w:p>
              </w:tc>
              <w:tc>
                <w:tcPr>
                  <w:tcW w:w="292" w:type="pct"/>
                  <w:vMerge w:val="continue"/>
                  <w:vAlign w:val="center"/>
                </w:tcPr>
                <w:p w14:paraId="58BC8ABF">
                  <w:pPr>
                    <w:pStyle w:val="39"/>
                    <w:spacing w:before="0" w:beforeAutospacing="0" w:after="0" w:afterAutospacing="0"/>
                    <w:rPr>
                      <w:rFonts w:hint="default" w:ascii="Times New Roman" w:hAnsi="Times New Roman" w:cs="Times New Roman"/>
                      <w:color w:val="auto"/>
                    </w:rPr>
                  </w:pPr>
                </w:p>
              </w:tc>
              <w:tc>
                <w:tcPr>
                  <w:tcW w:w="291" w:type="pct"/>
                  <w:vMerge w:val="continue"/>
                  <w:vAlign w:val="center"/>
                </w:tcPr>
                <w:p w14:paraId="6FB12C0A">
                  <w:pPr>
                    <w:pStyle w:val="39"/>
                    <w:spacing w:before="0" w:beforeAutospacing="0" w:after="0" w:afterAutospacing="0"/>
                    <w:rPr>
                      <w:rFonts w:hint="default" w:ascii="Times New Roman" w:hAnsi="Times New Roman" w:cs="Times New Roman"/>
                      <w:color w:val="auto"/>
                    </w:rPr>
                  </w:pPr>
                </w:p>
              </w:tc>
              <w:tc>
                <w:tcPr>
                  <w:tcW w:w="373" w:type="pct"/>
                  <w:vMerge w:val="continue"/>
                  <w:vAlign w:val="center"/>
                </w:tcPr>
                <w:p w14:paraId="4E59553A">
                  <w:pPr>
                    <w:pStyle w:val="39"/>
                    <w:spacing w:before="0" w:beforeAutospacing="0" w:after="0" w:afterAutospacing="0"/>
                    <w:rPr>
                      <w:rFonts w:hint="default" w:ascii="Times New Roman" w:hAnsi="Times New Roman" w:cs="Times New Roman"/>
                      <w:color w:val="auto"/>
                    </w:rPr>
                  </w:pPr>
                </w:p>
              </w:tc>
              <w:tc>
                <w:tcPr>
                  <w:tcW w:w="994" w:type="pct"/>
                  <w:vMerge w:val="continue"/>
                  <w:vAlign w:val="center"/>
                </w:tcPr>
                <w:p w14:paraId="5F531540">
                  <w:pPr>
                    <w:pStyle w:val="39"/>
                    <w:spacing w:before="0" w:beforeAutospacing="0" w:after="0" w:afterAutospacing="0"/>
                    <w:rPr>
                      <w:rFonts w:hint="default" w:ascii="Times New Roman" w:hAnsi="Times New Roman" w:cs="Times New Roman"/>
                      <w:color w:val="auto"/>
                    </w:rPr>
                  </w:pPr>
                </w:p>
              </w:tc>
              <w:tc>
                <w:tcPr>
                  <w:tcW w:w="1543" w:type="pct"/>
                  <w:vMerge w:val="continue"/>
                  <w:vAlign w:val="center"/>
                </w:tcPr>
                <w:p w14:paraId="7DCA89F2">
                  <w:pPr>
                    <w:pStyle w:val="39"/>
                    <w:wordWrap w:val="0"/>
                    <w:rPr>
                      <w:rFonts w:hint="default" w:ascii="Times New Roman" w:hAnsi="Times New Roman" w:cs="Times New Roman"/>
                      <w:color w:val="auto"/>
                    </w:rPr>
                  </w:pPr>
                </w:p>
              </w:tc>
            </w:tr>
            <w:tr w14:paraId="63F8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1" w:hRule="atLeast"/>
                <w:jc w:val="center"/>
              </w:trPr>
              <w:tc>
                <w:tcPr>
                  <w:tcW w:w="375" w:type="pct"/>
                  <w:vMerge w:val="restart"/>
                  <w:vAlign w:val="center"/>
                </w:tcPr>
                <w:p w14:paraId="79119D06">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压铸车间熔化压铸排气筒</w:t>
                  </w:r>
                </w:p>
              </w:tc>
              <w:tc>
                <w:tcPr>
                  <w:tcW w:w="432" w:type="pct"/>
                  <w:vMerge w:val="restart"/>
                  <w:vAlign w:val="center"/>
                </w:tcPr>
                <w:p w14:paraId="3CC00665">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DA003</w:t>
                  </w:r>
                </w:p>
              </w:tc>
              <w:tc>
                <w:tcPr>
                  <w:tcW w:w="411" w:type="pct"/>
                  <w:vAlign w:val="center"/>
                </w:tcPr>
                <w:p w14:paraId="46872017">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287" w:type="pct"/>
                  <w:vMerge w:val="restart"/>
                  <w:vAlign w:val="center"/>
                </w:tcPr>
                <w:p w14:paraId="579E6945">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292" w:type="pct"/>
                  <w:vMerge w:val="restart"/>
                  <w:vAlign w:val="center"/>
                </w:tcPr>
                <w:p w14:paraId="3E5B998B">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0.45</w:t>
                  </w:r>
                </w:p>
              </w:tc>
              <w:tc>
                <w:tcPr>
                  <w:tcW w:w="291" w:type="pct"/>
                  <w:vMerge w:val="restart"/>
                  <w:vAlign w:val="center"/>
                </w:tcPr>
                <w:p w14:paraId="2661298F">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373" w:type="pct"/>
                  <w:vMerge w:val="restart"/>
                  <w:vAlign w:val="center"/>
                </w:tcPr>
                <w:p w14:paraId="0ECB8ADC">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一般</w:t>
                  </w:r>
                  <w:r>
                    <w:rPr>
                      <w:rFonts w:hint="default" w:ascii="Times New Roman" w:hAnsi="Times New Roman" w:cs="Times New Roman"/>
                      <w:color w:val="auto"/>
                      <w:highlight w:val="none"/>
                    </w:rPr>
                    <w:t>排放口</w:t>
                  </w:r>
                </w:p>
              </w:tc>
              <w:tc>
                <w:tcPr>
                  <w:tcW w:w="994" w:type="pct"/>
                  <w:vMerge w:val="restart"/>
                  <w:vAlign w:val="center"/>
                </w:tcPr>
                <w:p w14:paraId="55410578">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38°16′24.2″N，110°14′39″E</w:t>
                  </w:r>
                </w:p>
              </w:tc>
              <w:tc>
                <w:tcPr>
                  <w:tcW w:w="1543" w:type="pct"/>
                  <w:vAlign w:val="center"/>
                </w:tcPr>
                <w:p w14:paraId="606D10E4">
                  <w:pPr>
                    <w:pStyle w:val="39"/>
                    <w:wordWrap w:val="0"/>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13EF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5" w:type="pct"/>
                  <w:vMerge w:val="continue"/>
                  <w:vAlign w:val="center"/>
                </w:tcPr>
                <w:p w14:paraId="4FDBEE6C">
                  <w:pPr>
                    <w:pStyle w:val="39"/>
                    <w:spacing w:before="0" w:beforeAutospacing="0" w:after="0" w:afterAutospacing="0"/>
                    <w:rPr>
                      <w:rFonts w:hint="default" w:ascii="Times New Roman" w:hAnsi="Times New Roman" w:cs="Times New Roman"/>
                      <w:color w:val="auto"/>
                      <w:lang w:val="en-US" w:eastAsia="zh-CN"/>
                    </w:rPr>
                  </w:pPr>
                </w:p>
              </w:tc>
              <w:tc>
                <w:tcPr>
                  <w:tcW w:w="432" w:type="pct"/>
                  <w:vMerge w:val="continue"/>
                  <w:vAlign w:val="center"/>
                </w:tcPr>
                <w:p w14:paraId="12051633">
                  <w:pPr>
                    <w:pStyle w:val="39"/>
                    <w:spacing w:before="0" w:beforeAutospacing="0" w:after="0" w:afterAutospacing="0"/>
                    <w:rPr>
                      <w:rFonts w:hint="default" w:ascii="Times New Roman" w:hAnsi="Times New Roman" w:cs="Times New Roman"/>
                      <w:color w:val="auto"/>
                      <w:lang w:val="en-US" w:eastAsia="zh-CN"/>
                    </w:rPr>
                  </w:pPr>
                </w:p>
              </w:tc>
              <w:tc>
                <w:tcPr>
                  <w:tcW w:w="411" w:type="pct"/>
                  <w:vAlign w:val="center"/>
                </w:tcPr>
                <w:p w14:paraId="59230927">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287" w:type="pct"/>
                  <w:vMerge w:val="continue"/>
                  <w:vAlign w:val="center"/>
                </w:tcPr>
                <w:p w14:paraId="688900F3">
                  <w:pPr>
                    <w:pStyle w:val="39"/>
                    <w:spacing w:before="0" w:beforeAutospacing="0" w:after="0" w:afterAutospacing="0"/>
                    <w:rPr>
                      <w:rFonts w:hint="default" w:ascii="Times New Roman" w:hAnsi="Times New Roman" w:cs="Times New Roman"/>
                      <w:color w:val="auto"/>
                    </w:rPr>
                  </w:pPr>
                </w:p>
              </w:tc>
              <w:tc>
                <w:tcPr>
                  <w:tcW w:w="292" w:type="pct"/>
                  <w:vMerge w:val="continue"/>
                  <w:vAlign w:val="center"/>
                </w:tcPr>
                <w:p w14:paraId="4407C2D5">
                  <w:pPr>
                    <w:pStyle w:val="39"/>
                    <w:spacing w:before="0" w:beforeAutospacing="0" w:after="0" w:afterAutospacing="0"/>
                    <w:rPr>
                      <w:rFonts w:hint="default" w:ascii="Times New Roman" w:hAnsi="Times New Roman" w:cs="Times New Roman"/>
                      <w:color w:val="auto"/>
                      <w:lang w:val="en-US" w:eastAsia="zh-CN"/>
                    </w:rPr>
                  </w:pPr>
                </w:p>
              </w:tc>
              <w:tc>
                <w:tcPr>
                  <w:tcW w:w="291" w:type="pct"/>
                  <w:vMerge w:val="continue"/>
                  <w:vAlign w:val="center"/>
                </w:tcPr>
                <w:p w14:paraId="337A1257">
                  <w:pPr>
                    <w:pStyle w:val="39"/>
                    <w:spacing w:before="0" w:beforeAutospacing="0" w:after="0" w:afterAutospacing="0"/>
                    <w:rPr>
                      <w:rFonts w:hint="default" w:ascii="Times New Roman" w:hAnsi="Times New Roman" w:cs="Times New Roman"/>
                      <w:color w:val="auto"/>
                      <w:lang w:val="en-US" w:eastAsia="zh-CN"/>
                    </w:rPr>
                  </w:pPr>
                </w:p>
              </w:tc>
              <w:tc>
                <w:tcPr>
                  <w:tcW w:w="373" w:type="pct"/>
                  <w:vMerge w:val="continue"/>
                  <w:vAlign w:val="center"/>
                </w:tcPr>
                <w:p w14:paraId="39DEC41C">
                  <w:pPr>
                    <w:pStyle w:val="39"/>
                    <w:spacing w:before="0" w:beforeAutospacing="0" w:after="0" w:afterAutospacing="0"/>
                    <w:rPr>
                      <w:rFonts w:hint="default" w:ascii="Times New Roman" w:hAnsi="Times New Roman" w:cs="Times New Roman"/>
                      <w:color w:val="auto"/>
                      <w:lang w:val="en-US" w:eastAsia="zh-CN"/>
                    </w:rPr>
                  </w:pPr>
                </w:p>
              </w:tc>
              <w:tc>
                <w:tcPr>
                  <w:tcW w:w="994" w:type="pct"/>
                  <w:vMerge w:val="continue"/>
                  <w:vAlign w:val="center"/>
                </w:tcPr>
                <w:p w14:paraId="4887DCEB">
                  <w:pPr>
                    <w:pStyle w:val="39"/>
                    <w:spacing w:before="0" w:beforeAutospacing="0" w:after="0" w:afterAutospacing="0"/>
                    <w:rPr>
                      <w:rFonts w:hint="default" w:ascii="Times New Roman" w:hAnsi="Times New Roman" w:cs="Times New Roman"/>
                      <w:color w:val="auto"/>
                    </w:rPr>
                  </w:pPr>
                </w:p>
              </w:tc>
              <w:tc>
                <w:tcPr>
                  <w:tcW w:w="1543" w:type="pct"/>
                  <w:vAlign w:val="center"/>
                </w:tcPr>
                <w:p w14:paraId="38F84FD1">
                  <w:pPr>
                    <w:pStyle w:val="39"/>
                    <w:wordWrap w:val="0"/>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《大气污染物综合排放标</w:t>
                  </w:r>
                  <w:r>
                    <w:rPr>
                      <w:rFonts w:hint="default" w:ascii="Times New Roman" w:hAnsi="Times New Roman" w:cs="Times New Roman"/>
                      <w:color w:val="auto"/>
                      <w:spacing w:val="5"/>
                      <w:sz w:val="21"/>
                      <w:szCs w:val="21"/>
                    </w:rPr>
                    <w:t>准》（</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5"/>
                      <w:sz w:val="21"/>
                      <w:szCs w:val="21"/>
                    </w:rPr>
                    <w:t>16297-1996</w:t>
                  </w:r>
                  <w:r>
                    <w:rPr>
                      <w:rFonts w:hint="default" w:ascii="Times New Roman" w:hAnsi="Times New Roman" w:cs="Times New Roman"/>
                      <w:color w:val="auto"/>
                      <w:spacing w:val="5"/>
                      <w:sz w:val="21"/>
                      <w:szCs w:val="21"/>
                    </w:rPr>
                    <w:t>）</w:t>
                  </w:r>
                </w:p>
              </w:tc>
            </w:tr>
            <w:tr w14:paraId="5F19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5" w:type="pct"/>
                  <w:vMerge w:val="restart"/>
                  <w:vAlign w:val="center"/>
                </w:tcPr>
                <w:p w14:paraId="34B94D63">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lang w:val="en-US" w:eastAsia="zh-CN"/>
                    </w:rPr>
                    <w:t>压铸车间保温炉燃烧</w:t>
                  </w:r>
                  <w:r>
                    <w:rPr>
                      <w:rFonts w:hint="default" w:ascii="Times New Roman" w:hAnsi="Times New Roman" w:cs="Times New Roman"/>
                      <w:color w:val="auto"/>
                    </w:rPr>
                    <w:t>废气</w:t>
                  </w:r>
                  <w:r>
                    <w:rPr>
                      <w:rFonts w:hint="default" w:ascii="Times New Roman" w:hAnsi="Times New Roman" w:cs="Times New Roman"/>
                      <w:color w:val="auto"/>
                      <w:lang w:eastAsia="zh-CN"/>
                    </w:rPr>
                    <w:t>排气筒</w:t>
                  </w:r>
                </w:p>
              </w:tc>
              <w:tc>
                <w:tcPr>
                  <w:tcW w:w="432" w:type="pct"/>
                  <w:vMerge w:val="restart"/>
                  <w:vAlign w:val="center"/>
                </w:tcPr>
                <w:p w14:paraId="23018CA0">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DA004</w:t>
                  </w:r>
                </w:p>
              </w:tc>
              <w:tc>
                <w:tcPr>
                  <w:tcW w:w="411" w:type="pct"/>
                  <w:vAlign w:val="center"/>
                </w:tcPr>
                <w:p w14:paraId="1CFCB8DB">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287" w:type="pct"/>
                  <w:vMerge w:val="restart"/>
                  <w:vAlign w:val="center"/>
                </w:tcPr>
                <w:p w14:paraId="58BEF563">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5</w:t>
                  </w:r>
                </w:p>
              </w:tc>
              <w:tc>
                <w:tcPr>
                  <w:tcW w:w="292" w:type="pct"/>
                  <w:vMerge w:val="restart"/>
                  <w:vAlign w:val="center"/>
                </w:tcPr>
                <w:p w14:paraId="7441DCCE">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0.07</w:t>
                  </w:r>
                </w:p>
              </w:tc>
              <w:tc>
                <w:tcPr>
                  <w:tcW w:w="291" w:type="pct"/>
                  <w:vMerge w:val="restart"/>
                  <w:vAlign w:val="center"/>
                </w:tcPr>
                <w:p w14:paraId="2079CFC8">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373" w:type="pct"/>
                  <w:vMerge w:val="restart"/>
                  <w:vAlign w:val="center"/>
                </w:tcPr>
                <w:p w14:paraId="14A67ABD">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一般排放口</w:t>
                  </w:r>
                </w:p>
              </w:tc>
              <w:tc>
                <w:tcPr>
                  <w:tcW w:w="994" w:type="pct"/>
                  <w:vMerge w:val="restart"/>
                  <w:vAlign w:val="center"/>
                </w:tcPr>
                <w:p w14:paraId="4C24FB88">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38°16′23.6″N，110°14′40″E</w:t>
                  </w:r>
                </w:p>
              </w:tc>
              <w:tc>
                <w:tcPr>
                  <w:tcW w:w="1543" w:type="pct"/>
                  <w:vMerge w:val="restart"/>
                  <w:vAlign w:val="center"/>
                </w:tcPr>
                <w:p w14:paraId="2AFFED93">
                  <w:pPr>
                    <w:pStyle w:val="39"/>
                    <w:wordWrap w:val="0"/>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6706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5" w:type="pct"/>
                  <w:vMerge w:val="continue"/>
                  <w:vAlign w:val="center"/>
                </w:tcPr>
                <w:p w14:paraId="21B855B0">
                  <w:pPr>
                    <w:pStyle w:val="39"/>
                    <w:spacing w:before="0" w:beforeAutospacing="0" w:after="0" w:afterAutospacing="0"/>
                    <w:rPr>
                      <w:rFonts w:hint="default" w:ascii="Times New Roman" w:hAnsi="Times New Roman" w:cs="Times New Roman"/>
                      <w:color w:val="auto"/>
                    </w:rPr>
                  </w:pPr>
                </w:p>
              </w:tc>
              <w:tc>
                <w:tcPr>
                  <w:tcW w:w="432" w:type="pct"/>
                  <w:vMerge w:val="continue"/>
                  <w:vAlign w:val="center"/>
                </w:tcPr>
                <w:p w14:paraId="2DD26E45">
                  <w:pPr>
                    <w:pStyle w:val="39"/>
                    <w:spacing w:before="0" w:beforeAutospacing="0" w:after="0" w:afterAutospacing="0"/>
                    <w:rPr>
                      <w:rFonts w:hint="default" w:ascii="Times New Roman" w:hAnsi="Times New Roman" w:cs="Times New Roman"/>
                      <w:color w:val="auto"/>
                    </w:rPr>
                  </w:pPr>
                </w:p>
              </w:tc>
              <w:tc>
                <w:tcPr>
                  <w:tcW w:w="411" w:type="pct"/>
                  <w:vAlign w:val="center"/>
                </w:tcPr>
                <w:p w14:paraId="50BAD54E">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二氧化硫</w:t>
                  </w:r>
                </w:p>
              </w:tc>
              <w:tc>
                <w:tcPr>
                  <w:tcW w:w="287" w:type="pct"/>
                  <w:vMerge w:val="continue"/>
                  <w:vAlign w:val="center"/>
                </w:tcPr>
                <w:p w14:paraId="177DF633">
                  <w:pPr>
                    <w:pStyle w:val="39"/>
                    <w:spacing w:before="0" w:beforeAutospacing="0" w:after="0" w:afterAutospacing="0"/>
                    <w:rPr>
                      <w:rFonts w:hint="default" w:ascii="Times New Roman" w:hAnsi="Times New Roman" w:cs="Times New Roman"/>
                      <w:color w:val="auto"/>
                    </w:rPr>
                  </w:pPr>
                </w:p>
              </w:tc>
              <w:tc>
                <w:tcPr>
                  <w:tcW w:w="292" w:type="pct"/>
                  <w:vMerge w:val="continue"/>
                  <w:vAlign w:val="center"/>
                </w:tcPr>
                <w:p w14:paraId="7B884550">
                  <w:pPr>
                    <w:pStyle w:val="39"/>
                    <w:spacing w:before="0" w:beforeAutospacing="0" w:after="0" w:afterAutospacing="0"/>
                    <w:rPr>
                      <w:rFonts w:hint="default" w:ascii="Times New Roman" w:hAnsi="Times New Roman" w:cs="Times New Roman"/>
                      <w:color w:val="auto"/>
                    </w:rPr>
                  </w:pPr>
                </w:p>
              </w:tc>
              <w:tc>
                <w:tcPr>
                  <w:tcW w:w="291" w:type="pct"/>
                  <w:vMerge w:val="continue"/>
                  <w:vAlign w:val="center"/>
                </w:tcPr>
                <w:p w14:paraId="0C15F536">
                  <w:pPr>
                    <w:pStyle w:val="39"/>
                    <w:spacing w:before="0" w:beforeAutospacing="0" w:after="0" w:afterAutospacing="0"/>
                    <w:rPr>
                      <w:rFonts w:hint="default" w:ascii="Times New Roman" w:hAnsi="Times New Roman" w:cs="Times New Roman"/>
                      <w:color w:val="auto"/>
                    </w:rPr>
                  </w:pPr>
                </w:p>
              </w:tc>
              <w:tc>
                <w:tcPr>
                  <w:tcW w:w="373" w:type="pct"/>
                  <w:vMerge w:val="continue"/>
                  <w:vAlign w:val="center"/>
                </w:tcPr>
                <w:p w14:paraId="26B12257">
                  <w:pPr>
                    <w:pStyle w:val="39"/>
                    <w:spacing w:before="0" w:beforeAutospacing="0" w:after="0" w:afterAutospacing="0"/>
                    <w:rPr>
                      <w:rFonts w:hint="default" w:ascii="Times New Roman" w:hAnsi="Times New Roman" w:cs="Times New Roman"/>
                      <w:color w:val="auto"/>
                    </w:rPr>
                  </w:pPr>
                </w:p>
              </w:tc>
              <w:tc>
                <w:tcPr>
                  <w:tcW w:w="994" w:type="pct"/>
                  <w:vMerge w:val="continue"/>
                  <w:vAlign w:val="center"/>
                </w:tcPr>
                <w:p w14:paraId="304C570F">
                  <w:pPr>
                    <w:pStyle w:val="39"/>
                    <w:spacing w:before="0" w:beforeAutospacing="0" w:after="0" w:afterAutospacing="0"/>
                    <w:rPr>
                      <w:rFonts w:hint="default" w:ascii="Times New Roman" w:hAnsi="Times New Roman" w:cs="Times New Roman"/>
                      <w:color w:val="auto"/>
                    </w:rPr>
                  </w:pPr>
                </w:p>
              </w:tc>
              <w:tc>
                <w:tcPr>
                  <w:tcW w:w="1543" w:type="pct"/>
                  <w:vMerge w:val="continue"/>
                  <w:vAlign w:val="center"/>
                </w:tcPr>
                <w:p w14:paraId="661CD876">
                  <w:pPr>
                    <w:pStyle w:val="39"/>
                    <w:wordWrap w:val="0"/>
                    <w:spacing w:before="0" w:beforeAutospacing="0" w:after="0" w:afterAutospacing="0"/>
                    <w:rPr>
                      <w:rFonts w:hint="default" w:ascii="Times New Roman" w:hAnsi="Times New Roman" w:cs="Times New Roman"/>
                      <w:color w:val="auto"/>
                      <w:spacing w:val="8"/>
                      <w:sz w:val="21"/>
                      <w:szCs w:val="21"/>
                    </w:rPr>
                  </w:pPr>
                </w:p>
              </w:tc>
            </w:tr>
            <w:tr w14:paraId="4F4A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 w:hRule="atLeast"/>
                <w:jc w:val="center"/>
              </w:trPr>
              <w:tc>
                <w:tcPr>
                  <w:tcW w:w="375" w:type="pct"/>
                  <w:vMerge w:val="continue"/>
                  <w:vAlign w:val="center"/>
                </w:tcPr>
                <w:p w14:paraId="16EDCFCD">
                  <w:pPr>
                    <w:pStyle w:val="39"/>
                    <w:spacing w:before="0" w:beforeAutospacing="0" w:after="0" w:afterAutospacing="0"/>
                    <w:rPr>
                      <w:rFonts w:hint="default" w:ascii="Times New Roman" w:hAnsi="Times New Roman" w:cs="Times New Roman"/>
                      <w:color w:val="auto"/>
                    </w:rPr>
                  </w:pPr>
                </w:p>
              </w:tc>
              <w:tc>
                <w:tcPr>
                  <w:tcW w:w="432" w:type="pct"/>
                  <w:vMerge w:val="continue"/>
                  <w:vAlign w:val="center"/>
                </w:tcPr>
                <w:p w14:paraId="1E9AAA41">
                  <w:pPr>
                    <w:pStyle w:val="39"/>
                    <w:spacing w:before="0" w:beforeAutospacing="0" w:after="0" w:afterAutospacing="0"/>
                    <w:rPr>
                      <w:rFonts w:hint="default" w:ascii="Times New Roman" w:hAnsi="Times New Roman" w:cs="Times New Roman"/>
                      <w:color w:val="auto"/>
                    </w:rPr>
                  </w:pPr>
                </w:p>
              </w:tc>
              <w:tc>
                <w:tcPr>
                  <w:tcW w:w="411" w:type="pct"/>
                  <w:vAlign w:val="center"/>
                </w:tcPr>
                <w:p w14:paraId="68BA2188">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氮氧化物</w:t>
                  </w:r>
                </w:p>
              </w:tc>
              <w:tc>
                <w:tcPr>
                  <w:tcW w:w="287" w:type="pct"/>
                  <w:vMerge w:val="continue"/>
                  <w:vAlign w:val="center"/>
                </w:tcPr>
                <w:p w14:paraId="609FE64C">
                  <w:pPr>
                    <w:pStyle w:val="39"/>
                    <w:spacing w:before="0" w:beforeAutospacing="0" w:after="0" w:afterAutospacing="0"/>
                    <w:rPr>
                      <w:rFonts w:hint="default" w:ascii="Times New Roman" w:hAnsi="Times New Roman" w:cs="Times New Roman"/>
                      <w:color w:val="auto"/>
                    </w:rPr>
                  </w:pPr>
                </w:p>
              </w:tc>
              <w:tc>
                <w:tcPr>
                  <w:tcW w:w="292" w:type="pct"/>
                  <w:vMerge w:val="continue"/>
                  <w:vAlign w:val="center"/>
                </w:tcPr>
                <w:p w14:paraId="3F14805B">
                  <w:pPr>
                    <w:pStyle w:val="39"/>
                    <w:spacing w:before="0" w:beforeAutospacing="0" w:after="0" w:afterAutospacing="0"/>
                    <w:rPr>
                      <w:rFonts w:hint="default" w:ascii="Times New Roman" w:hAnsi="Times New Roman" w:cs="Times New Roman"/>
                      <w:color w:val="auto"/>
                    </w:rPr>
                  </w:pPr>
                </w:p>
              </w:tc>
              <w:tc>
                <w:tcPr>
                  <w:tcW w:w="291" w:type="pct"/>
                  <w:vMerge w:val="continue"/>
                  <w:vAlign w:val="center"/>
                </w:tcPr>
                <w:p w14:paraId="297E9AEC">
                  <w:pPr>
                    <w:pStyle w:val="39"/>
                    <w:spacing w:before="0" w:beforeAutospacing="0" w:after="0" w:afterAutospacing="0"/>
                    <w:rPr>
                      <w:rFonts w:hint="default" w:ascii="Times New Roman" w:hAnsi="Times New Roman" w:cs="Times New Roman"/>
                      <w:color w:val="auto"/>
                    </w:rPr>
                  </w:pPr>
                </w:p>
              </w:tc>
              <w:tc>
                <w:tcPr>
                  <w:tcW w:w="373" w:type="pct"/>
                  <w:vMerge w:val="continue"/>
                  <w:vAlign w:val="center"/>
                </w:tcPr>
                <w:p w14:paraId="3E6E1A26">
                  <w:pPr>
                    <w:pStyle w:val="39"/>
                    <w:spacing w:before="0" w:beforeAutospacing="0" w:after="0" w:afterAutospacing="0"/>
                    <w:rPr>
                      <w:rFonts w:hint="default" w:ascii="Times New Roman" w:hAnsi="Times New Roman" w:cs="Times New Roman"/>
                      <w:color w:val="auto"/>
                    </w:rPr>
                  </w:pPr>
                </w:p>
              </w:tc>
              <w:tc>
                <w:tcPr>
                  <w:tcW w:w="994" w:type="pct"/>
                  <w:vMerge w:val="continue"/>
                  <w:vAlign w:val="center"/>
                </w:tcPr>
                <w:p w14:paraId="0F69B9F4">
                  <w:pPr>
                    <w:pStyle w:val="39"/>
                    <w:spacing w:before="0" w:beforeAutospacing="0" w:after="0" w:afterAutospacing="0"/>
                    <w:rPr>
                      <w:rFonts w:hint="default" w:ascii="Times New Roman" w:hAnsi="Times New Roman" w:cs="Times New Roman"/>
                      <w:color w:val="auto"/>
                    </w:rPr>
                  </w:pPr>
                </w:p>
              </w:tc>
              <w:tc>
                <w:tcPr>
                  <w:tcW w:w="1543" w:type="pct"/>
                  <w:vMerge w:val="continue"/>
                  <w:vAlign w:val="center"/>
                </w:tcPr>
                <w:p w14:paraId="36ECD478">
                  <w:pPr>
                    <w:pStyle w:val="39"/>
                    <w:wordWrap w:val="0"/>
                    <w:spacing w:before="0" w:beforeAutospacing="0" w:after="0" w:afterAutospacing="0"/>
                    <w:rPr>
                      <w:rFonts w:hint="default" w:ascii="Times New Roman" w:hAnsi="Times New Roman" w:cs="Times New Roman"/>
                      <w:color w:val="auto"/>
                      <w:spacing w:val="8"/>
                      <w:sz w:val="21"/>
                      <w:szCs w:val="21"/>
                    </w:rPr>
                  </w:pPr>
                </w:p>
              </w:tc>
            </w:tr>
            <w:tr w14:paraId="707F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5" w:type="pct"/>
                  <w:vAlign w:val="center"/>
                </w:tcPr>
                <w:p w14:paraId="306A5431">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铸锭打磨废气排气筒</w:t>
                  </w:r>
                </w:p>
              </w:tc>
              <w:tc>
                <w:tcPr>
                  <w:tcW w:w="432" w:type="pct"/>
                  <w:vAlign w:val="center"/>
                </w:tcPr>
                <w:p w14:paraId="6A80C661">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DA005</w:t>
                  </w:r>
                </w:p>
              </w:tc>
              <w:tc>
                <w:tcPr>
                  <w:tcW w:w="411" w:type="pct"/>
                  <w:vAlign w:val="center"/>
                </w:tcPr>
                <w:p w14:paraId="4A213906">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287" w:type="pct"/>
                  <w:vAlign w:val="center"/>
                </w:tcPr>
                <w:p w14:paraId="7E767363">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5</w:t>
                  </w:r>
                </w:p>
              </w:tc>
              <w:tc>
                <w:tcPr>
                  <w:tcW w:w="292" w:type="pct"/>
                  <w:vAlign w:val="center"/>
                </w:tcPr>
                <w:p w14:paraId="524F947B">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0.95</w:t>
                  </w:r>
                </w:p>
              </w:tc>
              <w:tc>
                <w:tcPr>
                  <w:tcW w:w="291" w:type="pct"/>
                  <w:vAlign w:val="center"/>
                </w:tcPr>
                <w:p w14:paraId="6120764B">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w:t>
                  </w:r>
                </w:p>
              </w:tc>
              <w:tc>
                <w:tcPr>
                  <w:tcW w:w="373" w:type="pct"/>
                  <w:vAlign w:val="center"/>
                </w:tcPr>
                <w:p w14:paraId="4BEA6D0C">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lang w:val="en-US" w:eastAsia="zh-CN"/>
                    </w:rPr>
                    <w:t>一般排放口</w:t>
                  </w:r>
                </w:p>
              </w:tc>
              <w:tc>
                <w:tcPr>
                  <w:tcW w:w="994" w:type="pct"/>
                  <w:vAlign w:val="center"/>
                </w:tcPr>
                <w:p w14:paraId="3F54E373">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38°16′24.5″N，110°14′41.8″E</w:t>
                  </w:r>
                </w:p>
              </w:tc>
              <w:tc>
                <w:tcPr>
                  <w:tcW w:w="1543" w:type="pct"/>
                  <w:vAlign w:val="center"/>
                </w:tcPr>
                <w:p w14:paraId="65420A44">
                  <w:pPr>
                    <w:pStyle w:val="39"/>
                    <w:wordWrap w:val="0"/>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bl>
          <w:p w14:paraId="5A488854">
            <w:pPr>
              <w:pStyle w:val="66"/>
              <w:numPr>
                <w:ilvl w:val="0"/>
                <w:numId w:val="0"/>
              </w:numPr>
              <w:spacing w:before="167" w:line="360" w:lineRule="auto"/>
              <w:ind w:leftChars="200"/>
              <w:jc w:val="left"/>
              <w:rPr>
                <w:rFonts w:hint="default" w:ascii="Times New Roman" w:hAnsi="Times New Roman" w:eastAsia="黑体" w:cs="Times New Roman"/>
                <w:color w:val="auto"/>
                <w:spacing w:val="1"/>
                <w:highlight w:val="none"/>
                <w:lang w:val="en-US" w:eastAsia="zh-CN"/>
              </w:rPr>
            </w:pPr>
            <w:r>
              <w:rPr>
                <w:rFonts w:hint="default" w:ascii="Times New Roman" w:hAnsi="Times New Roman" w:eastAsia="黑体" w:cs="Times New Roman"/>
                <w:color w:val="auto"/>
                <w:spacing w:val="1"/>
                <w:highlight w:val="none"/>
                <w:lang w:val="en-US" w:eastAsia="zh-CN"/>
              </w:rPr>
              <w:t>5、非正常排放分析</w:t>
            </w:r>
          </w:p>
          <w:p w14:paraId="78152916">
            <w:pPr>
              <w:pStyle w:val="2"/>
              <w:spacing w:line="360" w:lineRule="auto"/>
              <w:ind w:left="0" w:leftChars="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本项目</w:t>
            </w:r>
            <w:r>
              <w:rPr>
                <w:rFonts w:hint="default" w:ascii="Times New Roman" w:hAnsi="Times New Roman" w:cs="Times New Roman"/>
                <w:color w:val="auto"/>
                <w:szCs w:val="24"/>
              </w:rPr>
              <w:t>非正常情况主要是</w:t>
            </w:r>
            <w:r>
              <w:rPr>
                <w:rFonts w:hint="default" w:ascii="Times New Roman" w:hAnsi="Times New Roman" w:cs="Times New Roman"/>
                <w:color w:val="auto"/>
                <w:szCs w:val="24"/>
                <w:lang w:val="en-US" w:eastAsia="zh-CN"/>
              </w:rPr>
              <w:t>DA001布袋除尘器和DA002湿式脱硫</w:t>
            </w:r>
            <w:r>
              <w:rPr>
                <w:rFonts w:hint="default" w:ascii="Times New Roman" w:hAnsi="Times New Roman" w:cs="Times New Roman"/>
                <w:color w:val="auto"/>
                <w:szCs w:val="24"/>
                <w:lang w:val="en-US" w:eastAsia="zh-CN"/>
              </w:rPr>
              <w:t>设施</w:t>
            </w:r>
            <w:r>
              <w:rPr>
                <w:rFonts w:hint="default" w:ascii="Times New Roman" w:hAnsi="Times New Roman" w:cs="Times New Roman"/>
                <w:color w:val="auto"/>
                <w:szCs w:val="24"/>
              </w:rPr>
              <w:t>故障时</w:t>
            </w:r>
            <w:r>
              <w:rPr>
                <w:rFonts w:hint="default" w:ascii="Times New Roman" w:hAnsi="Times New Roman" w:cs="Times New Roman"/>
                <w:color w:val="auto"/>
                <w:szCs w:val="24"/>
                <w:lang w:val="en-US" w:eastAsia="zh-CN"/>
              </w:rPr>
              <w:t>情况</w:t>
            </w:r>
            <w:r>
              <w:rPr>
                <w:rFonts w:hint="default" w:ascii="Times New Roman" w:hAnsi="Times New Roman" w:cs="Times New Roman"/>
                <w:color w:val="auto"/>
                <w:szCs w:val="24"/>
              </w:rPr>
              <w:t>，以最不利情况下</w:t>
            </w:r>
            <w:r>
              <w:rPr>
                <w:rFonts w:hint="default" w:ascii="Times New Roman" w:hAnsi="Times New Roman" w:cs="Times New Roman"/>
                <w:color w:val="auto"/>
                <w:szCs w:val="24"/>
                <w:lang w:val="en-US" w:eastAsia="zh-CN"/>
              </w:rPr>
              <w:t>处理</w:t>
            </w:r>
            <w:r>
              <w:rPr>
                <w:rFonts w:hint="default" w:ascii="Times New Roman" w:hAnsi="Times New Roman" w:cs="Times New Roman"/>
                <w:color w:val="auto"/>
                <w:szCs w:val="24"/>
              </w:rPr>
              <w:t>设施无法运行</w:t>
            </w:r>
            <w:r>
              <w:rPr>
                <w:rFonts w:hint="default" w:ascii="Times New Roman" w:hAnsi="Times New Roman" w:cs="Times New Roman"/>
                <w:color w:val="auto"/>
                <w:szCs w:val="24"/>
                <w:lang w:val="en-US" w:eastAsia="zh-CN"/>
              </w:rPr>
              <w:t>处理效率为0</w:t>
            </w:r>
            <w:r>
              <w:rPr>
                <w:rFonts w:hint="default" w:ascii="Times New Roman" w:hAnsi="Times New Roman" w:cs="Times New Roman"/>
                <w:color w:val="auto"/>
                <w:szCs w:val="24"/>
              </w:rPr>
              <w:t>时考虑，源强最大的时段废气排放0.</w:t>
            </w:r>
            <w:r>
              <w:rPr>
                <w:rFonts w:hint="default" w:ascii="Times New Roman" w:hAnsi="Times New Roman" w:cs="Times New Roman"/>
                <w:color w:val="auto"/>
                <w:szCs w:val="24"/>
                <w:lang w:val="en-US" w:eastAsia="zh-CN"/>
              </w:rPr>
              <w:t>5</w:t>
            </w:r>
            <w:r>
              <w:rPr>
                <w:rFonts w:hint="default" w:ascii="Times New Roman" w:hAnsi="Times New Roman" w:cs="Times New Roman"/>
                <w:color w:val="auto"/>
                <w:szCs w:val="24"/>
              </w:rPr>
              <w:t>h对周围环境的影响。</w:t>
            </w:r>
          </w:p>
          <w:p w14:paraId="48D89BFA">
            <w:pPr>
              <w:pStyle w:val="42"/>
              <w:numPr>
                <w:ilvl w:val="3"/>
                <w:numId w:val="0"/>
              </w:numPr>
              <w:ind w:left="0" w:leftChars="0" w:firstLine="0" w:firstLineChars="0"/>
              <w:rPr>
                <w:rFonts w:hint="default" w:ascii="Times New Roman" w:hAnsi="Times New Roman" w:cs="Times New Roman"/>
                <w:b/>
                <w:bCs/>
                <w:color w:val="auto"/>
              </w:rPr>
            </w:pPr>
            <w:r>
              <w:rPr>
                <w:rFonts w:hint="default" w:ascii="Times New Roman" w:hAnsi="Times New Roman" w:eastAsia="黑体" w:cs="Times New Roman"/>
                <w:color w:val="auto"/>
                <w:kern w:val="2"/>
                <w:sz w:val="24"/>
                <w:szCs w:val="24"/>
                <w:lang w:val="en-US" w:eastAsia="zh-CN" w:bidi="ar-SA"/>
              </w:rPr>
              <w:t>表 4-</w:t>
            </w:r>
            <w:r>
              <w:rPr>
                <w:rFonts w:hint="default" w:ascii="Times New Roman" w:hAnsi="Times New Roman" w:cs="Times New Roman"/>
                <w:color w:val="auto"/>
                <w:kern w:val="2"/>
                <w:sz w:val="24"/>
                <w:szCs w:val="24"/>
                <w:lang w:val="en-US" w:eastAsia="zh-CN" w:bidi="ar-SA"/>
              </w:rPr>
              <w:t>8</w:t>
            </w:r>
            <w:r>
              <w:rPr>
                <w:rFonts w:hint="default" w:ascii="Times New Roman" w:hAnsi="Times New Roman" w:eastAsia="黑体" w:cs="Times New Roman"/>
                <w:color w:val="auto"/>
                <w:kern w:val="2"/>
                <w:sz w:val="24"/>
                <w:szCs w:val="24"/>
                <w:lang w:val="en-US" w:eastAsia="zh-CN" w:bidi="ar-SA"/>
              </w:rPr>
              <w:t xml:space="preserve">  非正常工况排放信息一览表</w:t>
            </w:r>
          </w:p>
          <w:tbl>
            <w:tblPr>
              <w:tblStyle w:val="25"/>
              <w:tblpPr w:leftFromText="180" w:rightFromText="180" w:vertAnchor="text" w:horzAnchor="page" w:tblpX="96" w:tblpY="285"/>
              <w:tblOverlap w:val="never"/>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30"/>
              <w:gridCol w:w="2952"/>
              <w:gridCol w:w="2295"/>
              <w:gridCol w:w="2109"/>
            </w:tblGrid>
            <w:tr w14:paraId="25DD8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8" w:type="pct"/>
                  <w:gridSpan w:val="2"/>
                  <w:tcBorders>
                    <w:tl2br w:val="nil"/>
                    <w:tr2bl w:val="nil"/>
                  </w:tcBorders>
                  <w:vAlign w:val="center"/>
                </w:tcPr>
                <w:p w14:paraId="37385FEC">
                  <w:pPr>
                    <w:pStyle w:val="39"/>
                    <w:spacing w:before="0" w:beforeAutospacing="0" w:after="0" w:afterAutospacing="0"/>
                    <w:rPr>
                      <w:rFonts w:hint="default" w:ascii="Times New Roman" w:hAnsi="Times New Roman" w:eastAsia="宋体" w:cs="Times New Roman"/>
                      <w:color w:val="auto"/>
                      <w:lang w:eastAsia="zh-CN"/>
                    </w:rPr>
                  </w:pPr>
                  <w:r>
                    <w:rPr>
                      <w:rFonts w:hint="default" w:ascii="Times New Roman" w:hAnsi="Times New Roman" w:cs="Times New Roman"/>
                      <w:color w:val="auto"/>
                    </w:rPr>
                    <w:t>污染</w:t>
                  </w:r>
                  <w:r>
                    <w:rPr>
                      <w:rFonts w:hint="default" w:ascii="Times New Roman" w:hAnsi="Times New Roman" w:cs="Times New Roman"/>
                      <w:color w:val="auto"/>
                      <w:lang w:val="en-US" w:eastAsia="zh-CN"/>
                    </w:rPr>
                    <w:t>源</w:t>
                  </w:r>
                </w:p>
              </w:tc>
              <w:tc>
                <w:tcPr>
                  <w:tcW w:w="1726" w:type="pct"/>
                  <w:tcBorders>
                    <w:tl2br w:val="nil"/>
                    <w:tr2bl w:val="nil"/>
                  </w:tcBorders>
                  <w:vAlign w:val="center"/>
                </w:tcPr>
                <w:p w14:paraId="64AFB5D2">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熔炼浇铸废气排气筒DA001</w:t>
                  </w:r>
                </w:p>
              </w:tc>
              <w:tc>
                <w:tcPr>
                  <w:tcW w:w="2574" w:type="pct"/>
                  <w:gridSpan w:val="2"/>
                  <w:tcBorders>
                    <w:tl2br w:val="nil"/>
                    <w:tr2bl w:val="nil"/>
                  </w:tcBorders>
                  <w:vAlign w:val="center"/>
                </w:tcPr>
                <w:p w14:paraId="38D710C0">
                  <w:pPr>
                    <w:pStyle w:val="39"/>
                    <w:spacing w:before="0" w:beforeAutospacing="0" w:after="0" w:afterAutospacing="0"/>
                    <w:rPr>
                      <w:rFonts w:hint="default" w:ascii="Times New Roman" w:hAnsi="Times New Roman" w:cs="Times New Roman"/>
                      <w:color w:val="auto"/>
                      <w:lang w:val="en-US"/>
                    </w:rPr>
                  </w:pPr>
                  <w:r>
                    <w:rPr>
                      <w:rFonts w:hint="default" w:ascii="Times New Roman" w:hAnsi="Times New Roman" w:cs="Times New Roman"/>
                      <w:color w:val="auto"/>
                      <w:lang w:val="en-US" w:eastAsia="zh-CN"/>
                    </w:rPr>
                    <w:t>熔炼燃烧</w:t>
                  </w:r>
                  <w:r>
                    <w:rPr>
                      <w:rFonts w:hint="default" w:ascii="Times New Roman" w:hAnsi="Times New Roman" w:cs="Times New Roman"/>
                      <w:color w:val="auto"/>
                    </w:rPr>
                    <w:t>废气</w:t>
                  </w:r>
                  <w:r>
                    <w:rPr>
                      <w:rFonts w:hint="default" w:ascii="Times New Roman" w:hAnsi="Times New Roman" w:cs="Times New Roman"/>
                      <w:color w:val="auto"/>
                      <w:lang w:eastAsia="zh-CN"/>
                    </w:rPr>
                    <w:t>排气筒</w:t>
                  </w:r>
                  <w:r>
                    <w:rPr>
                      <w:rFonts w:hint="default" w:ascii="Times New Roman" w:hAnsi="Times New Roman" w:cs="Times New Roman"/>
                      <w:color w:val="auto"/>
                      <w:lang w:val="en-US" w:eastAsia="zh-CN"/>
                    </w:rPr>
                    <w:t>DA002</w:t>
                  </w:r>
                </w:p>
              </w:tc>
            </w:tr>
            <w:tr w14:paraId="016F7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8" w:type="pct"/>
                  <w:gridSpan w:val="2"/>
                  <w:tcBorders>
                    <w:tl2br w:val="nil"/>
                    <w:tr2bl w:val="nil"/>
                  </w:tcBorders>
                  <w:vAlign w:val="center"/>
                </w:tcPr>
                <w:p w14:paraId="7CCA6A14">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污染物</w:t>
                  </w:r>
                </w:p>
              </w:tc>
              <w:tc>
                <w:tcPr>
                  <w:tcW w:w="1726" w:type="pct"/>
                  <w:tcBorders>
                    <w:tl2br w:val="nil"/>
                    <w:tr2bl w:val="nil"/>
                  </w:tcBorders>
                  <w:vAlign w:val="center"/>
                </w:tcPr>
                <w:p w14:paraId="6B4461A3">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颗粒物</w:t>
                  </w:r>
                </w:p>
              </w:tc>
              <w:tc>
                <w:tcPr>
                  <w:tcW w:w="1342" w:type="pct"/>
                  <w:tcBorders>
                    <w:tl2br w:val="nil"/>
                    <w:tr2bl w:val="nil"/>
                  </w:tcBorders>
                  <w:vAlign w:val="center"/>
                </w:tcPr>
                <w:p w14:paraId="5205D165">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颗粒物</w:t>
                  </w:r>
                </w:p>
              </w:tc>
              <w:tc>
                <w:tcPr>
                  <w:tcW w:w="1232" w:type="pct"/>
                  <w:tcBorders>
                    <w:tl2br w:val="nil"/>
                    <w:tr2bl w:val="nil"/>
                  </w:tcBorders>
                  <w:vAlign w:val="center"/>
                </w:tcPr>
                <w:p w14:paraId="6FC61F7A">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r>
            <w:tr w14:paraId="65CFF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8" w:type="pct"/>
                  <w:gridSpan w:val="2"/>
                  <w:tcBorders>
                    <w:tl2br w:val="nil"/>
                    <w:tr2bl w:val="nil"/>
                  </w:tcBorders>
                  <w:vAlign w:val="center"/>
                </w:tcPr>
                <w:p w14:paraId="3B83CBB8">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排放形式</w:t>
                  </w:r>
                </w:p>
              </w:tc>
              <w:tc>
                <w:tcPr>
                  <w:tcW w:w="1726" w:type="pct"/>
                  <w:tcBorders>
                    <w:tl2br w:val="nil"/>
                    <w:tr2bl w:val="nil"/>
                  </w:tcBorders>
                  <w:vAlign w:val="center"/>
                </w:tcPr>
                <w:p w14:paraId="238D363D">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2574" w:type="pct"/>
                  <w:gridSpan w:val="2"/>
                  <w:tcBorders>
                    <w:tl2br w:val="nil"/>
                    <w:tr2bl w:val="nil"/>
                  </w:tcBorders>
                  <w:vAlign w:val="center"/>
                </w:tcPr>
                <w:p w14:paraId="3A75B954">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有组织</w:t>
                  </w:r>
                </w:p>
              </w:tc>
            </w:tr>
            <w:tr w14:paraId="72D85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1" w:type="pct"/>
                  <w:vMerge w:val="restart"/>
                  <w:tcBorders>
                    <w:tl2br w:val="nil"/>
                    <w:tr2bl w:val="nil"/>
                  </w:tcBorders>
                  <w:vAlign w:val="center"/>
                </w:tcPr>
                <w:p w14:paraId="20267610">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治理设施</w:t>
                  </w:r>
                </w:p>
              </w:tc>
              <w:tc>
                <w:tcPr>
                  <w:tcW w:w="427" w:type="pct"/>
                  <w:tcBorders>
                    <w:tl2br w:val="nil"/>
                    <w:tr2bl w:val="nil"/>
                  </w:tcBorders>
                  <w:vAlign w:val="center"/>
                </w:tcPr>
                <w:p w14:paraId="29217821">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名称</w:t>
                  </w:r>
                </w:p>
              </w:tc>
              <w:tc>
                <w:tcPr>
                  <w:tcW w:w="1726" w:type="pct"/>
                  <w:tcBorders>
                    <w:tl2br w:val="nil"/>
                    <w:tr2bl w:val="nil"/>
                  </w:tcBorders>
                  <w:vAlign w:val="center"/>
                </w:tcPr>
                <w:p w14:paraId="6151256E">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布袋除尘器</w:t>
                  </w:r>
                </w:p>
              </w:tc>
              <w:tc>
                <w:tcPr>
                  <w:tcW w:w="2574" w:type="pct"/>
                  <w:gridSpan w:val="2"/>
                  <w:tcBorders>
                    <w:tl2br w:val="nil"/>
                    <w:tr2bl w:val="nil"/>
                  </w:tcBorders>
                  <w:vAlign w:val="center"/>
                </w:tcPr>
                <w:p w14:paraId="359311A8">
                  <w:pPr>
                    <w:pStyle w:val="39"/>
                    <w:spacing w:before="0" w:beforeAutospacing="0" w:after="0" w:afterAutospacing="0"/>
                    <w:rPr>
                      <w:rFonts w:hint="default" w:ascii="Times New Roman" w:hAnsi="Times New Roman" w:eastAsia="宋体" w:cs="Times New Roman"/>
                      <w:color w:val="auto"/>
                      <w:lang w:eastAsia="zh-CN"/>
                    </w:rPr>
                  </w:pPr>
                  <w:r>
                    <w:rPr>
                      <w:rFonts w:hint="default" w:ascii="Times New Roman" w:hAnsi="Times New Roman" w:cs="Times New Roman"/>
                      <w:color w:val="auto"/>
                      <w:szCs w:val="24"/>
                      <w:lang w:val="en-US" w:eastAsia="zh-CN"/>
                    </w:rPr>
                    <w:t>湿式脱硫设施</w:t>
                  </w:r>
                </w:p>
              </w:tc>
            </w:tr>
            <w:tr w14:paraId="7B5C6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Merge w:val="continue"/>
                  <w:tcBorders>
                    <w:tl2br w:val="nil"/>
                    <w:tr2bl w:val="nil"/>
                  </w:tcBorders>
                  <w:vAlign w:val="center"/>
                </w:tcPr>
                <w:p w14:paraId="0597B742">
                  <w:pPr>
                    <w:pStyle w:val="39"/>
                    <w:spacing w:before="0" w:beforeAutospacing="0" w:after="0" w:afterAutospacing="0"/>
                    <w:rPr>
                      <w:rFonts w:hint="default" w:ascii="Times New Roman" w:hAnsi="Times New Roman" w:cs="Times New Roman"/>
                      <w:color w:val="auto"/>
                    </w:rPr>
                  </w:pPr>
                </w:p>
              </w:tc>
              <w:tc>
                <w:tcPr>
                  <w:tcW w:w="427" w:type="pct"/>
                  <w:tcBorders>
                    <w:tl2br w:val="nil"/>
                    <w:tr2bl w:val="nil"/>
                  </w:tcBorders>
                  <w:vAlign w:val="center"/>
                </w:tcPr>
                <w:p w14:paraId="58E86BAF">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去除效率</w:t>
                  </w:r>
                </w:p>
              </w:tc>
              <w:tc>
                <w:tcPr>
                  <w:tcW w:w="1726" w:type="pct"/>
                  <w:tcBorders>
                    <w:tl2br w:val="nil"/>
                    <w:tr2bl w:val="nil"/>
                  </w:tcBorders>
                  <w:vAlign w:val="center"/>
                </w:tcPr>
                <w:p w14:paraId="1BC5FF7B">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1342" w:type="pct"/>
                  <w:tcBorders>
                    <w:tl2br w:val="nil"/>
                    <w:tr2bl w:val="nil"/>
                  </w:tcBorders>
                  <w:vAlign w:val="center"/>
                </w:tcPr>
                <w:p w14:paraId="31CDD48B">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1232" w:type="pct"/>
                  <w:tcBorders>
                    <w:tl2br w:val="nil"/>
                    <w:tr2bl w:val="nil"/>
                  </w:tcBorders>
                  <w:vAlign w:val="center"/>
                </w:tcPr>
                <w:p w14:paraId="622348E5">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lang w:val="en-US" w:eastAsia="zh-CN"/>
                    </w:rPr>
                    <w:t>0</w:t>
                  </w:r>
                </w:p>
              </w:tc>
            </w:tr>
            <w:tr w14:paraId="4B0E6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pct"/>
                  <w:gridSpan w:val="2"/>
                  <w:tcBorders>
                    <w:tl2br w:val="nil"/>
                    <w:tr2bl w:val="nil"/>
                  </w:tcBorders>
                  <w:vAlign w:val="center"/>
                </w:tcPr>
                <w:p w14:paraId="644A5C2B">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非正常排放浓度</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726" w:type="pct"/>
                  <w:tcBorders>
                    <w:tl2br w:val="nil"/>
                    <w:tr2bl w:val="nil"/>
                  </w:tcBorders>
                  <w:vAlign w:val="center"/>
                </w:tcPr>
                <w:p w14:paraId="3EF0C22F">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418</w:t>
                  </w:r>
                </w:p>
              </w:tc>
              <w:tc>
                <w:tcPr>
                  <w:tcW w:w="1342" w:type="pct"/>
                  <w:tcBorders>
                    <w:tl2br w:val="nil"/>
                    <w:tr2bl w:val="nil"/>
                  </w:tcBorders>
                  <w:vAlign w:val="center"/>
                </w:tcPr>
                <w:p w14:paraId="23B88AEB">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58.6</w:t>
                  </w:r>
                </w:p>
              </w:tc>
              <w:tc>
                <w:tcPr>
                  <w:tcW w:w="1232" w:type="pct"/>
                  <w:tcBorders>
                    <w:tl2br w:val="nil"/>
                    <w:tr2bl w:val="nil"/>
                  </w:tcBorders>
                  <w:vAlign w:val="center"/>
                </w:tcPr>
                <w:p w14:paraId="40A2084E">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941.5</w:t>
                  </w:r>
                </w:p>
              </w:tc>
            </w:tr>
            <w:tr w14:paraId="06F0D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8" w:type="pct"/>
                  <w:gridSpan w:val="2"/>
                  <w:tcBorders>
                    <w:tl2br w:val="nil"/>
                    <w:tr2bl w:val="nil"/>
                  </w:tcBorders>
                  <w:vAlign w:val="center"/>
                </w:tcPr>
                <w:p w14:paraId="568B1B7E">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lang w:val="en-US" w:eastAsia="zh-CN"/>
                    </w:rPr>
                    <w:t>非正常</w:t>
                  </w:r>
                  <w:r>
                    <w:rPr>
                      <w:rFonts w:hint="default" w:ascii="Times New Roman" w:hAnsi="Times New Roman" w:cs="Times New Roman"/>
                      <w:color w:val="auto"/>
                    </w:rPr>
                    <w:t>排放量</w:t>
                  </w:r>
                </w:p>
                <w:p w14:paraId="331F1EC1">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kg/次</w:t>
                  </w:r>
                  <w:r>
                    <w:rPr>
                      <w:rFonts w:hint="default" w:ascii="Times New Roman" w:hAnsi="Times New Roman" w:cs="Times New Roman"/>
                      <w:color w:val="auto"/>
                      <w:lang w:eastAsia="zh-CN"/>
                    </w:rPr>
                    <w:t>）</w:t>
                  </w:r>
                </w:p>
              </w:tc>
              <w:tc>
                <w:tcPr>
                  <w:tcW w:w="1726" w:type="pct"/>
                  <w:tcBorders>
                    <w:tl2br w:val="nil"/>
                    <w:tr2bl w:val="nil"/>
                  </w:tcBorders>
                  <w:vAlign w:val="center"/>
                </w:tcPr>
                <w:p w14:paraId="3D05E523">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1342" w:type="pct"/>
                  <w:tcBorders>
                    <w:tl2br w:val="nil"/>
                    <w:tr2bl w:val="nil"/>
                  </w:tcBorders>
                  <w:vAlign w:val="center"/>
                </w:tcPr>
                <w:p w14:paraId="3100F26C">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0.13</w:t>
                  </w:r>
                </w:p>
              </w:tc>
              <w:tc>
                <w:tcPr>
                  <w:tcW w:w="1232" w:type="pct"/>
                  <w:tcBorders>
                    <w:tl2br w:val="nil"/>
                    <w:tr2bl w:val="nil"/>
                  </w:tcBorders>
                  <w:vAlign w:val="center"/>
                </w:tcPr>
                <w:p w14:paraId="4B78CA06">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2.05</w:t>
                  </w:r>
                </w:p>
              </w:tc>
            </w:tr>
            <w:tr w14:paraId="06F1A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8" w:type="pct"/>
                  <w:gridSpan w:val="2"/>
                  <w:tcBorders>
                    <w:tl2br w:val="nil"/>
                    <w:tr2bl w:val="nil"/>
                  </w:tcBorders>
                  <w:vAlign w:val="center"/>
                </w:tcPr>
                <w:p w14:paraId="3DA87579">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频次</w:t>
                  </w:r>
                </w:p>
              </w:tc>
              <w:tc>
                <w:tcPr>
                  <w:tcW w:w="1726" w:type="pct"/>
                  <w:tcBorders>
                    <w:tl2br w:val="nil"/>
                    <w:tr2bl w:val="nil"/>
                  </w:tcBorders>
                  <w:vAlign w:val="center"/>
                </w:tcPr>
                <w:p w14:paraId="35697E26">
                  <w:pPr>
                    <w:pStyle w:val="39"/>
                    <w:spacing w:before="0" w:beforeAutospacing="0" w:after="0" w:afterAutospacing="0"/>
                    <w:ind w:firstLine="0" w:firstLineChars="0"/>
                    <w:rPr>
                      <w:rFonts w:hint="default" w:ascii="Times New Roman" w:hAnsi="Times New Roman" w:cs="Times New Roman"/>
                      <w:color w:val="auto"/>
                    </w:rPr>
                  </w:pPr>
                  <w:r>
                    <w:rPr>
                      <w:rFonts w:hint="default" w:ascii="Times New Roman" w:hAnsi="Times New Roman" w:cs="Times New Roman"/>
                      <w:color w:val="auto"/>
                    </w:rPr>
                    <w:t>1次/年</w:t>
                  </w:r>
                </w:p>
              </w:tc>
              <w:tc>
                <w:tcPr>
                  <w:tcW w:w="2574" w:type="pct"/>
                  <w:gridSpan w:val="2"/>
                  <w:tcBorders>
                    <w:tl2br w:val="nil"/>
                    <w:tr2bl w:val="nil"/>
                  </w:tcBorders>
                  <w:vAlign w:val="center"/>
                </w:tcPr>
                <w:p w14:paraId="5FA9BA5C">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1次/年</w:t>
                  </w:r>
                </w:p>
              </w:tc>
            </w:tr>
            <w:tr w14:paraId="38060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8" w:type="pct"/>
                  <w:gridSpan w:val="2"/>
                  <w:tcBorders>
                    <w:tl2br w:val="nil"/>
                    <w:tr2bl w:val="nil"/>
                  </w:tcBorders>
                  <w:vAlign w:val="center"/>
                </w:tcPr>
                <w:p w14:paraId="21E004BE">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持续时间</w:t>
                  </w:r>
                </w:p>
              </w:tc>
              <w:tc>
                <w:tcPr>
                  <w:tcW w:w="1726" w:type="pct"/>
                  <w:tcBorders>
                    <w:tl2br w:val="nil"/>
                    <w:tr2bl w:val="nil"/>
                  </w:tcBorders>
                  <w:vAlign w:val="center"/>
                </w:tcPr>
                <w:p w14:paraId="2C52E23E">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0.5h</w:t>
                  </w:r>
                </w:p>
              </w:tc>
              <w:tc>
                <w:tcPr>
                  <w:tcW w:w="2574" w:type="pct"/>
                  <w:gridSpan w:val="2"/>
                  <w:tcBorders>
                    <w:tl2br w:val="nil"/>
                    <w:tr2bl w:val="nil"/>
                  </w:tcBorders>
                  <w:vAlign w:val="center"/>
                </w:tcPr>
                <w:p w14:paraId="53FAFEDD">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lang w:val="en-US" w:eastAsia="zh-CN"/>
                    </w:rPr>
                    <w:t>0.5h</w:t>
                  </w:r>
                </w:p>
              </w:tc>
            </w:tr>
            <w:tr w14:paraId="1B762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8" w:type="pct"/>
                  <w:gridSpan w:val="2"/>
                  <w:tcBorders>
                    <w:tl2br w:val="nil"/>
                    <w:tr2bl w:val="nil"/>
                  </w:tcBorders>
                  <w:vAlign w:val="center"/>
                </w:tcPr>
                <w:p w14:paraId="05DAEDE6">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措施</w:t>
                  </w:r>
                </w:p>
              </w:tc>
              <w:tc>
                <w:tcPr>
                  <w:tcW w:w="4301" w:type="pct"/>
                  <w:gridSpan w:val="3"/>
                  <w:tcBorders>
                    <w:tl2br w:val="nil"/>
                    <w:tr2bl w:val="nil"/>
                  </w:tcBorders>
                  <w:vAlign w:val="center"/>
                </w:tcPr>
                <w:p w14:paraId="6662D157">
                  <w:pPr>
                    <w:pStyle w:val="39"/>
                    <w:spacing w:before="0" w:beforeAutospacing="0" w:after="0" w:afterAutospacing="0"/>
                    <w:jc w:val="left"/>
                    <w:rPr>
                      <w:rFonts w:hint="default" w:ascii="Times New Roman" w:hAnsi="Times New Roman" w:cs="Times New Roman"/>
                      <w:color w:val="auto"/>
                    </w:rPr>
                  </w:pPr>
                  <w:r>
                    <w:rPr>
                      <w:rFonts w:hint="default" w:ascii="Times New Roman" w:hAnsi="Times New Roman" w:cs="Times New Roman"/>
                      <w:color w:val="auto"/>
                    </w:rPr>
                    <w:t>加强作业人员的环保意识，确保</w:t>
                  </w:r>
                  <w:r>
                    <w:rPr>
                      <w:rFonts w:hint="default" w:ascii="Times New Roman" w:hAnsi="Times New Roman" w:cs="Times New Roman"/>
                      <w:color w:val="auto"/>
                      <w:lang w:val="en-US" w:eastAsia="zh-CN"/>
                    </w:rPr>
                    <w:t>生产</w:t>
                  </w:r>
                  <w:r>
                    <w:rPr>
                      <w:rFonts w:hint="default" w:ascii="Times New Roman" w:hAnsi="Times New Roman" w:cs="Times New Roman"/>
                      <w:color w:val="auto"/>
                    </w:rPr>
                    <w:t>时废气治理设施的正常运行，定期检查，当出现非正常排放时，建设单位应立即停止</w:t>
                  </w:r>
                  <w:r>
                    <w:rPr>
                      <w:rFonts w:hint="default" w:ascii="Times New Roman" w:hAnsi="Times New Roman" w:cs="Times New Roman"/>
                      <w:color w:val="auto"/>
                      <w:lang w:val="en-US" w:eastAsia="zh-CN"/>
                    </w:rPr>
                    <w:t>相应设备</w:t>
                  </w:r>
                  <w:r>
                    <w:rPr>
                      <w:rFonts w:hint="default" w:ascii="Times New Roman" w:hAnsi="Times New Roman" w:cs="Times New Roman"/>
                      <w:color w:val="auto"/>
                    </w:rPr>
                    <w:t>作业，及时维修，直到废气治理设施正常运转，坚决杜绝非正常排放。</w:t>
                  </w:r>
                </w:p>
              </w:tc>
            </w:tr>
          </w:tbl>
          <w:p w14:paraId="25AFD22B">
            <w:pPr>
              <w:pStyle w:val="66"/>
              <w:numPr>
                <w:ilvl w:val="0"/>
                <w:numId w:val="0"/>
              </w:numPr>
              <w:spacing w:before="167" w:line="360" w:lineRule="auto"/>
              <w:ind w:leftChars="200"/>
              <w:jc w:val="left"/>
              <w:rPr>
                <w:rFonts w:hint="default" w:ascii="Times New Roman" w:hAnsi="Times New Roman" w:eastAsia="黑体" w:cs="Times New Roman"/>
                <w:color w:val="auto"/>
                <w:spacing w:val="1"/>
                <w:highlight w:val="none"/>
                <w:lang w:val="en-US" w:eastAsia="zh-CN"/>
              </w:rPr>
            </w:pPr>
            <w:r>
              <w:rPr>
                <w:rFonts w:hint="default" w:ascii="Times New Roman" w:hAnsi="Times New Roman" w:eastAsia="黑体" w:cs="Times New Roman"/>
                <w:color w:val="auto"/>
                <w:spacing w:val="1"/>
                <w:highlight w:val="none"/>
                <w:lang w:val="en-US" w:eastAsia="zh-CN"/>
              </w:rPr>
              <w:t>6、废气监测计划</w:t>
            </w:r>
          </w:p>
          <w:p w14:paraId="233303A2">
            <w:pPr>
              <w:ind w:firstLine="480"/>
              <w:rPr>
                <w:rFonts w:hint="default" w:ascii="Times New Roman" w:hAnsi="Times New Roman" w:cs="Times New Roman"/>
                <w:color w:val="auto"/>
              </w:rPr>
            </w:pPr>
            <w:r>
              <w:rPr>
                <w:rFonts w:hint="default" w:ascii="Times New Roman" w:hAnsi="Times New Roman" w:cs="Times New Roman"/>
                <w:color w:val="auto"/>
              </w:rPr>
              <w:t xml:space="preserve">根据《排污单位自行监测技术指南 </w:t>
            </w:r>
            <w:r>
              <w:rPr>
                <w:rFonts w:hint="default" w:ascii="Times New Roman" w:hAnsi="Times New Roman" w:cs="Times New Roman"/>
                <w:color w:val="auto"/>
                <w:lang w:val="en-US" w:eastAsia="zh-CN"/>
              </w:rPr>
              <w:t>金属铸造工业</w:t>
            </w:r>
            <w:r>
              <w:rPr>
                <w:rFonts w:hint="default" w:ascii="Times New Roman" w:hAnsi="Times New Roman" w:cs="Times New Roman"/>
                <w:color w:val="auto"/>
              </w:rPr>
              <w:t>》（HJ</w:t>
            </w:r>
            <w:r>
              <w:rPr>
                <w:rFonts w:hint="default" w:ascii="Times New Roman" w:hAnsi="Times New Roman" w:cs="Times New Roman"/>
                <w:color w:val="auto"/>
                <w:lang w:val="en-US" w:eastAsia="zh-CN"/>
              </w:rPr>
              <w:t>1251</w:t>
            </w:r>
            <w:r>
              <w:rPr>
                <w:rFonts w:hint="default" w:ascii="Times New Roman" w:hAnsi="Times New Roman" w:cs="Times New Roman"/>
                <w:color w:val="auto"/>
              </w:rPr>
              <w:t>-20</w:t>
            </w:r>
            <w:r>
              <w:rPr>
                <w:rFonts w:hint="default" w:ascii="Times New Roman" w:hAnsi="Times New Roman" w:cs="Times New Roman"/>
                <w:color w:val="auto"/>
                <w:lang w:val="en-US" w:eastAsia="zh-CN"/>
              </w:rPr>
              <w:t>22</w:t>
            </w:r>
            <w:r>
              <w:rPr>
                <w:rFonts w:hint="default" w:ascii="Times New Roman" w:hAnsi="Times New Roman" w:cs="Times New Roman"/>
                <w:color w:val="auto"/>
              </w:rPr>
              <w:t>）中的相关监测要求，本项目废气监测计划如下表所示。</w:t>
            </w:r>
          </w:p>
          <w:p w14:paraId="79FC4E9A">
            <w:pPr>
              <w:pStyle w:val="42"/>
              <w:numPr>
                <w:ilvl w:val="3"/>
                <w:numId w:val="0"/>
              </w:numPr>
              <w:ind w:left="0" w:leftChars="0" w:firstLine="0" w:firstLineChars="0"/>
              <w:rPr>
                <w:rFonts w:hint="default" w:ascii="Times New Roman" w:hAnsi="Times New Roman" w:cs="Times New Roman"/>
                <w:color w:val="auto"/>
                <w:sz w:val="24"/>
                <w:szCs w:val="24"/>
              </w:rPr>
            </w:pPr>
            <w:r>
              <w:rPr>
                <w:rFonts w:hint="default" w:ascii="Times New Roman" w:hAnsi="Times New Roman" w:eastAsia="黑体" w:cs="Times New Roman"/>
                <w:color w:val="auto"/>
                <w:kern w:val="2"/>
                <w:sz w:val="24"/>
                <w:szCs w:val="24"/>
                <w:highlight w:val="none"/>
                <w:lang w:val="en-US" w:eastAsia="zh-CN" w:bidi="ar-SA"/>
              </w:rPr>
              <w:t>表4-</w:t>
            </w:r>
            <w:r>
              <w:rPr>
                <w:rFonts w:hint="default" w:ascii="Times New Roman" w:hAnsi="Times New Roman" w:cs="Times New Roman"/>
                <w:color w:val="auto"/>
                <w:kern w:val="2"/>
                <w:sz w:val="24"/>
                <w:szCs w:val="24"/>
                <w:highlight w:val="none"/>
                <w:lang w:val="en-US" w:eastAsia="zh-CN" w:bidi="ar-SA"/>
              </w:rPr>
              <w:t>9</w:t>
            </w:r>
            <w:r>
              <w:rPr>
                <w:rFonts w:hint="default" w:ascii="Times New Roman" w:hAnsi="Times New Roman" w:eastAsia="黑体" w:cs="Times New Roman"/>
                <w:color w:val="auto"/>
                <w:kern w:val="2"/>
                <w:sz w:val="24"/>
                <w:szCs w:val="24"/>
                <w:highlight w:val="none"/>
                <w:lang w:val="en-US" w:eastAsia="zh-CN" w:bidi="ar-SA"/>
              </w:rPr>
              <w:t xml:space="preserve"> </w:t>
            </w:r>
            <w:r>
              <w:rPr>
                <w:rFonts w:hint="default" w:ascii="Times New Roman" w:hAnsi="Times New Roman" w:cs="Times New Roman"/>
                <w:color w:val="auto"/>
                <w:kern w:val="2"/>
                <w:sz w:val="24"/>
                <w:szCs w:val="24"/>
                <w:highlight w:val="none"/>
                <w:lang w:val="en-US" w:eastAsia="zh-CN" w:bidi="ar-SA"/>
              </w:rPr>
              <w:t xml:space="preserve"> </w:t>
            </w:r>
            <w:r>
              <w:rPr>
                <w:rFonts w:hint="default" w:ascii="Times New Roman" w:hAnsi="Times New Roman" w:cs="Times New Roman"/>
                <w:color w:val="auto"/>
                <w:sz w:val="24"/>
                <w:szCs w:val="24"/>
                <w:highlight w:val="none"/>
              </w:rPr>
              <w:t>运营期环境</w:t>
            </w:r>
            <w:r>
              <w:rPr>
                <w:rFonts w:hint="default" w:ascii="Times New Roman" w:hAnsi="Times New Roman" w:cs="Times New Roman"/>
                <w:color w:val="auto"/>
                <w:sz w:val="24"/>
                <w:szCs w:val="24"/>
              </w:rPr>
              <w:t>监测计划</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6"/>
              <w:gridCol w:w="2251"/>
              <w:gridCol w:w="2004"/>
              <w:gridCol w:w="981"/>
              <w:gridCol w:w="2961"/>
            </w:tblGrid>
            <w:tr w14:paraId="373D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9" w:type="pct"/>
                  <w:vAlign w:val="center"/>
                </w:tcPr>
                <w:p w14:paraId="51DF2F76">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类别</w:t>
                  </w:r>
                </w:p>
              </w:tc>
              <w:tc>
                <w:tcPr>
                  <w:tcW w:w="1312" w:type="pct"/>
                  <w:vAlign w:val="center"/>
                </w:tcPr>
                <w:p w14:paraId="74491656">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监测点名称</w:t>
                  </w:r>
                </w:p>
              </w:tc>
              <w:tc>
                <w:tcPr>
                  <w:tcW w:w="1168" w:type="pct"/>
                  <w:vAlign w:val="center"/>
                </w:tcPr>
                <w:p w14:paraId="0B99E762">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监测项目</w:t>
                  </w:r>
                </w:p>
              </w:tc>
              <w:tc>
                <w:tcPr>
                  <w:tcW w:w="572" w:type="pct"/>
                  <w:vAlign w:val="center"/>
                </w:tcPr>
                <w:p w14:paraId="04D3AB4C">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监测频率</w:t>
                  </w:r>
                </w:p>
              </w:tc>
              <w:tc>
                <w:tcPr>
                  <w:tcW w:w="1726" w:type="pct"/>
                  <w:vAlign w:val="center"/>
                </w:tcPr>
                <w:p w14:paraId="3362C204">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执行标准</w:t>
                  </w:r>
                </w:p>
              </w:tc>
            </w:tr>
            <w:tr w14:paraId="5B0E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restart"/>
                  <w:vAlign w:val="center"/>
                </w:tcPr>
                <w:p w14:paraId="07FCAFE1">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废气</w:t>
                  </w:r>
                </w:p>
              </w:tc>
              <w:tc>
                <w:tcPr>
                  <w:tcW w:w="1312" w:type="pct"/>
                  <w:vAlign w:val="center"/>
                </w:tcPr>
                <w:p w14:paraId="07841714">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lang w:eastAsia="zh-CN"/>
                    </w:rPr>
                    <w:t>合金锭车间熔炼浇铸</w:t>
                  </w:r>
                  <w:r>
                    <w:rPr>
                      <w:rFonts w:hint="default" w:ascii="Times New Roman" w:hAnsi="Times New Roman" w:cs="Times New Roman"/>
                      <w:color w:val="auto"/>
                    </w:rPr>
                    <w:t>废气</w:t>
                  </w:r>
                  <w:r>
                    <w:rPr>
                      <w:rFonts w:hint="default" w:ascii="Times New Roman" w:hAnsi="Times New Roman" w:cs="Times New Roman"/>
                      <w:color w:val="auto"/>
                      <w:lang w:eastAsia="zh-CN"/>
                    </w:rPr>
                    <w:t>排气筒</w:t>
                  </w:r>
                  <w:r>
                    <w:rPr>
                      <w:rFonts w:hint="default" w:ascii="Times New Roman" w:hAnsi="Times New Roman" w:cs="Times New Roman"/>
                      <w:color w:val="auto"/>
                    </w:rPr>
                    <w:t>DA0</w:t>
                  </w:r>
                  <w:r>
                    <w:rPr>
                      <w:rFonts w:hint="default" w:ascii="Times New Roman" w:hAnsi="Times New Roman" w:cs="Times New Roman"/>
                      <w:color w:val="auto"/>
                      <w:lang w:val="en-US" w:eastAsia="zh-CN"/>
                    </w:rPr>
                    <w:t>01</w:t>
                  </w:r>
                </w:p>
              </w:tc>
              <w:tc>
                <w:tcPr>
                  <w:tcW w:w="1168" w:type="pct"/>
                  <w:vAlign w:val="center"/>
                </w:tcPr>
                <w:p w14:paraId="766E2AE2">
                  <w:pPr>
                    <w:pStyle w:val="39"/>
                    <w:spacing w:before="0" w:beforeAutospacing="0" w:after="0" w:afterAutospacing="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颗粒物</w:t>
                  </w:r>
                </w:p>
              </w:tc>
              <w:tc>
                <w:tcPr>
                  <w:tcW w:w="572" w:type="pct"/>
                  <w:vAlign w:val="center"/>
                </w:tcPr>
                <w:p w14:paraId="461DA90A">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1次/</w:t>
                  </w:r>
                  <w:r>
                    <w:rPr>
                      <w:rFonts w:hint="default" w:ascii="Times New Roman" w:hAnsi="Times New Roman" w:cs="Times New Roman"/>
                      <w:color w:val="auto"/>
                      <w:lang w:eastAsia="zh-CN"/>
                    </w:rPr>
                    <w:t>年</w:t>
                  </w:r>
                </w:p>
              </w:tc>
              <w:tc>
                <w:tcPr>
                  <w:tcW w:w="1726" w:type="pct"/>
                  <w:vAlign w:val="center"/>
                </w:tcPr>
                <w:p w14:paraId="078B4FD0">
                  <w:pPr>
                    <w:pStyle w:val="39"/>
                    <w:spacing w:before="0" w:beforeAutospacing="0" w:after="0" w:afterAutospacing="0"/>
                    <w:rPr>
                      <w:rFonts w:hint="default" w:ascii="Times New Roman" w:hAnsi="Times New Roman" w:eastAsia="宋体" w:cs="Times New Roman"/>
                      <w:color w:val="auto"/>
                      <w:highlight w:val="yellow"/>
                      <w:lang w:val="en-US" w:eastAsia="zh-CN"/>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7FB4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56B876D0">
                  <w:pPr>
                    <w:pStyle w:val="39"/>
                    <w:spacing w:before="0" w:beforeAutospacing="0" w:after="0" w:afterAutospacing="0"/>
                    <w:rPr>
                      <w:rFonts w:hint="default" w:ascii="Times New Roman" w:hAnsi="Times New Roman" w:cs="Times New Roman"/>
                      <w:color w:val="auto"/>
                    </w:rPr>
                  </w:pPr>
                </w:p>
              </w:tc>
              <w:tc>
                <w:tcPr>
                  <w:tcW w:w="1312" w:type="pct"/>
                  <w:shd w:val="clear" w:color="auto" w:fill="auto"/>
                  <w:vAlign w:val="center"/>
                </w:tcPr>
                <w:p w14:paraId="2C840E71">
                  <w:pPr>
                    <w:pStyle w:val="39"/>
                    <w:spacing w:before="0" w:beforeAutospacing="0" w:after="0" w:afterAutospacing="0"/>
                    <w:ind w:firstLine="0" w:firstLineChars="0"/>
                    <w:rPr>
                      <w:rFonts w:hint="default" w:ascii="Times New Roman" w:hAnsi="Times New Roman" w:eastAsia="宋体" w:cs="Times New Roman"/>
                      <w:bCs/>
                      <w:color w:val="auto"/>
                      <w:kern w:val="2"/>
                      <w:sz w:val="21"/>
                      <w:szCs w:val="21"/>
                      <w:lang w:val="en-US" w:eastAsia="zh-CN" w:bidi="ar-BH"/>
                    </w:rPr>
                  </w:pPr>
                  <w:r>
                    <w:rPr>
                      <w:rFonts w:hint="default" w:ascii="Times New Roman" w:hAnsi="Times New Roman" w:cs="Times New Roman"/>
                      <w:color w:val="auto"/>
                      <w:lang w:eastAsia="zh-CN"/>
                    </w:rPr>
                    <w:t>合金锭车间熔炼炉煤气燃烧</w:t>
                  </w:r>
                  <w:r>
                    <w:rPr>
                      <w:rFonts w:hint="default" w:ascii="Times New Roman" w:hAnsi="Times New Roman" w:cs="Times New Roman"/>
                      <w:color w:val="auto"/>
                    </w:rPr>
                    <w:t>废气</w:t>
                  </w:r>
                  <w:r>
                    <w:rPr>
                      <w:rFonts w:hint="default" w:ascii="Times New Roman" w:hAnsi="Times New Roman" w:cs="Times New Roman"/>
                      <w:color w:val="auto"/>
                      <w:lang w:eastAsia="zh-CN"/>
                    </w:rPr>
                    <w:t>排气筒</w:t>
                  </w:r>
                  <w:r>
                    <w:rPr>
                      <w:rFonts w:hint="default" w:ascii="Times New Roman" w:hAnsi="Times New Roman" w:cs="Times New Roman"/>
                      <w:color w:val="auto"/>
                    </w:rPr>
                    <w:t>DA0</w:t>
                  </w:r>
                  <w:r>
                    <w:rPr>
                      <w:rFonts w:hint="default" w:ascii="Times New Roman" w:hAnsi="Times New Roman" w:cs="Times New Roman"/>
                      <w:color w:val="auto"/>
                      <w:lang w:val="en-US" w:eastAsia="zh-CN"/>
                    </w:rPr>
                    <w:t>02</w:t>
                  </w:r>
                </w:p>
              </w:tc>
              <w:tc>
                <w:tcPr>
                  <w:tcW w:w="1168" w:type="pct"/>
                  <w:shd w:val="clear" w:color="auto" w:fill="auto"/>
                  <w:vAlign w:val="center"/>
                </w:tcPr>
                <w:p w14:paraId="0FA78003">
                  <w:pPr>
                    <w:pStyle w:val="39"/>
                    <w:spacing w:before="0" w:beforeAutospacing="0" w:after="0" w:afterAutospacing="0"/>
                    <w:ind w:firstLine="0" w:firstLineChars="0"/>
                    <w:rPr>
                      <w:rFonts w:hint="default" w:ascii="Times New Roman" w:hAnsi="Times New Roman" w:eastAsia="宋体" w:cs="Times New Roman"/>
                      <w:bCs/>
                      <w:color w:val="auto"/>
                      <w:kern w:val="2"/>
                      <w:sz w:val="21"/>
                      <w:szCs w:val="21"/>
                      <w:lang w:val="en-US" w:eastAsia="zh-CN" w:bidi="ar-BH"/>
                    </w:rPr>
                  </w:pPr>
                  <w:r>
                    <w:rPr>
                      <w:rFonts w:hint="default" w:ascii="Times New Roman" w:hAnsi="Times New Roman" w:cs="Times New Roman"/>
                      <w:color w:val="auto"/>
                      <w:lang w:val="en-US" w:eastAsia="zh-CN"/>
                    </w:rPr>
                    <w:t>颗粒物、二氧化硫、氮氧化物</w:t>
                  </w:r>
                </w:p>
              </w:tc>
              <w:tc>
                <w:tcPr>
                  <w:tcW w:w="572" w:type="pct"/>
                  <w:vAlign w:val="center"/>
                </w:tcPr>
                <w:p w14:paraId="1EEE30CE">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1次/</w:t>
                  </w:r>
                  <w:r>
                    <w:rPr>
                      <w:rFonts w:hint="default" w:ascii="Times New Roman" w:hAnsi="Times New Roman" w:cs="Times New Roman"/>
                      <w:color w:val="auto"/>
                      <w:lang w:eastAsia="zh-CN"/>
                    </w:rPr>
                    <w:t>年</w:t>
                  </w:r>
                </w:p>
              </w:tc>
              <w:tc>
                <w:tcPr>
                  <w:tcW w:w="1726" w:type="pct"/>
                  <w:vAlign w:val="center"/>
                </w:tcPr>
                <w:p w14:paraId="2C5BFA1C">
                  <w:pPr>
                    <w:pStyle w:val="39"/>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7B53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50B1B6BF">
                  <w:pPr>
                    <w:pStyle w:val="39"/>
                    <w:spacing w:before="0" w:beforeAutospacing="0" w:after="0" w:afterAutospacing="0"/>
                    <w:rPr>
                      <w:rFonts w:hint="default" w:ascii="Times New Roman" w:hAnsi="Times New Roman" w:cs="Times New Roman"/>
                      <w:color w:val="auto"/>
                    </w:rPr>
                  </w:pPr>
                </w:p>
              </w:tc>
              <w:tc>
                <w:tcPr>
                  <w:tcW w:w="1312" w:type="pct"/>
                  <w:vMerge w:val="restart"/>
                  <w:vAlign w:val="center"/>
                </w:tcPr>
                <w:p w14:paraId="0D84940B">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压铸车间熔化压铸</w:t>
                  </w:r>
                  <w:r>
                    <w:rPr>
                      <w:rFonts w:hint="default" w:ascii="Times New Roman" w:hAnsi="Times New Roman" w:cs="Times New Roman"/>
                      <w:color w:val="auto"/>
                    </w:rPr>
                    <w:t>废气</w:t>
                  </w:r>
                  <w:r>
                    <w:rPr>
                      <w:rFonts w:hint="default" w:ascii="Times New Roman" w:hAnsi="Times New Roman" w:cs="Times New Roman"/>
                      <w:color w:val="auto"/>
                      <w:lang w:eastAsia="zh-CN"/>
                    </w:rPr>
                    <w:t>排气筒</w:t>
                  </w:r>
                  <w:r>
                    <w:rPr>
                      <w:rFonts w:hint="default" w:ascii="Times New Roman" w:hAnsi="Times New Roman" w:cs="Times New Roman"/>
                      <w:color w:val="auto"/>
                    </w:rPr>
                    <w:t>DA0</w:t>
                  </w:r>
                  <w:r>
                    <w:rPr>
                      <w:rFonts w:hint="default" w:ascii="Times New Roman" w:hAnsi="Times New Roman" w:cs="Times New Roman"/>
                      <w:color w:val="auto"/>
                      <w:lang w:val="en-US" w:eastAsia="zh-CN"/>
                    </w:rPr>
                    <w:t>03</w:t>
                  </w:r>
                </w:p>
              </w:tc>
              <w:tc>
                <w:tcPr>
                  <w:tcW w:w="1168" w:type="pct"/>
                  <w:vAlign w:val="center"/>
                </w:tcPr>
                <w:p w14:paraId="3E86F2B4">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572" w:type="pct"/>
                  <w:vAlign w:val="center"/>
                </w:tcPr>
                <w:p w14:paraId="01C4C3EB">
                  <w:pPr>
                    <w:pStyle w:val="39"/>
                    <w:spacing w:before="0" w:beforeAutospacing="0" w:after="0" w:afterAutospacing="0"/>
                    <w:ind w:firstLine="0" w:firstLineChars="0"/>
                    <w:rPr>
                      <w:rFonts w:hint="default" w:ascii="Times New Roman" w:hAnsi="Times New Roman" w:cs="Times New Roman"/>
                      <w:color w:val="auto"/>
                    </w:rPr>
                  </w:pPr>
                  <w:r>
                    <w:rPr>
                      <w:rFonts w:hint="default" w:ascii="Times New Roman" w:hAnsi="Times New Roman" w:cs="Times New Roman"/>
                      <w:color w:val="auto"/>
                    </w:rPr>
                    <w:t>1次/</w:t>
                  </w:r>
                  <w:r>
                    <w:rPr>
                      <w:rFonts w:hint="default" w:ascii="Times New Roman" w:hAnsi="Times New Roman" w:cs="Times New Roman"/>
                      <w:color w:val="auto"/>
                      <w:lang w:eastAsia="zh-CN"/>
                    </w:rPr>
                    <w:t>年</w:t>
                  </w:r>
                </w:p>
              </w:tc>
              <w:tc>
                <w:tcPr>
                  <w:tcW w:w="1726" w:type="pct"/>
                  <w:vAlign w:val="center"/>
                </w:tcPr>
                <w:p w14:paraId="1EA6B586">
                  <w:pPr>
                    <w:pStyle w:val="39"/>
                    <w:spacing w:before="0" w:beforeAutospacing="0" w:after="0" w:afterAutospacing="0"/>
                    <w:ind w:firstLine="0" w:firstLineChars="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3740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661AD6C9">
                  <w:pPr>
                    <w:pStyle w:val="39"/>
                    <w:spacing w:before="0" w:beforeAutospacing="0" w:after="0" w:afterAutospacing="0"/>
                    <w:rPr>
                      <w:rFonts w:hint="default" w:ascii="Times New Roman" w:hAnsi="Times New Roman" w:cs="Times New Roman"/>
                      <w:color w:val="auto"/>
                    </w:rPr>
                  </w:pPr>
                </w:p>
              </w:tc>
              <w:tc>
                <w:tcPr>
                  <w:tcW w:w="1312" w:type="pct"/>
                  <w:vMerge w:val="continue"/>
                  <w:vAlign w:val="center"/>
                </w:tcPr>
                <w:p w14:paraId="52725E94">
                  <w:pPr>
                    <w:pStyle w:val="39"/>
                    <w:spacing w:before="0" w:beforeAutospacing="0" w:after="0" w:afterAutospacing="0"/>
                    <w:rPr>
                      <w:rFonts w:hint="default" w:ascii="Times New Roman" w:hAnsi="Times New Roman" w:cs="Times New Roman"/>
                      <w:color w:val="auto"/>
                      <w:sz w:val="21"/>
                      <w:szCs w:val="21"/>
                      <w:lang w:val="en-US" w:eastAsia="zh-CN"/>
                    </w:rPr>
                  </w:pPr>
                </w:p>
              </w:tc>
              <w:tc>
                <w:tcPr>
                  <w:tcW w:w="1168" w:type="pct"/>
                  <w:vAlign w:val="center"/>
                </w:tcPr>
                <w:p w14:paraId="18FE8A0F">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572" w:type="pct"/>
                  <w:vAlign w:val="center"/>
                </w:tcPr>
                <w:p w14:paraId="0F0BCAFB">
                  <w:pPr>
                    <w:pStyle w:val="39"/>
                    <w:spacing w:before="0" w:beforeAutospacing="0" w:after="0" w:afterAutospacing="0"/>
                    <w:ind w:firstLine="0" w:firstLineChars="0"/>
                    <w:rPr>
                      <w:rFonts w:hint="default" w:ascii="Times New Roman" w:hAnsi="Times New Roman" w:cs="Times New Roman"/>
                      <w:color w:val="auto"/>
                    </w:rPr>
                  </w:pPr>
                  <w:r>
                    <w:rPr>
                      <w:rFonts w:hint="default" w:ascii="Times New Roman" w:hAnsi="Times New Roman" w:cs="Times New Roman"/>
                      <w:color w:val="auto"/>
                    </w:rPr>
                    <w:t>1次/</w:t>
                  </w:r>
                  <w:r>
                    <w:rPr>
                      <w:rFonts w:hint="default" w:ascii="Times New Roman" w:hAnsi="Times New Roman" w:cs="Times New Roman"/>
                      <w:color w:val="auto"/>
                      <w:lang w:eastAsia="zh-CN"/>
                    </w:rPr>
                    <w:t>年</w:t>
                  </w:r>
                </w:p>
              </w:tc>
              <w:tc>
                <w:tcPr>
                  <w:tcW w:w="1726" w:type="pct"/>
                  <w:vAlign w:val="center"/>
                </w:tcPr>
                <w:p w14:paraId="38BAFCA9">
                  <w:pPr>
                    <w:pStyle w:val="39"/>
                    <w:spacing w:before="0" w:beforeAutospacing="0" w:after="0" w:afterAutospacing="0"/>
                    <w:ind w:firstLine="0" w:firstLineChars="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《大气污染物综合排放标</w:t>
                  </w:r>
                  <w:r>
                    <w:rPr>
                      <w:rFonts w:hint="default" w:ascii="Times New Roman" w:hAnsi="Times New Roman" w:cs="Times New Roman"/>
                      <w:color w:val="auto"/>
                      <w:spacing w:val="5"/>
                      <w:sz w:val="21"/>
                      <w:szCs w:val="21"/>
                    </w:rPr>
                    <w:t>准》（</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5"/>
                      <w:sz w:val="21"/>
                      <w:szCs w:val="21"/>
                    </w:rPr>
                    <w:t>16297-1996</w:t>
                  </w:r>
                  <w:r>
                    <w:rPr>
                      <w:rFonts w:hint="default" w:ascii="Times New Roman" w:hAnsi="Times New Roman" w:cs="Times New Roman"/>
                      <w:color w:val="auto"/>
                      <w:spacing w:val="5"/>
                      <w:sz w:val="21"/>
                      <w:szCs w:val="21"/>
                    </w:rPr>
                    <w:t>）</w:t>
                  </w:r>
                </w:p>
              </w:tc>
            </w:tr>
            <w:tr w14:paraId="3871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495E9967">
                  <w:pPr>
                    <w:pStyle w:val="39"/>
                    <w:spacing w:before="0" w:beforeAutospacing="0" w:after="0" w:afterAutospacing="0"/>
                    <w:rPr>
                      <w:rFonts w:hint="default" w:ascii="Times New Roman" w:hAnsi="Times New Roman" w:cs="Times New Roman"/>
                      <w:color w:val="auto"/>
                    </w:rPr>
                  </w:pPr>
                </w:p>
              </w:tc>
              <w:tc>
                <w:tcPr>
                  <w:tcW w:w="1312" w:type="pct"/>
                  <w:vMerge w:val="restart"/>
                  <w:vAlign w:val="center"/>
                </w:tcPr>
                <w:p w14:paraId="79F8F5E5">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压铸车间</w:t>
                  </w:r>
                  <w:r>
                    <w:rPr>
                      <w:rFonts w:hint="default" w:ascii="Times New Roman" w:hAnsi="Times New Roman" w:cs="Times New Roman"/>
                      <w:color w:val="auto"/>
                      <w:sz w:val="21"/>
                      <w:szCs w:val="21"/>
                      <w:lang w:val="en-US" w:eastAsia="zh-CN"/>
                    </w:rPr>
                    <w:t>保温炉天然气燃烧</w:t>
                  </w:r>
                  <w:r>
                    <w:rPr>
                      <w:rFonts w:hint="default" w:ascii="Times New Roman" w:hAnsi="Times New Roman" w:cs="Times New Roman"/>
                      <w:color w:val="auto"/>
                    </w:rPr>
                    <w:t>废气</w:t>
                  </w:r>
                  <w:r>
                    <w:rPr>
                      <w:rFonts w:hint="default" w:ascii="Times New Roman" w:hAnsi="Times New Roman" w:cs="Times New Roman"/>
                      <w:color w:val="auto"/>
                      <w:lang w:eastAsia="zh-CN"/>
                    </w:rPr>
                    <w:t>排气筒</w:t>
                  </w:r>
                </w:p>
                <w:p w14:paraId="2A576DEB">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DA004</w:t>
                  </w:r>
                </w:p>
              </w:tc>
              <w:tc>
                <w:tcPr>
                  <w:tcW w:w="1168" w:type="pct"/>
                  <w:vAlign w:val="center"/>
                </w:tcPr>
                <w:p w14:paraId="00AE2511">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572" w:type="pct"/>
                  <w:vMerge w:val="restart"/>
                  <w:vAlign w:val="center"/>
                </w:tcPr>
                <w:p w14:paraId="6FD0F48E">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1次/年</w:t>
                  </w:r>
                </w:p>
              </w:tc>
              <w:tc>
                <w:tcPr>
                  <w:tcW w:w="1726" w:type="pct"/>
                  <w:vMerge w:val="restart"/>
                  <w:vAlign w:val="center"/>
                </w:tcPr>
                <w:p w14:paraId="1BEE7D84">
                  <w:pPr>
                    <w:pStyle w:val="39"/>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3D49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1505670D">
                  <w:pPr>
                    <w:pStyle w:val="39"/>
                    <w:spacing w:before="0" w:beforeAutospacing="0" w:after="0" w:afterAutospacing="0"/>
                    <w:rPr>
                      <w:rFonts w:hint="default" w:ascii="Times New Roman" w:hAnsi="Times New Roman" w:cs="Times New Roman"/>
                      <w:color w:val="auto"/>
                    </w:rPr>
                  </w:pPr>
                </w:p>
              </w:tc>
              <w:tc>
                <w:tcPr>
                  <w:tcW w:w="1312" w:type="pct"/>
                  <w:vMerge w:val="continue"/>
                  <w:vAlign w:val="center"/>
                </w:tcPr>
                <w:p w14:paraId="47E490D1">
                  <w:pPr>
                    <w:pStyle w:val="39"/>
                    <w:spacing w:before="0" w:beforeAutospacing="0" w:after="0" w:afterAutospacing="0"/>
                    <w:rPr>
                      <w:rFonts w:hint="default" w:ascii="Times New Roman" w:hAnsi="Times New Roman" w:cs="Times New Roman"/>
                      <w:color w:val="auto"/>
                    </w:rPr>
                  </w:pPr>
                </w:p>
              </w:tc>
              <w:tc>
                <w:tcPr>
                  <w:tcW w:w="1168" w:type="pct"/>
                  <w:vAlign w:val="center"/>
                </w:tcPr>
                <w:p w14:paraId="44634C5A">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二氧化硫</w:t>
                  </w:r>
                </w:p>
              </w:tc>
              <w:tc>
                <w:tcPr>
                  <w:tcW w:w="572" w:type="pct"/>
                  <w:vMerge w:val="continue"/>
                  <w:vAlign w:val="center"/>
                </w:tcPr>
                <w:p w14:paraId="69669F54">
                  <w:pPr>
                    <w:pStyle w:val="39"/>
                    <w:spacing w:before="0" w:beforeAutospacing="0" w:after="0" w:afterAutospacing="0"/>
                    <w:rPr>
                      <w:rFonts w:hint="default" w:ascii="Times New Roman" w:hAnsi="Times New Roman" w:cs="Times New Roman"/>
                      <w:color w:val="auto"/>
                    </w:rPr>
                  </w:pPr>
                </w:p>
              </w:tc>
              <w:tc>
                <w:tcPr>
                  <w:tcW w:w="1726" w:type="pct"/>
                  <w:vMerge w:val="continue"/>
                  <w:vAlign w:val="center"/>
                </w:tcPr>
                <w:p w14:paraId="109A7B67">
                  <w:pPr>
                    <w:pStyle w:val="39"/>
                    <w:spacing w:before="0" w:beforeAutospacing="0" w:after="0" w:afterAutospacing="0"/>
                    <w:rPr>
                      <w:rFonts w:hint="default" w:ascii="Times New Roman" w:hAnsi="Times New Roman" w:cs="Times New Roman"/>
                      <w:color w:val="auto"/>
                      <w:spacing w:val="8"/>
                      <w:sz w:val="21"/>
                      <w:szCs w:val="21"/>
                    </w:rPr>
                  </w:pPr>
                </w:p>
              </w:tc>
            </w:tr>
            <w:tr w14:paraId="7360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00BD2BF9">
                  <w:pPr>
                    <w:pStyle w:val="39"/>
                    <w:spacing w:before="0" w:beforeAutospacing="0" w:after="0" w:afterAutospacing="0"/>
                    <w:rPr>
                      <w:rFonts w:hint="default" w:ascii="Times New Roman" w:hAnsi="Times New Roman" w:cs="Times New Roman"/>
                      <w:color w:val="auto"/>
                    </w:rPr>
                  </w:pPr>
                </w:p>
              </w:tc>
              <w:tc>
                <w:tcPr>
                  <w:tcW w:w="1312" w:type="pct"/>
                  <w:vMerge w:val="continue"/>
                  <w:vAlign w:val="center"/>
                </w:tcPr>
                <w:p w14:paraId="5D4226D4">
                  <w:pPr>
                    <w:pStyle w:val="39"/>
                    <w:spacing w:before="0" w:beforeAutospacing="0" w:after="0" w:afterAutospacing="0"/>
                    <w:rPr>
                      <w:rFonts w:hint="default" w:ascii="Times New Roman" w:hAnsi="Times New Roman" w:cs="Times New Roman"/>
                      <w:color w:val="auto"/>
                    </w:rPr>
                  </w:pPr>
                </w:p>
              </w:tc>
              <w:tc>
                <w:tcPr>
                  <w:tcW w:w="1168" w:type="pct"/>
                  <w:vAlign w:val="center"/>
                </w:tcPr>
                <w:p w14:paraId="319F645C">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氮氧化物</w:t>
                  </w:r>
                </w:p>
              </w:tc>
              <w:tc>
                <w:tcPr>
                  <w:tcW w:w="572" w:type="pct"/>
                  <w:vMerge w:val="continue"/>
                  <w:vAlign w:val="center"/>
                </w:tcPr>
                <w:p w14:paraId="7C109EE7">
                  <w:pPr>
                    <w:pStyle w:val="39"/>
                    <w:spacing w:before="0" w:beforeAutospacing="0" w:after="0" w:afterAutospacing="0"/>
                    <w:rPr>
                      <w:rFonts w:hint="default" w:ascii="Times New Roman" w:hAnsi="Times New Roman" w:cs="Times New Roman"/>
                      <w:color w:val="auto"/>
                    </w:rPr>
                  </w:pPr>
                </w:p>
              </w:tc>
              <w:tc>
                <w:tcPr>
                  <w:tcW w:w="1726" w:type="pct"/>
                  <w:vMerge w:val="continue"/>
                  <w:vAlign w:val="center"/>
                </w:tcPr>
                <w:p w14:paraId="4F9814F2">
                  <w:pPr>
                    <w:pStyle w:val="39"/>
                    <w:spacing w:before="0" w:beforeAutospacing="0" w:after="0" w:afterAutospacing="0"/>
                    <w:rPr>
                      <w:rFonts w:hint="default" w:ascii="Times New Roman" w:hAnsi="Times New Roman" w:cs="Times New Roman"/>
                      <w:color w:val="auto"/>
                      <w:spacing w:val="8"/>
                      <w:sz w:val="21"/>
                      <w:szCs w:val="21"/>
                    </w:rPr>
                  </w:pPr>
                </w:p>
              </w:tc>
            </w:tr>
            <w:tr w14:paraId="6491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336DF487">
                  <w:pPr>
                    <w:pStyle w:val="39"/>
                    <w:spacing w:before="0" w:beforeAutospacing="0" w:after="0" w:afterAutospacing="0"/>
                    <w:rPr>
                      <w:rFonts w:hint="default" w:ascii="Times New Roman" w:hAnsi="Times New Roman" w:cs="Times New Roman"/>
                      <w:color w:val="auto"/>
                    </w:rPr>
                  </w:pPr>
                </w:p>
              </w:tc>
              <w:tc>
                <w:tcPr>
                  <w:tcW w:w="1312" w:type="pct"/>
                  <w:vAlign w:val="center"/>
                </w:tcPr>
                <w:p w14:paraId="626A04D5">
                  <w:pPr>
                    <w:pStyle w:val="39"/>
                    <w:spacing w:before="0" w:beforeAutospacing="0" w:after="0" w:afterAutospacing="0"/>
                    <w:rPr>
                      <w:rFonts w:hint="default" w:ascii="Times New Roman" w:hAnsi="Times New Roman" w:cs="Times New Roman"/>
                      <w:color w:val="auto"/>
                      <w:lang w:val="en-US"/>
                    </w:rPr>
                  </w:pPr>
                  <w:r>
                    <w:rPr>
                      <w:rFonts w:hint="default" w:ascii="Times New Roman" w:hAnsi="Times New Roman" w:cs="Times New Roman"/>
                      <w:color w:val="auto"/>
                      <w:lang w:val="en-US" w:eastAsia="zh-CN"/>
                    </w:rPr>
                    <w:t>铸锭打磨废气排气筒DA00</w:t>
                  </w:r>
                  <w:r>
                    <w:rPr>
                      <w:rFonts w:hint="default" w:ascii="Times New Roman" w:hAnsi="Times New Roman" w:cs="Times New Roman"/>
                      <w:color w:val="auto"/>
                      <w:lang w:val="en-US" w:eastAsia="zh-CN"/>
                    </w:rPr>
                    <w:t>5</w:t>
                  </w:r>
                </w:p>
              </w:tc>
              <w:tc>
                <w:tcPr>
                  <w:tcW w:w="1168" w:type="pct"/>
                  <w:vAlign w:val="center"/>
                </w:tcPr>
                <w:p w14:paraId="2DDF30FA">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572" w:type="pct"/>
                  <w:vAlign w:val="center"/>
                </w:tcPr>
                <w:p w14:paraId="00982EEF">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1次/年</w:t>
                  </w:r>
                </w:p>
              </w:tc>
              <w:tc>
                <w:tcPr>
                  <w:tcW w:w="1726" w:type="pct"/>
                  <w:vAlign w:val="center"/>
                </w:tcPr>
                <w:p w14:paraId="7D9039ED">
                  <w:pPr>
                    <w:pStyle w:val="39"/>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5AB5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24E32AF1">
                  <w:pPr>
                    <w:pStyle w:val="39"/>
                    <w:spacing w:before="0" w:beforeAutospacing="0" w:after="0" w:afterAutospacing="0"/>
                    <w:rPr>
                      <w:rFonts w:hint="default" w:ascii="Times New Roman" w:hAnsi="Times New Roman" w:cs="Times New Roman"/>
                      <w:color w:val="auto"/>
                    </w:rPr>
                  </w:pPr>
                </w:p>
              </w:tc>
              <w:tc>
                <w:tcPr>
                  <w:tcW w:w="1312" w:type="pct"/>
                  <w:vAlign w:val="center"/>
                </w:tcPr>
                <w:p w14:paraId="3DFD1488">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厂区内合金锭车间外监测点</w:t>
                  </w:r>
                </w:p>
              </w:tc>
              <w:tc>
                <w:tcPr>
                  <w:tcW w:w="1168" w:type="pct"/>
                  <w:vAlign w:val="center"/>
                </w:tcPr>
                <w:p w14:paraId="684FC609">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572" w:type="pct"/>
                  <w:vAlign w:val="center"/>
                </w:tcPr>
                <w:p w14:paraId="0B1A230D">
                  <w:pPr>
                    <w:pStyle w:val="39"/>
                    <w:spacing w:before="0" w:beforeAutospacing="0" w:after="0" w:afterAutospacing="0"/>
                    <w:ind w:firstLine="0" w:firstLineChars="0"/>
                    <w:rPr>
                      <w:rFonts w:hint="default" w:ascii="Times New Roman" w:hAnsi="Times New Roman" w:cs="Times New Roman"/>
                      <w:color w:val="auto"/>
                    </w:rPr>
                  </w:pPr>
                  <w:r>
                    <w:rPr>
                      <w:rFonts w:hint="default" w:ascii="Times New Roman" w:hAnsi="Times New Roman" w:cs="Times New Roman"/>
                      <w:color w:val="auto"/>
                    </w:rPr>
                    <w:t>1次/年</w:t>
                  </w:r>
                </w:p>
              </w:tc>
              <w:tc>
                <w:tcPr>
                  <w:tcW w:w="1726" w:type="pct"/>
                  <w:vAlign w:val="center"/>
                </w:tcPr>
                <w:p w14:paraId="37A8A0EB">
                  <w:pPr>
                    <w:pStyle w:val="39"/>
                    <w:spacing w:before="0" w:beforeAutospacing="0" w:after="0" w:afterAutospacing="0"/>
                    <w:ind w:firstLine="0" w:firstLineChars="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02A3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62324857">
                  <w:pPr>
                    <w:pStyle w:val="39"/>
                    <w:spacing w:before="0" w:beforeAutospacing="0" w:after="0" w:afterAutospacing="0"/>
                    <w:rPr>
                      <w:rFonts w:hint="default" w:ascii="Times New Roman" w:hAnsi="Times New Roman" w:cs="Times New Roman"/>
                      <w:color w:val="auto"/>
                    </w:rPr>
                  </w:pPr>
                </w:p>
              </w:tc>
              <w:tc>
                <w:tcPr>
                  <w:tcW w:w="1312" w:type="pct"/>
                  <w:vAlign w:val="center"/>
                </w:tcPr>
                <w:p w14:paraId="02CE4440">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厂区内压铸车间外监测点</w:t>
                  </w:r>
                </w:p>
              </w:tc>
              <w:tc>
                <w:tcPr>
                  <w:tcW w:w="1168" w:type="pct"/>
                  <w:vAlign w:val="center"/>
                </w:tcPr>
                <w:p w14:paraId="1B0F9A8B">
                  <w:pPr>
                    <w:pStyle w:val="39"/>
                    <w:spacing w:before="0" w:beforeAutospacing="0" w:after="0" w:afterAutospacing="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颗粒物、非甲烷总烃</w:t>
                  </w:r>
                </w:p>
              </w:tc>
              <w:tc>
                <w:tcPr>
                  <w:tcW w:w="572" w:type="pct"/>
                  <w:vAlign w:val="center"/>
                </w:tcPr>
                <w:p w14:paraId="03E4DA26">
                  <w:pPr>
                    <w:pStyle w:val="39"/>
                    <w:spacing w:before="0" w:beforeAutospacing="0" w:after="0" w:afterAutospacing="0"/>
                    <w:ind w:firstLine="0" w:firstLineChars="0"/>
                    <w:rPr>
                      <w:rFonts w:hint="default" w:ascii="Times New Roman" w:hAnsi="Times New Roman" w:cs="Times New Roman"/>
                      <w:color w:val="auto"/>
                    </w:rPr>
                  </w:pPr>
                  <w:r>
                    <w:rPr>
                      <w:rFonts w:hint="default" w:ascii="Times New Roman" w:hAnsi="Times New Roman" w:cs="Times New Roman"/>
                      <w:color w:val="auto"/>
                    </w:rPr>
                    <w:t>1次/年</w:t>
                  </w:r>
                </w:p>
              </w:tc>
              <w:tc>
                <w:tcPr>
                  <w:tcW w:w="1726" w:type="pct"/>
                  <w:vAlign w:val="center"/>
                </w:tcPr>
                <w:p w14:paraId="50A5FCD7">
                  <w:pPr>
                    <w:pStyle w:val="39"/>
                    <w:spacing w:before="0" w:beforeAutospacing="0" w:after="0" w:afterAutospacing="0"/>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《铸造工业大气污染物排</w:t>
                  </w:r>
                  <w:r>
                    <w:rPr>
                      <w:rFonts w:hint="default" w:ascii="Times New Roman" w:hAnsi="Times New Roman" w:cs="Times New Roman"/>
                      <w:color w:val="auto"/>
                      <w:spacing w:val="-2"/>
                      <w:sz w:val="21"/>
                      <w:szCs w:val="21"/>
                    </w:rPr>
                    <w:t>放标准》（</w:t>
                  </w:r>
                  <w:r>
                    <w:rPr>
                      <w:rFonts w:hint="default" w:ascii="Times New Roman" w:hAnsi="Times New Roman" w:eastAsia="Times New Roman" w:cs="Times New Roman"/>
                      <w:color w:val="auto"/>
                      <w:spacing w:val="-2"/>
                      <w:sz w:val="21"/>
                      <w:szCs w:val="21"/>
                    </w:rPr>
                    <w:t>GB39726-2020</w:t>
                  </w:r>
                  <w:r>
                    <w:rPr>
                      <w:rFonts w:hint="default" w:ascii="Times New Roman" w:hAnsi="Times New Roman" w:cs="Times New Roman"/>
                      <w:color w:val="auto"/>
                      <w:spacing w:val="-2"/>
                      <w:sz w:val="21"/>
                      <w:szCs w:val="21"/>
                    </w:rPr>
                    <w:t>）</w:t>
                  </w:r>
                </w:p>
              </w:tc>
            </w:tr>
            <w:tr w14:paraId="21AE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0" w:hRule="atLeast"/>
                <w:jc w:val="center"/>
              </w:trPr>
              <w:tc>
                <w:tcPr>
                  <w:tcW w:w="219" w:type="pct"/>
                  <w:vMerge w:val="continue"/>
                  <w:vAlign w:val="center"/>
                </w:tcPr>
                <w:p w14:paraId="6586D84A">
                  <w:pPr>
                    <w:pStyle w:val="39"/>
                    <w:spacing w:before="0" w:beforeAutospacing="0" w:after="0" w:afterAutospacing="0"/>
                    <w:rPr>
                      <w:rFonts w:hint="default" w:ascii="Times New Roman" w:hAnsi="Times New Roman" w:cs="Times New Roman"/>
                      <w:color w:val="auto"/>
                    </w:rPr>
                  </w:pPr>
                </w:p>
              </w:tc>
              <w:tc>
                <w:tcPr>
                  <w:tcW w:w="1312" w:type="pct"/>
                  <w:vAlign w:val="center"/>
                </w:tcPr>
                <w:p w14:paraId="7E23AE18">
                  <w:pPr>
                    <w:pStyle w:val="39"/>
                    <w:spacing w:before="0" w:beforeAutospacing="0" w:after="0" w:afterAutospacing="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厂界</w:t>
                  </w:r>
                  <w:r>
                    <w:rPr>
                      <w:rFonts w:hint="default" w:ascii="Times New Roman" w:hAnsi="Times New Roman" w:cs="Times New Roman"/>
                      <w:color w:val="auto"/>
                      <w:lang w:eastAsia="zh-CN"/>
                    </w:rPr>
                    <w:t>外10m处上风向布设1 个监测点位，下风向布设3个监控点，共布设4个监测点位</w:t>
                  </w:r>
                </w:p>
              </w:tc>
              <w:tc>
                <w:tcPr>
                  <w:tcW w:w="1168" w:type="pct"/>
                  <w:vAlign w:val="center"/>
                </w:tcPr>
                <w:p w14:paraId="2DCCDD5C">
                  <w:pPr>
                    <w:pStyle w:val="39"/>
                    <w:spacing w:before="0" w:beforeAutospacing="0" w:after="0" w:afterAutospacing="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颗粒物、非甲烷总烃</w:t>
                  </w:r>
                </w:p>
              </w:tc>
              <w:tc>
                <w:tcPr>
                  <w:tcW w:w="572" w:type="pct"/>
                  <w:vAlign w:val="center"/>
                </w:tcPr>
                <w:p w14:paraId="6054E7B4">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rPr>
                    <w:t>1次/年</w:t>
                  </w:r>
                </w:p>
              </w:tc>
              <w:tc>
                <w:tcPr>
                  <w:tcW w:w="1726" w:type="pct"/>
                  <w:vAlign w:val="center"/>
                </w:tcPr>
                <w:p w14:paraId="2C0F94A9">
                  <w:pPr>
                    <w:pStyle w:val="39"/>
                    <w:spacing w:before="0" w:beforeAutospacing="0" w:after="0" w:afterAutospacing="0"/>
                    <w:rPr>
                      <w:rFonts w:hint="default" w:ascii="Times New Roman" w:hAnsi="Times New Roman" w:cs="Times New Roman"/>
                      <w:color w:val="auto"/>
                    </w:rPr>
                  </w:pPr>
                  <w:r>
                    <w:rPr>
                      <w:rFonts w:hint="default" w:ascii="Times New Roman" w:hAnsi="Times New Roman" w:cs="Times New Roman"/>
                      <w:color w:val="auto"/>
                      <w:spacing w:val="8"/>
                      <w:sz w:val="21"/>
                      <w:szCs w:val="21"/>
                    </w:rPr>
                    <w:t>《大气污染物综合排放标</w:t>
                  </w:r>
                  <w:r>
                    <w:rPr>
                      <w:rFonts w:hint="default" w:ascii="Times New Roman" w:hAnsi="Times New Roman" w:cs="Times New Roman"/>
                      <w:color w:val="auto"/>
                      <w:spacing w:val="5"/>
                      <w:sz w:val="21"/>
                      <w:szCs w:val="21"/>
                    </w:rPr>
                    <w:t>准》（</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5"/>
                      <w:sz w:val="21"/>
                      <w:szCs w:val="21"/>
                    </w:rPr>
                    <w:t>16297-1996</w:t>
                  </w:r>
                  <w:r>
                    <w:rPr>
                      <w:rFonts w:hint="default" w:ascii="Times New Roman" w:hAnsi="Times New Roman" w:cs="Times New Roman"/>
                      <w:color w:val="auto"/>
                      <w:spacing w:val="5"/>
                      <w:sz w:val="21"/>
                      <w:szCs w:val="21"/>
                    </w:rPr>
                    <w:t>）</w:t>
                  </w:r>
                </w:p>
              </w:tc>
            </w:tr>
          </w:tbl>
          <w:p w14:paraId="70C75BBF">
            <w:pPr>
              <w:pStyle w:val="66"/>
              <w:numPr>
                <w:ilvl w:val="0"/>
                <w:numId w:val="0"/>
              </w:numPr>
              <w:spacing w:before="167" w:line="360" w:lineRule="auto"/>
              <w:ind w:leftChars="200"/>
              <w:jc w:val="left"/>
              <w:rPr>
                <w:rFonts w:hint="default" w:ascii="Times New Roman" w:hAnsi="Times New Roman" w:eastAsia="黑体" w:cs="Times New Roman"/>
                <w:color w:val="auto"/>
                <w:spacing w:val="1"/>
                <w:highlight w:val="none"/>
                <w:lang w:val="en-US" w:eastAsia="zh-CN"/>
              </w:rPr>
            </w:pPr>
            <w:r>
              <w:rPr>
                <w:rFonts w:hint="default" w:ascii="Times New Roman" w:hAnsi="Times New Roman" w:eastAsia="黑体" w:cs="Times New Roman"/>
                <w:color w:val="auto"/>
                <w:spacing w:val="1"/>
                <w:highlight w:val="none"/>
                <w:lang w:val="en-US" w:eastAsia="zh-CN"/>
              </w:rPr>
              <w:t>7、大气影响分析小节</w:t>
            </w:r>
          </w:p>
          <w:p w14:paraId="649CC861">
            <w:pPr>
              <w:ind w:firstLine="480"/>
              <w:rPr>
                <w:rFonts w:hint="default" w:ascii="Times New Roman" w:hAnsi="Times New Roman" w:cs="Times New Roman"/>
                <w:color w:val="auto"/>
              </w:rPr>
            </w:pPr>
            <w:r>
              <w:rPr>
                <w:rFonts w:hint="default" w:ascii="Times New Roman" w:hAnsi="Times New Roman" w:cs="Times New Roman"/>
                <w:color w:val="auto"/>
                <w:lang w:bidi="ar"/>
              </w:rPr>
              <w:t>根据以上分析，</w:t>
            </w:r>
            <w:r>
              <w:rPr>
                <w:rFonts w:hint="default" w:ascii="Times New Roman" w:hAnsi="Times New Roman" w:cs="Times New Roman"/>
                <w:color w:val="auto"/>
                <w:lang w:val="en-US" w:eastAsia="zh-CN" w:bidi="ar"/>
              </w:rPr>
              <w:t>本项目废气</w:t>
            </w:r>
            <w:r>
              <w:rPr>
                <w:rFonts w:hint="default" w:ascii="Times New Roman" w:hAnsi="Times New Roman" w:cs="Times New Roman"/>
                <w:color w:val="auto"/>
                <w:lang w:bidi="ar"/>
              </w:rPr>
              <w:t>均可达标排放，对周边大气环境影响较小，对周围环境及敏感保护目标的影响可以接受。</w:t>
            </w:r>
          </w:p>
          <w:p w14:paraId="693B94F1">
            <w:pPr>
              <w:pStyle w:val="8"/>
              <w:spacing w:after="120"/>
              <w:rPr>
                <w:rFonts w:hint="default" w:ascii="Times New Roman" w:hAnsi="Times New Roman" w:cs="Times New Roman"/>
                <w:color w:val="auto"/>
              </w:rPr>
            </w:pPr>
            <w:r>
              <w:rPr>
                <w:rFonts w:hint="default" w:ascii="Times New Roman" w:hAnsi="Times New Roman" w:cs="Times New Roman"/>
                <w:color w:val="auto"/>
                <w:lang w:val="en-US" w:eastAsia="zh-CN"/>
              </w:rPr>
              <w:t>二</w:t>
            </w:r>
            <w:r>
              <w:rPr>
                <w:rFonts w:hint="default" w:ascii="Times New Roman" w:hAnsi="Times New Roman" w:cs="Times New Roman"/>
                <w:color w:val="auto"/>
              </w:rPr>
              <w:t>、水环境</w:t>
            </w:r>
          </w:p>
          <w:p w14:paraId="37DF04CA">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1.废水排放源强</w:t>
            </w:r>
          </w:p>
          <w:p w14:paraId="54B91487">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根据前文水平衡分析，</w:t>
            </w:r>
            <w:r>
              <w:rPr>
                <w:rFonts w:hint="default" w:ascii="Times New Roman" w:hAnsi="Times New Roman" w:cs="Times New Roman"/>
                <w:color w:val="auto"/>
              </w:rPr>
              <w:t>项目</w:t>
            </w:r>
            <w:r>
              <w:rPr>
                <w:rFonts w:hint="default" w:ascii="Times New Roman" w:hAnsi="Times New Roman" w:cs="Times New Roman"/>
                <w:color w:val="auto"/>
                <w:lang w:val="en-US" w:eastAsia="zh-CN"/>
              </w:rPr>
              <w:t>脱硫废水、水浴除尘废水经沉淀清渣后循环利用，冷却排水用于厂区道路洒水抑尘，</w:t>
            </w:r>
            <w:r>
              <w:rPr>
                <w:rFonts w:hint="default" w:ascii="Times New Roman" w:hAnsi="Times New Roman" w:cs="Times New Roman"/>
                <w:color w:val="auto"/>
              </w:rPr>
              <w:t>运营期</w:t>
            </w:r>
            <w:r>
              <w:rPr>
                <w:rFonts w:hint="default" w:ascii="Times New Roman" w:hAnsi="Times New Roman" w:cs="Times New Roman"/>
                <w:color w:val="auto"/>
                <w:lang w:val="en-US" w:eastAsia="zh-CN"/>
              </w:rPr>
              <w:t>生产</w:t>
            </w:r>
            <w:r>
              <w:rPr>
                <w:rFonts w:hint="default" w:ascii="Times New Roman" w:hAnsi="Times New Roman" w:cs="Times New Roman"/>
                <w:color w:val="auto"/>
              </w:rPr>
              <w:t>废水</w:t>
            </w:r>
            <w:r>
              <w:rPr>
                <w:rFonts w:hint="default" w:ascii="Times New Roman" w:hAnsi="Times New Roman" w:cs="Times New Roman"/>
                <w:color w:val="auto"/>
                <w:lang w:val="en-US" w:eastAsia="zh-CN"/>
              </w:rPr>
              <w:t>全部综合利用，不排放，排放废水为生活污水。生活污水经厂区化粪池处理后排入榆佳经济技术开发区（园区）污水处理厂，属于间接排放，排放口编号DW001。</w:t>
            </w:r>
          </w:p>
          <w:p w14:paraId="3DFB39FC">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项目废水产排源强见下表。</w:t>
            </w:r>
          </w:p>
          <w:p w14:paraId="20B5C333">
            <w:pPr>
              <w:spacing w:before="177" w:line="229" w:lineRule="auto"/>
              <w:ind w:left="0" w:leftChars="0" w:firstLine="0" w:firstLineChars="0"/>
              <w:jc w:val="center"/>
              <w:rPr>
                <w:rFonts w:hint="default" w:ascii="Times New Roman" w:hAnsi="Times New Roman" w:eastAsia="黑体" w:cs="Times New Roman"/>
                <w:color w:val="auto"/>
                <w:sz w:val="20"/>
                <w:szCs w:val="20"/>
              </w:rPr>
            </w:pPr>
            <w:r>
              <w:rPr>
                <w:rFonts w:hint="default" w:ascii="Times New Roman" w:hAnsi="Times New Roman" w:eastAsia="黑体" w:cs="Times New Roman"/>
                <w:color w:val="auto"/>
                <w:spacing w:val="1"/>
                <w:sz w:val="24"/>
                <w:szCs w:val="24"/>
              </w:rPr>
              <w:t>表</w:t>
            </w:r>
            <w:r>
              <w:rPr>
                <w:rFonts w:hint="default" w:ascii="Times New Roman" w:hAnsi="Times New Roman" w:eastAsia="黑体" w:cs="Times New Roman"/>
                <w:color w:val="auto"/>
                <w:spacing w:val="-39"/>
                <w:sz w:val="24"/>
                <w:szCs w:val="24"/>
              </w:rPr>
              <w:t xml:space="preserve"> </w:t>
            </w:r>
            <w:r>
              <w:rPr>
                <w:rFonts w:hint="default" w:ascii="Times New Roman" w:hAnsi="Times New Roman" w:eastAsia="宋体" w:cs="Times New Roman"/>
                <w:color w:val="auto"/>
                <w:spacing w:val="1"/>
                <w:sz w:val="24"/>
                <w:szCs w:val="24"/>
                <w:lang w:val="en-US" w:eastAsia="zh-CN"/>
              </w:rPr>
              <w:t>4-</w:t>
            </w:r>
            <w:r>
              <w:rPr>
                <w:rFonts w:hint="default" w:ascii="Times New Roman" w:hAnsi="Times New Roman" w:cs="Times New Roman"/>
                <w:color w:val="auto"/>
                <w:spacing w:val="1"/>
                <w:sz w:val="24"/>
                <w:szCs w:val="24"/>
                <w:lang w:val="en-US" w:eastAsia="zh-CN"/>
              </w:rPr>
              <w:t>10</w:t>
            </w:r>
            <w:r>
              <w:rPr>
                <w:rFonts w:hint="default" w:ascii="Times New Roman" w:hAnsi="Times New Roman" w:eastAsia="Times New Roman" w:cs="Times New Roman"/>
                <w:color w:val="auto"/>
                <w:spacing w:val="15"/>
                <w:w w:val="101"/>
                <w:sz w:val="24"/>
                <w:szCs w:val="24"/>
              </w:rPr>
              <w:t xml:space="preserve">  </w:t>
            </w:r>
            <w:r>
              <w:rPr>
                <w:rFonts w:hint="default" w:ascii="Times New Roman" w:hAnsi="Times New Roman" w:eastAsia="黑体" w:cs="Times New Roman"/>
                <w:color w:val="auto"/>
                <w:spacing w:val="1"/>
                <w:sz w:val="24"/>
                <w:szCs w:val="24"/>
              </w:rPr>
              <w:t>废水污染源源强核算结果及相关参数一览表</w:t>
            </w:r>
          </w:p>
          <w:p w14:paraId="0C3880A1">
            <w:pPr>
              <w:spacing w:line="129" w:lineRule="exact"/>
              <w:jc w:val="center"/>
              <w:rPr>
                <w:rFonts w:hint="default" w:ascii="Times New Roman" w:hAnsi="Times New Roman" w:cs="Times New Roman"/>
                <w:color w:val="auto"/>
              </w:rPr>
            </w:pPr>
          </w:p>
          <w:tbl>
            <w:tblPr>
              <w:tblStyle w:val="67"/>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904"/>
              <w:gridCol w:w="714"/>
              <w:gridCol w:w="969"/>
              <w:gridCol w:w="882"/>
              <w:gridCol w:w="666"/>
              <w:gridCol w:w="750"/>
              <w:gridCol w:w="1017"/>
              <w:gridCol w:w="986"/>
              <w:gridCol w:w="970"/>
            </w:tblGrid>
            <w:tr w14:paraId="67922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17" w:type="pct"/>
                  <w:vMerge w:val="restart"/>
                  <w:tcBorders>
                    <w:bottom w:val="nil"/>
                  </w:tcBorders>
                  <w:vAlign w:val="center"/>
                </w:tcPr>
                <w:p w14:paraId="53B7E333">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污染源</w:t>
                  </w:r>
                </w:p>
              </w:tc>
              <w:tc>
                <w:tcPr>
                  <w:tcW w:w="527" w:type="pct"/>
                  <w:vMerge w:val="restart"/>
                  <w:tcBorders>
                    <w:bottom w:val="nil"/>
                  </w:tcBorders>
                  <w:vAlign w:val="center"/>
                </w:tcPr>
                <w:p w14:paraId="02077B63">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废水量</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1"/>
                      <w:sz w:val="21"/>
                      <w:szCs w:val="21"/>
                    </w:rPr>
                    <w:t>（</w:t>
                  </w:r>
                  <w:r>
                    <w:rPr>
                      <w:rFonts w:hint="default" w:ascii="Times New Roman" w:hAnsi="Times New Roman" w:eastAsia="Times New Roman" w:cs="Times New Roman"/>
                      <w:color w:val="auto"/>
                      <w:spacing w:val="-1"/>
                      <w:sz w:val="21"/>
                      <w:szCs w:val="21"/>
                    </w:rPr>
                    <w:t>m</w:t>
                  </w:r>
                  <w:r>
                    <w:rPr>
                      <w:rFonts w:hint="default" w:ascii="Times New Roman" w:hAnsi="Times New Roman" w:eastAsia="宋体" w:cs="Times New Roman"/>
                      <w:color w:val="auto"/>
                      <w:spacing w:val="-1"/>
                      <w:sz w:val="21"/>
                      <w:szCs w:val="21"/>
                      <w:vertAlign w:val="superscript"/>
                      <w:lang w:val="en-US" w:eastAsia="zh-CN"/>
                    </w:rPr>
                    <w:t>3</w:t>
                  </w:r>
                  <w:r>
                    <w:rPr>
                      <w:rFonts w:hint="default" w:ascii="Times New Roman" w:hAnsi="Times New Roman" w:eastAsia="Times New Roman" w:cs="Times New Roman"/>
                      <w:color w:val="auto"/>
                      <w:spacing w:val="-1"/>
                      <w:sz w:val="21"/>
                      <w:szCs w:val="21"/>
                    </w:rPr>
                    <w:t>/d</w:t>
                  </w:r>
                  <w:r>
                    <w:rPr>
                      <w:rFonts w:hint="default" w:ascii="Times New Roman" w:hAnsi="Times New Roman" w:cs="Times New Roman"/>
                      <w:color w:val="auto"/>
                      <w:spacing w:val="-1"/>
                      <w:sz w:val="21"/>
                      <w:szCs w:val="21"/>
                    </w:rPr>
                    <w:t>）</w:t>
                  </w:r>
                </w:p>
              </w:tc>
              <w:tc>
                <w:tcPr>
                  <w:tcW w:w="416" w:type="pct"/>
                  <w:vMerge w:val="restart"/>
                  <w:tcBorders>
                    <w:bottom w:val="nil"/>
                  </w:tcBorders>
                  <w:vAlign w:val="center"/>
                </w:tcPr>
                <w:p w14:paraId="1F32ED28">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污染物</w:t>
                  </w:r>
                </w:p>
              </w:tc>
              <w:tc>
                <w:tcPr>
                  <w:tcW w:w="1079" w:type="pct"/>
                  <w:gridSpan w:val="2"/>
                  <w:vAlign w:val="center"/>
                </w:tcPr>
                <w:p w14:paraId="5C7CDD20">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污染物产生</w:t>
                  </w:r>
                </w:p>
              </w:tc>
              <w:tc>
                <w:tcPr>
                  <w:tcW w:w="825" w:type="pct"/>
                  <w:gridSpan w:val="2"/>
                  <w:vAlign w:val="center"/>
                </w:tcPr>
                <w:p w14:paraId="7A3B8EBD">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治理措施</w:t>
                  </w:r>
                </w:p>
              </w:tc>
              <w:tc>
                <w:tcPr>
                  <w:tcW w:w="1168" w:type="pct"/>
                  <w:gridSpan w:val="2"/>
                  <w:vAlign w:val="center"/>
                </w:tcPr>
                <w:p w14:paraId="3637D081">
                  <w:pPr>
                    <w:pStyle w:val="66"/>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污染物排放</w:t>
                  </w:r>
                </w:p>
              </w:tc>
              <w:tc>
                <w:tcPr>
                  <w:tcW w:w="565" w:type="pct"/>
                  <w:vMerge w:val="restart"/>
                  <w:tcBorders>
                    <w:bottom w:val="nil"/>
                  </w:tcBorders>
                  <w:vAlign w:val="center"/>
                </w:tcPr>
                <w:p w14:paraId="24ADDEA5">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排放</w:t>
                  </w:r>
                  <w:r>
                    <w:rPr>
                      <w:rFonts w:hint="default" w:ascii="Times New Roman" w:hAnsi="Times New Roman" w:cs="Times New Roman"/>
                      <w:color w:val="auto"/>
                      <w:spacing w:val="3"/>
                      <w:sz w:val="21"/>
                      <w:szCs w:val="21"/>
                    </w:rPr>
                    <w:t>去向</w:t>
                  </w:r>
                </w:p>
              </w:tc>
            </w:tr>
            <w:tr w14:paraId="08260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417" w:type="pct"/>
                  <w:vMerge w:val="continue"/>
                  <w:tcBorders>
                    <w:top w:val="nil"/>
                  </w:tcBorders>
                  <w:vAlign w:val="center"/>
                </w:tcPr>
                <w:p w14:paraId="659535F4">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c>
                <w:tcPr>
                  <w:tcW w:w="527" w:type="pct"/>
                  <w:vMerge w:val="continue"/>
                  <w:tcBorders>
                    <w:top w:val="nil"/>
                  </w:tcBorders>
                  <w:vAlign w:val="center"/>
                </w:tcPr>
                <w:p w14:paraId="5161129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color w:val="auto"/>
                      <w:sz w:val="21"/>
                      <w:szCs w:val="21"/>
                    </w:rPr>
                  </w:pPr>
                </w:p>
              </w:tc>
              <w:tc>
                <w:tcPr>
                  <w:tcW w:w="416" w:type="pct"/>
                  <w:vMerge w:val="continue"/>
                  <w:tcBorders>
                    <w:top w:val="nil"/>
                  </w:tcBorders>
                  <w:vAlign w:val="center"/>
                </w:tcPr>
                <w:p w14:paraId="3F45B14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color w:val="auto"/>
                      <w:sz w:val="21"/>
                      <w:szCs w:val="21"/>
                    </w:rPr>
                  </w:pPr>
                </w:p>
              </w:tc>
              <w:tc>
                <w:tcPr>
                  <w:tcW w:w="565" w:type="pct"/>
                  <w:vAlign w:val="center"/>
                </w:tcPr>
                <w:p w14:paraId="104B4CB5">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产生浓度</w:t>
                  </w:r>
                  <w:r>
                    <w:rPr>
                      <w:rFonts w:hint="default" w:ascii="Times New Roman" w:hAnsi="Times New Roman" w:cs="Times New Roman"/>
                      <w:color w:val="auto"/>
                      <w:sz w:val="21"/>
                      <w:szCs w:val="21"/>
                    </w:rPr>
                    <w:t xml:space="preserve"> （</w:t>
                  </w:r>
                  <w:r>
                    <w:rPr>
                      <w:rFonts w:hint="default" w:ascii="Times New Roman" w:hAnsi="Times New Roman" w:eastAsia="Times New Roman" w:cs="Times New Roman"/>
                      <w:color w:val="auto"/>
                      <w:sz w:val="21"/>
                      <w:szCs w:val="21"/>
                    </w:rPr>
                    <w:t>mg/L</w:t>
                  </w:r>
                  <w:r>
                    <w:rPr>
                      <w:rFonts w:hint="default" w:ascii="Times New Roman" w:hAnsi="Times New Roman" w:cs="Times New Roman"/>
                      <w:color w:val="auto"/>
                      <w:sz w:val="21"/>
                      <w:szCs w:val="21"/>
                    </w:rPr>
                    <w:t>）</w:t>
                  </w:r>
                </w:p>
              </w:tc>
              <w:tc>
                <w:tcPr>
                  <w:tcW w:w="513" w:type="pct"/>
                  <w:vAlign w:val="center"/>
                </w:tcPr>
                <w:p w14:paraId="28227159">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产生量</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lang w:val="en-US" w:eastAsia="zh-CN"/>
                    </w:rPr>
                    <w:t>t/a</w:t>
                  </w:r>
                  <w:r>
                    <w:rPr>
                      <w:rFonts w:hint="default" w:ascii="Times New Roman" w:hAnsi="Times New Roman" w:cs="Times New Roman"/>
                      <w:color w:val="auto"/>
                      <w:sz w:val="21"/>
                      <w:szCs w:val="21"/>
                    </w:rPr>
                    <w:t>）</w:t>
                  </w:r>
                </w:p>
              </w:tc>
              <w:tc>
                <w:tcPr>
                  <w:tcW w:w="388" w:type="pct"/>
                  <w:vAlign w:val="center"/>
                </w:tcPr>
                <w:p w14:paraId="2B2DCBF3">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工艺</w:t>
                  </w:r>
                </w:p>
              </w:tc>
              <w:tc>
                <w:tcPr>
                  <w:tcW w:w="437" w:type="pct"/>
                  <w:vAlign w:val="center"/>
                </w:tcPr>
                <w:p w14:paraId="11EB03BB">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效率</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15"/>
                      <w:sz w:val="21"/>
                      <w:szCs w:val="21"/>
                    </w:rPr>
                    <w:t>（</w:t>
                  </w:r>
                  <w:r>
                    <w:rPr>
                      <w:rFonts w:hint="default" w:ascii="Times New Roman" w:hAnsi="Times New Roman" w:eastAsia="Times New Roman" w:cs="Times New Roman"/>
                      <w:color w:val="auto"/>
                      <w:spacing w:val="-15"/>
                      <w:sz w:val="21"/>
                      <w:szCs w:val="21"/>
                    </w:rPr>
                    <w:t>%</w:t>
                  </w:r>
                  <w:r>
                    <w:rPr>
                      <w:rFonts w:hint="default" w:ascii="Times New Roman" w:hAnsi="Times New Roman" w:cs="Times New Roman"/>
                      <w:color w:val="auto"/>
                      <w:spacing w:val="-15"/>
                      <w:sz w:val="21"/>
                      <w:szCs w:val="21"/>
                    </w:rPr>
                    <w:t>）</w:t>
                  </w:r>
                </w:p>
              </w:tc>
              <w:tc>
                <w:tcPr>
                  <w:tcW w:w="593" w:type="pct"/>
                  <w:vAlign w:val="center"/>
                </w:tcPr>
                <w:p w14:paraId="1E60479A">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排放浓度</w:t>
                  </w:r>
                  <w:r>
                    <w:rPr>
                      <w:rFonts w:hint="default" w:ascii="Times New Roman" w:hAnsi="Times New Roman" w:cs="Times New Roman"/>
                      <w:color w:val="auto"/>
                      <w:sz w:val="21"/>
                      <w:szCs w:val="21"/>
                    </w:rPr>
                    <w:t xml:space="preserve"> （</w:t>
                  </w:r>
                  <w:r>
                    <w:rPr>
                      <w:rFonts w:hint="default" w:ascii="Times New Roman" w:hAnsi="Times New Roman" w:eastAsia="Times New Roman" w:cs="Times New Roman"/>
                      <w:color w:val="auto"/>
                      <w:sz w:val="21"/>
                      <w:szCs w:val="21"/>
                    </w:rPr>
                    <w:t>mg/L</w:t>
                  </w:r>
                  <w:r>
                    <w:rPr>
                      <w:rFonts w:hint="default" w:ascii="Times New Roman" w:hAnsi="Times New Roman" w:cs="Times New Roman"/>
                      <w:color w:val="auto"/>
                      <w:sz w:val="21"/>
                      <w:szCs w:val="21"/>
                    </w:rPr>
                    <w:t>）</w:t>
                  </w:r>
                </w:p>
              </w:tc>
              <w:tc>
                <w:tcPr>
                  <w:tcW w:w="574" w:type="pct"/>
                  <w:vAlign w:val="center"/>
                </w:tcPr>
                <w:p w14:paraId="6CE52451">
                  <w:pPr>
                    <w:pStyle w:val="6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排放量</w:t>
                  </w:r>
                  <w:r>
                    <w:rPr>
                      <w:rFonts w:hint="default" w:ascii="Times New Roman" w:hAnsi="Times New Roman" w:cs="Times New Roman"/>
                      <w:color w:val="auto"/>
                      <w:spacing w:val="1"/>
                      <w:sz w:val="21"/>
                      <w:szCs w:val="21"/>
                    </w:rPr>
                    <w:t xml:space="preserve"> </w:t>
                  </w:r>
                  <w:r>
                    <w:rPr>
                      <w:rFonts w:hint="default" w:ascii="Times New Roman" w:hAnsi="Times New Roman" w:cs="Times New Roman"/>
                      <w:color w:val="auto"/>
                      <w:spacing w:val="-1"/>
                      <w:sz w:val="21"/>
                      <w:szCs w:val="21"/>
                    </w:rPr>
                    <w:t>（</w:t>
                  </w:r>
                  <w:r>
                    <w:rPr>
                      <w:rFonts w:hint="default" w:ascii="Times New Roman" w:hAnsi="Times New Roman" w:eastAsia="宋体" w:cs="Times New Roman"/>
                      <w:color w:val="auto"/>
                      <w:sz w:val="21"/>
                      <w:szCs w:val="21"/>
                      <w:lang w:val="en-US" w:eastAsia="zh-CN"/>
                    </w:rPr>
                    <w:t>t/a</w:t>
                  </w:r>
                  <w:r>
                    <w:rPr>
                      <w:rFonts w:hint="default" w:ascii="Times New Roman" w:hAnsi="Times New Roman" w:cs="Times New Roman"/>
                      <w:color w:val="auto"/>
                      <w:spacing w:val="-1"/>
                      <w:sz w:val="21"/>
                      <w:szCs w:val="21"/>
                    </w:rPr>
                    <w:t>）</w:t>
                  </w:r>
                </w:p>
              </w:tc>
              <w:tc>
                <w:tcPr>
                  <w:tcW w:w="565" w:type="pct"/>
                  <w:vMerge w:val="continue"/>
                  <w:tcBorders>
                    <w:top w:val="nil"/>
                  </w:tcBorders>
                  <w:vAlign w:val="center"/>
                </w:tcPr>
                <w:p w14:paraId="11876EF8">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r>
            <w:tr w14:paraId="48DD8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417" w:type="pct"/>
                  <w:vMerge w:val="restart"/>
                  <w:tcBorders>
                    <w:bottom w:val="nil"/>
                  </w:tcBorders>
                  <w:vAlign w:val="center"/>
                </w:tcPr>
                <w:p w14:paraId="6F043393">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生活污</w:t>
                  </w:r>
                  <w:r>
                    <w:rPr>
                      <w:rFonts w:hint="default" w:ascii="Times New Roman" w:hAnsi="Times New Roman" w:cs="Times New Roman"/>
                      <w:color w:val="auto"/>
                      <w:sz w:val="21"/>
                      <w:szCs w:val="21"/>
                    </w:rPr>
                    <w:t xml:space="preserve"> 水</w:t>
                  </w:r>
                </w:p>
              </w:tc>
              <w:tc>
                <w:tcPr>
                  <w:tcW w:w="527" w:type="pct"/>
                  <w:vMerge w:val="restart"/>
                  <w:tcBorders>
                    <w:bottom w:val="nil"/>
                  </w:tcBorders>
                  <w:vAlign w:val="center"/>
                </w:tcPr>
                <w:p w14:paraId="4AEB1A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7.07</w:t>
                  </w:r>
                </w:p>
              </w:tc>
              <w:tc>
                <w:tcPr>
                  <w:tcW w:w="416" w:type="pct"/>
                  <w:vAlign w:val="center"/>
                </w:tcPr>
                <w:p w14:paraId="2328D8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COD</w:t>
                  </w:r>
                </w:p>
              </w:tc>
              <w:tc>
                <w:tcPr>
                  <w:tcW w:w="565" w:type="pct"/>
                  <w:vAlign w:val="center"/>
                </w:tcPr>
                <w:p w14:paraId="7F0368B1">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350</w:t>
                  </w:r>
                </w:p>
              </w:tc>
              <w:tc>
                <w:tcPr>
                  <w:tcW w:w="513" w:type="pct"/>
                  <w:vAlign w:val="center"/>
                </w:tcPr>
                <w:p w14:paraId="4DF483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3"/>
                      <w:sz w:val="21"/>
                      <w:szCs w:val="21"/>
                      <w:lang w:val="en-US" w:eastAsia="zh-CN"/>
                    </w:rPr>
                    <w:t>0.742</w:t>
                  </w:r>
                </w:p>
              </w:tc>
              <w:tc>
                <w:tcPr>
                  <w:tcW w:w="388" w:type="pct"/>
                  <w:vMerge w:val="restart"/>
                  <w:tcBorders>
                    <w:bottom w:val="nil"/>
                  </w:tcBorders>
                  <w:vAlign w:val="center"/>
                </w:tcPr>
                <w:p w14:paraId="47F3B0CD">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化</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47"/>
                      <w:sz w:val="21"/>
                      <w:szCs w:val="21"/>
                    </w:rPr>
                    <w:t>粪池</w:t>
                  </w:r>
                </w:p>
              </w:tc>
              <w:tc>
                <w:tcPr>
                  <w:tcW w:w="437" w:type="pct"/>
                  <w:vAlign w:val="center"/>
                </w:tcPr>
                <w:p w14:paraId="2F965596">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0"/>
                      <w:sz w:val="21"/>
                      <w:szCs w:val="21"/>
                    </w:rPr>
                    <w:t>10</w:t>
                  </w:r>
                </w:p>
              </w:tc>
              <w:tc>
                <w:tcPr>
                  <w:tcW w:w="593" w:type="pct"/>
                  <w:vAlign w:val="center"/>
                </w:tcPr>
                <w:p w14:paraId="3D330810">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315</w:t>
                  </w:r>
                </w:p>
              </w:tc>
              <w:tc>
                <w:tcPr>
                  <w:tcW w:w="574" w:type="pct"/>
                  <w:vAlign w:val="center"/>
                </w:tcPr>
                <w:p w14:paraId="46D24937">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3"/>
                      <w:sz w:val="21"/>
                      <w:szCs w:val="21"/>
                      <w:lang w:val="en-US" w:eastAsia="zh-CN"/>
                    </w:rPr>
                    <w:t>0.667</w:t>
                  </w:r>
                </w:p>
              </w:tc>
              <w:tc>
                <w:tcPr>
                  <w:tcW w:w="565" w:type="pct"/>
                  <w:vMerge w:val="restart"/>
                  <w:tcBorders>
                    <w:bottom w:val="nil"/>
                  </w:tcBorders>
                  <w:vAlign w:val="center"/>
                </w:tcPr>
                <w:p w14:paraId="16ACD77C">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园区污水处理厂</w:t>
                  </w:r>
                </w:p>
              </w:tc>
            </w:tr>
            <w:tr w14:paraId="39467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417" w:type="pct"/>
                  <w:vMerge w:val="continue"/>
                  <w:tcBorders>
                    <w:top w:val="nil"/>
                    <w:bottom w:val="nil"/>
                  </w:tcBorders>
                  <w:vAlign w:val="center"/>
                </w:tcPr>
                <w:p w14:paraId="32157C53">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c>
                <w:tcPr>
                  <w:tcW w:w="527" w:type="pct"/>
                  <w:vMerge w:val="continue"/>
                  <w:tcBorders>
                    <w:top w:val="nil"/>
                    <w:bottom w:val="nil"/>
                  </w:tcBorders>
                  <w:vAlign w:val="center"/>
                </w:tcPr>
                <w:p w14:paraId="73131905">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c>
                <w:tcPr>
                  <w:tcW w:w="416" w:type="pct"/>
                  <w:vAlign w:val="center"/>
                </w:tcPr>
                <w:p w14:paraId="4F2083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NH</w:t>
                  </w:r>
                  <w:r>
                    <w:rPr>
                      <w:rFonts w:hint="default" w:ascii="Times New Roman" w:hAnsi="Times New Roman" w:eastAsia="Times New Roman" w:cs="Times New Roman"/>
                      <w:color w:val="auto"/>
                      <w:spacing w:val="10"/>
                      <w:sz w:val="21"/>
                      <w:szCs w:val="21"/>
                      <w:vertAlign w:val="subscript"/>
                    </w:rPr>
                    <w:t>3</w:t>
                  </w:r>
                  <w:r>
                    <w:rPr>
                      <w:rFonts w:hint="default" w:ascii="Times New Roman" w:hAnsi="Times New Roman" w:eastAsia="Times New Roman" w:cs="Times New Roman"/>
                      <w:color w:val="auto"/>
                      <w:spacing w:val="10"/>
                      <w:sz w:val="21"/>
                      <w:szCs w:val="21"/>
                    </w:rPr>
                    <w:t>-N</w:t>
                  </w:r>
                </w:p>
              </w:tc>
              <w:tc>
                <w:tcPr>
                  <w:tcW w:w="565" w:type="pct"/>
                  <w:vAlign w:val="center"/>
                </w:tcPr>
                <w:p w14:paraId="445AC6BB">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25</w:t>
                  </w:r>
                </w:p>
              </w:tc>
              <w:tc>
                <w:tcPr>
                  <w:tcW w:w="513" w:type="pct"/>
                  <w:vAlign w:val="center"/>
                </w:tcPr>
                <w:p w14:paraId="6EEC9C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color w:val="auto"/>
                      <w:spacing w:val="2"/>
                      <w:sz w:val="21"/>
                      <w:szCs w:val="21"/>
                    </w:rPr>
                    <w:t>0.</w:t>
                  </w:r>
                  <w:r>
                    <w:rPr>
                      <w:rFonts w:hint="default" w:ascii="Times New Roman" w:hAnsi="Times New Roman" w:eastAsia="宋体" w:cs="Times New Roman"/>
                      <w:color w:val="auto"/>
                      <w:spacing w:val="2"/>
                      <w:sz w:val="21"/>
                      <w:szCs w:val="21"/>
                      <w:lang w:val="en-US" w:eastAsia="zh-CN"/>
                    </w:rPr>
                    <w:t>053</w:t>
                  </w:r>
                </w:p>
              </w:tc>
              <w:tc>
                <w:tcPr>
                  <w:tcW w:w="388" w:type="pct"/>
                  <w:vMerge w:val="continue"/>
                  <w:tcBorders>
                    <w:top w:val="nil"/>
                    <w:bottom w:val="nil"/>
                  </w:tcBorders>
                  <w:vAlign w:val="center"/>
                </w:tcPr>
                <w:p w14:paraId="49C53DF4">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c>
                <w:tcPr>
                  <w:tcW w:w="437" w:type="pct"/>
                  <w:vAlign w:val="center"/>
                </w:tcPr>
                <w:p w14:paraId="74F1D768">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5</w:t>
                  </w:r>
                </w:p>
              </w:tc>
              <w:tc>
                <w:tcPr>
                  <w:tcW w:w="593" w:type="pct"/>
                  <w:vAlign w:val="center"/>
                </w:tcPr>
                <w:p w14:paraId="1D6FE428">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23.75</w:t>
                  </w:r>
                </w:p>
              </w:tc>
              <w:tc>
                <w:tcPr>
                  <w:tcW w:w="574" w:type="pct"/>
                  <w:vAlign w:val="center"/>
                </w:tcPr>
                <w:p w14:paraId="47A2F255">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color w:val="auto"/>
                      <w:spacing w:val="2"/>
                      <w:sz w:val="21"/>
                      <w:szCs w:val="21"/>
                    </w:rPr>
                    <w:t>0.</w:t>
                  </w:r>
                  <w:r>
                    <w:rPr>
                      <w:rFonts w:hint="default" w:ascii="Times New Roman" w:hAnsi="Times New Roman" w:eastAsia="宋体" w:cs="Times New Roman"/>
                      <w:color w:val="auto"/>
                      <w:spacing w:val="2"/>
                      <w:sz w:val="21"/>
                      <w:szCs w:val="21"/>
                      <w:lang w:val="en-US" w:eastAsia="zh-CN"/>
                    </w:rPr>
                    <w:t>051</w:t>
                  </w:r>
                </w:p>
              </w:tc>
              <w:tc>
                <w:tcPr>
                  <w:tcW w:w="565" w:type="pct"/>
                  <w:vMerge w:val="continue"/>
                  <w:tcBorders>
                    <w:top w:val="nil"/>
                    <w:bottom w:val="nil"/>
                  </w:tcBorders>
                  <w:vAlign w:val="center"/>
                </w:tcPr>
                <w:p w14:paraId="16DB966E">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r>
            <w:tr w14:paraId="3D13A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417" w:type="pct"/>
                  <w:vMerge w:val="continue"/>
                  <w:tcBorders>
                    <w:top w:val="nil"/>
                  </w:tcBorders>
                  <w:vAlign w:val="center"/>
                </w:tcPr>
                <w:p w14:paraId="26C7734D">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c>
                <w:tcPr>
                  <w:tcW w:w="527" w:type="pct"/>
                  <w:vMerge w:val="continue"/>
                  <w:tcBorders>
                    <w:top w:val="nil"/>
                  </w:tcBorders>
                  <w:vAlign w:val="center"/>
                </w:tcPr>
                <w:p w14:paraId="1C5B7B28">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c>
                <w:tcPr>
                  <w:tcW w:w="416" w:type="pct"/>
                  <w:vAlign w:val="center"/>
                </w:tcPr>
                <w:p w14:paraId="7842B6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SS</w:t>
                  </w:r>
                </w:p>
              </w:tc>
              <w:tc>
                <w:tcPr>
                  <w:tcW w:w="565" w:type="pct"/>
                  <w:vAlign w:val="center"/>
                </w:tcPr>
                <w:p w14:paraId="7F9D7A56">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200</w:t>
                  </w:r>
                </w:p>
              </w:tc>
              <w:tc>
                <w:tcPr>
                  <w:tcW w:w="513" w:type="pct"/>
                  <w:vAlign w:val="center"/>
                </w:tcPr>
                <w:p w14:paraId="731242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lang w:val="en-US" w:eastAsia="zh-CN"/>
                    </w:rPr>
                    <w:t>0.424</w:t>
                  </w:r>
                </w:p>
              </w:tc>
              <w:tc>
                <w:tcPr>
                  <w:tcW w:w="388" w:type="pct"/>
                  <w:vMerge w:val="continue"/>
                  <w:tcBorders>
                    <w:top w:val="nil"/>
                  </w:tcBorders>
                  <w:vAlign w:val="center"/>
                </w:tcPr>
                <w:p w14:paraId="7FBD5AB0">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c>
                <w:tcPr>
                  <w:tcW w:w="437" w:type="pct"/>
                  <w:vAlign w:val="center"/>
                </w:tcPr>
                <w:p w14:paraId="46E7F8D1">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40</w:t>
                  </w:r>
                </w:p>
              </w:tc>
              <w:tc>
                <w:tcPr>
                  <w:tcW w:w="593" w:type="pct"/>
                  <w:vAlign w:val="center"/>
                </w:tcPr>
                <w:p w14:paraId="3DC60A9C">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120</w:t>
                  </w:r>
                </w:p>
              </w:tc>
              <w:tc>
                <w:tcPr>
                  <w:tcW w:w="574" w:type="pct"/>
                  <w:vAlign w:val="center"/>
                </w:tcPr>
                <w:p w14:paraId="153E2EE6">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color w:val="auto"/>
                      <w:spacing w:val="2"/>
                      <w:sz w:val="21"/>
                      <w:szCs w:val="21"/>
                    </w:rPr>
                    <w:t>0.</w:t>
                  </w:r>
                  <w:r>
                    <w:rPr>
                      <w:rFonts w:hint="default" w:ascii="Times New Roman" w:hAnsi="Times New Roman" w:eastAsia="宋体" w:cs="Times New Roman"/>
                      <w:color w:val="auto"/>
                      <w:spacing w:val="2"/>
                      <w:sz w:val="21"/>
                      <w:szCs w:val="21"/>
                      <w:lang w:val="en-US" w:eastAsia="zh-CN"/>
                    </w:rPr>
                    <w:t>255</w:t>
                  </w:r>
                </w:p>
              </w:tc>
              <w:tc>
                <w:tcPr>
                  <w:tcW w:w="565" w:type="pct"/>
                  <w:vMerge w:val="continue"/>
                  <w:tcBorders>
                    <w:top w:val="nil"/>
                  </w:tcBorders>
                  <w:vAlign w:val="center"/>
                </w:tcPr>
                <w:p w14:paraId="13B1DB7A">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default" w:ascii="Times New Roman" w:hAnsi="Times New Roman" w:cs="Times New Roman"/>
                      <w:color w:val="auto"/>
                      <w:sz w:val="21"/>
                      <w:szCs w:val="21"/>
                    </w:rPr>
                  </w:pPr>
                </w:p>
              </w:tc>
            </w:tr>
          </w:tbl>
          <w:p w14:paraId="41C30E15">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由上表可知</w:t>
            </w:r>
            <w:r>
              <w:rPr>
                <w:rFonts w:hint="default" w:ascii="Times New Roman" w:hAnsi="Times New Roman" w:cs="Times New Roman"/>
                <w:color w:val="auto"/>
              </w:rPr>
              <w:t>，</w:t>
            </w:r>
            <w:r>
              <w:rPr>
                <w:rFonts w:hint="default" w:ascii="Times New Roman" w:hAnsi="Times New Roman" w:cs="Times New Roman"/>
                <w:color w:val="auto"/>
                <w:lang w:val="en-US" w:eastAsia="zh-CN"/>
              </w:rPr>
              <w:t>排放</w:t>
            </w:r>
            <w:r>
              <w:rPr>
                <w:rFonts w:hint="default" w:ascii="Times New Roman" w:hAnsi="Times New Roman" w:cs="Times New Roman"/>
                <w:color w:val="auto"/>
              </w:rPr>
              <w:t>水质满足《污水综合排放标准》（GB8978-1996）三级限值要求。</w:t>
            </w:r>
          </w:p>
          <w:p w14:paraId="71E4AFAE">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2.废水处理依托可行性分析</w:t>
            </w:r>
          </w:p>
          <w:p w14:paraId="2A83DA0C">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榆佳经济技术开发区污水处理厂由陕西蔚蓝节能环境科技集团有限责任公司经营管理，位于王家砭镇佳芦河北1.0km处（榆佳五路与榆佳十一路交界处），占地面积17500m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，2018年11月建成投运，纳污范围为园区的生活污水。园区污水处理厂建设有生活污水处理装置3套，目前正常运行的为其中1套MBR一体化污水处理设备，处理规模分别为500m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/d。污水处理装置设计出水水质为《城镇污水处理厂污染物排放标准》(GB18918-2002)A级标准，出水回用于园区绿化、道路浇洒、冲厕及部分工业用水等，不外排。</w:t>
            </w:r>
          </w:p>
          <w:p w14:paraId="39587CE6">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规划区不设置排污口，现已建成三处污水调蓄池，一号调蓄池位于新区一路与榆佳一路交汇处，面积为5.54hm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，库容为5.26万m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;二号调蓄池位于榆佳十一路与榆佳五路交汇处，占地面积为2.18hm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，库容为7.31万m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;三号调蓄池位于景观大道与提升四路交汇处，占地面积为5.37hm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，库容为17.12万m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。事故状态下，事故废水得不到及时回用的中水可暂存于调蓄池，确保园区污废水不外排。</w:t>
            </w:r>
          </w:p>
          <w:p w14:paraId="5D82B970">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根据现状调查结果，目前园区污水处理厂实际处理量约为400m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/d，其出水水质达到《城镇污水处理厂污染物排放标准》(GB18918-2002)一级A标准后用于园区绿化、道路浇酒、冲厕及部分工业用水等，不外排。该厂污水处理能力余量约100m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/d，本项目生活污水产生量仅7.07m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/d，完全可以满足本项目需求。</w:t>
            </w:r>
          </w:p>
          <w:p w14:paraId="4A55D81F">
            <w:pPr>
              <w:ind w:firstLine="480"/>
              <w:rPr>
                <w:rFonts w:hint="default" w:ascii="Times New Roman" w:hAnsi="Times New Roman" w:cs="Times New Roman"/>
                <w:color w:val="auto"/>
              </w:rPr>
            </w:pPr>
            <w:r>
              <w:rPr>
                <w:rFonts w:hint="default" w:ascii="Times New Roman" w:hAnsi="Times New Roman" w:cs="Times New Roman"/>
                <w:color w:val="auto"/>
              </w:rPr>
              <w:t>综上所述，本项目废水依托</w:t>
            </w:r>
            <w:r>
              <w:rPr>
                <w:rFonts w:hint="default" w:ascii="Times New Roman" w:hAnsi="Times New Roman" w:cs="Times New Roman"/>
                <w:color w:val="auto"/>
                <w:lang w:val="en-US" w:eastAsia="zh-CN"/>
              </w:rPr>
              <w:t>园区</w:t>
            </w:r>
            <w:r>
              <w:rPr>
                <w:rFonts w:hint="default" w:ascii="Times New Roman" w:hAnsi="Times New Roman" w:cs="Times New Roman"/>
                <w:color w:val="auto"/>
              </w:rPr>
              <w:t>污水处理厂处理是可行的。</w:t>
            </w:r>
          </w:p>
          <w:p w14:paraId="14D8738A">
            <w:pPr>
              <w:pStyle w:val="8"/>
              <w:spacing w:after="120"/>
              <w:rPr>
                <w:rFonts w:hint="default" w:ascii="Times New Roman" w:hAnsi="Times New Roman" w:cs="Times New Roman"/>
                <w:color w:val="auto"/>
              </w:rPr>
            </w:pPr>
            <w:r>
              <w:rPr>
                <w:rFonts w:hint="default" w:ascii="Times New Roman" w:hAnsi="Times New Roman" w:cs="Times New Roman"/>
                <w:color w:val="auto"/>
                <w:lang w:val="en-US" w:eastAsia="zh-CN"/>
              </w:rPr>
              <w:t>三</w:t>
            </w:r>
            <w:r>
              <w:rPr>
                <w:rFonts w:hint="default" w:ascii="Times New Roman" w:hAnsi="Times New Roman" w:cs="Times New Roman"/>
                <w:color w:val="auto"/>
              </w:rPr>
              <w:t>、噪声</w:t>
            </w:r>
          </w:p>
          <w:p w14:paraId="106BEEC8">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1.噪声源强分析</w:t>
            </w:r>
          </w:p>
          <w:p w14:paraId="30E8C9C2">
            <w:pPr>
              <w:pStyle w:val="42"/>
              <w:numPr>
                <w:ilvl w:val="3"/>
                <w:numId w:val="0"/>
              </w:numPr>
              <w:ind w:left="0" w:leftChars="0" w:firstLine="0" w:firstLineChars="0"/>
              <w:rPr>
                <w:rFonts w:hint="default" w:ascii="Times New Roman" w:hAnsi="Times New Roman" w:cs="Times New Roman"/>
                <w:color w:val="auto"/>
                <w:sz w:val="24"/>
                <w:szCs w:val="24"/>
              </w:rPr>
            </w:pPr>
            <w:r>
              <w:rPr>
                <w:rFonts w:hint="default" w:ascii="Times New Roman" w:hAnsi="Times New Roman" w:eastAsia="黑体" w:cs="Times New Roman"/>
                <w:color w:val="auto"/>
                <w:kern w:val="2"/>
                <w:sz w:val="24"/>
                <w:szCs w:val="24"/>
                <w:lang w:val="en-US" w:eastAsia="zh-CN" w:bidi="ar-SA"/>
              </w:rPr>
              <w:t>表4-</w:t>
            </w:r>
            <w:r>
              <w:rPr>
                <w:rFonts w:hint="default" w:ascii="Times New Roman" w:hAnsi="Times New Roman" w:cs="Times New Roman"/>
                <w:color w:val="auto"/>
                <w:kern w:val="2"/>
                <w:sz w:val="24"/>
                <w:szCs w:val="24"/>
                <w:lang w:val="en-US" w:eastAsia="zh-CN" w:bidi="ar-SA"/>
              </w:rPr>
              <w:t>11</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项目室内噪声源  单位：dB（A）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1"/>
              <w:gridCol w:w="730"/>
              <w:gridCol w:w="417"/>
              <w:gridCol w:w="514"/>
              <w:gridCol w:w="607"/>
              <w:gridCol w:w="468"/>
              <w:gridCol w:w="333"/>
              <w:gridCol w:w="516"/>
              <w:gridCol w:w="655"/>
              <w:gridCol w:w="744"/>
              <w:gridCol w:w="729"/>
              <w:gridCol w:w="744"/>
              <w:gridCol w:w="744"/>
              <w:gridCol w:w="861"/>
            </w:tblGrid>
            <w:tr w14:paraId="7864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restart"/>
                  <w:tcBorders>
                    <w:bottom w:val="single" w:color="auto" w:sz="4" w:space="0"/>
                    <w:right w:val="single" w:color="auto" w:sz="4" w:space="0"/>
                  </w:tcBorders>
                  <w:vAlign w:val="center"/>
                </w:tcPr>
                <w:p w14:paraId="122A1BB6">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建筑物名称</w:t>
                  </w:r>
                </w:p>
              </w:tc>
              <w:tc>
                <w:tcPr>
                  <w:tcW w:w="426" w:type="pct"/>
                  <w:vMerge w:val="restart"/>
                  <w:tcBorders>
                    <w:left w:val="single" w:color="auto" w:sz="4" w:space="0"/>
                    <w:bottom w:val="single" w:color="auto" w:sz="4" w:space="0"/>
                    <w:right w:val="single" w:color="auto" w:sz="4" w:space="0"/>
                  </w:tcBorders>
                  <w:vAlign w:val="center"/>
                </w:tcPr>
                <w:p w14:paraId="7170851E">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w:t>
                  </w:r>
                </w:p>
                <w:p w14:paraId="4848FD71">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43" w:type="pct"/>
                  <w:vMerge w:val="restart"/>
                  <w:tcBorders>
                    <w:left w:val="single" w:color="auto" w:sz="4" w:space="0"/>
                    <w:right w:val="single" w:color="auto" w:sz="4" w:space="0"/>
                  </w:tcBorders>
                  <w:vAlign w:val="center"/>
                </w:tcPr>
                <w:p w14:paraId="0F701CAC">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c>
                <w:tcPr>
                  <w:tcW w:w="300" w:type="pct"/>
                  <w:vMerge w:val="restart"/>
                  <w:tcBorders>
                    <w:left w:val="single" w:color="auto" w:sz="4" w:space="0"/>
                    <w:bottom w:val="single" w:color="auto" w:sz="4" w:space="0"/>
                    <w:right w:val="single" w:color="auto" w:sz="4" w:space="0"/>
                  </w:tcBorders>
                  <w:vAlign w:val="center"/>
                </w:tcPr>
                <w:p w14:paraId="63F8BFE0">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w:t>
                  </w:r>
                </w:p>
                <w:p w14:paraId="719CE9DB">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源强</w:t>
                  </w:r>
                </w:p>
              </w:tc>
              <w:tc>
                <w:tcPr>
                  <w:tcW w:w="354" w:type="pct"/>
                  <w:vMerge w:val="restart"/>
                  <w:tcBorders>
                    <w:left w:val="single" w:color="auto" w:sz="4" w:space="0"/>
                    <w:bottom w:val="single" w:color="auto" w:sz="4" w:space="0"/>
                    <w:right w:val="single" w:color="auto" w:sz="4" w:space="0"/>
                  </w:tcBorders>
                  <w:vAlign w:val="center"/>
                </w:tcPr>
                <w:p w14:paraId="6B49C620">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声源控制措施</w:t>
                  </w:r>
                </w:p>
              </w:tc>
              <w:tc>
                <w:tcPr>
                  <w:tcW w:w="768" w:type="pct"/>
                  <w:gridSpan w:val="3"/>
                  <w:tcBorders>
                    <w:left w:val="single" w:color="auto" w:sz="4" w:space="0"/>
                    <w:bottom w:val="single" w:color="auto" w:sz="4" w:space="0"/>
                    <w:right w:val="single" w:color="auto" w:sz="4" w:space="0"/>
                  </w:tcBorders>
                  <w:vAlign w:val="center"/>
                </w:tcPr>
                <w:p w14:paraId="50C4F9FF">
                  <w:pPr>
                    <w:pStyle w:val="4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空间相对位置/m</w:t>
                  </w:r>
                </w:p>
              </w:tc>
              <w:tc>
                <w:tcPr>
                  <w:tcW w:w="382" w:type="pct"/>
                  <w:vMerge w:val="restart"/>
                  <w:tcBorders>
                    <w:left w:val="single" w:color="auto" w:sz="4" w:space="0"/>
                    <w:bottom w:val="single" w:color="auto" w:sz="4" w:space="0"/>
                    <w:right w:val="single" w:color="auto" w:sz="4" w:space="0"/>
                  </w:tcBorders>
                  <w:vAlign w:val="center"/>
                </w:tcPr>
                <w:p w14:paraId="6D5D12AD">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距室内边界距离/m</w:t>
                  </w:r>
                </w:p>
              </w:tc>
              <w:tc>
                <w:tcPr>
                  <w:tcW w:w="434" w:type="pct"/>
                  <w:vMerge w:val="restart"/>
                  <w:tcBorders>
                    <w:left w:val="single" w:color="auto" w:sz="4" w:space="0"/>
                    <w:bottom w:val="single" w:color="auto" w:sz="4" w:space="0"/>
                    <w:right w:val="single" w:color="auto" w:sz="4" w:space="0"/>
                  </w:tcBorders>
                  <w:vAlign w:val="center"/>
                </w:tcPr>
                <w:p w14:paraId="351C1B18">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室内边界声级/dB(A)</w:t>
                  </w:r>
                </w:p>
              </w:tc>
              <w:tc>
                <w:tcPr>
                  <w:tcW w:w="425" w:type="pct"/>
                  <w:vMerge w:val="restart"/>
                  <w:tcBorders>
                    <w:left w:val="single" w:color="auto" w:sz="4" w:space="0"/>
                    <w:bottom w:val="single" w:color="auto" w:sz="4" w:space="0"/>
                    <w:right w:val="single" w:color="auto" w:sz="4" w:space="0"/>
                  </w:tcBorders>
                  <w:vAlign w:val="center"/>
                </w:tcPr>
                <w:p w14:paraId="68B815F3">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w:t>
                  </w:r>
                </w:p>
                <w:p w14:paraId="3FD58AE4">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时段</w:t>
                  </w:r>
                </w:p>
              </w:tc>
              <w:tc>
                <w:tcPr>
                  <w:tcW w:w="434" w:type="pct"/>
                  <w:vMerge w:val="restart"/>
                  <w:tcBorders>
                    <w:left w:val="single" w:color="auto" w:sz="4" w:space="0"/>
                    <w:bottom w:val="single" w:color="auto" w:sz="4" w:space="0"/>
                    <w:right w:val="single" w:color="auto" w:sz="4" w:space="0"/>
                  </w:tcBorders>
                  <w:vAlign w:val="center"/>
                </w:tcPr>
                <w:p w14:paraId="128D2B19">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建筑物插入损失/dB(A)</w:t>
                  </w:r>
                </w:p>
              </w:tc>
              <w:tc>
                <w:tcPr>
                  <w:tcW w:w="933" w:type="pct"/>
                  <w:gridSpan w:val="2"/>
                  <w:tcBorders>
                    <w:left w:val="single" w:color="auto" w:sz="4" w:space="0"/>
                    <w:bottom w:val="nil"/>
                  </w:tcBorders>
                  <w:vAlign w:val="center"/>
                </w:tcPr>
                <w:p w14:paraId="5F062934">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建筑物外噪声</w:t>
                  </w:r>
                </w:p>
              </w:tc>
            </w:tr>
            <w:tr w14:paraId="08B0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top w:val="single" w:color="000000" w:sz="12" w:space="0"/>
                    <w:bottom w:val="single" w:color="auto" w:sz="4" w:space="0"/>
                    <w:right w:val="single" w:color="auto" w:sz="4" w:space="0"/>
                  </w:tcBorders>
                  <w:vAlign w:val="center"/>
                </w:tcPr>
                <w:p w14:paraId="66160E8A">
                  <w:pPr>
                    <w:pStyle w:val="40"/>
                    <w:spacing w:line="240" w:lineRule="auto"/>
                    <w:jc w:val="center"/>
                    <w:rPr>
                      <w:rFonts w:hint="default" w:ascii="Times New Roman" w:hAnsi="Times New Roman" w:cs="Times New Roman"/>
                      <w:color w:val="auto"/>
                      <w:sz w:val="21"/>
                      <w:szCs w:val="21"/>
                    </w:rPr>
                  </w:pPr>
                </w:p>
              </w:tc>
              <w:tc>
                <w:tcPr>
                  <w:tcW w:w="426" w:type="pct"/>
                  <w:vMerge w:val="continue"/>
                  <w:tcBorders>
                    <w:top w:val="single" w:color="000000" w:sz="12" w:space="0"/>
                    <w:left w:val="single" w:color="auto" w:sz="4" w:space="0"/>
                    <w:bottom w:val="single" w:color="auto" w:sz="4" w:space="0"/>
                    <w:right w:val="single" w:color="auto" w:sz="4" w:space="0"/>
                  </w:tcBorders>
                  <w:vAlign w:val="center"/>
                </w:tcPr>
                <w:p w14:paraId="43F4FBA5">
                  <w:pPr>
                    <w:pStyle w:val="40"/>
                    <w:spacing w:line="240" w:lineRule="auto"/>
                    <w:jc w:val="center"/>
                    <w:rPr>
                      <w:rFonts w:hint="default" w:ascii="Times New Roman" w:hAnsi="Times New Roman" w:cs="Times New Roman"/>
                      <w:color w:val="auto"/>
                      <w:sz w:val="21"/>
                      <w:szCs w:val="21"/>
                    </w:rPr>
                  </w:pPr>
                </w:p>
              </w:tc>
              <w:tc>
                <w:tcPr>
                  <w:tcW w:w="243" w:type="pct"/>
                  <w:vMerge w:val="continue"/>
                  <w:tcBorders>
                    <w:left w:val="single" w:color="auto" w:sz="4" w:space="0"/>
                    <w:bottom w:val="single" w:color="auto" w:sz="4" w:space="0"/>
                    <w:right w:val="single" w:color="auto" w:sz="4" w:space="0"/>
                  </w:tcBorders>
                  <w:vAlign w:val="center"/>
                </w:tcPr>
                <w:p w14:paraId="2DFE5959">
                  <w:pPr>
                    <w:pStyle w:val="40"/>
                    <w:spacing w:line="240" w:lineRule="auto"/>
                    <w:jc w:val="center"/>
                    <w:rPr>
                      <w:rFonts w:hint="default" w:ascii="Times New Roman" w:hAnsi="Times New Roman" w:cs="Times New Roman"/>
                      <w:color w:val="auto"/>
                      <w:sz w:val="21"/>
                      <w:szCs w:val="21"/>
                    </w:rPr>
                  </w:pPr>
                </w:p>
              </w:tc>
              <w:tc>
                <w:tcPr>
                  <w:tcW w:w="300" w:type="pct"/>
                  <w:vMerge w:val="continue"/>
                  <w:tcBorders>
                    <w:top w:val="single" w:color="000000" w:sz="12" w:space="0"/>
                    <w:left w:val="single" w:color="auto" w:sz="4" w:space="0"/>
                    <w:bottom w:val="single" w:color="auto" w:sz="4" w:space="0"/>
                    <w:right w:val="single" w:color="auto" w:sz="4" w:space="0"/>
                  </w:tcBorders>
                  <w:vAlign w:val="center"/>
                </w:tcPr>
                <w:p w14:paraId="4247CA19">
                  <w:pPr>
                    <w:pStyle w:val="40"/>
                    <w:spacing w:line="240" w:lineRule="auto"/>
                    <w:jc w:val="center"/>
                    <w:rPr>
                      <w:rFonts w:hint="default" w:ascii="Times New Roman" w:hAnsi="Times New Roman" w:cs="Times New Roman"/>
                      <w:color w:val="auto"/>
                      <w:sz w:val="21"/>
                      <w:szCs w:val="21"/>
                    </w:rPr>
                  </w:pPr>
                </w:p>
              </w:tc>
              <w:tc>
                <w:tcPr>
                  <w:tcW w:w="354" w:type="pct"/>
                  <w:vMerge w:val="continue"/>
                  <w:tcBorders>
                    <w:top w:val="single" w:color="000000" w:sz="12" w:space="0"/>
                    <w:left w:val="single" w:color="auto" w:sz="4" w:space="0"/>
                    <w:bottom w:val="single" w:color="auto" w:sz="4" w:space="0"/>
                    <w:right w:val="single" w:color="auto" w:sz="4" w:space="0"/>
                  </w:tcBorders>
                  <w:vAlign w:val="center"/>
                </w:tcPr>
                <w:p w14:paraId="1630AA69">
                  <w:pPr>
                    <w:pStyle w:val="40"/>
                    <w:spacing w:line="240" w:lineRule="auto"/>
                    <w:jc w:val="center"/>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106C7162">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194" w:type="pct"/>
                  <w:tcBorders>
                    <w:top w:val="single" w:color="auto" w:sz="4" w:space="0"/>
                    <w:left w:val="single" w:color="auto" w:sz="4" w:space="0"/>
                    <w:bottom w:val="single" w:color="auto" w:sz="4" w:space="0"/>
                    <w:right w:val="single" w:color="auto" w:sz="4" w:space="0"/>
                  </w:tcBorders>
                  <w:vAlign w:val="center"/>
                </w:tcPr>
                <w:p w14:paraId="4D522B75">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301" w:type="pct"/>
                  <w:tcBorders>
                    <w:top w:val="single" w:color="auto" w:sz="4" w:space="0"/>
                    <w:left w:val="single" w:color="auto" w:sz="4" w:space="0"/>
                    <w:bottom w:val="single" w:color="auto" w:sz="4" w:space="0"/>
                    <w:right w:val="single" w:color="auto" w:sz="4" w:space="0"/>
                  </w:tcBorders>
                  <w:vAlign w:val="center"/>
                </w:tcPr>
                <w:p w14:paraId="1D762F61">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382" w:type="pct"/>
                  <w:vMerge w:val="continue"/>
                  <w:tcBorders>
                    <w:top w:val="single" w:color="000000" w:sz="12" w:space="0"/>
                    <w:left w:val="single" w:color="auto" w:sz="4" w:space="0"/>
                    <w:bottom w:val="single" w:color="auto" w:sz="4" w:space="0"/>
                    <w:right w:val="single" w:color="auto" w:sz="4" w:space="0"/>
                  </w:tcBorders>
                  <w:vAlign w:val="center"/>
                </w:tcPr>
                <w:p w14:paraId="2BF3F930">
                  <w:pPr>
                    <w:pStyle w:val="40"/>
                    <w:spacing w:line="240" w:lineRule="auto"/>
                    <w:jc w:val="center"/>
                    <w:rPr>
                      <w:rFonts w:hint="default" w:ascii="Times New Roman" w:hAnsi="Times New Roman" w:cs="Times New Roman"/>
                      <w:color w:val="auto"/>
                      <w:sz w:val="21"/>
                      <w:szCs w:val="21"/>
                    </w:rPr>
                  </w:pPr>
                </w:p>
              </w:tc>
              <w:tc>
                <w:tcPr>
                  <w:tcW w:w="434" w:type="pct"/>
                  <w:vMerge w:val="continue"/>
                  <w:tcBorders>
                    <w:top w:val="single" w:color="000000" w:sz="12" w:space="0"/>
                    <w:left w:val="single" w:color="auto" w:sz="4" w:space="0"/>
                    <w:bottom w:val="single" w:color="auto" w:sz="4" w:space="0"/>
                    <w:right w:val="single" w:color="auto" w:sz="4" w:space="0"/>
                  </w:tcBorders>
                  <w:vAlign w:val="center"/>
                </w:tcPr>
                <w:p w14:paraId="123C2636">
                  <w:pPr>
                    <w:pStyle w:val="40"/>
                    <w:spacing w:line="240" w:lineRule="auto"/>
                    <w:jc w:val="center"/>
                    <w:rPr>
                      <w:rFonts w:hint="default" w:ascii="Times New Roman" w:hAnsi="Times New Roman" w:cs="Times New Roman"/>
                      <w:color w:val="auto"/>
                      <w:sz w:val="21"/>
                      <w:szCs w:val="21"/>
                    </w:rPr>
                  </w:pPr>
                </w:p>
              </w:tc>
              <w:tc>
                <w:tcPr>
                  <w:tcW w:w="425" w:type="pct"/>
                  <w:vMerge w:val="continue"/>
                  <w:tcBorders>
                    <w:top w:val="single" w:color="000000" w:sz="12" w:space="0"/>
                    <w:left w:val="single" w:color="auto" w:sz="4" w:space="0"/>
                    <w:bottom w:val="single" w:color="auto" w:sz="4" w:space="0"/>
                    <w:right w:val="single" w:color="auto" w:sz="4" w:space="0"/>
                  </w:tcBorders>
                  <w:vAlign w:val="center"/>
                </w:tcPr>
                <w:p w14:paraId="258B4EFE">
                  <w:pPr>
                    <w:pStyle w:val="40"/>
                    <w:spacing w:line="240" w:lineRule="auto"/>
                    <w:jc w:val="center"/>
                    <w:rPr>
                      <w:rFonts w:hint="default" w:ascii="Times New Roman" w:hAnsi="Times New Roman" w:cs="Times New Roman"/>
                      <w:color w:val="auto"/>
                      <w:sz w:val="21"/>
                      <w:szCs w:val="21"/>
                    </w:rPr>
                  </w:pPr>
                </w:p>
              </w:tc>
              <w:tc>
                <w:tcPr>
                  <w:tcW w:w="434" w:type="pct"/>
                  <w:vMerge w:val="continue"/>
                  <w:tcBorders>
                    <w:top w:val="single" w:color="000000" w:sz="12" w:space="0"/>
                    <w:left w:val="single" w:color="auto" w:sz="4" w:space="0"/>
                    <w:bottom w:val="single" w:color="auto" w:sz="4" w:space="0"/>
                    <w:right w:val="single" w:color="auto" w:sz="4" w:space="0"/>
                  </w:tcBorders>
                  <w:vAlign w:val="center"/>
                </w:tcPr>
                <w:p w14:paraId="6F8BF7F3">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34CC8F27">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声压级/dB(A)</w:t>
                  </w:r>
                </w:p>
              </w:tc>
              <w:tc>
                <w:tcPr>
                  <w:tcW w:w="498" w:type="pct"/>
                  <w:tcBorders>
                    <w:top w:val="single" w:color="auto" w:sz="4" w:space="0"/>
                    <w:left w:val="single" w:color="auto" w:sz="4" w:space="0"/>
                    <w:bottom w:val="single" w:color="auto" w:sz="4" w:space="0"/>
                  </w:tcBorders>
                  <w:vAlign w:val="center"/>
                </w:tcPr>
                <w:p w14:paraId="3D712C2B">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建筑物外距离</w:t>
                  </w:r>
                </w:p>
              </w:tc>
            </w:tr>
            <w:tr w14:paraId="365A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restart"/>
                  <w:tcBorders>
                    <w:top w:val="single" w:color="auto" w:sz="4" w:space="0"/>
                    <w:right w:val="single" w:color="auto" w:sz="4" w:space="0"/>
                  </w:tcBorders>
                  <w:vAlign w:val="center"/>
                </w:tcPr>
                <w:p w14:paraId="7BA836EB">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镁合</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3"/>
                      <w:sz w:val="21"/>
                      <w:szCs w:val="21"/>
                    </w:rPr>
                    <w:t>金锭</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3"/>
                      <w:sz w:val="21"/>
                      <w:szCs w:val="21"/>
                    </w:rPr>
                    <w:t>生产</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3"/>
                      <w:sz w:val="21"/>
                      <w:szCs w:val="21"/>
                    </w:rPr>
                    <w:t>车间</w:t>
                  </w:r>
                </w:p>
              </w:tc>
              <w:tc>
                <w:tcPr>
                  <w:tcW w:w="426" w:type="pct"/>
                  <w:tcBorders>
                    <w:top w:val="single" w:color="auto" w:sz="4" w:space="0"/>
                    <w:left w:val="single" w:color="auto" w:sz="4" w:space="0"/>
                    <w:bottom w:val="single" w:color="auto" w:sz="4" w:space="0"/>
                    <w:right w:val="single" w:color="auto" w:sz="4" w:space="0"/>
                  </w:tcBorders>
                  <w:vAlign w:val="top"/>
                </w:tcPr>
                <w:p w14:paraId="14A6F099">
                  <w:pPr>
                    <w:pStyle w:val="66"/>
                    <w:spacing w:before="64" w:line="229"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熔炼炉</w:t>
                  </w:r>
                </w:p>
              </w:tc>
              <w:tc>
                <w:tcPr>
                  <w:tcW w:w="243" w:type="pct"/>
                  <w:tcBorders>
                    <w:top w:val="single" w:color="auto" w:sz="4" w:space="0"/>
                    <w:left w:val="single" w:color="auto" w:sz="4" w:space="0"/>
                    <w:bottom w:val="single" w:color="auto" w:sz="4" w:space="0"/>
                    <w:right w:val="single" w:color="auto" w:sz="4" w:space="0"/>
                  </w:tcBorders>
                  <w:vAlign w:val="center"/>
                </w:tcPr>
                <w:p w14:paraId="59DA5445">
                  <w:pPr>
                    <w:pStyle w:val="4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8</w:t>
                  </w:r>
                </w:p>
              </w:tc>
              <w:tc>
                <w:tcPr>
                  <w:tcW w:w="300" w:type="pct"/>
                  <w:tcBorders>
                    <w:top w:val="single" w:color="auto" w:sz="4" w:space="0"/>
                    <w:left w:val="single" w:color="auto" w:sz="4" w:space="0"/>
                    <w:bottom w:val="single" w:color="auto" w:sz="4" w:space="0"/>
                    <w:right w:val="single" w:color="auto" w:sz="4" w:space="0"/>
                  </w:tcBorders>
                  <w:vAlign w:val="center"/>
                </w:tcPr>
                <w:p w14:paraId="05272286">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354" w:type="pct"/>
                  <w:vMerge w:val="restart"/>
                  <w:tcBorders>
                    <w:top w:val="single" w:color="auto" w:sz="4" w:space="0"/>
                    <w:left w:val="single" w:color="auto" w:sz="4" w:space="0"/>
                    <w:right w:val="single" w:color="auto" w:sz="4" w:space="0"/>
                  </w:tcBorders>
                  <w:vAlign w:val="center"/>
                </w:tcPr>
                <w:p w14:paraId="0C242D5D">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减震</w:t>
                  </w:r>
                </w:p>
                <w:p w14:paraId="65F62679">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隔声</w:t>
                  </w:r>
                </w:p>
              </w:tc>
              <w:tc>
                <w:tcPr>
                  <w:tcW w:w="273" w:type="pct"/>
                  <w:tcBorders>
                    <w:top w:val="single" w:color="auto" w:sz="4" w:space="0"/>
                    <w:left w:val="single" w:color="auto" w:sz="4" w:space="0"/>
                    <w:bottom w:val="single" w:color="auto" w:sz="4" w:space="0"/>
                    <w:right w:val="single" w:color="auto" w:sz="4" w:space="0"/>
                  </w:tcBorders>
                  <w:vAlign w:val="center"/>
                </w:tcPr>
                <w:p w14:paraId="20EF9783">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w:t>
                  </w:r>
                </w:p>
              </w:tc>
              <w:tc>
                <w:tcPr>
                  <w:tcW w:w="194" w:type="pct"/>
                  <w:tcBorders>
                    <w:top w:val="single" w:color="auto" w:sz="4" w:space="0"/>
                    <w:left w:val="single" w:color="auto" w:sz="4" w:space="0"/>
                    <w:bottom w:val="single" w:color="auto" w:sz="4" w:space="0"/>
                    <w:right w:val="single" w:color="auto" w:sz="4" w:space="0"/>
                  </w:tcBorders>
                  <w:vAlign w:val="center"/>
                </w:tcPr>
                <w:p w14:paraId="63D36455">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w:t>
                  </w:r>
                </w:p>
              </w:tc>
              <w:tc>
                <w:tcPr>
                  <w:tcW w:w="301" w:type="pct"/>
                  <w:tcBorders>
                    <w:top w:val="single" w:color="auto" w:sz="4" w:space="0"/>
                    <w:left w:val="single" w:color="auto" w:sz="4" w:space="0"/>
                    <w:bottom w:val="single" w:color="auto" w:sz="4" w:space="0"/>
                    <w:right w:val="single" w:color="auto" w:sz="4" w:space="0"/>
                  </w:tcBorders>
                  <w:vAlign w:val="center"/>
                </w:tcPr>
                <w:p w14:paraId="2497EAAB">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82" w:type="pct"/>
                  <w:tcBorders>
                    <w:top w:val="single" w:color="auto" w:sz="4" w:space="0"/>
                    <w:left w:val="single" w:color="auto" w:sz="4" w:space="0"/>
                    <w:bottom w:val="single" w:color="auto" w:sz="4" w:space="0"/>
                    <w:right w:val="single" w:color="auto" w:sz="4" w:space="0"/>
                  </w:tcBorders>
                  <w:vAlign w:val="center"/>
                </w:tcPr>
                <w:p w14:paraId="6D0DFFDC">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6</w:t>
                  </w:r>
                </w:p>
              </w:tc>
              <w:tc>
                <w:tcPr>
                  <w:tcW w:w="434" w:type="pct"/>
                  <w:tcBorders>
                    <w:top w:val="single" w:color="auto" w:sz="4" w:space="0"/>
                    <w:left w:val="single" w:color="auto" w:sz="4" w:space="0"/>
                    <w:bottom w:val="single" w:color="auto" w:sz="4" w:space="0"/>
                    <w:right w:val="single" w:color="auto" w:sz="4" w:space="0"/>
                  </w:tcBorders>
                  <w:vAlign w:val="center"/>
                </w:tcPr>
                <w:p w14:paraId="3F9F87B6">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425" w:type="pct"/>
                  <w:vMerge w:val="restart"/>
                  <w:tcBorders>
                    <w:top w:val="single" w:color="auto" w:sz="4" w:space="0"/>
                    <w:left w:val="single" w:color="auto" w:sz="4" w:space="0"/>
                    <w:right w:val="single" w:color="auto" w:sz="4" w:space="0"/>
                  </w:tcBorders>
                  <w:vAlign w:val="center"/>
                </w:tcPr>
                <w:p w14:paraId="1559611E">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连续</w:t>
                  </w:r>
                </w:p>
                <w:p w14:paraId="4DB9BBFF">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w:t>
                  </w:r>
                </w:p>
              </w:tc>
              <w:tc>
                <w:tcPr>
                  <w:tcW w:w="434" w:type="pct"/>
                  <w:tcBorders>
                    <w:top w:val="single" w:color="auto" w:sz="4" w:space="0"/>
                    <w:left w:val="single" w:color="auto" w:sz="4" w:space="0"/>
                    <w:bottom w:val="single" w:color="auto" w:sz="4" w:space="0"/>
                    <w:right w:val="single" w:color="auto" w:sz="4" w:space="0"/>
                  </w:tcBorders>
                  <w:vAlign w:val="center"/>
                </w:tcPr>
                <w:p w14:paraId="20290BA0">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cBorders>
                  <w:vAlign w:val="center"/>
                </w:tcPr>
                <w:p w14:paraId="16D9F05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51</w:t>
                  </w:r>
                </w:p>
              </w:tc>
              <w:tc>
                <w:tcPr>
                  <w:tcW w:w="498" w:type="pct"/>
                  <w:tcBorders>
                    <w:top w:val="single" w:color="auto" w:sz="4" w:space="0"/>
                    <w:left w:val="single" w:color="auto" w:sz="4" w:space="0"/>
                    <w:bottom w:val="single" w:color="auto" w:sz="4" w:space="0"/>
                  </w:tcBorders>
                  <w:vAlign w:val="center"/>
                </w:tcPr>
                <w:p w14:paraId="46A9A910">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2A3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right w:val="single" w:color="auto" w:sz="4" w:space="0"/>
                  </w:tcBorders>
                  <w:vAlign w:val="center"/>
                </w:tcPr>
                <w:p w14:paraId="14F3C256">
                  <w:pPr>
                    <w:pStyle w:val="40"/>
                    <w:spacing w:line="240" w:lineRule="auto"/>
                    <w:jc w:val="cente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top"/>
                </w:tcPr>
                <w:p w14:paraId="12D12BDD">
                  <w:pPr>
                    <w:pStyle w:val="66"/>
                    <w:spacing w:before="62" w:line="228"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铸锭机</w:t>
                  </w:r>
                </w:p>
              </w:tc>
              <w:tc>
                <w:tcPr>
                  <w:tcW w:w="243" w:type="pct"/>
                  <w:tcBorders>
                    <w:top w:val="single" w:color="auto" w:sz="4" w:space="0"/>
                    <w:left w:val="single" w:color="auto" w:sz="4" w:space="0"/>
                    <w:bottom w:val="single" w:color="auto" w:sz="4" w:space="0"/>
                    <w:right w:val="single" w:color="auto" w:sz="4" w:space="0"/>
                  </w:tcBorders>
                  <w:vAlign w:val="center"/>
                </w:tcPr>
                <w:p w14:paraId="76AE3F60">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7FC2FF33">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354" w:type="pct"/>
                  <w:vMerge w:val="continue"/>
                  <w:tcBorders>
                    <w:left w:val="single" w:color="auto" w:sz="4" w:space="0"/>
                    <w:right w:val="single" w:color="auto" w:sz="4" w:space="0"/>
                  </w:tcBorders>
                  <w:vAlign w:val="center"/>
                </w:tcPr>
                <w:p w14:paraId="36A2EB17">
                  <w:pPr>
                    <w:pStyle w:val="40"/>
                    <w:spacing w:line="240" w:lineRule="auto"/>
                    <w:jc w:val="center"/>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3140A809">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194" w:type="pct"/>
                  <w:tcBorders>
                    <w:top w:val="single" w:color="auto" w:sz="4" w:space="0"/>
                    <w:left w:val="single" w:color="auto" w:sz="4" w:space="0"/>
                    <w:bottom w:val="single" w:color="auto" w:sz="4" w:space="0"/>
                    <w:right w:val="single" w:color="auto" w:sz="4" w:space="0"/>
                  </w:tcBorders>
                  <w:vAlign w:val="center"/>
                </w:tcPr>
                <w:p w14:paraId="502444A4">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5</w:t>
                  </w:r>
                </w:p>
              </w:tc>
              <w:tc>
                <w:tcPr>
                  <w:tcW w:w="301" w:type="pct"/>
                  <w:tcBorders>
                    <w:top w:val="single" w:color="auto" w:sz="4" w:space="0"/>
                    <w:left w:val="single" w:color="auto" w:sz="4" w:space="0"/>
                    <w:bottom w:val="single" w:color="auto" w:sz="4" w:space="0"/>
                    <w:right w:val="single" w:color="auto" w:sz="4" w:space="0"/>
                  </w:tcBorders>
                  <w:vAlign w:val="center"/>
                </w:tcPr>
                <w:p w14:paraId="5B115FB0">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56CAEF6B">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434" w:type="pct"/>
                  <w:tcBorders>
                    <w:top w:val="single" w:color="auto" w:sz="4" w:space="0"/>
                    <w:left w:val="single" w:color="auto" w:sz="4" w:space="0"/>
                    <w:bottom w:val="single" w:color="auto" w:sz="4" w:space="0"/>
                    <w:right w:val="single" w:color="auto" w:sz="4" w:space="0"/>
                  </w:tcBorders>
                  <w:vAlign w:val="center"/>
                </w:tcPr>
                <w:p w14:paraId="76B4589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425" w:type="pct"/>
                  <w:vMerge w:val="continue"/>
                  <w:tcBorders>
                    <w:left w:val="single" w:color="auto" w:sz="4" w:space="0"/>
                    <w:right w:val="single" w:color="auto" w:sz="4" w:space="0"/>
                  </w:tcBorders>
                  <w:vAlign w:val="center"/>
                </w:tcPr>
                <w:p w14:paraId="2A83066E">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7B39EDE2">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cBorders>
                  <w:vAlign w:val="center"/>
                </w:tcPr>
                <w:p w14:paraId="5A48373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51</w:t>
                  </w:r>
                </w:p>
              </w:tc>
              <w:tc>
                <w:tcPr>
                  <w:tcW w:w="498" w:type="pct"/>
                  <w:tcBorders>
                    <w:top w:val="single" w:color="auto" w:sz="4" w:space="0"/>
                    <w:left w:val="single" w:color="auto" w:sz="4" w:space="0"/>
                    <w:bottom w:val="single" w:color="auto" w:sz="4" w:space="0"/>
                  </w:tcBorders>
                  <w:vAlign w:val="center"/>
                </w:tcPr>
                <w:p w14:paraId="1A02D919">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741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right w:val="single" w:color="auto" w:sz="4" w:space="0"/>
                  </w:tcBorders>
                  <w:vAlign w:val="center"/>
                </w:tcPr>
                <w:p w14:paraId="28F7368E">
                  <w:pPr>
                    <w:pStyle w:val="40"/>
                    <w:spacing w:line="240" w:lineRule="auto"/>
                    <w:jc w:val="cente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top"/>
                </w:tcPr>
                <w:p w14:paraId="698A3C11">
                  <w:pPr>
                    <w:pStyle w:val="66"/>
                    <w:spacing w:before="65" w:line="228"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转液泵</w:t>
                  </w:r>
                </w:p>
              </w:tc>
              <w:tc>
                <w:tcPr>
                  <w:tcW w:w="243" w:type="pct"/>
                  <w:tcBorders>
                    <w:top w:val="single" w:color="auto" w:sz="4" w:space="0"/>
                    <w:left w:val="single" w:color="auto" w:sz="4" w:space="0"/>
                    <w:bottom w:val="single" w:color="auto" w:sz="4" w:space="0"/>
                    <w:right w:val="single" w:color="auto" w:sz="4" w:space="0"/>
                  </w:tcBorders>
                  <w:vAlign w:val="center"/>
                </w:tcPr>
                <w:p w14:paraId="13BD7BD3">
                  <w:pPr>
                    <w:pStyle w:val="4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76F3E7C7">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354" w:type="pct"/>
                  <w:vMerge w:val="continue"/>
                  <w:tcBorders>
                    <w:left w:val="single" w:color="auto" w:sz="4" w:space="0"/>
                    <w:right w:val="single" w:color="auto" w:sz="4" w:space="0"/>
                  </w:tcBorders>
                  <w:vAlign w:val="center"/>
                </w:tcPr>
                <w:p w14:paraId="7088A4C4">
                  <w:pPr>
                    <w:pStyle w:val="40"/>
                    <w:spacing w:line="240" w:lineRule="auto"/>
                    <w:jc w:val="center"/>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EDC3490">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2</w:t>
                  </w:r>
                </w:p>
              </w:tc>
              <w:tc>
                <w:tcPr>
                  <w:tcW w:w="194" w:type="pct"/>
                  <w:tcBorders>
                    <w:top w:val="single" w:color="auto" w:sz="4" w:space="0"/>
                    <w:left w:val="single" w:color="auto" w:sz="4" w:space="0"/>
                    <w:bottom w:val="single" w:color="auto" w:sz="4" w:space="0"/>
                    <w:right w:val="single" w:color="auto" w:sz="4" w:space="0"/>
                  </w:tcBorders>
                  <w:vAlign w:val="center"/>
                </w:tcPr>
                <w:p w14:paraId="387537F3">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9</w:t>
                  </w:r>
                </w:p>
              </w:tc>
              <w:tc>
                <w:tcPr>
                  <w:tcW w:w="301" w:type="pct"/>
                  <w:tcBorders>
                    <w:top w:val="single" w:color="auto" w:sz="4" w:space="0"/>
                    <w:left w:val="single" w:color="auto" w:sz="4" w:space="0"/>
                    <w:bottom w:val="single" w:color="auto" w:sz="4" w:space="0"/>
                    <w:right w:val="single" w:color="auto" w:sz="4" w:space="0"/>
                  </w:tcBorders>
                  <w:vAlign w:val="center"/>
                </w:tcPr>
                <w:p w14:paraId="3892270B">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43692B1B">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434" w:type="pct"/>
                  <w:tcBorders>
                    <w:top w:val="single" w:color="auto" w:sz="4" w:space="0"/>
                    <w:left w:val="single" w:color="auto" w:sz="4" w:space="0"/>
                    <w:bottom w:val="single" w:color="auto" w:sz="4" w:space="0"/>
                    <w:right w:val="single" w:color="auto" w:sz="4" w:space="0"/>
                  </w:tcBorders>
                  <w:vAlign w:val="center"/>
                </w:tcPr>
                <w:p w14:paraId="75ECF482">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w:t>
                  </w:r>
                </w:p>
              </w:tc>
              <w:tc>
                <w:tcPr>
                  <w:tcW w:w="425" w:type="pct"/>
                  <w:vMerge w:val="continue"/>
                  <w:tcBorders>
                    <w:left w:val="single" w:color="auto" w:sz="4" w:space="0"/>
                    <w:right w:val="single" w:color="auto" w:sz="4" w:space="0"/>
                  </w:tcBorders>
                  <w:vAlign w:val="center"/>
                </w:tcPr>
                <w:p w14:paraId="0E04186C">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68F7CF5C">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cBorders>
                  <w:vAlign w:val="center"/>
                </w:tcPr>
                <w:p w14:paraId="45B5C7E0">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498" w:type="pct"/>
                  <w:tcBorders>
                    <w:top w:val="single" w:color="auto" w:sz="4" w:space="0"/>
                    <w:left w:val="single" w:color="auto" w:sz="4" w:space="0"/>
                    <w:bottom w:val="single" w:color="auto" w:sz="4" w:space="0"/>
                  </w:tcBorders>
                  <w:vAlign w:val="center"/>
                </w:tcPr>
                <w:p w14:paraId="535A8F4A">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C6E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right w:val="single" w:color="auto" w:sz="4" w:space="0"/>
                  </w:tcBorders>
                  <w:vAlign w:val="center"/>
                </w:tcPr>
                <w:p w14:paraId="15D2A274">
                  <w:pPr>
                    <w:pStyle w:val="40"/>
                    <w:spacing w:line="240" w:lineRule="auto"/>
                    <w:jc w:val="cente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top"/>
                </w:tcPr>
                <w:p w14:paraId="36155F26">
                  <w:pPr>
                    <w:pStyle w:val="66"/>
                    <w:spacing w:before="66" w:line="228"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浇铸泵</w:t>
                  </w:r>
                </w:p>
              </w:tc>
              <w:tc>
                <w:tcPr>
                  <w:tcW w:w="243" w:type="pct"/>
                  <w:tcBorders>
                    <w:top w:val="single" w:color="auto" w:sz="4" w:space="0"/>
                    <w:left w:val="single" w:color="auto" w:sz="4" w:space="0"/>
                    <w:bottom w:val="single" w:color="auto" w:sz="4" w:space="0"/>
                    <w:right w:val="single" w:color="auto" w:sz="4" w:space="0"/>
                  </w:tcBorders>
                  <w:vAlign w:val="center"/>
                </w:tcPr>
                <w:p w14:paraId="775DF28B">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2478D9FF">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354" w:type="pct"/>
                  <w:vMerge w:val="continue"/>
                  <w:tcBorders>
                    <w:left w:val="single" w:color="auto" w:sz="4" w:space="0"/>
                    <w:right w:val="single" w:color="auto" w:sz="4" w:space="0"/>
                  </w:tcBorders>
                  <w:vAlign w:val="center"/>
                </w:tcPr>
                <w:p w14:paraId="0FF5FED6">
                  <w:pPr>
                    <w:pStyle w:val="40"/>
                    <w:spacing w:line="240" w:lineRule="auto"/>
                    <w:jc w:val="center"/>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6B329AB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194" w:type="pct"/>
                  <w:tcBorders>
                    <w:top w:val="single" w:color="auto" w:sz="4" w:space="0"/>
                    <w:left w:val="single" w:color="auto" w:sz="4" w:space="0"/>
                    <w:bottom w:val="single" w:color="auto" w:sz="4" w:space="0"/>
                    <w:right w:val="single" w:color="auto" w:sz="4" w:space="0"/>
                  </w:tcBorders>
                  <w:vAlign w:val="center"/>
                </w:tcPr>
                <w:p w14:paraId="28EE2472">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301" w:type="pct"/>
                  <w:tcBorders>
                    <w:top w:val="single" w:color="auto" w:sz="4" w:space="0"/>
                    <w:left w:val="single" w:color="auto" w:sz="4" w:space="0"/>
                    <w:bottom w:val="single" w:color="auto" w:sz="4" w:space="0"/>
                    <w:right w:val="single" w:color="auto" w:sz="4" w:space="0"/>
                  </w:tcBorders>
                  <w:vAlign w:val="center"/>
                </w:tcPr>
                <w:p w14:paraId="4F319F32">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19D5455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434" w:type="pct"/>
                  <w:tcBorders>
                    <w:top w:val="single" w:color="auto" w:sz="4" w:space="0"/>
                    <w:left w:val="single" w:color="auto" w:sz="4" w:space="0"/>
                    <w:bottom w:val="single" w:color="auto" w:sz="4" w:space="0"/>
                    <w:right w:val="single" w:color="auto" w:sz="4" w:space="0"/>
                  </w:tcBorders>
                  <w:vAlign w:val="center"/>
                </w:tcPr>
                <w:p w14:paraId="6D49F6F7">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425" w:type="pct"/>
                  <w:vMerge w:val="continue"/>
                  <w:tcBorders>
                    <w:left w:val="single" w:color="auto" w:sz="4" w:space="0"/>
                    <w:right w:val="single" w:color="auto" w:sz="4" w:space="0"/>
                  </w:tcBorders>
                  <w:vAlign w:val="center"/>
                </w:tcPr>
                <w:p w14:paraId="23653C70">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0A61759E">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cBorders>
                  <w:vAlign w:val="center"/>
                </w:tcPr>
                <w:p w14:paraId="3D7592CF">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51</w:t>
                  </w:r>
                </w:p>
              </w:tc>
              <w:tc>
                <w:tcPr>
                  <w:tcW w:w="498" w:type="pct"/>
                  <w:tcBorders>
                    <w:top w:val="single" w:color="auto" w:sz="4" w:space="0"/>
                    <w:left w:val="single" w:color="auto" w:sz="4" w:space="0"/>
                    <w:bottom w:val="single" w:color="auto" w:sz="4" w:space="0"/>
                  </w:tcBorders>
                  <w:vAlign w:val="center"/>
                </w:tcPr>
                <w:p w14:paraId="69131E02">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234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right w:val="single" w:color="auto" w:sz="4" w:space="0"/>
                  </w:tcBorders>
                  <w:vAlign w:val="center"/>
                </w:tcPr>
                <w:p w14:paraId="5CA8CAD4">
                  <w:pPr>
                    <w:pStyle w:val="40"/>
                    <w:spacing w:line="240" w:lineRule="auto"/>
                    <w:jc w:val="cente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top"/>
                </w:tcPr>
                <w:p w14:paraId="2D6382CB">
                  <w:pPr>
                    <w:pStyle w:val="66"/>
                    <w:spacing w:before="66" w:line="228" w:lineRule="auto"/>
                    <w:ind w:left="0" w:leftChars="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搅拌机</w:t>
                  </w:r>
                </w:p>
              </w:tc>
              <w:tc>
                <w:tcPr>
                  <w:tcW w:w="243" w:type="pct"/>
                  <w:tcBorders>
                    <w:top w:val="single" w:color="auto" w:sz="4" w:space="0"/>
                    <w:left w:val="single" w:color="auto" w:sz="4" w:space="0"/>
                    <w:bottom w:val="single" w:color="auto" w:sz="4" w:space="0"/>
                    <w:right w:val="single" w:color="auto" w:sz="4" w:space="0"/>
                  </w:tcBorders>
                  <w:vAlign w:val="center"/>
                </w:tcPr>
                <w:p w14:paraId="675E30F9">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3DF0940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354" w:type="pct"/>
                  <w:vMerge w:val="continue"/>
                  <w:tcBorders>
                    <w:left w:val="single" w:color="auto" w:sz="4" w:space="0"/>
                    <w:right w:val="single" w:color="auto" w:sz="4" w:space="0"/>
                  </w:tcBorders>
                  <w:vAlign w:val="center"/>
                </w:tcPr>
                <w:p w14:paraId="6137766C">
                  <w:pPr>
                    <w:pStyle w:val="40"/>
                    <w:spacing w:line="240" w:lineRule="auto"/>
                    <w:jc w:val="center"/>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5545B29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194" w:type="pct"/>
                  <w:tcBorders>
                    <w:top w:val="single" w:color="auto" w:sz="4" w:space="0"/>
                    <w:left w:val="single" w:color="auto" w:sz="4" w:space="0"/>
                    <w:bottom w:val="single" w:color="auto" w:sz="4" w:space="0"/>
                    <w:right w:val="single" w:color="auto" w:sz="4" w:space="0"/>
                  </w:tcBorders>
                  <w:vAlign w:val="center"/>
                </w:tcPr>
                <w:p w14:paraId="0D66506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301" w:type="pct"/>
                  <w:tcBorders>
                    <w:top w:val="single" w:color="auto" w:sz="4" w:space="0"/>
                    <w:left w:val="single" w:color="auto" w:sz="4" w:space="0"/>
                    <w:bottom w:val="single" w:color="auto" w:sz="4" w:space="0"/>
                    <w:right w:val="single" w:color="auto" w:sz="4" w:space="0"/>
                  </w:tcBorders>
                  <w:vAlign w:val="center"/>
                </w:tcPr>
                <w:p w14:paraId="096C7190">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7ED83A7E">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434" w:type="pct"/>
                  <w:tcBorders>
                    <w:top w:val="single" w:color="auto" w:sz="4" w:space="0"/>
                    <w:left w:val="single" w:color="auto" w:sz="4" w:space="0"/>
                    <w:bottom w:val="single" w:color="auto" w:sz="4" w:space="0"/>
                    <w:right w:val="single" w:color="auto" w:sz="4" w:space="0"/>
                  </w:tcBorders>
                  <w:vAlign w:val="center"/>
                </w:tcPr>
                <w:p w14:paraId="3086C2F5">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59</w:t>
                  </w:r>
                </w:p>
              </w:tc>
              <w:tc>
                <w:tcPr>
                  <w:tcW w:w="425" w:type="pct"/>
                  <w:vMerge w:val="continue"/>
                  <w:tcBorders>
                    <w:left w:val="single" w:color="auto" w:sz="4" w:space="0"/>
                    <w:right w:val="single" w:color="auto" w:sz="4" w:space="0"/>
                  </w:tcBorders>
                  <w:vAlign w:val="center"/>
                </w:tcPr>
                <w:p w14:paraId="6B94D42E">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4769B663">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cBorders>
                  <w:vAlign w:val="center"/>
                </w:tcPr>
                <w:p w14:paraId="4445E9F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498" w:type="pct"/>
                  <w:tcBorders>
                    <w:top w:val="single" w:color="auto" w:sz="4" w:space="0"/>
                    <w:left w:val="single" w:color="auto" w:sz="4" w:space="0"/>
                    <w:bottom w:val="single" w:color="auto" w:sz="4" w:space="0"/>
                  </w:tcBorders>
                  <w:vAlign w:val="center"/>
                </w:tcPr>
                <w:p w14:paraId="7A8BEC04">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AA0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bottom w:val="single" w:color="auto" w:sz="4" w:space="0"/>
                    <w:right w:val="single" w:color="auto" w:sz="4" w:space="0"/>
                  </w:tcBorders>
                  <w:vAlign w:val="center"/>
                </w:tcPr>
                <w:p w14:paraId="34E62568">
                  <w:pP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top"/>
                </w:tcPr>
                <w:p w14:paraId="284D46A4">
                  <w:pPr>
                    <w:pStyle w:val="66"/>
                    <w:spacing w:before="64" w:line="228" w:lineRule="auto"/>
                    <w:ind w:left="0" w:leftChars="0" w:firstLine="0" w:firstLineChars="0"/>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pacing w:val="4"/>
                      <w:sz w:val="21"/>
                      <w:szCs w:val="21"/>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6BABA034">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5F3107C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354" w:type="pct"/>
                  <w:tcBorders>
                    <w:left w:val="single" w:color="auto" w:sz="4" w:space="0"/>
                    <w:bottom w:val="single" w:color="auto" w:sz="4" w:space="0"/>
                    <w:right w:val="single" w:color="auto" w:sz="4" w:space="0"/>
                  </w:tcBorders>
                  <w:vAlign w:val="center"/>
                </w:tcPr>
                <w:p w14:paraId="0A138A9E">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消声减振</w:t>
                  </w:r>
                </w:p>
              </w:tc>
              <w:tc>
                <w:tcPr>
                  <w:tcW w:w="273" w:type="pct"/>
                  <w:tcBorders>
                    <w:top w:val="single" w:color="auto" w:sz="4" w:space="0"/>
                    <w:left w:val="single" w:color="auto" w:sz="4" w:space="0"/>
                    <w:bottom w:val="single" w:color="auto" w:sz="4" w:space="0"/>
                    <w:right w:val="single" w:color="auto" w:sz="4" w:space="0"/>
                  </w:tcBorders>
                  <w:vAlign w:val="center"/>
                </w:tcPr>
                <w:p w14:paraId="69F3B1B6">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194" w:type="pct"/>
                  <w:tcBorders>
                    <w:top w:val="single" w:color="auto" w:sz="4" w:space="0"/>
                    <w:left w:val="single" w:color="auto" w:sz="4" w:space="0"/>
                    <w:bottom w:val="single" w:color="auto" w:sz="4" w:space="0"/>
                    <w:right w:val="single" w:color="auto" w:sz="4" w:space="0"/>
                  </w:tcBorders>
                  <w:vAlign w:val="center"/>
                </w:tcPr>
                <w:p w14:paraId="3A3D9DF5">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301" w:type="pct"/>
                  <w:tcBorders>
                    <w:top w:val="single" w:color="auto" w:sz="4" w:space="0"/>
                    <w:left w:val="single" w:color="auto" w:sz="4" w:space="0"/>
                    <w:bottom w:val="single" w:color="auto" w:sz="4" w:space="0"/>
                    <w:right w:val="single" w:color="auto" w:sz="4" w:space="0"/>
                  </w:tcBorders>
                  <w:vAlign w:val="center"/>
                </w:tcPr>
                <w:p w14:paraId="654859D6">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0DC3545B">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34" w:type="pct"/>
                  <w:tcBorders>
                    <w:top w:val="single" w:color="auto" w:sz="4" w:space="0"/>
                    <w:left w:val="single" w:color="auto" w:sz="4" w:space="0"/>
                    <w:bottom w:val="single" w:color="auto" w:sz="4" w:space="0"/>
                    <w:right w:val="single" w:color="auto" w:sz="4" w:space="0"/>
                  </w:tcBorders>
                  <w:vAlign w:val="center"/>
                </w:tcPr>
                <w:p w14:paraId="71961AAB">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77</w:t>
                  </w:r>
                </w:p>
              </w:tc>
              <w:tc>
                <w:tcPr>
                  <w:tcW w:w="425" w:type="pct"/>
                  <w:vMerge w:val="continue"/>
                  <w:tcBorders>
                    <w:left w:val="single" w:color="auto" w:sz="4" w:space="0"/>
                    <w:bottom w:val="single" w:color="auto" w:sz="4" w:space="0"/>
                    <w:right w:val="single" w:color="auto" w:sz="4" w:space="0"/>
                  </w:tcBorders>
                  <w:vAlign w:val="center"/>
                </w:tcPr>
                <w:p w14:paraId="2FB7837F">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434C34F3">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cBorders>
                  <w:vAlign w:val="center"/>
                </w:tcPr>
                <w:p w14:paraId="04660DE4">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w:t>
                  </w:r>
                </w:p>
              </w:tc>
              <w:tc>
                <w:tcPr>
                  <w:tcW w:w="498" w:type="pct"/>
                  <w:tcBorders>
                    <w:top w:val="single" w:color="auto" w:sz="4" w:space="0"/>
                    <w:left w:val="single" w:color="auto" w:sz="4" w:space="0"/>
                    <w:bottom w:val="single" w:color="auto" w:sz="4" w:space="0"/>
                  </w:tcBorders>
                  <w:vAlign w:val="center"/>
                </w:tcPr>
                <w:p w14:paraId="7D53409A">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72D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restart"/>
                  <w:tcBorders>
                    <w:top w:val="single" w:color="auto" w:sz="4" w:space="0"/>
                    <w:right w:val="single" w:color="auto" w:sz="4" w:space="0"/>
                  </w:tcBorders>
                  <w:vAlign w:val="center"/>
                </w:tcPr>
                <w:p w14:paraId="4DA9205C">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5"/>
                      <w:sz w:val="21"/>
                      <w:szCs w:val="21"/>
                      <w:lang w:val="en-US" w:eastAsia="zh-CN"/>
                    </w:rPr>
                    <w:t>压铸车间</w:t>
                  </w:r>
                </w:p>
              </w:tc>
              <w:tc>
                <w:tcPr>
                  <w:tcW w:w="426" w:type="pct"/>
                  <w:tcBorders>
                    <w:top w:val="single" w:color="auto" w:sz="4" w:space="0"/>
                    <w:left w:val="single" w:color="auto" w:sz="4" w:space="0"/>
                    <w:bottom w:val="single" w:color="auto" w:sz="4" w:space="0"/>
                    <w:right w:val="single" w:color="auto" w:sz="4" w:space="0"/>
                  </w:tcBorders>
                  <w:vAlign w:val="top"/>
                </w:tcPr>
                <w:p w14:paraId="4CBDE358">
                  <w:pPr>
                    <w:pStyle w:val="66"/>
                    <w:spacing w:before="65" w:line="228" w:lineRule="auto"/>
                    <w:ind w:left="0" w:leftChars="0"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6"/>
                      <w:sz w:val="21"/>
                      <w:szCs w:val="21"/>
                    </w:rPr>
                    <w:t>压铸机</w:t>
                  </w:r>
                </w:p>
              </w:tc>
              <w:tc>
                <w:tcPr>
                  <w:tcW w:w="243" w:type="pct"/>
                  <w:tcBorders>
                    <w:top w:val="single" w:color="auto" w:sz="4" w:space="0"/>
                    <w:left w:val="single" w:color="auto" w:sz="4" w:space="0"/>
                    <w:bottom w:val="single" w:color="auto" w:sz="4" w:space="0"/>
                    <w:right w:val="single" w:color="auto" w:sz="4" w:space="0"/>
                  </w:tcBorders>
                  <w:vAlign w:val="center"/>
                </w:tcPr>
                <w:p w14:paraId="1DE66B13">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300" w:type="pct"/>
                  <w:tcBorders>
                    <w:top w:val="single" w:color="auto" w:sz="4" w:space="0"/>
                    <w:left w:val="single" w:color="auto" w:sz="4" w:space="0"/>
                    <w:bottom w:val="single" w:color="auto" w:sz="4" w:space="0"/>
                    <w:right w:val="single" w:color="auto" w:sz="4" w:space="0"/>
                  </w:tcBorders>
                  <w:vAlign w:val="center"/>
                </w:tcPr>
                <w:p w14:paraId="761123B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354" w:type="pct"/>
                  <w:vMerge w:val="restart"/>
                  <w:tcBorders>
                    <w:top w:val="single" w:color="auto" w:sz="4" w:space="0"/>
                    <w:left w:val="single" w:color="auto" w:sz="4" w:space="0"/>
                    <w:right w:val="single" w:color="auto" w:sz="4" w:space="0"/>
                  </w:tcBorders>
                  <w:vAlign w:val="center"/>
                </w:tcPr>
                <w:p w14:paraId="6425FA6A">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减震</w:t>
                  </w:r>
                </w:p>
                <w:p w14:paraId="2C249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隔声</w:t>
                  </w:r>
                </w:p>
              </w:tc>
              <w:tc>
                <w:tcPr>
                  <w:tcW w:w="273" w:type="pct"/>
                  <w:tcBorders>
                    <w:top w:val="single" w:color="auto" w:sz="4" w:space="0"/>
                    <w:left w:val="single" w:color="auto" w:sz="4" w:space="0"/>
                    <w:bottom w:val="single" w:color="auto" w:sz="4" w:space="0"/>
                    <w:right w:val="single" w:color="auto" w:sz="4" w:space="0"/>
                  </w:tcBorders>
                  <w:vAlign w:val="center"/>
                </w:tcPr>
                <w:p w14:paraId="0B9D3231">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194" w:type="pct"/>
                  <w:tcBorders>
                    <w:top w:val="single" w:color="auto" w:sz="4" w:space="0"/>
                    <w:left w:val="single" w:color="auto" w:sz="4" w:space="0"/>
                    <w:bottom w:val="single" w:color="auto" w:sz="4" w:space="0"/>
                    <w:right w:val="single" w:color="auto" w:sz="4" w:space="0"/>
                  </w:tcBorders>
                  <w:vAlign w:val="center"/>
                </w:tcPr>
                <w:p w14:paraId="5F1FC9D4">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301" w:type="pct"/>
                  <w:tcBorders>
                    <w:top w:val="single" w:color="auto" w:sz="4" w:space="0"/>
                    <w:left w:val="single" w:color="auto" w:sz="4" w:space="0"/>
                    <w:bottom w:val="single" w:color="auto" w:sz="4" w:space="0"/>
                    <w:right w:val="single" w:color="auto" w:sz="4" w:space="0"/>
                  </w:tcBorders>
                  <w:vAlign w:val="center"/>
                </w:tcPr>
                <w:p w14:paraId="1D36D7EE">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31E9F06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w:t>
                  </w:r>
                </w:p>
              </w:tc>
              <w:tc>
                <w:tcPr>
                  <w:tcW w:w="434" w:type="pct"/>
                  <w:tcBorders>
                    <w:top w:val="single" w:color="auto" w:sz="4" w:space="0"/>
                    <w:left w:val="single" w:color="auto" w:sz="4" w:space="0"/>
                    <w:bottom w:val="single" w:color="auto" w:sz="4" w:space="0"/>
                    <w:right w:val="single" w:color="auto" w:sz="4" w:space="0"/>
                  </w:tcBorders>
                  <w:vAlign w:val="center"/>
                </w:tcPr>
                <w:p w14:paraId="764D8520">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59</w:t>
                  </w:r>
                </w:p>
              </w:tc>
              <w:tc>
                <w:tcPr>
                  <w:tcW w:w="425" w:type="pct"/>
                  <w:tcBorders>
                    <w:left w:val="single" w:color="auto" w:sz="4" w:space="0"/>
                    <w:bottom w:val="single" w:color="auto" w:sz="4" w:space="0"/>
                    <w:right w:val="single" w:color="auto" w:sz="4" w:space="0"/>
                  </w:tcBorders>
                  <w:vAlign w:val="center"/>
                </w:tcPr>
                <w:p w14:paraId="7BDB8C22">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连续</w:t>
                  </w:r>
                </w:p>
                <w:p w14:paraId="2552021F">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w:t>
                  </w:r>
                </w:p>
              </w:tc>
              <w:tc>
                <w:tcPr>
                  <w:tcW w:w="434" w:type="pct"/>
                  <w:tcBorders>
                    <w:top w:val="single" w:color="auto" w:sz="4" w:space="0"/>
                    <w:left w:val="single" w:color="auto" w:sz="4" w:space="0"/>
                    <w:bottom w:val="single" w:color="auto" w:sz="4" w:space="0"/>
                    <w:right w:val="single" w:color="auto" w:sz="4" w:space="0"/>
                  </w:tcBorders>
                  <w:vAlign w:val="center"/>
                </w:tcPr>
                <w:p w14:paraId="45208CD1">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cBorders>
                  <w:vAlign w:val="center"/>
                </w:tcPr>
                <w:p w14:paraId="47A0D64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498" w:type="pct"/>
                  <w:tcBorders>
                    <w:top w:val="single" w:color="auto" w:sz="4" w:space="0"/>
                    <w:left w:val="single" w:color="auto" w:sz="4" w:space="0"/>
                    <w:bottom w:val="single" w:color="auto" w:sz="4" w:space="0"/>
                  </w:tcBorders>
                  <w:vAlign w:val="center"/>
                </w:tcPr>
                <w:p w14:paraId="09AD4D89">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0F96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5" w:hRule="atLeast"/>
                <w:jc w:val="center"/>
              </w:trPr>
              <w:tc>
                <w:tcPr>
                  <w:tcW w:w="298" w:type="pct"/>
                  <w:vMerge w:val="continue"/>
                  <w:tcBorders>
                    <w:right w:val="single" w:color="auto" w:sz="4" w:space="0"/>
                  </w:tcBorders>
                  <w:vAlign w:val="center"/>
                </w:tcPr>
                <w:p w14:paraId="093245E8">
                  <w:pP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top"/>
                </w:tcPr>
                <w:p w14:paraId="26511730">
                  <w:pPr>
                    <w:pStyle w:val="66"/>
                    <w:spacing w:before="33" w:line="231" w:lineRule="auto"/>
                    <w:ind w:left="0" w:leftChars="0" w:right="111" w:rightChars="0"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6"/>
                      <w:sz w:val="21"/>
                      <w:szCs w:val="21"/>
                    </w:rPr>
                    <w:t>加工中</w:t>
                  </w:r>
                  <w:r>
                    <w:rPr>
                      <w:rFonts w:hint="default" w:ascii="Times New Roman" w:hAnsi="Times New Roman" w:cs="Times New Roman"/>
                      <w:color w:val="auto"/>
                      <w:sz w:val="21"/>
                      <w:szCs w:val="21"/>
                    </w:rPr>
                    <w:t>心</w:t>
                  </w:r>
                </w:p>
              </w:tc>
              <w:tc>
                <w:tcPr>
                  <w:tcW w:w="243" w:type="pct"/>
                  <w:tcBorders>
                    <w:top w:val="single" w:color="auto" w:sz="4" w:space="0"/>
                    <w:left w:val="single" w:color="auto" w:sz="4" w:space="0"/>
                    <w:bottom w:val="single" w:color="auto" w:sz="4" w:space="0"/>
                    <w:right w:val="single" w:color="auto" w:sz="4" w:space="0"/>
                  </w:tcBorders>
                  <w:vAlign w:val="center"/>
                </w:tcPr>
                <w:p w14:paraId="001CA7FB">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300" w:type="pct"/>
                  <w:tcBorders>
                    <w:top w:val="single" w:color="auto" w:sz="4" w:space="0"/>
                    <w:left w:val="single" w:color="auto" w:sz="4" w:space="0"/>
                    <w:bottom w:val="single" w:color="auto" w:sz="4" w:space="0"/>
                    <w:right w:val="single" w:color="auto" w:sz="4" w:space="0"/>
                  </w:tcBorders>
                  <w:vAlign w:val="center"/>
                </w:tcPr>
                <w:p w14:paraId="619A4646">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354" w:type="pct"/>
                  <w:vMerge w:val="continue"/>
                  <w:tcBorders>
                    <w:left w:val="single" w:color="auto" w:sz="4" w:space="0"/>
                    <w:bottom w:val="single" w:color="auto" w:sz="4" w:space="0"/>
                    <w:right w:val="single" w:color="auto" w:sz="4" w:space="0"/>
                  </w:tcBorders>
                  <w:vAlign w:val="center"/>
                </w:tcPr>
                <w:p w14:paraId="4E34542B">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48E50AB9">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88</w:t>
                  </w:r>
                </w:p>
              </w:tc>
              <w:tc>
                <w:tcPr>
                  <w:tcW w:w="194" w:type="pct"/>
                  <w:tcBorders>
                    <w:top w:val="single" w:color="auto" w:sz="4" w:space="0"/>
                    <w:left w:val="single" w:color="auto" w:sz="4" w:space="0"/>
                    <w:bottom w:val="single" w:color="auto" w:sz="4" w:space="0"/>
                    <w:right w:val="single" w:color="auto" w:sz="4" w:space="0"/>
                  </w:tcBorders>
                  <w:vAlign w:val="center"/>
                </w:tcPr>
                <w:p w14:paraId="7764DEC5">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-33</w:t>
                  </w:r>
                </w:p>
              </w:tc>
              <w:tc>
                <w:tcPr>
                  <w:tcW w:w="301" w:type="pct"/>
                  <w:tcBorders>
                    <w:top w:val="single" w:color="auto" w:sz="4" w:space="0"/>
                    <w:left w:val="single" w:color="auto" w:sz="4" w:space="0"/>
                    <w:bottom w:val="single" w:color="auto" w:sz="4" w:space="0"/>
                    <w:right w:val="single" w:color="auto" w:sz="4" w:space="0"/>
                  </w:tcBorders>
                  <w:vAlign w:val="center"/>
                </w:tcPr>
                <w:p w14:paraId="3AC0EE14">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0306750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434" w:type="pct"/>
                  <w:tcBorders>
                    <w:top w:val="single" w:color="auto" w:sz="4" w:space="0"/>
                    <w:left w:val="single" w:color="auto" w:sz="4" w:space="0"/>
                    <w:bottom w:val="single" w:color="auto" w:sz="4" w:space="0"/>
                    <w:right w:val="single" w:color="auto" w:sz="4" w:space="0"/>
                  </w:tcBorders>
                  <w:vAlign w:val="center"/>
                </w:tcPr>
                <w:p w14:paraId="2E777275">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61</w:t>
                  </w:r>
                </w:p>
              </w:tc>
              <w:tc>
                <w:tcPr>
                  <w:tcW w:w="425" w:type="pct"/>
                  <w:tcBorders>
                    <w:left w:val="single" w:color="auto" w:sz="4" w:space="0"/>
                    <w:bottom w:val="single" w:color="auto" w:sz="4" w:space="0"/>
                    <w:right w:val="single" w:color="auto" w:sz="4" w:space="0"/>
                  </w:tcBorders>
                  <w:vAlign w:val="center"/>
                </w:tcPr>
                <w:p w14:paraId="3BF75C34">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昼间9时-17时运行</w:t>
                  </w:r>
                </w:p>
              </w:tc>
              <w:tc>
                <w:tcPr>
                  <w:tcW w:w="434" w:type="pct"/>
                  <w:tcBorders>
                    <w:top w:val="single" w:color="auto" w:sz="4" w:space="0"/>
                    <w:left w:val="single" w:color="auto" w:sz="4" w:space="0"/>
                    <w:bottom w:val="single" w:color="auto" w:sz="4" w:space="0"/>
                    <w:right w:val="single" w:color="auto" w:sz="4" w:space="0"/>
                  </w:tcBorders>
                  <w:vAlign w:val="center"/>
                </w:tcPr>
                <w:p w14:paraId="194FD615">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34" w:type="pct"/>
                  <w:tcBorders>
                    <w:top w:val="single" w:color="auto" w:sz="4" w:space="0"/>
                    <w:left w:val="single" w:color="auto" w:sz="4" w:space="0"/>
                    <w:bottom w:val="single" w:color="auto" w:sz="4" w:space="0"/>
                    <w:right w:val="single" w:color="auto" w:sz="4" w:space="0"/>
                  </w:tcBorders>
                  <w:vAlign w:val="center"/>
                </w:tcPr>
                <w:p w14:paraId="44CA89FD">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46</w:t>
                  </w:r>
                </w:p>
              </w:tc>
              <w:tc>
                <w:tcPr>
                  <w:tcW w:w="498" w:type="pct"/>
                  <w:tcBorders>
                    <w:top w:val="single" w:color="auto" w:sz="4" w:space="0"/>
                    <w:left w:val="single" w:color="auto" w:sz="4" w:space="0"/>
                    <w:bottom w:val="single" w:color="auto" w:sz="4" w:space="0"/>
                  </w:tcBorders>
                  <w:vAlign w:val="center"/>
                </w:tcPr>
                <w:p w14:paraId="6BEA64D9">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C17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5" w:hRule="atLeast"/>
                <w:jc w:val="center"/>
              </w:trPr>
              <w:tc>
                <w:tcPr>
                  <w:tcW w:w="298" w:type="pct"/>
                  <w:vMerge w:val="continue"/>
                  <w:tcBorders>
                    <w:right w:val="single" w:color="auto" w:sz="4" w:space="0"/>
                  </w:tcBorders>
                  <w:vAlign w:val="center"/>
                </w:tcPr>
                <w:p w14:paraId="0C1576CE">
                  <w:pP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center"/>
                </w:tcPr>
                <w:p w14:paraId="38A2B6C7">
                  <w:pPr>
                    <w:pStyle w:val="66"/>
                    <w:spacing w:before="33" w:line="231" w:lineRule="auto"/>
                    <w:ind w:left="0" w:leftChars="0" w:right="111" w:rightChars="0"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01052C0C">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52E81710">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81</w:t>
                  </w:r>
                </w:p>
              </w:tc>
              <w:tc>
                <w:tcPr>
                  <w:tcW w:w="354" w:type="pct"/>
                  <w:tcBorders>
                    <w:left w:val="single" w:color="auto" w:sz="4" w:space="0"/>
                    <w:bottom w:val="single" w:color="auto" w:sz="4" w:space="0"/>
                    <w:right w:val="single" w:color="auto" w:sz="4" w:space="0"/>
                  </w:tcBorders>
                  <w:vAlign w:val="center"/>
                </w:tcPr>
                <w:p w14:paraId="4A8C3B46">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消声隔声</w:t>
                  </w:r>
                </w:p>
              </w:tc>
              <w:tc>
                <w:tcPr>
                  <w:tcW w:w="273" w:type="pct"/>
                  <w:tcBorders>
                    <w:top w:val="single" w:color="auto" w:sz="4" w:space="0"/>
                    <w:left w:val="single" w:color="auto" w:sz="4" w:space="0"/>
                    <w:bottom w:val="single" w:color="auto" w:sz="4" w:space="0"/>
                    <w:right w:val="single" w:color="auto" w:sz="4" w:space="0"/>
                  </w:tcBorders>
                  <w:vAlign w:val="center"/>
                </w:tcPr>
                <w:p w14:paraId="72DA2AF6">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194" w:type="pct"/>
                  <w:tcBorders>
                    <w:top w:val="single" w:color="auto" w:sz="4" w:space="0"/>
                    <w:left w:val="single" w:color="auto" w:sz="4" w:space="0"/>
                    <w:bottom w:val="single" w:color="auto" w:sz="4" w:space="0"/>
                    <w:right w:val="single" w:color="auto" w:sz="4" w:space="0"/>
                  </w:tcBorders>
                  <w:vAlign w:val="center"/>
                </w:tcPr>
                <w:p w14:paraId="520037DE">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301" w:type="pct"/>
                  <w:tcBorders>
                    <w:top w:val="single" w:color="auto" w:sz="4" w:space="0"/>
                    <w:left w:val="single" w:color="auto" w:sz="4" w:space="0"/>
                    <w:bottom w:val="single" w:color="auto" w:sz="4" w:space="0"/>
                    <w:right w:val="single" w:color="auto" w:sz="4" w:space="0"/>
                  </w:tcBorders>
                  <w:vAlign w:val="center"/>
                </w:tcPr>
                <w:p w14:paraId="56C35BEA">
                  <w:pPr>
                    <w:pStyle w:val="4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382" w:type="pct"/>
                  <w:tcBorders>
                    <w:top w:val="single" w:color="auto" w:sz="4" w:space="0"/>
                    <w:left w:val="single" w:color="auto" w:sz="4" w:space="0"/>
                    <w:bottom w:val="single" w:color="auto" w:sz="4" w:space="0"/>
                    <w:right w:val="single" w:color="auto" w:sz="4" w:space="0"/>
                  </w:tcBorders>
                  <w:vAlign w:val="center"/>
                </w:tcPr>
                <w:p w14:paraId="3EF09DCC">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434" w:type="pct"/>
                  <w:tcBorders>
                    <w:top w:val="single" w:color="auto" w:sz="4" w:space="0"/>
                    <w:left w:val="single" w:color="auto" w:sz="4" w:space="0"/>
                    <w:bottom w:val="single" w:color="auto" w:sz="4" w:space="0"/>
                    <w:right w:val="single" w:color="auto" w:sz="4" w:space="0"/>
                  </w:tcBorders>
                  <w:vAlign w:val="center"/>
                </w:tcPr>
                <w:p w14:paraId="2F1D2D94">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425" w:type="pct"/>
                  <w:tcBorders>
                    <w:left w:val="single" w:color="auto" w:sz="4" w:space="0"/>
                    <w:bottom w:val="single" w:color="auto" w:sz="4" w:space="0"/>
                    <w:right w:val="single" w:color="auto" w:sz="4" w:space="0"/>
                  </w:tcBorders>
                  <w:vAlign w:val="center"/>
                </w:tcPr>
                <w:p w14:paraId="71B7FF04">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连续</w:t>
                  </w:r>
                </w:p>
                <w:p w14:paraId="6EF9C75B">
                  <w:pPr>
                    <w:pStyle w:val="4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运行</w:t>
                  </w:r>
                </w:p>
              </w:tc>
              <w:tc>
                <w:tcPr>
                  <w:tcW w:w="434" w:type="pct"/>
                  <w:tcBorders>
                    <w:top w:val="single" w:color="auto" w:sz="4" w:space="0"/>
                    <w:left w:val="single" w:color="auto" w:sz="4" w:space="0"/>
                    <w:bottom w:val="single" w:color="auto" w:sz="4" w:space="0"/>
                    <w:right w:val="single" w:color="auto" w:sz="4" w:space="0"/>
                  </w:tcBorders>
                  <w:vAlign w:val="center"/>
                </w:tcPr>
                <w:p w14:paraId="56980740">
                  <w:pPr>
                    <w:pStyle w:val="4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cBorders>
                  <w:vAlign w:val="center"/>
                </w:tcPr>
                <w:p w14:paraId="3B496987">
                  <w:pPr>
                    <w:pStyle w:val="4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498" w:type="pct"/>
                  <w:tcBorders>
                    <w:top w:val="single" w:color="auto" w:sz="4" w:space="0"/>
                    <w:left w:val="single" w:color="auto" w:sz="4" w:space="0"/>
                    <w:bottom w:val="single" w:color="auto" w:sz="4" w:space="0"/>
                  </w:tcBorders>
                  <w:vAlign w:val="center"/>
                </w:tcPr>
                <w:p w14:paraId="7D23FCB4">
                  <w:pPr>
                    <w:pStyle w:val="4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3BF1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tcBorders>
                    <w:bottom w:val="single" w:color="auto" w:sz="4" w:space="0"/>
                    <w:right w:val="single" w:color="auto" w:sz="4" w:space="0"/>
                  </w:tcBorders>
                  <w:vAlign w:val="center"/>
                </w:tcPr>
                <w:p w14:paraId="230520B3">
                  <w:pPr>
                    <w:pStyle w:val="66"/>
                    <w:spacing w:before="65" w:line="228" w:lineRule="auto"/>
                    <w:ind w:left="0" w:leftChars="0" w:firstLine="0" w:firstLineChars="0"/>
                    <w:jc w:val="center"/>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合金颗粒加工车间</w:t>
                  </w:r>
                </w:p>
              </w:tc>
              <w:tc>
                <w:tcPr>
                  <w:tcW w:w="426" w:type="pct"/>
                  <w:tcBorders>
                    <w:top w:val="single" w:color="auto" w:sz="4" w:space="0"/>
                    <w:left w:val="single" w:color="auto" w:sz="4" w:space="0"/>
                    <w:bottom w:val="single" w:color="auto" w:sz="4" w:space="0"/>
                    <w:right w:val="single" w:color="auto" w:sz="4" w:space="0"/>
                  </w:tcBorders>
                  <w:vAlign w:val="center"/>
                </w:tcPr>
                <w:p w14:paraId="47A4034A">
                  <w:pPr>
                    <w:pStyle w:val="66"/>
                    <w:spacing w:before="65" w:line="228" w:lineRule="auto"/>
                    <w:ind w:left="0" w:leftChars="0" w:firstLine="0" w:firstLineChars="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切削</w:t>
                  </w:r>
                  <w:r>
                    <w:rPr>
                      <w:rFonts w:hint="default" w:ascii="Times New Roman" w:hAnsi="Times New Roman" w:cs="Times New Roman"/>
                      <w:color w:val="auto"/>
                      <w:spacing w:val="6"/>
                      <w:sz w:val="21"/>
                      <w:szCs w:val="21"/>
                      <w:lang w:val="en-US" w:eastAsia="zh-CN"/>
                    </w:rPr>
                    <w:t>系统</w:t>
                  </w:r>
                </w:p>
              </w:tc>
              <w:tc>
                <w:tcPr>
                  <w:tcW w:w="243" w:type="pct"/>
                  <w:tcBorders>
                    <w:top w:val="single" w:color="auto" w:sz="4" w:space="0"/>
                    <w:left w:val="single" w:color="auto" w:sz="4" w:space="0"/>
                    <w:bottom w:val="single" w:color="auto" w:sz="4" w:space="0"/>
                    <w:right w:val="single" w:color="auto" w:sz="4" w:space="0"/>
                  </w:tcBorders>
                  <w:vAlign w:val="center"/>
                </w:tcPr>
                <w:p w14:paraId="5B2E1E1D">
                  <w:pPr>
                    <w:pStyle w:val="66"/>
                    <w:spacing w:before="65" w:line="228" w:lineRule="auto"/>
                    <w:ind w:left="0" w:leftChars="0" w:firstLine="0" w:firstLineChars="0"/>
                    <w:jc w:val="center"/>
                    <w:rPr>
                      <w:rFonts w:hint="default" w:ascii="Times New Roman" w:hAnsi="Times New Roman"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3</w:t>
                  </w:r>
                </w:p>
              </w:tc>
              <w:tc>
                <w:tcPr>
                  <w:tcW w:w="300" w:type="pct"/>
                  <w:tcBorders>
                    <w:top w:val="single" w:color="auto" w:sz="4" w:space="0"/>
                    <w:left w:val="single" w:color="auto" w:sz="4" w:space="0"/>
                    <w:bottom w:val="single" w:color="auto" w:sz="4" w:space="0"/>
                    <w:right w:val="single" w:color="auto" w:sz="4" w:space="0"/>
                  </w:tcBorders>
                  <w:vAlign w:val="center"/>
                </w:tcPr>
                <w:p w14:paraId="1334DD35">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354" w:type="pct"/>
                  <w:tcBorders>
                    <w:top w:val="single" w:color="auto" w:sz="4" w:space="0"/>
                    <w:left w:val="single" w:color="auto" w:sz="4" w:space="0"/>
                    <w:bottom w:val="single" w:color="auto" w:sz="4" w:space="0"/>
                    <w:right w:val="single" w:color="auto" w:sz="4" w:space="0"/>
                  </w:tcBorders>
                  <w:vAlign w:val="center"/>
                </w:tcPr>
                <w:p w14:paraId="780F1FE3">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减震</w:t>
                  </w:r>
                </w:p>
                <w:p w14:paraId="3BB2C1FD">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隔声</w:t>
                  </w:r>
                </w:p>
              </w:tc>
              <w:tc>
                <w:tcPr>
                  <w:tcW w:w="273" w:type="pct"/>
                  <w:tcBorders>
                    <w:top w:val="single" w:color="auto" w:sz="4" w:space="0"/>
                    <w:left w:val="single" w:color="auto" w:sz="4" w:space="0"/>
                    <w:bottom w:val="single" w:color="auto" w:sz="4" w:space="0"/>
                    <w:right w:val="single" w:color="auto" w:sz="4" w:space="0"/>
                  </w:tcBorders>
                  <w:vAlign w:val="center"/>
                </w:tcPr>
                <w:p w14:paraId="7CC0280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104</w:t>
                  </w:r>
                </w:p>
              </w:tc>
              <w:tc>
                <w:tcPr>
                  <w:tcW w:w="194" w:type="pct"/>
                  <w:tcBorders>
                    <w:top w:val="single" w:color="auto" w:sz="4" w:space="0"/>
                    <w:left w:val="single" w:color="auto" w:sz="4" w:space="0"/>
                    <w:bottom w:val="single" w:color="auto" w:sz="4" w:space="0"/>
                    <w:right w:val="single" w:color="auto" w:sz="4" w:space="0"/>
                  </w:tcBorders>
                  <w:vAlign w:val="center"/>
                </w:tcPr>
                <w:p w14:paraId="7DBD42F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78</w:t>
                  </w:r>
                </w:p>
              </w:tc>
              <w:tc>
                <w:tcPr>
                  <w:tcW w:w="301" w:type="pct"/>
                  <w:tcBorders>
                    <w:top w:val="single" w:color="auto" w:sz="4" w:space="0"/>
                    <w:left w:val="single" w:color="auto" w:sz="4" w:space="0"/>
                    <w:bottom w:val="single" w:color="auto" w:sz="4" w:space="0"/>
                    <w:right w:val="single" w:color="auto" w:sz="4" w:space="0"/>
                  </w:tcBorders>
                  <w:vAlign w:val="center"/>
                </w:tcPr>
                <w:p w14:paraId="5A4C0B79">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359FE5C2">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434" w:type="pct"/>
                  <w:tcBorders>
                    <w:top w:val="single" w:color="auto" w:sz="4" w:space="0"/>
                    <w:left w:val="single" w:color="auto" w:sz="4" w:space="0"/>
                    <w:bottom w:val="single" w:color="auto" w:sz="4" w:space="0"/>
                    <w:right w:val="single" w:color="auto" w:sz="4" w:space="0"/>
                  </w:tcBorders>
                  <w:vAlign w:val="center"/>
                </w:tcPr>
                <w:p w14:paraId="5E04A19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425" w:type="pct"/>
                  <w:vMerge w:val="restart"/>
                  <w:tcBorders>
                    <w:left w:val="single" w:color="auto" w:sz="4" w:space="0"/>
                    <w:right w:val="single" w:color="auto" w:sz="4" w:space="0"/>
                  </w:tcBorders>
                  <w:vAlign w:val="center"/>
                </w:tcPr>
                <w:p w14:paraId="5D27B368">
                  <w:pPr>
                    <w:pStyle w:val="4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昼间9时-17时运行</w:t>
                  </w:r>
                </w:p>
              </w:tc>
              <w:tc>
                <w:tcPr>
                  <w:tcW w:w="434" w:type="pct"/>
                  <w:tcBorders>
                    <w:top w:val="single" w:color="auto" w:sz="4" w:space="0"/>
                    <w:left w:val="single" w:color="auto" w:sz="4" w:space="0"/>
                    <w:bottom w:val="single" w:color="auto" w:sz="4" w:space="0"/>
                    <w:right w:val="single" w:color="auto" w:sz="4" w:space="0"/>
                  </w:tcBorders>
                  <w:vAlign w:val="center"/>
                </w:tcPr>
                <w:p w14:paraId="05FCF407">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cBorders>
                  <w:vAlign w:val="center"/>
                </w:tcPr>
                <w:p w14:paraId="46D1BB4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498" w:type="pct"/>
                  <w:tcBorders>
                    <w:top w:val="single" w:color="auto" w:sz="4" w:space="0"/>
                    <w:left w:val="single" w:color="auto" w:sz="4" w:space="0"/>
                    <w:bottom w:val="single" w:color="auto" w:sz="4" w:space="0"/>
                  </w:tcBorders>
                  <w:vAlign w:val="center"/>
                </w:tcPr>
                <w:p w14:paraId="05C1943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3207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restart"/>
                  <w:tcBorders>
                    <w:right w:val="single" w:color="auto" w:sz="4" w:space="0"/>
                  </w:tcBorders>
                  <w:vAlign w:val="center"/>
                </w:tcPr>
                <w:p w14:paraId="37E26CD4">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5"/>
                      <w:sz w:val="21"/>
                      <w:szCs w:val="21"/>
                      <w:lang w:val="en-US" w:eastAsia="zh-CN"/>
                    </w:rPr>
                    <w:t>机修打磨铸件精整车间</w:t>
                  </w:r>
                </w:p>
              </w:tc>
              <w:tc>
                <w:tcPr>
                  <w:tcW w:w="426" w:type="pct"/>
                  <w:tcBorders>
                    <w:top w:val="single" w:color="auto" w:sz="4" w:space="0"/>
                    <w:left w:val="single" w:color="auto" w:sz="4" w:space="0"/>
                    <w:bottom w:val="single" w:color="auto" w:sz="4" w:space="0"/>
                    <w:right w:val="single" w:color="auto" w:sz="4" w:space="0"/>
                  </w:tcBorders>
                  <w:vAlign w:val="top"/>
                </w:tcPr>
                <w:p w14:paraId="78615C02">
                  <w:pPr>
                    <w:pStyle w:val="66"/>
                    <w:spacing w:before="63" w:line="228" w:lineRule="auto"/>
                    <w:ind w:left="0" w:leftChars="0" w:firstLine="0" w:firstLineChars="0"/>
                    <w:jc w:val="center"/>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lang w:val="en-US" w:eastAsia="zh-CN"/>
                    </w:rPr>
                    <w:t>打磨</w:t>
                  </w:r>
                  <w:r>
                    <w:rPr>
                      <w:rFonts w:hint="default" w:ascii="Times New Roman" w:hAnsi="Times New Roman" w:cs="Times New Roman"/>
                      <w:color w:val="auto"/>
                      <w:spacing w:val="6"/>
                      <w:sz w:val="21"/>
                      <w:szCs w:val="21"/>
                      <w:highlight w:val="none"/>
                    </w:rPr>
                    <w:t>机</w:t>
                  </w:r>
                </w:p>
              </w:tc>
              <w:tc>
                <w:tcPr>
                  <w:tcW w:w="243" w:type="pct"/>
                  <w:tcBorders>
                    <w:top w:val="single" w:color="auto" w:sz="4" w:space="0"/>
                    <w:left w:val="single" w:color="auto" w:sz="4" w:space="0"/>
                    <w:bottom w:val="single" w:color="auto" w:sz="4" w:space="0"/>
                    <w:right w:val="single" w:color="auto" w:sz="4" w:space="0"/>
                  </w:tcBorders>
                  <w:vAlign w:val="center"/>
                </w:tcPr>
                <w:p w14:paraId="06029B46">
                  <w:pPr>
                    <w:pStyle w:val="4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0CFE09A0">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354" w:type="pct"/>
                  <w:vMerge w:val="restart"/>
                  <w:tcBorders>
                    <w:top w:val="single" w:color="auto" w:sz="4" w:space="0"/>
                    <w:left w:val="single" w:color="auto" w:sz="4" w:space="0"/>
                    <w:right w:val="single" w:color="auto" w:sz="4" w:space="0"/>
                  </w:tcBorders>
                  <w:vAlign w:val="center"/>
                </w:tcPr>
                <w:p w14:paraId="62501FD6">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减震</w:t>
                  </w:r>
                </w:p>
                <w:p w14:paraId="03D0F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隔声</w:t>
                  </w:r>
                </w:p>
              </w:tc>
              <w:tc>
                <w:tcPr>
                  <w:tcW w:w="273" w:type="pct"/>
                  <w:tcBorders>
                    <w:top w:val="single" w:color="auto" w:sz="4" w:space="0"/>
                    <w:left w:val="single" w:color="auto" w:sz="4" w:space="0"/>
                    <w:bottom w:val="single" w:color="auto" w:sz="4" w:space="0"/>
                    <w:right w:val="single" w:color="auto" w:sz="4" w:space="0"/>
                  </w:tcBorders>
                  <w:vAlign w:val="center"/>
                </w:tcPr>
                <w:p w14:paraId="6C3E5189">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110</w:t>
                  </w:r>
                </w:p>
              </w:tc>
              <w:tc>
                <w:tcPr>
                  <w:tcW w:w="194" w:type="pct"/>
                  <w:tcBorders>
                    <w:top w:val="single" w:color="auto" w:sz="4" w:space="0"/>
                    <w:left w:val="single" w:color="auto" w:sz="4" w:space="0"/>
                    <w:bottom w:val="single" w:color="auto" w:sz="4" w:space="0"/>
                    <w:right w:val="single" w:color="auto" w:sz="4" w:space="0"/>
                  </w:tcBorders>
                  <w:vAlign w:val="center"/>
                </w:tcPr>
                <w:p w14:paraId="4560EB5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301" w:type="pct"/>
                  <w:tcBorders>
                    <w:top w:val="single" w:color="auto" w:sz="4" w:space="0"/>
                    <w:left w:val="single" w:color="auto" w:sz="4" w:space="0"/>
                    <w:bottom w:val="single" w:color="auto" w:sz="4" w:space="0"/>
                    <w:right w:val="single" w:color="auto" w:sz="4" w:space="0"/>
                  </w:tcBorders>
                  <w:vAlign w:val="center"/>
                </w:tcPr>
                <w:p w14:paraId="6614F1D9">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7133064C">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w:t>
                  </w:r>
                </w:p>
              </w:tc>
              <w:tc>
                <w:tcPr>
                  <w:tcW w:w="434" w:type="pct"/>
                  <w:tcBorders>
                    <w:top w:val="single" w:color="auto" w:sz="4" w:space="0"/>
                    <w:left w:val="single" w:color="auto" w:sz="4" w:space="0"/>
                    <w:bottom w:val="single" w:color="auto" w:sz="4" w:space="0"/>
                    <w:right w:val="single" w:color="auto" w:sz="4" w:space="0"/>
                  </w:tcBorders>
                  <w:vAlign w:val="center"/>
                </w:tcPr>
                <w:p w14:paraId="41DA8CF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w:t>
                  </w:r>
                </w:p>
              </w:tc>
              <w:tc>
                <w:tcPr>
                  <w:tcW w:w="425" w:type="pct"/>
                  <w:vMerge w:val="continue"/>
                  <w:tcBorders>
                    <w:left w:val="single" w:color="auto" w:sz="4" w:space="0"/>
                    <w:right w:val="single" w:color="auto" w:sz="4" w:space="0"/>
                  </w:tcBorders>
                  <w:vAlign w:val="center"/>
                </w:tcPr>
                <w:p w14:paraId="5118BBF5">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04CAD7E7">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cBorders>
                  <w:vAlign w:val="center"/>
                </w:tcPr>
                <w:p w14:paraId="354CEA90">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498" w:type="pct"/>
                  <w:tcBorders>
                    <w:top w:val="single" w:color="auto" w:sz="4" w:space="0"/>
                    <w:left w:val="single" w:color="auto" w:sz="4" w:space="0"/>
                    <w:bottom w:val="single" w:color="auto" w:sz="4" w:space="0"/>
                  </w:tcBorders>
                  <w:vAlign w:val="center"/>
                </w:tcPr>
                <w:p w14:paraId="73C0F3BC">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79E7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right w:val="single" w:color="auto" w:sz="4" w:space="0"/>
                  </w:tcBorders>
                  <w:vAlign w:val="center"/>
                </w:tcPr>
                <w:p w14:paraId="0DFB48B8">
                  <w:pP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vAlign w:val="top"/>
                </w:tcPr>
                <w:p w14:paraId="685F6D66">
                  <w:pPr>
                    <w:pStyle w:val="66"/>
                    <w:spacing w:before="33" w:line="231" w:lineRule="auto"/>
                    <w:ind w:left="0" w:leftChars="0" w:right="111" w:rightChars="0" w:firstLine="0" w:firstLineChars="0"/>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cs="Times New Roman"/>
                      <w:color w:val="auto"/>
                      <w:spacing w:val="6"/>
                      <w:sz w:val="21"/>
                      <w:szCs w:val="21"/>
                      <w:lang w:val="en-US" w:eastAsia="zh-CN"/>
                    </w:rPr>
                    <w:t>砂轮机</w:t>
                  </w:r>
                </w:p>
              </w:tc>
              <w:tc>
                <w:tcPr>
                  <w:tcW w:w="243" w:type="pct"/>
                  <w:tcBorders>
                    <w:top w:val="single" w:color="auto" w:sz="4" w:space="0"/>
                    <w:left w:val="single" w:color="auto" w:sz="4" w:space="0"/>
                    <w:bottom w:val="single" w:color="auto" w:sz="4" w:space="0"/>
                    <w:right w:val="single" w:color="auto" w:sz="4" w:space="0"/>
                  </w:tcBorders>
                  <w:vAlign w:val="center"/>
                </w:tcPr>
                <w:p w14:paraId="55B4380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00" w:type="pct"/>
                  <w:tcBorders>
                    <w:top w:val="single" w:color="auto" w:sz="4" w:space="0"/>
                    <w:left w:val="single" w:color="auto" w:sz="4" w:space="0"/>
                    <w:bottom w:val="single" w:color="auto" w:sz="4" w:space="0"/>
                    <w:right w:val="single" w:color="auto" w:sz="4" w:space="0"/>
                  </w:tcBorders>
                  <w:vAlign w:val="center"/>
                </w:tcPr>
                <w:p w14:paraId="20E3C550">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354" w:type="pct"/>
                  <w:vMerge w:val="continue"/>
                  <w:tcBorders>
                    <w:left w:val="single" w:color="auto" w:sz="4" w:space="0"/>
                    <w:right w:val="single" w:color="auto" w:sz="4" w:space="0"/>
                  </w:tcBorders>
                  <w:vAlign w:val="center"/>
                </w:tcPr>
                <w:p w14:paraId="217D88C7">
                  <w:pPr>
                    <w:pStyle w:val="40"/>
                    <w:spacing w:line="240" w:lineRule="auto"/>
                    <w:jc w:val="center"/>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76B908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122</w:t>
                  </w:r>
                </w:p>
              </w:tc>
              <w:tc>
                <w:tcPr>
                  <w:tcW w:w="194" w:type="pct"/>
                  <w:tcBorders>
                    <w:top w:val="single" w:color="auto" w:sz="4" w:space="0"/>
                    <w:left w:val="single" w:color="auto" w:sz="4" w:space="0"/>
                    <w:bottom w:val="single" w:color="auto" w:sz="4" w:space="0"/>
                    <w:right w:val="single" w:color="auto" w:sz="4" w:space="0"/>
                  </w:tcBorders>
                  <w:vAlign w:val="center"/>
                </w:tcPr>
                <w:p w14:paraId="79FC9363">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301" w:type="pct"/>
                  <w:tcBorders>
                    <w:top w:val="single" w:color="auto" w:sz="4" w:space="0"/>
                    <w:left w:val="single" w:color="auto" w:sz="4" w:space="0"/>
                    <w:bottom w:val="single" w:color="auto" w:sz="4" w:space="0"/>
                    <w:right w:val="single" w:color="auto" w:sz="4" w:space="0"/>
                  </w:tcBorders>
                  <w:vAlign w:val="center"/>
                </w:tcPr>
                <w:p w14:paraId="03123C99">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1F5ABF6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434" w:type="pct"/>
                  <w:tcBorders>
                    <w:top w:val="single" w:color="auto" w:sz="4" w:space="0"/>
                    <w:left w:val="single" w:color="auto" w:sz="4" w:space="0"/>
                    <w:bottom w:val="single" w:color="auto" w:sz="4" w:space="0"/>
                    <w:right w:val="single" w:color="auto" w:sz="4" w:space="0"/>
                  </w:tcBorders>
                  <w:vAlign w:val="center"/>
                </w:tcPr>
                <w:p w14:paraId="27C7EBE4">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w:t>
                  </w:r>
                </w:p>
              </w:tc>
              <w:tc>
                <w:tcPr>
                  <w:tcW w:w="425" w:type="pct"/>
                  <w:vMerge w:val="continue"/>
                  <w:tcBorders>
                    <w:left w:val="single" w:color="auto" w:sz="4" w:space="0"/>
                    <w:right w:val="single" w:color="auto" w:sz="4" w:space="0"/>
                  </w:tcBorders>
                  <w:vAlign w:val="center"/>
                </w:tcPr>
                <w:p w14:paraId="40FDF2F5">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004D5F80">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cBorders>
                  <w:vAlign w:val="center"/>
                </w:tcPr>
                <w:p w14:paraId="4C0CFF0D">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498" w:type="pct"/>
                  <w:tcBorders>
                    <w:top w:val="single" w:color="auto" w:sz="4" w:space="0"/>
                    <w:left w:val="single" w:color="auto" w:sz="4" w:space="0"/>
                    <w:bottom w:val="single" w:color="auto" w:sz="4" w:space="0"/>
                  </w:tcBorders>
                  <w:vAlign w:val="center"/>
                </w:tcPr>
                <w:p w14:paraId="49A9B63F">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2773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98" w:type="pct"/>
                  <w:vMerge w:val="continue"/>
                  <w:tcBorders>
                    <w:bottom w:val="single" w:color="auto" w:sz="4" w:space="0"/>
                    <w:right w:val="single" w:color="auto" w:sz="4" w:space="0"/>
                  </w:tcBorders>
                  <w:vAlign w:val="center"/>
                </w:tcPr>
                <w:p w14:paraId="50910E26">
                  <w:pPr>
                    <w:rPr>
                      <w:rFonts w:hint="default" w:ascii="Times New Roman" w:hAnsi="Times New Roman" w:cs="Times New Roman"/>
                      <w:color w:val="auto"/>
                      <w:sz w:val="21"/>
                      <w:szCs w:val="21"/>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top"/>
                </w:tcPr>
                <w:p w14:paraId="029FD6FC">
                  <w:pPr>
                    <w:pStyle w:val="66"/>
                    <w:spacing w:before="64" w:line="228" w:lineRule="auto"/>
                    <w:ind w:left="0" w:lef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空压机</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7ACDD9F2">
                  <w:pPr>
                    <w:pStyle w:val="4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300" w:type="pct"/>
                  <w:tcBorders>
                    <w:top w:val="single" w:color="auto" w:sz="4" w:space="0"/>
                    <w:left w:val="single" w:color="auto" w:sz="4" w:space="0"/>
                    <w:bottom w:val="single" w:color="auto" w:sz="4" w:space="0"/>
                    <w:right w:val="single" w:color="auto" w:sz="4" w:space="0"/>
                  </w:tcBorders>
                  <w:vAlign w:val="center"/>
                </w:tcPr>
                <w:p w14:paraId="1D06DAAE">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354" w:type="pct"/>
                  <w:vMerge w:val="continue"/>
                  <w:tcBorders>
                    <w:left w:val="single" w:color="auto" w:sz="4" w:space="0"/>
                    <w:bottom w:val="single" w:color="auto" w:sz="4" w:space="0"/>
                    <w:right w:val="single" w:color="auto" w:sz="4" w:space="0"/>
                  </w:tcBorders>
                  <w:vAlign w:val="center"/>
                </w:tcPr>
                <w:p w14:paraId="54DBE098">
                  <w:pPr>
                    <w:pStyle w:val="40"/>
                    <w:spacing w:line="240" w:lineRule="auto"/>
                    <w:jc w:val="center"/>
                    <w:rPr>
                      <w:rFonts w:hint="default" w:ascii="Times New Roman" w:hAnsi="Times New Roman" w:cs="Times New Roman"/>
                      <w:color w:val="auto"/>
                      <w:sz w:val="21"/>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CD479E9">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118</w:t>
                  </w:r>
                </w:p>
              </w:tc>
              <w:tc>
                <w:tcPr>
                  <w:tcW w:w="194" w:type="pct"/>
                  <w:tcBorders>
                    <w:top w:val="single" w:color="auto" w:sz="4" w:space="0"/>
                    <w:left w:val="single" w:color="auto" w:sz="4" w:space="0"/>
                    <w:bottom w:val="single" w:color="auto" w:sz="4" w:space="0"/>
                    <w:right w:val="single" w:color="auto" w:sz="4" w:space="0"/>
                  </w:tcBorders>
                  <w:vAlign w:val="center"/>
                </w:tcPr>
                <w:p w14:paraId="01154C37">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301" w:type="pct"/>
                  <w:tcBorders>
                    <w:top w:val="single" w:color="auto" w:sz="4" w:space="0"/>
                    <w:left w:val="single" w:color="auto" w:sz="4" w:space="0"/>
                    <w:bottom w:val="single" w:color="auto" w:sz="4" w:space="0"/>
                    <w:right w:val="single" w:color="auto" w:sz="4" w:space="0"/>
                  </w:tcBorders>
                  <w:vAlign w:val="center"/>
                </w:tcPr>
                <w:p w14:paraId="522AC1E8">
                  <w:pPr>
                    <w:pStyle w:val="4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82" w:type="pct"/>
                  <w:tcBorders>
                    <w:top w:val="single" w:color="auto" w:sz="4" w:space="0"/>
                    <w:left w:val="single" w:color="auto" w:sz="4" w:space="0"/>
                    <w:bottom w:val="single" w:color="auto" w:sz="4" w:space="0"/>
                    <w:right w:val="single" w:color="auto" w:sz="4" w:space="0"/>
                  </w:tcBorders>
                  <w:vAlign w:val="center"/>
                </w:tcPr>
                <w:p w14:paraId="44370592">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w:t>
                  </w:r>
                </w:p>
              </w:tc>
              <w:tc>
                <w:tcPr>
                  <w:tcW w:w="434" w:type="pct"/>
                  <w:tcBorders>
                    <w:top w:val="single" w:color="auto" w:sz="4" w:space="0"/>
                    <w:left w:val="single" w:color="auto" w:sz="4" w:space="0"/>
                    <w:bottom w:val="single" w:color="auto" w:sz="4" w:space="0"/>
                    <w:right w:val="single" w:color="auto" w:sz="4" w:space="0"/>
                  </w:tcBorders>
                  <w:vAlign w:val="center"/>
                </w:tcPr>
                <w:p w14:paraId="1D875518">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54</w:t>
                  </w:r>
                </w:p>
              </w:tc>
              <w:tc>
                <w:tcPr>
                  <w:tcW w:w="425" w:type="pct"/>
                  <w:vMerge w:val="continue"/>
                  <w:tcBorders>
                    <w:left w:val="single" w:color="auto" w:sz="4" w:space="0"/>
                    <w:bottom w:val="single" w:color="auto" w:sz="4" w:space="0"/>
                    <w:right w:val="single" w:color="auto" w:sz="4" w:space="0"/>
                  </w:tcBorders>
                  <w:vAlign w:val="center"/>
                </w:tcPr>
                <w:p w14:paraId="1ACA3C31">
                  <w:pPr>
                    <w:pStyle w:val="40"/>
                    <w:spacing w:line="240" w:lineRule="auto"/>
                    <w:jc w:val="center"/>
                    <w:rPr>
                      <w:rFonts w:hint="default" w:ascii="Times New Roman" w:hAnsi="Times New Roman" w:cs="Times New Roman"/>
                      <w:color w:val="auto"/>
                      <w:sz w:val="21"/>
                      <w:szCs w:val="21"/>
                    </w:rPr>
                  </w:pPr>
                </w:p>
              </w:tc>
              <w:tc>
                <w:tcPr>
                  <w:tcW w:w="434" w:type="pct"/>
                  <w:tcBorders>
                    <w:top w:val="single" w:color="auto" w:sz="4" w:space="0"/>
                    <w:left w:val="single" w:color="auto" w:sz="4" w:space="0"/>
                    <w:bottom w:val="single" w:color="auto" w:sz="4" w:space="0"/>
                    <w:right w:val="single" w:color="auto" w:sz="4" w:space="0"/>
                  </w:tcBorders>
                  <w:vAlign w:val="center"/>
                </w:tcPr>
                <w:p w14:paraId="0E6953D6">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434" w:type="pct"/>
                  <w:tcBorders>
                    <w:top w:val="single" w:color="auto" w:sz="4" w:space="0"/>
                    <w:left w:val="single" w:color="auto" w:sz="4" w:space="0"/>
                    <w:bottom w:val="single" w:color="auto" w:sz="4" w:space="0"/>
                    <w:right w:val="single" w:color="auto" w:sz="4" w:space="0"/>
                  </w:tcBorders>
                  <w:vAlign w:val="center"/>
                </w:tcPr>
                <w:p w14:paraId="78522DBA">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w:t>
                  </w:r>
                </w:p>
              </w:tc>
              <w:tc>
                <w:tcPr>
                  <w:tcW w:w="498" w:type="pct"/>
                  <w:tcBorders>
                    <w:top w:val="single" w:color="auto" w:sz="4" w:space="0"/>
                    <w:left w:val="single" w:color="auto" w:sz="4" w:space="0"/>
                    <w:bottom w:val="single" w:color="auto" w:sz="4" w:space="0"/>
                  </w:tcBorders>
                  <w:vAlign w:val="center"/>
                </w:tcPr>
                <w:p w14:paraId="6A3E9F49">
                  <w:pPr>
                    <w:pStyle w:val="4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097F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0" w:type="pct"/>
                  <w:gridSpan w:val="14"/>
                  <w:tcBorders>
                    <w:top w:val="single" w:color="auto" w:sz="4" w:space="0"/>
                  </w:tcBorders>
                  <w:vAlign w:val="center"/>
                </w:tcPr>
                <w:p w14:paraId="6B7EB7B5">
                  <w:pPr>
                    <w:pStyle w:val="40"/>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注：本次预测以</w:t>
                  </w:r>
                  <w:r>
                    <w:rPr>
                      <w:rFonts w:hint="default"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rPr>
                    <w:t>西南角为原点（0,0）</w:t>
                  </w:r>
                  <w:r>
                    <w:rPr>
                      <w:rFonts w:hint="default" w:ascii="Times New Roman" w:hAnsi="Times New Roman" w:cs="Times New Roman"/>
                      <w:color w:val="auto"/>
                      <w:sz w:val="21"/>
                      <w:szCs w:val="21"/>
                      <w:lang w:val="en-US" w:eastAsia="zh-CN"/>
                    </w:rPr>
                    <w:t>.</w:t>
                  </w:r>
                </w:p>
              </w:tc>
            </w:tr>
          </w:tbl>
          <w:p w14:paraId="74C6B70C">
            <w:pPr>
              <w:pStyle w:val="9"/>
              <w:spacing w:after="120"/>
              <w:ind w:firstLine="482"/>
              <w:rPr>
                <w:rFonts w:hint="default" w:ascii="Times New Roman" w:hAnsi="Times New Roman" w:eastAsia="宋体" w:cs="Times New Roman"/>
                <w:color w:val="auto"/>
                <w:lang w:val="en-US" w:eastAsia="zh-CN"/>
              </w:rPr>
            </w:pPr>
            <w:r>
              <w:rPr>
                <w:rFonts w:hint="default" w:ascii="Times New Roman" w:hAnsi="Times New Roman" w:cs="Times New Roman"/>
                <w:color w:val="auto"/>
              </w:rPr>
              <w:t>2.达标情况</w:t>
            </w:r>
            <w:r>
              <w:rPr>
                <w:rFonts w:hint="default" w:ascii="Times New Roman" w:hAnsi="Times New Roman" w:cs="Times New Roman"/>
                <w:color w:val="auto"/>
                <w:lang w:val="en-US" w:eastAsia="zh-CN"/>
              </w:rPr>
              <w:t>预测</w:t>
            </w:r>
            <w:r>
              <w:rPr>
                <w:rFonts w:hint="default" w:ascii="Times New Roman" w:hAnsi="Times New Roman" w:cs="Times New Roman"/>
                <w:color w:val="auto"/>
              </w:rPr>
              <w:t>分析</w:t>
            </w:r>
          </w:p>
          <w:p w14:paraId="4C0453D9">
            <w:pPr>
              <w:ind w:firstLine="480"/>
              <w:rPr>
                <w:rFonts w:hint="default" w:ascii="Times New Roman" w:hAnsi="Times New Roman" w:cs="Times New Roman"/>
                <w:color w:val="auto"/>
              </w:rPr>
            </w:pPr>
            <w:r>
              <w:rPr>
                <w:rFonts w:hint="default" w:ascii="Times New Roman" w:hAnsi="Times New Roman" w:cs="Times New Roman"/>
                <w:color w:val="auto"/>
              </w:rPr>
              <w:t>为了解本项目建成运营后对周边环境影响，本项目参考《环境影响评价技术导则 声环境》（HJ2.4—2021）推荐的噪声传播衰减模式中的室内预测模型预测项目噪声对周边环境影响。</w:t>
            </w:r>
          </w:p>
          <w:p w14:paraId="522DFDE9">
            <w:pPr>
              <w:ind w:firstLine="480"/>
              <w:rPr>
                <w:rFonts w:hint="default" w:ascii="Times New Roman" w:hAnsi="Times New Roman" w:cs="Times New Roman"/>
                <w:color w:val="auto"/>
              </w:rPr>
            </w:pPr>
            <w:r>
              <w:rPr>
                <w:rFonts w:hint="default" w:ascii="Times New Roman" w:hAnsi="Times New Roman" w:cs="Times New Roman"/>
                <w:color w:val="auto"/>
              </w:rPr>
              <w:t>（1）预测模式</w:t>
            </w:r>
          </w:p>
          <w:p w14:paraId="56E69C6E">
            <w:pPr>
              <w:ind w:firstLine="480"/>
              <w:rPr>
                <w:rFonts w:hint="default" w:ascii="Times New Roman" w:hAnsi="Times New Roman" w:cs="Times New Roman"/>
                <w:color w:val="auto"/>
              </w:rPr>
            </w:pPr>
            <w:r>
              <w:rPr>
                <w:rFonts w:hint="default" w:ascii="Times New Roman" w:hAnsi="Times New Roman" w:cs="Times New Roman"/>
                <w:color w:val="auto"/>
              </w:rPr>
              <w:t>为说明项目运营过程中噪声对周围环境的影响程度，根据《环境影响评价技术导则 声环境》（HJ2.4-2021）的技术要求，本次评价采取导则上的推荐模式进行预测，计算模式如下：</w:t>
            </w:r>
          </w:p>
          <w:p w14:paraId="12C628D7">
            <w:pPr>
              <w:ind w:firstLine="480"/>
              <w:rPr>
                <w:rFonts w:hint="default" w:ascii="Times New Roman" w:hAnsi="Times New Roman" w:cs="Times New Roman"/>
                <w:color w:val="auto"/>
              </w:rPr>
            </w:pPr>
            <w:r>
              <w:rPr>
                <w:rFonts w:hint="default" w:ascii="Times New Roman" w:hAnsi="Times New Roman" w:cs="Times New Roman"/>
                <w:color w:val="auto"/>
              </w:rPr>
              <w:t>A.预测条件假设</w:t>
            </w:r>
          </w:p>
          <w:p w14:paraId="121BB6B3">
            <w:pPr>
              <w:ind w:firstLine="480"/>
              <w:rPr>
                <w:rFonts w:hint="default" w:ascii="Times New Roman" w:hAnsi="Times New Roman" w:cs="Times New Roman"/>
                <w:color w:val="auto"/>
              </w:rPr>
            </w:pPr>
            <w:r>
              <w:rPr>
                <w:rFonts w:hint="default" w:ascii="Times New Roman" w:hAnsi="Times New Roman" w:cs="Times New Roman"/>
                <w:color w:val="auto"/>
              </w:rPr>
              <w:t>①所有产噪设备均在正常工况条件下运行；</w:t>
            </w:r>
          </w:p>
          <w:p w14:paraId="1FED76C7">
            <w:pPr>
              <w:ind w:firstLine="480"/>
              <w:rPr>
                <w:rFonts w:hint="default" w:ascii="Times New Roman" w:hAnsi="Times New Roman" w:cs="Times New Roman"/>
                <w:color w:val="auto"/>
              </w:rPr>
            </w:pPr>
            <w:r>
              <w:rPr>
                <w:rFonts w:hint="default" w:ascii="Times New Roman" w:hAnsi="Times New Roman" w:cs="Times New Roman"/>
                <w:color w:val="auto"/>
              </w:rPr>
              <w:t>②考虑室内声源所在建筑围护结构的隔声、吸声作用；</w:t>
            </w:r>
          </w:p>
          <w:p w14:paraId="184DC376">
            <w:pPr>
              <w:ind w:firstLine="480"/>
              <w:rPr>
                <w:rFonts w:hint="default" w:ascii="Times New Roman" w:hAnsi="Times New Roman" w:cs="Times New Roman"/>
                <w:color w:val="auto"/>
              </w:rPr>
            </w:pPr>
            <w:r>
              <w:rPr>
                <w:rFonts w:hint="default" w:ascii="Times New Roman" w:hAnsi="Times New Roman" w:cs="Times New Roman"/>
                <w:color w:val="auto"/>
              </w:rPr>
              <w:t>③衰减只考虑几何发散衰减，屏障衰减。</w:t>
            </w:r>
          </w:p>
          <w:p w14:paraId="3D53E396">
            <w:pPr>
              <w:ind w:firstLine="480"/>
              <w:rPr>
                <w:rFonts w:hint="default" w:ascii="Times New Roman" w:hAnsi="Times New Roman" w:cs="Times New Roman"/>
                <w:color w:val="auto"/>
              </w:rPr>
            </w:pPr>
            <w:r>
              <w:rPr>
                <w:rFonts w:hint="default" w:ascii="Times New Roman" w:hAnsi="Times New Roman" w:cs="Times New Roman"/>
                <w:color w:val="auto"/>
              </w:rPr>
              <w:t>B.室内声源等效室外声源声功率级</w:t>
            </w:r>
          </w:p>
          <w:p w14:paraId="3AA51389">
            <w:pPr>
              <w:ind w:firstLine="480"/>
              <w:rPr>
                <w:rFonts w:hint="default" w:ascii="Times New Roman" w:hAnsi="Times New Roman" w:cs="Times New Roman"/>
                <w:color w:val="auto"/>
              </w:rPr>
            </w:pPr>
            <w:r>
              <w:rPr>
                <w:rFonts w:hint="default" w:ascii="Times New Roman" w:hAnsi="Times New Roman" w:cs="Times New Roman"/>
                <w:color w:val="auto"/>
              </w:rPr>
              <w:t>声源位于室内，室内声源可采用等效室外声源声功率级法进行计算。</w:t>
            </w:r>
          </w:p>
          <w:p w14:paraId="6E230750">
            <w:pPr>
              <w:widowControl/>
              <w:ind w:firstLine="480" w:firstLineChars="0"/>
              <w:rPr>
                <w:rFonts w:hint="default" w:ascii="Times New Roman" w:hAnsi="Times New Roman" w:cs="Times New Roman"/>
                <w:color w:val="auto"/>
                <w:kern w:val="0"/>
              </w:rPr>
            </w:pPr>
            <w:r>
              <w:rPr>
                <w:rFonts w:hint="default" w:ascii="Times New Roman" w:hAnsi="Times New Roman" w:cs="Times New Roman"/>
                <w:color w:val="auto"/>
                <w:kern w:val="0"/>
              </w:rPr>
              <w:t>①计算某一室内声源靠近围护结构处产生的倍频带声压级或A声级：</w:t>
            </w:r>
          </w:p>
          <w:p w14:paraId="2EF5FD38">
            <w:pPr>
              <w:adjustRightInd w:val="0"/>
              <w:snapToGrid w:val="0"/>
              <w:ind w:firstLine="0" w:firstLineChars="0"/>
              <w:jc w:val="center"/>
              <w:rPr>
                <w:rFonts w:hint="default" w:ascii="Times New Roman" w:hAnsi="Times New Roman" w:cs="Times New Roman"/>
                <w:bCs/>
                <w:color w:val="auto"/>
              </w:rPr>
            </w:pPr>
            <w:r>
              <w:rPr>
                <w:rFonts w:hint="default" w:ascii="Times New Roman" w:hAnsi="Times New Roman" w:cs="Times New Roman"/>
                <w:color w:val="auto"/>
              </w:rPr>
              <w:drawing>
                <wp:inline distT="0" distB="0" distL="0" distR="0">
                  <wp:extent cx="1558925" cy="360045"/>
                  <wp:effectExtent l="0" t="0" r="3175" b="1905"/>
                  <wp:docPr id="9" name="图片 9" descr="C:\Users\ADMINI~1\AppData\Local\Temp\ksohtml19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1908\wp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58925" cy="360045"/>
                          </a:xfrm>
                          <a:prstGeom prst="rect">
                            <a:avLst/>
                          </a:prstGeom>
                          <a:noFill/>
                          <a:ln>
                            <a:noFill/>
                          </a:ln>
                        </pic:spPr>
                      </pic:pic>
                    </a:graphicData>
                  </a:graphic>
                </wp:inline>
              </w:drawing>
            </w:r>
          </w:p>
          <w:p w14:paraId="2260725E">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618DD843">
            <w:pPr>
              <w:ind w:firstLine="480"/>
              <w:rPr>
                <w:rFonts w:hint="default" w:ascii="Times New Roman" w:hAnsi="Times New Roman" w:cs="Times New Roman"/>
                <w:color w:val="auto"/>
              </w:rPr>
            </w:pPr>
            <w:r>
              <w:rPr>
                <w:rFonts w:hint="default" w:ascii="Times New Roman" w:hAnsi="Times New Roman" w:cs="Times New Roman"/>
                <w:i/>
                <w:color w:val="auto"/>
              </w:rPr>
              <w:t>L</w:t>
            </w:r>
            <w:r>
              <w:rPr>
                <w:rFonts w:hint="default" w:ascii="Times New Roman" w:hAnsi="Times New Roman" w:cs="Times New Roman"/>
                <w:i/>
                <w:color w:val="auto"/>
                <w:vertAlign w:val="subscript"/>
              </w:rPr>
              <w:t>p1</w:t>
            </w:r>
            <w:r>
              <w:rPr>
                <w:rFonts w:hint="default" w:ascii="Times New Roman" w:hAnsi="Times New Roman" w:cs="Times New Roman"/>
                <w:color w:val="auto"/>
              </w:rPr>
              <w:t>—靠近开口处（或窗户）室内某倍频带的声压级或A声级，dB；</w:t>
            </w:r>
          </w:p>
          <w:p w14:paraId="2A1DAF51">
            <w:pPr>
              <w:ind w:firstLine="480"/>
              <w:rPr>
                <w:rFonts w:hint="default" w:ascii="Times New Roman" w:hAnsi="Times New Roman" w:cs="Times New Roman"/>
                <w:color w:val="auto"/>
              </w:rPr>
            </w:pPr>
            <w:r>
              <w:rPr>
                <w:rFonts w:hint="default" w:ascii="Times New Roman" w:hAnsi="Times New Roman" w:cs="Times New Roman"/>
                <w:i/>
                <w:color w:val="auto"/>
              </w:rPr>
              <w:t>L</w:t>
            </w:r>
            <w:r>
              <w:rPr>
                <w:rFonts w:hint="default" w:ascii="Times New Roman" w:hAnsi="Times New Roman" w:cs="Times New Roman"/>
                <w:i/>
                <w:color w:val="auto"/>
                <w:vertAlign w:val="subscript"/>
              </w:rPr>
              <w:t>w</w:t>
            </w:r>
            <w:r>
              <w:rPr>
                <w:rFonts w:hint="default" w:ascii="Times New Roman" w:hAnsi="Times New Roman" w:cs="Times New Roman"/>
                <w:color w:val="auto"/>
              </w:rPr>
              <w:t>—点声源声功率级（A计权或倍频带），dB；</w:t>
            </w:r>
          </w:p>
          <w:p w14:paraId="33C02644">
            <w:pPr>
              <w:ind w:firstLine="480"/>
              <w:rPr>
                <w:rFonts w:hint="default" w:ascii="Times New Roman" w:hAnsi="Times New Roman" w:cs="Times New Roman"/>
                <w:color w:val="auto"/>
              </w:rPr>
            </w:pPr>
            <w:r>
              <w:rPr>
                <w:rFonts w:hint="default" w:ascii="Times New Roman" w:hAnsi="Times New Roman" w:cs="Times New Roman"/>
                <w:i/>
                <w:color w:val="auto"/>
              </w:rPr>
              <w:t>Q</w:t>
            </w:r>
            <w:r>
              <w:rPr>
                <w:rFonts w:hint="default" w:ascii="Times New Roman" w:hAnsi="Times New Roman" w:cs="Times New Roman"/>
                <w:color w:val="auto"/>
              </w:rPr>
              <w:t>—指向性因数；通常对无指向性声源，当声源放在房间中心时，Q=1；当放在一面墙的中心时，Q=2；当放在两面墙夹角处时，Q=4；当放在三面墙夹角处时，Q=8；</w:t>
            </w:r>
          </w:p>
          <w:p w14:paraId="4C114DBE">
            <w:pPr>
              <w:ind w:firstLine="480"/>
              <w:rPr>
                <w:rFonts w:hint="default" w:ascii="Times New Roman" w:hAnsi="Times New Roman" w:cs="Times New Roman"/>
                <w:color w:val="auto"/>
              </w:rPr>
            </w:pPr>
            <w:r>
              <w:rPr>
                <w:rFonts w:hint="default" w:ascii="Times New Roman" w:hAnsi="Times New Roman" w:cs="Times New Roman"/>
                <w:i/>
                <w:color w:val="auto"/>
              </w:rPr>
              <w:t>R</w:t>
            </w:r>
            <w:r>
              <w:rPr>
                <w:rFonts w:hint="default" w:ascii="Times New Roman" w:hAnsi="Times New Roman" w:cs="Times New Roman"/>
                <w:color w:val="auto"/>
              </w:rPr>
              <w:t>—房间常数；R=Sα/(1-α)，S为房间内表面面积，m</w:t>
            </w:r>
            <w:r>
              <w:rPr>
                <w:rFonts w:hint="default" w:ascii="Times New Roman" w:hAnsi="Times New Roman" w:cs="Times New Roman"/>
                <w:color w:val="auto"/>
                <w:vertAlign w:val="superscript"/>
              </w:rPr>
              <w:t>2</w:t>
            </w:r>
            <w:r>
              <w:rPr>
                <w:rFonts w:hint="default" w:ascii="Times New Roman" w:hAnsi="Times New Roman" w:cs="Times New Roman"/>
                <w:color w:val="auto"/>
              </w:rPr>
              <w:t>；α为平均吸声系数；</w:t>
            </w:r>
          </w:p>
          <w:p w14:paraId="53F5E15D">
            <w:pPr>
              <w:ind w:firstLine="480"/>
              <w:rPr>
                <w:rFonts w:hint="default" w:ascii="Times New Roman" w:hAnsi="Times New Roman" w:cs="Times New Roman"/>
                <w:color w:val="auto"/>
              </w:rPr>
            </w:pPr>
            <w:r>
              <w:rPr>
                <w:rFonts w:hint="default" w:ascii="Times New Roman" w:hAnsi="Times New Roman" w:cs="Times New Roman"/>
                <w:i/>
                <w:color w:val="auto"/>
              </w:rPr>
              <w:t>r</w:t>
            </w:r>
            <w:r>
              <w:rPr>
                <w:rFonts w:hint="default" w:ascii="Times New Roman" w:hAnsi="Times New Roman" w:cs="Times New Roman"/>
                <w:color w:val="auto"/>
              </w:rPr>
              <w:t>—声源到靠近围护结构某点处的距离，m。</w:t>
            </w:r>
          </w:p>
          <w:p w14:paraId="5B4F5F71">
            <w:pPr>
              <w:ind w:firstLine="480"/>
              <w:rPr>
                <w:rFonts w:hint="default" w:ascii="Times New Roman" w:hAnsi="Times New Roman" w:cs="Times New Roman"/>
                <w:color w:val="auto"/>
              </w:rPr>
            </w:pPr>
            <w:r>
              <w:rPr>
                <w:rFonts w:hint="default" w:ascii="Times New Roman" w:hAnsi="Times New Roman" w:cs="Times New Roman"/>
                <w:color w:val="auto"/>
              </w:rPr>
              <w:t>②计算出所有室内声源在围护结构处产生的i倍频带叠加声压级：</w:t>
            </w:r>
          </w:p>
          <w:p w14:paraId="77682E48">
            <w:pPr>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669415" cy="457200"/>
                  <wp:effectExtent l="0" t="0" r="6985" b="0"/>
                  <wp:docPr id="10" name="图片 8" descr="C:\Users\ADMINI~1\AppData\Local\Temp\ksohtml190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1\AppData\Local\Temp\ksohtml1908\wps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69415" cy="457200"/>
                          </a:xfrm>
                          <a:prstGeom prst="rect">
                            <a:avLst/>
                          </a:prstGeom>
                          <a:noFill/>
                          <a:ln>
                            <a:noFill/>
                          </a:ln>
                        </pic:spPr>
                      </pic:pic>
                    </a:graphicData>
                  </a:graphic>
                </wp:inline>
              </w:drawing>
            </w:r>
          </w:p>
          <w:p w14:paraId="556579D4">
            <w:pPr>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color w:val="auto"/>
              </w:rPr>
              <w:t>L</w:t>
            </w:r>
            <w:r>
              <w:rPr>
                <w:rFonts w:hint="default" w:ascii="Times New Roman" w:hAnsi="Times New Roman" w:cs="Times New Roman"/>
                <w:i/>
                <w:color w:val="auto"/>
                <w:vertAlign w:val="subscript"/>
              </w:rPr>
              <w:t>p1i</w:t>
            </w:r>
            <w:r>
              <w:rPr>
                <w:rFonts w:hint="default" w:ascii="Times New Roman" w:hAnsi="Times New Roman" w:cs="Times New Roman"/>
                <w:i/>
                <w:color w:val="auto"/>
              </w:rPr>
              <w:t>(T)</w:t>
            </w:r>
            <w:r>
              <w:rPr>
                <w:rFonts w:hint="default" w:ascii="Times New Roman" w:hAnsi="Times New Roman" w:cs="Times New Roman"/>
                <w:color w:val="auto"/>
              </w:rPr>
              <w:t>—靠近围护结构处室内N个声源i倍频带的叠加声压级，dB；</w:t>
            </w:r>
          </w:p>
          <w:p w14:paraId="7A6C5899">
            <w:pPr>
              <w:ind w:firstLine="480"/>
              <w:rPr>
                <w:rFonts w:hint="default" w:ascii="Times New Roman" w:hAnsi="Times New Roman" w:cs="Times New Roman"/>
                <w:color w:val="auto"/>
              </w:rPr>
            </w:pPr>
            <w:r>
              <w:rPr>
                <w:rFonts w:hint="default" w:ascii="Times New Roman" w:hAnsi="Times New Roman" w:cs="Times New Roman"/>
                <w:i/>
                <w:color w:val="auto"/>
              </w:rPr>
              <w:t>L</w:t>
            </w:r>
            <w:r>
              <w:rPr>
                <w:rFonts w:hint="default" w:ascii="Times New Roman" w:hAnsi="Times New Roman" w:cs="Times New Roman"/>
                <w:i/>
                <w:color w:val="auto"/>
                <w:vertAlign w:val="subscript"/>
              </w:rPr>
              <w:t>p1j</w:t>
            </w:r>
            <w:r>
              <w:rPr>
                <w:rFonts w:hint="default" w:ascii="Times New Roman" w:hAnsi="Times New Roman" w:cs="Times New Roman"/>
                <w:color w:val="auto"/>
              </w:rPr>
              <w:t>—室内j声源i倍频带的声压级，dB；</w:t>
            </w:r>
          </w:p>
          <w:p w14:paraId="211F86C8">
            <w:pPr>
              <w:ind w:firstLine="480"/>
              <w:rPr>
                <w:rFonts w:hint="default" w:ascii="Times New Roman" w:hAnsi="Times New Roman" w:cs="Times New Roman"/>
                <w:color w:val="auto"/>
              </w:rPr>
            </w:pPr>
            <w:r>
              <w:rPr>
                <w:rFonts w:hint="default" w:ascii="Times New Roman" w:hAnsi="Times New Roman" w:cs="Times New Roman"/>
                <w:color w:val="auto"/>
              </w:rPr>
              <w:t>N—室内声源总数。</w:t>
            </w:r>
          </w:p>
          <w:p w14:paraId="11C847BD">
            <w:pPr>
              <w:ind w:firstLine="480"/>
              <w:rPr>
                <w:rFonts w:hint="default" w:ascii="Times New Roman" w:hAnsi="Times New Roman" w:cs="Times New Roman"/>
                <w:color w:val="auto"/>
              </w:rPr>
            </w:pPr>
            <w:r>
              <w:rPr>
                <w:rFonts w:hint="default" w:ascii="Times New Roman" w:hAnsi="Times New Roman" w:cs="Times New Roman"/>
                <w:color w:val="auto"/>
              </w:rPr>
              <w:t>③在室内近似为扩散声场时，计算出靠近</w:t>
            </w:r>
            <w:r>
              <w:rPr>
                <w:rFonts w:hint="default" w:ascii="Times New Roman" w:hAnsi="Times New Roman" w:cs="Times New Roman"/>
                <w:color w:val="auto"/>
                <w:lang w:val="en-US" w:eastAsia="zh-CN"/>
              </w:rPr>
              <w:t>开口处（或窗户）</w:t>
            </w:r>
            <w:r>
              <w:rPr>
                <w:rFonts w:hint="default" w:ascii="Times New Roman" w:hAnsi="Times New Roman" w:cs="Times New Roman"/>
                <w:color w:val="auto"/>
              </w:rPr>
              <w:t>室外</w:t>
            </w:r>
            <w:r>
              <w:rPr>
                <w:rFonts w:hint="default" w:ascii="Times New Roman" w:hAnsi="Times New Roman" w:cs="Times New Roman"/>
                <w:color w:val="auto"/>
                <w:lang w:val="en-US" w:eastAsia="zh-CN"/>
              </w:rPr>
              <w:t>某倍频带的</w:t>
            </w:r>
            <w:r>
              <w:rPr>
                <w:rFonts w:hint="default" w:ascii="Times New Roman" w:hAnsi="Times New Roman" w:cs="Times New Roman"/>
                <w:color w:val="auto"/>
              </w:rPr>
              <w:t>声压级：</w:t>
            </w:r>
          </w:p>
          <w:p w14:paraId="432EE4BA">
            <w:pPr>
              <w:adjustRightInd w:val="0"/>
              <w:snapToGrid w:val="0"/>
              <w:spacing w:line="360" w:lineRule="auto"/>
              <w:ind w:firstLine="0" w:firstLineChars="0"/>
              <w:jc w:val="center"/>
              <w:rPr>
                <w:rFonts w:hint="default" w:ascii="Times New Roman" w:hAnsi="Times New Roman" w:cs="Times New Roman"/>
                <w:color w:val="auto"/>
              </w:rPr>
            </w:pPr>
            <w:r>
              <w:rPr>
                <w:rFonts w:hint="default" w:ascii="Times New Roman" w:hAnsi="Times New Roman" w:cs="Times New Roman"/>
                <w:i/>
                <w:iCs/>
                <w:color w:val="auto"/>
                <w:sz w:val="28"/>
                <w:szCs w:val="28"/>
              </w:rPr>
              <w:t>L</w:t>
            </w:r>
            <w:r>
              <w:rPr>
                <w:rFonts w:hint="default" w:ascii="Times New Roman" w:hAnsi="Times New Roman" w:cs="Times New Roman"/>
                <w:i/>
                <w:iCs/>
                <w:color w:val="auto"/>
                <w:sz w:val="28"/>
                <w:szCs w:val="28"/>
                <w:vertAlign w:val="subscript"/>
                <w:lang w:val="en-US" w:eastAsia="zh-CN"/>
              </w:rPr>
              <w:t>p2</w:t>
            </w:r>
            <w:r>
              <w:rPr>
                <w:rFonts w:hint="default" w:ascii="Times New Roman" w:hAnsi="Times New Roman" w:cs="Times New Roman"/>
                <w:color w:val="auto"/>
                <w:sz w:val="28"/>
                <w:szCs w:val="28"/>
              </w:rPr>
              <w:t>=</w:t>
            </w:r>
            <w:r>
              <w:rPr>
                <w:rFonts w:hint="default" w:ascii="Times New Roman" w:hAnsi="Times New Roman" w:cs="Times New Roman"/>
                <w:i/>
                <w:iCs/>
                <w:color w:val="auto"/>
                <w:sz w:val="28"/>
                <w:szCs w:val="28"/>
              </w:rPr>
              <w:t>L</w:t>
            </w:r>
            <w:r>
              <w:rPr>
                <w:rFonts w:hint="default" w:ascii="Times New Roman" w:hAnsi="Times New Roman" w:cs="Times New Roman"/>
                <w:i/>
                <w:iCs/>
                <w:color w:val="auto"/>
                <w:sz w:val="28"/>
                <w:szCs w:val="28"/>
                <w:vertAlign w:val="subscript"/>
                <w:lang w:val="en-US" w:eastAsia="zh-CN"/>
              </w:rPr>
              <w:t>p1</w:t>
            </w:r>
            <w:r>
              <w:rPr>
                <w:rFonts w:hint="default" w:ascii="Times New Roman" w:hAnsi="Times New Roman" w:cs="Times New Roman"/>
                <w:color w:val="auto"/>
                <w:sz w:val="28"/>
                <w:szCs w:val="28"/>
              </w:rPr>
              <w:t>-(</w:t>
            </w:r>
            <w:r>
              <w:rPr>
                <w:rFonts w:hint="default" w:ascii="Times New Roman" w:hAnsi="Times New Roman" w:cs="Times New Roman"/>
                <w:i/>
                <w:iCs/>
                <w:color w:val="auto"/>
                <w:sz w:val="28"/>
                <w:szCs w:val="28"/>
              </w:rPr>
              <w:t>TL</w:t>
            </w:r>
            <w:r>
              <w:rPr>
                <w:rFonts w:hint="default" w:ascii="Times New Roman" w:hAnsi="Times New Roman" w:cs="Times New Roman"/>
                <w:color w:val="auto"/>
                <w:sz w:val="28"/>
                <w:szCs w:val="28"/>
              </w:rPr>
              <w:t>+6)</w:t>
            </w:r>
          </w:p>
          <w:p w14:paraId="6C061AF1">
            <w:pPr>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color w:val="auto"/>
              </w:rPr>
              <w:t>L</w:t>
            </w:r>
            <w:r>
              <w:rPr>
                <w:rFonts w:hint="default" w:ascii="Times New Roman" w:hAnsi="Times New Roman" w:cs="Times New Roman"/>
                <w:i/>
                <w:color w:val="auto"/>
                <w:vertAlign w:val="subscript"/>
              </w:rPr>
              <w:t>p2</w:t>
            </w:r>
            <w:r>
              <w:rPr>
                <w:rFonts w:hint="default" w:ascii="Times New Roman" w:hAnsi="Times New Roman" w:cs="Times New Roman"/>
                <w:color w:val="auto"/>
              </w:rPr>
              <w:t>—</w:t>
            </w:r>
            <w:r>
              <w:rPr>
                <w:rFonts w:hint="default" w:ascii="Times New Roman" w:hAnsi="Times New Roman" w:cs="Times New Roman"/>
                <w:color w:val="auto"/>
                <w:lang w:val="en-US" w:eastAsia="zh-CN"/>
              </w:rPr>
              <w:t>靠近开口处（或窗户）室外某倍频带的声压级或A声级，dB；</w:t>
            </w:r>
          </w:p>
          <w:p w14:paraId="7F591AAA">
            <w:pPr>
              <w:pStyle w:val="2"/>
              <w:rPr>
                <w:rFonts w:hint="default" w:ascii="Times New Roman" w:hAnsi="Times New Roman" w:cs="Times New Roman"/>
                <w:color w:val="auto"/>
              </w:rPr>
            </w:pPr>
            <w:r>
              <w:rPr>
                <w:rFonts w:hint="default" w:ascii="Times New Roman" w:hAnsi="Times New Roman" w:cs="Times New Roman"/>
                <w:i/>
                <w:color w:val="auto"/>
              </w:rPr>
              <w:t>L</w:t>
            </w:r>
            <w:r>
              <w:rPr>
                <w:rFonts w:hint="default" w:ascii="Times New Roman" w:hAnsi="Times New Roman" w:cs="Times New Roman"/>
                <w:i/>
                <w:color w:val="auto"/>
                <w:vertAlign w:val="subscript"/>
              </w:rPr>
              <w:t>p</w:t>
            </w:r>
            <w:r>
              <w:rPr>
                <w:rFonts w:hint="default" w:ascii="Times New Roman" w:hAnsi="Times New Roman" w:cs="Times New Roman"/>
                <w:i/>
                <w:color w:val="auto"/>
                <w:vertAlign w:val="subscript"/>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靠近开口处（或窗户）室内某倍频带的声压级或A声级，dB；</w:t>
            </w:r>
          </w:p>
          <w:p w14:paraId="0ABCA559">
            <w:pPr>
              <w:keepNext w:val="0"/>
              <w:keepLines w:val="0"/>
              <w:widowControl/>
              <w:suppressLineNumbers w:val="0"/>
              <w:jc w:val="left"/>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i/>
                <w:iCs/>
                <w:color w:val="auto"/>
                <w:kern w:val="0"/>
                <w:sz w:val="24"/>
                <w:szCs w:val="20"/>
                <w:lang w:val="en-US" w:eastAsia="zh-CN" w:bidi="ar-SA"/>
              </w:rPr>
              <w:t>TL</w:t>
            </w:r>
            <w:r>
              <w:rPr>
                <w:rFonts w:hint="default" w:ascii="Times New Roman" w:hAnsi="Times New Roman" w:eastAsia="宋体" w:cs="Times New Roman"/>
                <w:color w:val="auto"/>
                <w:kern w:val="0"/>
                <w:sz w:val="24"/>
                <w:szCs w:val="20"/>
                <w:lang w:val="en-US" w:eastAsia="zh-CN" w:bidi="ar-SA"/>
              </w:rPr>
              <w:t>—隔墙（或窗户）倍频带或 A 声级的隔声量，dB。</w:t>
            </w:r>
          </w:p>
          <w:p w14:paraId="51C7720F">
            <w:pPr>
              <w:ind w:firstLine="480"/>
              <w:rPr>
                <w:rFonts w:hint="default" w:ascii="Times New Roman" w:hAnsi="Times New Roman" w:cs="Times New Roman"/>
                <w:color w:val="auto"/>
              </w:rPr>
            </w:pPr>
            <w:r>
              <w:rPr>
                <w:rFonts w:hint="default" w:ascii="Times New Roman" w:hAnsi="Times New Roman" w:cs="Times New Roman"/>
                <w:color w:val="auto"/>
              </w:rPr>
              <w:t>④将室外声源的声压级和透过面积换算成等效的室外声源，计算出中心位置位于透声面积（S）处的等效声源的倍频带声功率级。</w:t>
            </w:r>
          </w:p>
          <w:p w14:paraId="599E604B">
            <w:pPr>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336675" cy="187325"/>
                  <wp:effectExtent l="0" t="0" r="0" b="3175"/>
                  <wp:docPr id="12" name="图片 5" descr="C:\Users\ADMINI~1\AppData\Local\Temp\ksohtml190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1\AppData\Local\Temp\ksohtml1908\wp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36675" cy="187325"/>
                          </a:xfrm>
                          <a:prstGeom prst="rect">
                            <a:avLst/>
                          </a:prstGeom>
                          <a:noFill/>
                          <a:ln>
                            <a:noFill/>
                          </a:ln>
                        </pic:spPr>
                      </pic:pic>
                    </a:graphicData>
                  </a:graphic>
                </wp:inline>
              </w:drawing>
            </w:r>
          </w:p>
          <w:p w14:paraId="28E8C3D0">
            <w:pPr>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color w:val="auto"/>
              </w:rPr>
              <w:t>L</w:t>
            </w:r>
            <w:r>
              <w:rPr>
                <w:rFonts w:hint="default" w:ascii="Times New Roman" w:hAnsi="Times New Roman" w:cs="Times New Roman"/>
                <w:i/>
                <w:color w:val="auto"/>
                <w:vertAlign w:val="subscript"/>
              </w:rPr>
              <w:t>w</w:t>
            </w:r>
            <w:r>
              <w:rPr>
                <w:rFonts w:hint="default" w:ascii="Times New Roman" w:hAnsi="Times New Roman" w:cs="Times New Roman"/>
                <w:color w:val="auto"/>
              </w:rPr>
              <w:t>—中心位置位于透声面积（S）处的等效声源的倍频带声功率级，dB；</w:t>
            </w:r>
          </w:p>
          <w:p w14:paraId="74C2442F">
            <w:pPr>
              <w:ind w:firstLine="480"/>
              <w:rPr>
                <w:rFonts w:hint="default" w:ascii="Times New Roman" w:hAnsi="Times New Roman" w:cs="Times New Roman"/>
                <w:color w:val="auto"/>
              </w:rPr>
            </w:pPr>
            <w:r>
              <w:rPr>
                <w:rFonts w:hint="default" w:ascii="Times New Roman" w:hAnsi="Times New Roman" w:cs="Times New Roman"/>
                <w:i/>
                <w:color w:val="auto"/>
              </w:rPr>
              <w:t>L</w:t>
            </w:r>
            <w:r>
              <w:rPr>
                <w:rFonts w:hint="default" w:ascii="Times New Roman" w:hAnsi="Times New Roman" w:cs="Times New Roman"/>
                <w:i/>
                <w:color w:val="auto"/>
                <w:vertAlign w:val="subscript"/>
              </w:rPr>
              <w:t>p2</w:t>
            </w:r>
            <w:r>
              <w:rPr>
                <w:rFonts w:hint="default" w:ascii="Times New Roman" w:hAnsi="Times New Roman" w:cs="Times New Roman"/>
                <w:i/>
                <w:color w:val="auto"/>
              </w:rPr>
              <w:t>(T)</w:t>
            </w:r>
            <w:r>
              <w:rPr>
                <w:rFonts w:hint="default" w:ascii="Times New Roman" w:hAnsi="Times New Roman" w:cs="Times New Roman"/>
                <w:color w:val="auto"/>
              </w:rPr>
              <w:t>—靠近围护结构处室外声源的声压级，dB；</w:t>
            </w:r>
          </w:p>
          <w:p w14:paraId="4701C193">
            <w:pPr>
              <w:ind w:firstLine="480"/>
              <w:rPr>
                <w:rFonts w:hint="default" w:ascii="Times New Roman" w:hAnsi="Times New Roman" w:cs="Times New Roman"/>
                <w:color w:val="auto"/>
              </w:rPr>
            </w:pPr>
            <w:r>
              <w:rPr>
                <w:rFonts w:hint="default" w:ascii="Times New Roman" w:hAnsi="Times New Roman" w:cs="Times New Roman"/>
                <w:color w:val="auto"/>
              </w:rPr>
              <w:t>S—透声面积，m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14:paraId="5C74EA2C">
            <w:pPr>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⑤等效室外声源的位置为围护结构的位置，其声功率级为L</w:t>
            </w:r>
            <w:r>
              <w:rPr>
                <w:rFonts w:hint="default" w:ascii="Times New Roman" w:hAnsi="Times New Roman" w:cs="Times New Roman"/>
                <w:color w:val="auto"/>
                <w:vertAlign w:val="subscript"/>
              </w:rPr>
              <w:t>w</w:t>
            </w:r>
            <w:r>
              <w:rPr>
                <w:rFonts w:hint="default" w:ascii="Times New Roman" w:hAnsi="Times New Roman" w:cs="Times New Roman"/>
                <w:color w:val="auto"/>
              </w:rPr>
              <w:t>，由此按室外声源预测方法计算预测点处的A声级。</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按半自由声场公式得出：</w:t>
            </w:r>
          </w:p>
          <w:p w14:paraId="5BB7E3EE">
            <w:pPr>
              <w:pStyle w:val="2"/>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i/>
                <w:iCs/>
                <w:color w:val="auto"/>
                <w:sz w:val="28"/>
                <w:szCs w:val="28"/>
                <w:u w:val="none"/>
              </w:rPr>
              <w:t xml:space="preserve">L </w:t>
            </w:r>
            <w:r>
              <w:rPr>
                <w:rFonts w:hint="default" w:ascii="Times New Roman" w:hAnsi="Times New Roman" w:eastAsia="宋体" w:cs="Times New Roman"/>
                <w:i/>
                <w:iCs/>
                <w:color w:val="auto"/>
                <w:sz w:val="28"/>
                <w:szCs w:val="28"/>
                <w:u w:val="none"/>
                <w:vertAlign w:val="subscript"/>
              </w:rPr>
              <w:t>(r</w:t>
            </w:r>
            <w:r>
              <w:rPr>
                <w:rFonts w:hint="default" w:ascii="Times New Roman" w:hAnsi="Times New Roman" w:cs="Times New Roman"/>
                <w:i/>
                <w:iCs/>
                <w:color w:val="auto"/>
                <w:sz w:val="28"/>
                <w:szCs w:val="28"/>
                <w:u w:val="none"/>
                <w:vertAlign w:val="subscript"/>
                <w:lang w:val="en-US" w:eastAsia="zh-CN"/>
              </w:rPr>
              <w:t>0</w:t>
            </w:r>
            <w:r>
              <w:rPr>
                <w:rFonts w:hint="default" w:ascii="Times New Roman" w:hAnsi="Times New Roman" w:eastAsia="宋体" w:cs="Times New Roman"/>
                <w:i/>
                <w:iCs/>
                <w:color w:val="auto"/>
                <w:sz w:val="28"/>
                <w:szCs w:val="28"/>
                <w:u w:val="none"/>
                <w:vertAlign w:val="subscript"/>
              </w:rPr>
              <w:t>)</w:t>
            </w:r>
            <w:r>
              <w:rPr>
                <w:rFonts w:hint="default" w:ascii="Times New Roman" w:hAnsi="Times New Roman" w:eastAsia="宋体" w:cs="Times New Roman"/>
                <w:color w:val="auto"/>
                <w:sz w:val="28"/>
                <w:szCs w:val="28"/>
                <w:lang w:val="en-US" w:eastAsia="zh-CN"/>
              </w:rPr>
              <w:t>=</w:t>
            </w:r>
            <w:r>
              <w:rPr>
                <w:rFonts w:hint="default" w:ascii="Times New Roman" w:hAnsi="Times New Roman" w:eastAsia="宋体" w:cs="Times New Roman"/>
                <w:i/>
                <w:iCs/>
                <w:color w:val="auto"/>
                <w:sz w:val="28"/>
                <w:szCs w:val="28"/>
                <w:lang w:val="en-US" w:eastAsia="zh-CN"/>
              </w:rPr>
              <w:t>L</w:t>
            </w:r>
            <w:r>
              <w:rPr>
                <w:rFonts w:hint="default" w:ascii="Times New Roman" w:hAnsi="Times New Roman" w:eastAsia="宋体" w:cs="Times New Roman"/>
                <w:i/>
                <w:iCs/>
                <w:color w:val="auto"/>
                <w:sz w:val="28"/>
                <w:szCs w:val="28"/>
                <w:vertAlign w:val="subscript"/>
                <w:lang w:val="en-US" w:eastAsia="zh-CN"/>
              </w:rPr>
              <w:t>w</w:t>
            </w:r>
            <w:r>
              <w:rPr>
                <w:rFonts w:hint="default" w:ascii="Times New Roman" w:hAnsi="Times New Roman" w:eastAsia="宋体" w:cs="Times New Roman"/>
                <w:color w:val="auto"/>
                <w:sz w:val="28"/>
                <w:szCs w:val="28"/>
                <w:lang w:val="en-US" w:eastAsia="zh-CN"/>
              </w:rPr>
              <w:t>-20lg</w:t>
            </w:r>
            <w:r>
              <w:rPr>
                <w:rFonts w:hint="default" w:ascii="Times New Roman" w:hAnsi="Times New Roman" w:eastAsia="宋体" w:cs="Times New Roman"/>
                <w:i/>
                <w:iCs/>
                <w:color w:val="auto"/>
                <w:sz w:val="28"/>
                <w:szCs w:val="28"/>
                <w:vertAlign w:val="subscript"/>
                <w:lang w:val="en-US" w:eastAsia="zh-CN"/>
              </w:rPr>
              <w:t>r</w:t>
            </w:r>
            <w:r>
              <w:rPr>
                <w:rFonts w:hint="default" w:ascii="Times New Roman" w:hAnsi="Times New Roman" w:cs="Times New Roman"/>
                <w:i/>
                <w:iCs/>
                <w:color w:val="auto"/>
                <w:sz w:val="28"/>
                <w:szCs w:val="28"/>
                <w:vertAlign w:val="subscript"/>
                <w:lang w:val="en-US" w:eastAsia="zh-CN"/>
              </w:rPr>
              <w:t>0</w:t>
            </w:r>
            <w:r>
              <w:rPr>
                <w:rFonts w:hint="default" w:ascii="Times New Roman" w:hAnsi="Times New Roman" w:eastAsia="宋体" w:cs="Times New Roman"/>
                <w:color w:val="auto"/>
                <w:sz w:val="28"/>
                <w:szCs w:val="28"/>
                <w:lang w:val="en-US" w:eastAsia="zh-CN"/>
              </w:rPr>
              <w:t>-8</w:t>
            </w:r>
          </w:p>
          <w:p w14:paraId="339F2BFE">
            <w:pPr>
              <w:keepNext w:val="0"/>
              <w:keepLines w:val="0"/>
              <w:pageBreakBefore w:val="0"/>
              <w:widowControl w:val="0"/>
              <w:kinsoku/>
              <w:wordWrap/>
              <w:overflowPunct/>
              <w:topLinePunct w:val="0"/>
              <w:autoSpaceDE/>
              <w:autoSpaceDN/>
              <w:bidi w:val="0"/>
              <w:adjustRightInd/>
              <w:snapToGrid w:val="0"/>
              <w:ind w:firstLine="960" w:firstLineChars="400"/>
              <w:textAlignment w:val="auto"/>
              <w:rPr>
                <w:rFonts w:hint="default" w:ascii="Times New Roman" w:hAnsi="Times New Roman" w:cs="Times New Roman"/>
                <w:color w:val="auto"/>
                <w:sz w:val="24"/>
                <w:szCs w:val="22"/>
                <w:lang w:eastAsia="zh-CN"/>
              </w:rPr>
            </w:pPr>
            <w:r>
              <w:rPr>
                <w:rFonts w:hint="default" w:ascii="Times New Roman" w:hAnsi="Times New Roman" w:eastAsia="宋体" w:cs="Times New Roman"/>
                <w:color w:val="auto"/>
                <w:sz w:val="24"/>
                <w:szCs w:val="22"/>
              </w:rPr>
              <w:t>L (r0)：参考位置r0处的声压级，dB(A)</w:t>
            </w:r>
            <w:r>
              <w:rPr>
                <w:rFonts w:hint="default" w:ascii="Times New Roman" w:hAnsi="Times New Roman" w:cs="Times New Roman"/>
                <w:color w:val="auto"/>
                <w:sz w:val="24"/>
                <w:szCs w:val="22"/>
                <w:lang w:eastAsia="zh-CN"/>
              </w:rPr>
              <w:t>；</w:t>
            </w:r>
          </w:p>
          <w:p w14:paraId="34F2C3D3">
            <w:pPr>
              <w:pStyle w:val="2"/>
              <w:keepNext w:val="0"/>
              <w:keepLines w:val="0"/>
              <w:pageBreakBefore w:val="0"/>
              <w:widowControl w:val="0"/>
              <w:kinsoku/>
              <w:wordWrap/>
              <w:overflowPunct/>
              <w:topLinePunct w:val="0"/>
              <w:autoSpaceDE/>
              <w:autoSpaceDN/>
              <w:bidi w:val="0"/>
              <w:adjustRightInd/>
              <w:snapToGrid w:val="0"/>
              <w:spacing w:after="0"/>
              <w:textAlignment w:val="auto"/>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lang w:val="en-US" w:eastAsia="zh-CN"/>
              </w:rPr>
              <w:t>Lw:声源声功率级</w:t>
            </w:r>
            <w:r>
              <w:rPr>
                <w:rFonts w:hint="default" w:ascii="Times New Roman" w:hAnsi="Times New Roman" w:eastAsia="宋体" w:cs="Times New Roman"/>
                <w:color w:val="auto"/>
                <w:sz w:val="24"/>
                <w:szCs w:val="22"/>
              </w:rPr>
              <w:t>，dB(A)</w:t>
            </w:r>
            <w:r>
              <w:rPr>
                <w:rFonts w:hint="default" w:ascii="Times New Roman" w:hAnsi="Times New Roman" w:cs="Times New Roman"/>
                <w:color w:val="auto"/>
                <w:sz w:val="24"/>
                <w:szCs w:val="22"/>
                <w:lang w:eastAsia="zh-CN"/>
              </w:rPr>
              <w:t>；</w:t>
            </w:r>
          </w:p>
          <w:p w14:paraId="4CC25DA6">
            <w:pPr>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r0：参考位置距声源的距离，m；</w:t>
            </w:r>
          </w:p>
          <w:p w14:paraId="0841691B">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lang w:val="en-US" w:eastAsia="zh-CN"/>
              </w:rPr>
              <w:t>C.</w:t>
            </w:r>
            <w:r>
              <w:rPr>
                <w:rFonts w:hint="default" w:ascii="Times New Roman" w:hAnsi="Times New Roman" w:eastAsia="宋体" w:cs="Times New Roman"/>
                <w:color w:val="auto"/>
                <w:sz w:val="24"/>
                <w:szCs w:val="22"/>
              </w:rPr>
              <w:t>室外声源</w:t>
            </w:r>
          </w:p>
          <w:p w14:paraId="08F4DD00">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计算某个声源在预测点的声压级</w:t>
            </w:r>
          </w:p>
          <w:p w14:paraId="20CA25C7">
            <w:pPr>
              <w:spacing w:line="360" w:lineRule="auto"/>
              <w:jc w:val="center"/>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drawing>
                <wp:inline distT="0" distB="0" distL="114300" distR="114300">
                  <wp:extent cx="1143000" cy="238125"/>
                  <wp:effectExtent l="0" t="0" r="0" b="0"/>
                  <wp:docPr id="11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8"/>
                          <pic:cNvPicPr>
                            <a:picLocks noChangeAspect="1"/>
                          </pic:cNvPicPr>
                        </pic:nvPicPr>
                        <pic:blipFill>
                          <a:blip r:embed="rId20"/>
                          <a:stretch>
                            <a:fillRect/>
                          </a:stretch>
                        </pic:blipFill>
                        <pic:spPr>
                          <a:xfrm>
                            <a:off x="0" y="0"/>
                            <a:ext cx="1143000" cy="238125"/>
                          </a:xfrm>
                          <a:prstGeom prst="rect">
                            <a:avLst/>
                          </a:prstGeom>
                          <a:noFill/>
                          <a:ln>
                            <a:noFill/>
                          </a:ln>
                        </pic:spPr>
                      </pic:pic>
                    </a:graphicData>
                  </a:graphic>
                </wp:inline>
              </w:drawing>
            </w:r>
          </w:p>
          <w:p w14:paraId="1D46981D">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式中：</w:t>
            </w:r>
          </w:p>
          <w:p w14:paraId="5432C1C3">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L (r)：点声源在预测点产生的声压级，dB(A)；</w:t>
            </w:r>
          </w:p>
          <w:p w14:paraId="0FEE579F">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L (r0)：参考位置r0处的声压级，dB(A)；</w:t>
            </w:r>
          </w:p>
          <w:p w14:paraId="39E92C47">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r：预测点距声源的距离，m；</w:t>
            </w:r>
          </w:p>
          <w:p w14:paraId="57A80298">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r0：参考位置距声源的距离，m；</w:t>
            </w:r>
          </w:p>
          <w:p w14:paraId="7367CE43">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2"/>
              </w:rPr>
              <w:t>A：各种因素引起的衰减量（包括几何发散衰减、声屏障衰减，其计算方法详见“导则”正文）。</w:t>
            </w:r>
          </w:p>
          <w:p w14:paraId="2D417B6C">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D</w:t>
            </w:r>
            <w:r>
              <w:rPr>
                <w:rFonts w:hint="default" w:ascii="Times New Roman" w:hAnsi="Times New Roman" w:cs="Times New Roman"/>
                <w:color w:val="auto"/>
              </w:rPr>
              <w:t>.按室外声源预测方法计算厂界A声级</w:t>
            </w:r>
          </w:p>
          <w:p w14:paraId="4160E5D5">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514600" cy="443230"/>
                  <wp:effectExtent l="0" t="0" r="0" b="0"/>
                  <wp:docPr id="13" name="图片 3" descr="C:\Users\ADMINI~1\AppData\Local\Temp\ksohtml190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1\AppData\Local\Temp\ksohtml1908\wps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14600" cy="443230"/>
                          </a:xfrm>
                          <a:prstGeom prst="rect">
                            <a:avLst/>
                          </a:prstGeom>
                          <a:noFill/>
                          <a:ln>
                            <a:noFill/>
                          </a:ln>
                        </pic:spPr>
                      </pic:pic>
                    </a:graphicData>
                  </a:graphic>
                </wp:inline>
              </w:drawing>
            </w:r>
          </w:p>
          <w:p w14:paraId="7EEF7CF9">
            <w:pPr>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color w:val="auto"/>
              </w:rPr>
              <w:t>L</w:t>
            </w:r>
            <w:r>
              <w:rPr>
                <w:rFonts w:hint="default" w:ascii="Times New Roman" w:hAnsi="Times New Roman" w:cs="Times New Roman"/>
                <w:i/>
                <w:color w:val="auto"/>
                <w:vertAlign w:val="subscript"/>
              </w:rPr>
              <w:t>p</w:t>
            </w:r>
            <w:r>
              <w:rPr>
                <w:rFonts w:hint="default" w:ascii="Times New Roman" w:hAnsi="Times New Roman" w:cs="Times New Roman"/>
                <w:i/>
                <w:color w:val="auto"/>
              </w:rPr>
              <w:t>（r）</w:t>
            </w:r>
            <w:r>
              <w:rPr>
                <w:rFonts w:hint="default" w:ascii="Times New Roman" w:hAnsi="Times New Roman" w:cs="Times New Roman"/>
                <w:color w:val="auto"/>
              </w:rPr>
              <w:t>——点声源在预测点产生的倍频带声压级；</w:t>
            </w:r>
          </w:p>
          <w:p w14:paraId="34F4FE48">
            <w:pPr>
              <w:ind w:firstLine="480"/>
              <w:rPr>
                <w:rFonts w:hint="default" w:ascii="Times New Roman" w:hAnsi="Times New Roman" w:cs="Times New Roman"/>
                <w:color w:val="auto"/>
              </w:rPr>
            </w:pPr>
            <w:r>
              <w:rPr>
                <w:rFonts w:hint="default" w:ascii="Times New Roman" w:hAnsi="Times New Roman" w:cs="Times New Roman"/>
                <w:i/>
                <w:color w:val="auto"/>
              </w:rPr>
              <w:t>L</w:t>
            </w:r>
            <w:r>
              <w:rPr>
                <w:rFonts w:hint="default" w:ascii="Times New Roman" w:hAnsi="Times New Roman" w:cs="Times New Roman"/>
                <w:i/>
                <w:color w:val="auto"/>
                <w:vertAlign w:val="subscript"/>
              </w:rPr>
              <w:t>p</w:t>
            </w:r>
            <w:r>
              <w:rPr>
                <w:rFonts w:hint="default" w:ascii="Times New Roman" w:hAnsi="Times New Roman" w:cs="Times New Roman"/>
                <w:i/>
                <w:color w:val="auto"/>
              </w:rPr>
              <w:t>（r</w:t>
            </w:r>
            <w:r>
              <w:rPr>
                <w:rFonts w:hint="default" w:ascii="Times New Roman" w:hAnsi="Times New Roman" w:cs="Times New Roman"/>
                <w:i/>
                <w:color w:val="auto"/>
                <w:vertAlign w:val="subscript"/>
              </w:rPr>
              <w:t>0</w:t>
            </w:r>
            <w:r>
              <w:rPr>
                <w:rFonts w:hint="default" w:ascii="Times New Roman" w:hAnsi="Times New Roman" w:cs="Times New Roman"/>
                <w:i/>
                <w:color w:val="auto"/>
              </w:rPr>
              <w:t>）</w:t>
            </w:r>
            <w:r>
              <w:rPr>
                <w:rFonts w:hint="default" w:ascii="Times New Roman" w:hAnsi="Times New Roman" w:cs="Times New Roman"/>
                <w:color w:val="auto"/>
              </w:rPr>
              <w:t>——参考位置 r</w:t>
            </w:r>
            <w:r>
              <w:rPr>
                <w:rFonts w:hint="default" w:ascii="Times New Roman" w:hAnsi="Times New Roman" w:cs="Times New Roman"/>
                <w:color w:val="auto"/>
                <w:vertAlign w:val="subscript"/>
              </w:rPr>
              <w:t>0</w:t>
            </w:r>
            <w:r>
              <w:rPr>
                <w:rFonts w:hint="default" w:ascii="Times New Roman" w:hAnsi="Times New Roman" w:cs="Times New Roman"/>
                <w:color w:val="auto"/>
              </w:rPr>
              <w:t xml:space="preserve"> 处的倍频带声压级；</w:t>
            </w:r>
          </w:p>
          <w:p w14:paraId="1A0431A0">
            <w:pPr>
              <w:ind w:firstLine="480"/>
              <w:rPr>
                <w:rFonts w:hint="default" w:ascii="Times New Roman" w:hAnsi="Times New Roman" w:cs="Times New Roman"/>
                <w:color w:val="auto"/>
              </w:rPr>
            </w:pPr>
            <w:r>
              <w:rPr>
                <w:rFonts w:hint="default" w:ascii="Times New Roman" w:hAnsi="Times New Roman" w:cs="Times New Roman"/>
                <w:i/>
                <w:color w:val="auto"/>
              </w:rPr>
              <w:t>r</w:t>
            </w:r>
            <w:r>
              <w:rPr>
                <w:rFonts w:hint="default" w:ascii="Times New Roman" w:hAnsi="Times New Roman" w:cs="Times New Roman"/>
                <w:color w:val="auto"/>
              </w:rPr>
              <w:t>——预测点距声源的距离，m；</w:t>
            </w:r>
          </w:p>
          <w:p w14:paraId="0F1D100B">
            <w:pPr>
              <w:ind w:firstLine="480"/>
              <w:rPr>
                <w:rFonts w:hint="default" w:ascii="Times New Roman" w:hAnsi="Times New Roman" w:cs="Times New Roman"/>
                <w:color w:val="auto"/>
              </w:rPr>
            </w:pPr>
            <w:r>
              <w:rPr>
                <w:rFonts w:hint="default" w:ascii="Times New Roman" w:hAnsi="Times New Roman" w:cs="Times New Roman"/>
                <w:i/>
                <w:color w:val="auto"/>
              </w:rPr>
              <w:t>r</w:t>
            </w:r>
            <w:r>
              <w:rPr>
                <w:rFonts w:hint="default" w:ascii="Times New Roman" w:hAnsi="Times New Roman" w:cs="Times New Roman"/>
                <w:i/>
                <w:color w:val="auto"/>
                <w:vertAlign w:val="subscript"/>
              </w:rPr>
              <w:t>0</w:t>
            </w:r>
            <w:r>
              <w:rPr>
                <w:rFonts w:hint="default" w:ascii="Times New Roman" w:hAnsi="Times New Roman" w:cs="Times New Roman"/>
                <w:color w:val="auto"/>
              </w:rPr>
              <w:t>——参考位置距声源的距离，m；</w:t>
            </w:r>
          </w:p>
          <w:p w14:paraId="2FC863B0">
            <w:pPr>
              <w:ind w:firstLine="480"/>
              <w:rPr>
                <w:rFonts w:hint="default" w:ascii="Times New Roman" w:hAnsi="Times New Roman" w:cs="Times New Roman"/>
                <w:color w:val="auto"/>
              </w:rPr>
            </w:pPr>
            <w:r>
              <w:rPr>
                <w:rFonts w:hint="default" w:ascii="Times New Roman" w:hAnsi="Times New Roman" w:cs="Times New Roman"/>
                <w:i/>
                <w:color w:val="auto"/>
              </w:rPr>
              <w:t>L</w:t>
            </w:r>
            <w:r>
              <w:rPr>
                <w:rFonts w:hint="default" w:ascii="Times New Roman" w:hAnsi="Times New Roman" w:cs="Times New Roman"/>
                <w:color w:val="auto"/>
              </w:rPr>
              <w:t>——各种因素引起的衰减量。</w:t>
            </w:r>
          </w:p>
          <w:p w14:paraId="06E8C1EC">
            <w:pPr>
              <w:ind w:firstLine="480"/>
              <w:rPr>
                <w:rFonts w:hint="default" w:ascii="Times New Roman" w:hAnsi="Times New Roman" w:cs="Times New Roman"/>
                <w:color w:val="auto"/>
              </w:rPr>
            </w:pPr>
            <w:r>
              <w:rPr>
                <w:rFonts w:hint="default" w:ascii="Times New Roman" w:hAnsi="Times New Roman" w:cs="Times New Roman"/>
                <w:color w:val="auto"/>
              </w:rPr>
              <w:t>（2）预测结果</w:t>
            </w:r>
          </w:p>
          <w:p w14:paraId="72DF6E31">
            <w:pPr>
              <w:ind w:firstLine="480"/>
              <w:rPr>
                <w:rFonts w:hint="default" w:ascii="Times New Roman" w:hAnsi="Times New Roman" w:cs="Times New Roman"/>
                <w:color w:val="auto"/>
              </w:rPr>
            </w:pPr>
            <w:r>
              <w:rPr>
                <w:rFonts w:hint="default" w:ascii="Times New Roman" w:hAnsi="Times New Roman" w:cs="Times New Roman"/>
                <w:color w:val="auto"/>
              </w:rPr>
              <w:t>根据厂区设备布局情况，对各个噪声源强因距离衰减后的贡献值进行分析，本项目建成后</w:t>
            </w:r>
            <w:r>
              <w:rPr>
                <w:rFonts w:hint="default" w:ascii="Times New Roman" w:hAnsi="Times New Roman" w:cs="Times New Roman"/>
                <w:color w:val="auto"/>
                <w:lang w:eastAsia="zh-CN"/>
              </w:rPr>
              <w:t>各预测点</w:t>
            </w:r>
            <w:r>
              <w:rPr>
                <w:rFonts w:hint="default" w:ascii="Times New Roman" w:hAnsi="Times New Roman" w:cs="Times New Roman"/>
                <w:color w:val="auto"/>
              </w:rPr>
              <w:t>噪声值如下表所示。</w:t>
            </w:r>
          </w:p>
          <w:p w14:paraId="72BE37F8">
            <w:pPr>
              <w:pStyle w:val="42"/>
              <w:numPr>
                <w:ilvl w:val="3"/>
                <w:numId w:val="0"/>
              </w:numPr>
              <w:ind w:left="0" w:leftChars="0" w:firstLine="0" w:firstLineChars="0"/>
              <w:rPr>
                <w:rFonts w:hint="default" w:ascii="Times New Roman" w:hAnsi="Times New Roman" w:cs="Times New Roman"/>
                <w:color w:val="auto"/>
                <w:sz w:val="24"/>
                <w:szCs w:val="24"/>
              </w:rPr>
            </w:pPr>
            <w:r>
              <w:rPr>
                <w:rFonts w:hint="default" w:ascii="Times New Roman" w:hAnsi="Times New Roman" w:eastAsia="黑体" w:cs="Times New Roman"/>
                <w:color w:val="auto"/>
                <w:kern w:val="2"/>
                <w:sz w:val="24"/>
                <w:szCs w:val="24"/>
                <w:lang w:val="en-US" w:eastAsia="zh-CN" w:bidi="ar-SA"/>
              </w:rPr>
              <w:t>表4-</w:t>
            </w:r>
            <w:r>
              <w:rPr>
                <w:rFonts w:hint="default" w:ascii="Times New Roman" w:hAnsi="Times New Roman" w:cs="Times New Roman"/>
                <w:color w:val="auto"/>
                <w:kern w:val="2"/>
                <w:sz w:val="24"/>
                <w:szCs w:val="24"/>
                <w:lang w:val="en-US" w:eastAsia="zh-CN" w:bidi="ar-SA"/>
              </w:rPr>
              <w:t>12</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厂界噪声</w:t>
            </w:r>
            <w:r>
              <w:rPr>
                <w:rFonts w:hint="default" w:ascii="Times New Roman" w:hAnsi="Times New Roman" w:cs="Times New Roman"/>
                <w:color w:val="auto"/>
                <w:sz w:val="24"/>
                <w:szCs w:val="24"/>
                <w:lang w:eastAsia="zh-CN"/>
              </w:rPr>
              <w:t>贡献</w:t>
            </w:r>
            <w:r>
              <w:rPr>
                <w:rFonts w:hint="default" w:ascii="Times New Roman" w:hAnsi="Times New Roman" w:cs="Times New Roman"/>
                <w:color w:val="auto"/>
                <w:sz w:val="24"/>
                <w:szCs w:val="24"/>
              </w:rPr>
              <w:t>值一览表  单位：dB（A）</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647"/>
              <w:gridCol w:w="3043"/>
              <w:gridCol w:w="2673"/>
            </w:tblGrid>
            <w:tr w14:paraId="4436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tcBorders>
                    <w:bottom w:val="single" w:color="auto" w:sz="4" w:space="0"/>
                    <w:right w:val="single" w:color="auto" w:sz="4" w:space="0"/>
                  </w:tcBorders>
                  <w:vAlign w:val="center"/>
                </w:tcPr>
                <w:p w14:paraId="52D505CD">
                  <w:pPr>
                    <w:pStyle w:val="39"/>
                    <w:rPr>
                      <w:rFonts w:hint="default" w:ascii="Times New Roman" w:hAnsi="Times New Roman" w:cs="Times New Roman"/>
                      <w:color w:val="auto"/>
                    </w:rPr>
                  </w:pPr>
                  <w:r>
                    <w:rPr>
                      <w:rFonts w:hint="default" w:ascii="Times New Roman" w:hAnsi="Times New Roman" w:cs="Times New Roman"/>
                      <w:color w:val="auto"/>
                    </w:rPr>
                    <w:t>序号</w:t>
                  </w:r>
                </w:p>
              </w:tc>
              <w:tc>
                <w:tcPr>
                  <w:tcW w:w="961" w:type="pct"/>
                  <w:tcBorders>
                    <w:left w:val="nil"/>
                    <w:bottom w:val="single" w:color="auto" w:sz="4" w:space="0"/>
                    <w:right w:val="single" w:color="auto" w:sz="4" w:space="0"/>
                  </w:tcBorders>
                  <w:vAlign w:val="center"/>
                </w:tcPr>
                <w:p w14:paraId="1FB27DA7">
                  <w:pPr>
                    <w:pStyle w:val="39"/>
                    <w:rPr>
                      <w:rFonts w:hint="default" w:ascii="Times New Roman" w:hAnsi="Times New Roman" w:cs="Times New Roman"/>
                      <w:color w:val="auto"/>
                    </w:rPr>
                  </w:pPr>
                  <w:r>
                    <w:rPr>
                      <w:rFonts w:hint="default" w:ascii="Times New Roman" w:hAnsi="Times New Roman" w:cs="Times New Roman"/>
                      <w:color w:val="auto"/>
                    </w:rPr>
                    <w:t>点位</w:t>
                  </w:r>
                </w:p>
              </w:tc>
              <w:tc>
                <w:tcPr>
                  <w:tcW w:w="1775" w:type="pct"/>
                  <w:tcBorders>
                    <w:left w:val="single" w:color="auto" w:sz="4" w:space="0"/>
                    <w:right w:val="nil"/>
                  </w:tcBorders>
                  <w:vAlign w:val="center"/>
                </w:tcPr>
                <w:p w14:paraId="02D389F0">
                  <w:pPr>
                    <w:pStyle w:val="39"/>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噪声</w:t>
                  </w:r>
                  <w:r>
                    <w:rPr>
                      <w:rFonts w:hint="default" w:ascii="Times New Roman" w:hAnsi="Times New Roman" w:cs="Times New Roman"/>
                      <w:color w:val="auto"/>
                    </w:rPr>
                    <w:t>贡献值</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设备全部运行时</w:t>
                  </w:r>
                  <w:r>
                    <w:rPr>
                      <w:rFonts w:hint="default" w:ascii="Times New Roman" w:hAnsi="Times New Roman" w:cs="Times New Roman"/>
                      <w:color w:val="auto"/>
                      <w:lang w:eastAsia="zh-CN"/>
                    </w:rPr>
                    <w:t>）</w:t>
                  </w:r>
                </w:p>
              </w:tc>
              <w:tc>
                <w:tcPr>
                  <w:tcW w:w="1559" w:type="pct"/>
                  <w:tcBorders>
                    <w:left w:val="single" w:color="auto" w:sz="4" w:space="0"/>
                  </w:tcBorders>
                  <w:vAlign w:val="center"/>
                </w:tcPr>
                <w:p w14:paraId="08EBEDEA">
                  <w:pPr>
                    <w:pStyle w:val="39"/>
                    <w:rPr>
                      <w:rFonts w:hint="default" w:ascii="Times New Roman" w:hAnsi="Times New Roman" w:cs="Times New Roman"/>
                      <w:color w:val="auto"/>
                    </w:rPr>
                  </w:pPr>
                  <w:r>
                    <w:rPr>
                      <w:rFonts w:hint="default" w:ascii="Times New Roman" w:hAnsi="Times New Roman" w:cs="Times New Roman"/>
                      <w:color w:val="auto"/>
                    </w:rPr>
                    <w:t>标准值</w:t>
                  </w:r>
                </w:p>
              </w:tc>
            </w:tr>
            <w:tr w14:paraId="7B2B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tcBorders>
                    <w:top w:val="single" w:color="auto" w:sz="4" w:space="0"/>
                    <w:bottom w:val="single" w:color="auto" w:sz="4" w:space="0"/>
                    <w:right w:val="single" w:color="auto" w:sz="4" w:space="0"/>
                  </w:tcBorders>
                  <w:vAlign w:val="center"/>
                </w:tcPr>
                <w:p w14:paraId="5200F8DD">
                  <w:pPr>
                    <w:pStyle w:val="39"/>
                    <w:rPr>
                      <w:rFonts w:hint="default" w:ascii="Times New Roman" w:hAnsi="Times New Roman" w:cs="Times New Roman"/>
                      <w:color w:val="auto"/>
                    </w:rPr>
                  </w:pPr>
                  <w:r>
                    <w:rPr>
                      <w:rFonts w:hint="default" w:ascii="Times New Roman" w:hAnsi="Times New Roman" w:cs="Times New Roman"/>
                      <w:color w:val="auto"/>
                    </w:rPr>
                    <w:t>1</w:t>
                  </w:r>
                </w:p>
              </w:tc>
              <w:tc>
                <w:tcPr>
                  <w:tcW w:w="961" w:type="pct"/>
                  <w:tcBorders>
                    <w:top w:val="single" w:color="auto" w:sz="4" w:space="0"/>
                    <w:left w:val="nil"/>
                    <w:bottom w:val="single" w:color="auto" w:sz="4" w:space="0"/>
                    <w:right w:val="single" w:color="auto" w:sz="4" w:space="0"/>
                  </w:tcBorders>
                  <w:vAlign w:val="center"/>
                </w:tcPr>
                <w:p w14:paraId="24DD1DAE">
                  <w:pPr>
                    <w:pStyle w:val="39"/>
                    <w:rPr>
                      <w:rFonts w:hint="default" w:ascii="Times New Roman" w:hAnsi="Times New Roman" w:cs="Times New Roman"/>
                      <w:color w:val="auto"/>
                    </w:rPr>
                  </w:pPr>
                  <w:r>
                    <w:rPr>
                      <w:rFonts w:hint="default" w:ascii="Times New Roman" w:hAnsi="Times New Roman" w:cs="Times New Roman"/>
                      <w:color w:val="auto"/>
                    </w:rPr>
                    <w:t>南厂界</w:t>
                  </w:r>
                </w:p>
              </w:tc>
              <w:tc>
                <w:tcPr>
                  <w:tcW w:w="1775" w:type="pct"/>
                  <w:tcBorders>
                    <w:top w:val="single" w:color="auto" w:sz="4" w:space="0"/>
                    <w:left w:val="single" w:color="auto" w:sz="4" w:space="0"/>
                    <w:bottom w:val="single" w:color="auto" w:sz="4" w:space="0"/>
                    <w:right w:val="single" w:color="auto" w:sz="4" w:space="0"/>
                  </w:tcBorders>
                  <w:vAlign w:val="center"/>
                </w:tcPr>
                <w:p w14:paraId="182C7EA1">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44</w:t>
                  </w:r>
                </w:p>
              </w:tc>
              <w:tc>
                <w:tcPr>
                  <w:tcW w:w="1559" w:type="pct"/>
                  <w:tcBorders>
                    <w:top w:val="single" w:color="auto" w:sz="4" w:space="0"/>
                    <w:left w:val="single" w:color="auto" w:sz="4" w:space="0"/>
                    <w:bottom w:val="single" w:color="auto" w:sz="4" w:space="0"/>
                  </w:tcBorders>
                  <w:vAlign w:val="center"/>
                </w:tcPr>
                <w:p w14:paraId="0B582F6A">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昼间</w:t>
                  </w:r>
                  <w:r>
                    <w:rPr>
                      <w:rFonts w:hint="default" w:ascii="Times New Roman" w:hAnsi="Times New Roman" w:cs="Times New Roman"/>
                      <w:color w:val="auto"/>
                    </w:rPr>
                    <w:t>65</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夜间55</w:t>
                  </w:r>
                </w:p>
              </w:tc>
            </w:tr>
            <w:tr w14:paraId="2950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tcBorders>
                    <w:top w:val="single" w:color="auto" w:sz="4" w:space="0"/>
                    <w:bottom w:val="single" w:color="auto" w:sz="4" w:space="0"/>
                    <w:right w:val="single" w:color="auto" w:sz="4" w:space="0"/>
                  </w:tcBorders>
                  <w:vAlign w:val="center"/>
                </w:tcPr>
                <w:p w14:paraId="5592A43A">
                  <w:pPr>
                    <w:pStyle w:val="39"/>
                    <w:rPr>
                      <w:rFonts w:hint="default" w:ascii="Times New Roman" w:hAnsi="Times New Roman" w:cs="Times New Roman"/>
                      <w:color w:val="auto"/>
                    </w:rPr>
                  </w:pPr>
                  <w:r>
                    <w:rPr>
                      <w:rFonts w:hint="default" w:ascii="Times New Roman" w:hAnsi="Times New Roman" w:cs="Times New Roman"/>
                      <w:color w:val="auto"/>
                    </w:rPr>
                    <w:t>2</w:t>
                  </w:r>
                </w:p>
              </w:tc>
              <w:tc>
                <w:tcPr>
                  <w:tcW w:w="961" w:type="pct"/>
                  <w:tcBorders>
                    <w:top w:val="single" w:color="auto" w:sz="4" w:space="0"/>
                    <w:left w:val="nil"/>
                    <w:bottom w:val="single" w:color="auto" w:sz="4" w:space="0"/>
                    <w:right w:val="single" w:color="auto" w:sz="4" w:space="0"/>
                  </w:tcBorders>
                  <w:vAlign w:val="center"/>
                </w:tcPr>
                <w:p w14:paraId="7E2F9692">
                  <w:pPr>
                    <w:pStyle w:val="39"/>
                    <w:rPr>
                      <w:rFonts w:hint="default" w:ascii="Times New Roman" w:hAnsi="Times New Roman" w:cs="Times New Roman"/>
                      <w:color w:val="auto"/>
                    </w:rPr>
                  </w:pPr>
                  <w:r>
                    <w:rPr>
                      <w:rFonts w:hint="default" w:ascii="Times New Roman" w:hAnsi="Times New Roman" w:cs="Times New Roman"/>
                      <w:color w:val="auto"/>
                    </w:rPr>
                    <w:t>北厂界</w:t>
                  </w:r>
                </w:p>
              </w:tc>
              <w:tc>
                <w:tcPr>
                  <w:tcW w:w="1775" w:type="pct"/>
                  <w:tcBorders>
                    <w:top w:val="single" w:color="auto" w:sz="4" w:space="0"/>
                    <w:left w:val="single" w:color="auto" w:sz="4" w:space="0"/>
                    <w:bottom w:val="single" w:color="auto" w:sz="4" w:space="0"/>
                    <w:right w:val="single" w:color="auto" w:sz="4" w:space="0"/>
                  </w:tcBorders>
                  <w:vAlign w:val="center"/>
                </w:tcPr>
                <w:p w14:paraId="3775A438">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22</w:t>
                  </w:r>
                </w:p>
              </w:tc>
              <w:tc>
                <w:tcPr>
                  <w:tcW w:w="1559" w:type="pct"/>
                  <w:tcBorders>
                    <w:top w:val="single" w:color="auto" w:sz="4" w:space="0"/>
                    <w:left w:val="single" w:color="auto" w:sz="4" w:space="0"/>
                    <w:bottom w:val="single" w:color="auto" w:sz="4" w:space="0"/>
                  </w:tcBorders>
                  <w:vAlign w:val="center"/>
                </w:tcPr>
                <w:p w14:paraId="74B68FE9">
                  <w:pPr>
                    <w:pStyle w:val="3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昼间65，夜间55</w:t>
                  </w:r>
                </w:p>
              </w:tc>
            </w:tr>
            <w:tr w14:paraId="293A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tcBorders>
                    <w:top w:val="single" w:color="auto" w:sz="4" w:space="0"/>
                    <w:bottom w:val="single" w:color="auto" w:sz="4" w:space="0"/>
                    <w:right w:val="single" w:color="auto" w:sz="4" w:space="0"/>
                  </w:tcBorders>
                  <w:vAlign w:val="center"/>
                </w:tcPr>
                <w:p w14:paraId="6438DF7A">
                  <w:pPr>
                    <w:pStyle w:val="39"/>
                    <w:rPr>
                      <w:rFonts w:hint="default" w:ascii="Times New Roman" w:hAnsi="Times New Roman" w:cs="Times New Roman"/>
                      <w:color w:val="auto"/>
                    </w:rPr>
                  </w:pPr>
                  <w:r>
                    <w:rPr>
                      <w:rFonts w:hint="default" w:ascii="Times New Roman" w:hAnsi="Times New Roman" w:cs="Times New Roman"/>
                      <w:color w:val="auto"/>
                    </w:rPr>
                    <w:t>3</w:t>
                  </w:r>
                </w:p>
              </w:tc>
              <w:tc>
                <w:tcPr>
                  <w:tcW w:w="961" w:type="pct"/>
                  <w:tcBorders>
                    <w:top w:val="single" w:color="auto" w:sz="4" w:space="0"/>
                    <w:left w:val="nil"/>
                    <w:bottom w:val="single" w:color="auto" w:sz="4" w:space="0"/>
                    <w:right w:val="single" w:color="auto" w:sz="4" w:space="0"/>
                  </w:tcBorders>
                  <w:vAlign w:val="center"/>
                </w:tcPr>
                <w:p w14:paraId="2CD3C668">
                  <w:pPr>
                    <w:pStyle w:val="39"/>
                    <w:rPr>
                      <w:rFonts w:hint="default" w:ascii="Times New Roman" w:hAnsi="Times New Roman" w:cs="Times New Roman"/>
                      <w:color w:val="auto"/>
                    </w:rPr>
                  </w:pPr>
                  <w:r>
                    <w:rPr>
                      <w:rFonts w:hint="default" w:ascii="Times New Roman" w:hAnsi="Times New Roman" w:cs="Times New Roman"/>
                      <w:color w:val="auto"/>
                    </w:rPr>
                    <w:t>东厂界</w:t>
                  </w:r>
                </w:p>
              </w:tc>
              <w:tc>
                <w:tcPr>
                  <w:tcW w:w="1775" w:type="pct"/>
                  <w:tcBorders>
                    <w:top w:val="single" w:color="auto" w:sz="4" w:space="0"/>
                    <w:left w:val="single" w:color="auto" w:sz="4" w:space="0"/>
                    <w:bottom w:val="single" w:color="auto" w:sz="4" w:space="0"/>
                    <w:right w:val="single" w:color="auto" w:sz="4" w:space="0"/>
                  </w:tcBorders>
                  <w:vAlign w:val="center"/>
                </w:tcPr>
                <w:p w14:paraId="2C576E89">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38</w:t>
                  </w:r>
                </w:p>
              </w:tc>
              <w:tc>
                <w:tcPr>
                  <w:tcW w:w="1559" w:type="pct"/>
                  <w:tcBorders>
                    <w:top w:val="single" w:color="auto" w:sz="4" w:space="0"/>
                    <w:left w:val="single" w:color="auto" w:sz="4" w:space="0"/>
                    <w:bottom w:val="single" w:color="auto" w:sz="4" w:space="0"/>
                  </w:tcBorders>
                  <w:vAlign w:val="center"/>
                </w:tcPr>
                <w:p w14:paraId="6ADB836A">
                  <w:pPr>
                    <w:pStyle w:val="3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昼间65，夜间55</w:t>
                  </w:r>
                </w:p>
              </w:tc>
            </w:tr>
            <w:tr w14:paraId="077F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tcBorders>
                    <w:top w:val="single" w:color="auto" w:sz="4" w:space="0"/>
                    <w:right w:val="single" w:color="auto" w:sz="4" w:space="0"/>
                  </w:tcBorders>
                  <w:vAlign w:val="center"/>
                </w:tcPr>
                <w:p w14:paraId="404DA43D">
                  <w:pPr>
                    <w:pStyle w:val="39"/>
                    <w:rPr>
                      <w:rFonts w:hint="default" w:ascii="Times New Roman" w:hAnsi="Times New Roman" w:cs="Times New Roman"/>
                      <w:color w:val="auto"/>
                    </w:rPr>
                  </w:pPr>
                  <w:r>
                    <w:rPr>
                      <w:rFonts w:hint="default" w:ascii="Times New Roman" w:hAnsi="Times New Roman" w:cs="Times New Roman"/>
                      <w:color w:val="auto"/>
                    </w:rPr>
                    <w:t>4</w:t>
                  </w:r>
                </w:p>
              </w:tc>
              <w:tc>
                <w:tcPr>
                  <w:tcW w:w="961" w:type="pct"/>
                  <w:tcBorders>
                    <w:top w:val="single" w:color="auto" w:sz="4" w:space="0"/>
                    <w:left w:val="nil"/>
                    <w:right w:val="single" w:color="auto" w:sz="4" w:space="0"/>
                  </w:tcBorders>
                  <w:vAlign w:val="center"/>
                </w:tcPr>
                <w:p w14:paraId="5ECF4515">
                  <w:pPr>
                    <w:pStyle w:val="39"/>
                    <w:rPr>
                      <w:rFonts w:hint="default" w:ascii="Times New Roman" w:hAnsi="Times New Roman" w:cs="Times New Roman"/>
                      <w:color w:val="auto"/>
                    </w:rPr>
                  </w:pPr>
                  <w:r>
                    <w:rPr>
                      <w:rFonts w:hint="default" w:ascii="Times New Roman" w:hAnsi="Times New Roman" w:cs="Times New Roman"/>
                      <w:color w:val="auto"/>
                    </w:rPr>
                    <w:t>西厂界</w:t>
                  </w:r>
                </w:p>
              </w:tc>
              <w:tc>
                <w:tcPr>
                  <w:tcW w:w="1775" w:type="pct"/>
                  <w:tcBorders>
                    <w:top w:val="single" w:color="auto" w:sz="4" w:space="0"/>
                    <w:left w:val="single" w:color="auto" w:sz="4" w:space="0"/>
                    <w:right w:val="single" w:color="auto" w:sz="4" w:space="0"/>
                  </w:tcBorders>
                  <w:vAlign w:val="center"/>
                </w:tcPr>
                <w:p w14:paraId="75DAE764">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47</w:t>
                  </w:r>
                </w:p>
              </w:tc>
              <w:tc>
                <w:tcPr>
                  <w:tcW w:w="1559" w:type="pct"/>
                  <w:tcBorders>
                    <w:top w:val="single" w:color="auto" w:sz="4" w:space="0"/>
                    <w:left w:val="single" w:color="auto" w:sz="4" w:space="0"/>
                  </w:tcBorders>
                  <w:vAlign w:val="center"/>
                </w:tcPr>
                <w:p w14:paraId="1E138431">
                  <w:pPr>
                    <w:pStyle w:val="3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昼间65，夜间55</w:t>
                  </w:r>
                </w:p>
              </w:tc>
            </w:tr>
          </w:tbl>
          <w:p w14:paraId="3EE53E10">
            <w:pPr>
              <w:ind w:firstLine="480"/>
              <w:rPr>
                <w:rFonts w:hint="default" w:ascii="Times New Roman" w:hAnsi="Times New Roman" w:cs="Times New Roman"/>
                <w:color w:val="auto"/>
              </w:rPr>
            </w:pPr>
            <w:r>
              <w:rPr>
                <w:rFonts w:hint="default" w:ascii="Times New Roman" w:hAnsi="Times New Roman" w:cs="Times New Roman"/>
                <w:color w:val="auto"/>
                <w:lang w:eastAsia="zh-CN"/>
              </w:rPr>
              <w:t>对照</w:t>
            </w:r>
            <w:r>
              <w:rPr>
                <w:rFonts w:hint="default" w:ascii="Times New Roman" w:hAnsi="Times New Roman" w:cs="Times New Roman"/>
                <w:color w:val="auto"/>
              </w:rPr>
              <w:t>预测结果，本项目运行后厂界噪声</w:t>
            </w:r>
            <w:r>
              <w:rPr>
                <w:rFonts w:hint="default" w:ascii="Times New Roman" w:hAnsi="Times New Roman" w:cs="Times New Roman"/>
                <w:color w:val="auto"/>
                <w:lang w:eastAsia="zh-CN"/>
              </w:rPr>
              <w:t>贡献</w:t>
            </w:r>
            <w:r>
              <w:rPr>
                <w:rFonts w:hint="default" w:ascii="Times New Roman" w:hAnsi="Times New Roman" w:cs="Times New Roman"/>
                <w:color w:val="auto"/>
              </w:rPr>
              <w:t>值满足《工业企业厂界环境噪声排放标准》（GB12348-2008）中3类标准要求。</w:t>
            </w:r>
          </w:p>
          <w:p w14:paraId="3B08112D">
            <w:pPr>
              <w:ind w:firstLine="480"/>
              <w:rPr>
                <w:rFonts w:hint="default" w:ascii="Times New Roman" w:hAnsi="Times New Roman" w:cs="Times New Roman"/>
                <w:color w:val="auto"/>
              </w:rPr>
            </w:pPr>
            <w:r>
              <w:rPr>
                <w:rFonts w:hint="default" w:ascii="Times New Roman" w:hAnsi="Times New Roman" w:cs="Times New Roman"/>
                <w:color w:val="auto"/>
              </w:rPr>
              <w:t>（3）监测计划</w:t>
            </w:r>
          </w:p>
          <w:p w14:paraId="15F797F7">
            <w:pPr>
              <w:ind w:firstLine="480"/>
              <w:rPr>
                <w:rFonts w:hint="default" w:ascii="Times New Roman" w:hAnsi="Times New Roman" w:cs="Times New Roman"/>
                <w:color w:val="auto"/>
              </w:rPr>
            </w:pPr>
            <w:r>
              <w:rPr>
                <w:rFonts w:hint="default" w:ascii="Times New Roman" w:hAnsi="Times New Roman" w:cs="Times New Roman"/>
                <w:color w:val="auto"/>
                <w:lang w:eastAsia="zh-CN"/>
              </w:rPr>
              <w:t>本项目噪声监测计划见下表</w:t>
            </w:r>
            <w:r>
              <w:rPr>
                <w:rFonts w:hint="default" w:ascii="Times New Roman" w:hAnsi="Times New Roman" w:cs="Times New Roman"/>
                <w:color w:val="auto"/>
              </w:rPr>
              <w:t>。</w:t>
            </w:r>
          </w:p>
          <w:p w14:paraId="3FEBD49D">
            <w:pPr>
              <w:pStyle w:val="42"/>
              <w:numPr>
                <w:ilvl w:val="3"/>
                <w:numId w:val="0"/>
              </w:numPr>
              <w:ind w:left="0" w:leftChars="0" w:firstLine="0" w:firstLineChars="0"/>
              <w:rPr>
                <w:rFonts w:hint="default" w:ascii="Times New Roman" w:hAnsi="Times New Roman" w:cs="Times New Roman"/>
                <w:color w:val="auto"/>
                <w:sz w:val="24"/>
                <w:szCs w:val="24"/>
              </w:rPr>
            </w:pPr>
            <w:r>
              <w:rPr>
                <w:rFonts w:hint="default" w:ascii="Times New Roman" w:hAnsi="Times New Roman" w:eastAsia="黑体" w:cs="Times New Roman"/>
                <w:color w:val="auto"/>
                <w:kern w:val="2"/>
                <w:sz w:val="24"/>
                <w:szCs w:val="24"/>
                <w:lang w:val="en-US" w:eastAsia="zh-CN" w:bidi="ar-SA"/>
              </w:rPr>
              <w:t>表4-</w:t>
            </w:r>
            <w:r>
              <w:rPr>
                <w:rFonts w:hint="default" w:ascii="Times New Roman" w:hAnsi="Times New Roman" w:cs="Times New Roman"/>
                <w:color w:val="auto"/>
                <w:kern w:val="2"/>
                <w:sz w:val="24"/>
                <w:szCs w:val="24"/>
                <w:lang w:val="en-US" w:eastAsia="zh-CN" w:bidi="ar-SA"/>
              </w:rPr>
              <w:t>13</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噪声监测计划一览表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41"/>
              <w:gridCol w:w="1132"/>
              <w:gridCol w:w="1132"/>
              <w:gridCol w:w="990"/>
              <w:gridCol w:w="1132"/>
              <w:gridCol w:w="3446"/>
            </w:tblGrid>
            <w:tr w14:paraId="57BD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Align w:val="center"/>
                </w:tcPr>
                <w:p w14:paraId="659A9780">
                  <w:pPr>
                    <w:pStyle w:val="39"/>
                    <w:rPr>
                      <w:rFonts w:hint="default" w:ascii="Times New Roman" w:hAnsi="Times New Roman" w:cs="Times New Roman"/>
                      <w:color w:val="auto"/>
                    </w:rPr>
                  </w:pPr>
                  <w:r>
                    <w:rPr>
                      <w:rFonts w:hint="default" w:ascii="Times New Roman" w:hAnsi="Times New Roman" w:cs="Times New Roman"/>
                      <w:color w:val="auto"/>
                    </w:rPr>
                    <w:t>类型</w:t>
                  </w:r>
                </w:p>
              </w:tc>
              <w:tc>
                <w:tcPr>
                  <w:tcW w:w="660" w:type="pct"/>
                  <w:vAlign w:val="center"/>
                </w:tcPr>
                <w:p w14:paraId="446FAB77">
                  <w:pPr>
                    <w:pStyle w:val="39"/>
                    <w:rPr>
                      <w:rFonts w:hint="default" w:ascii="Times New Roman" w:hAnsi="Times New Roman" w:cs="Times New Roman"/>
                      <w:color w:val="auto"/>
                    </w:rPr>
                  </w:pPr>
                  <w:r>
                    <w:rPr>
                      <w:rFonts w:hint="default" w:ascii="Times New Roman" w:hAnsi="Times New Roman" w:cs="Times New Roman"/>
                      <w:color w:val="auto"/>
                    </w:rPr>
                    <w:t>污染源</w:t>
                  </w:r>
                </w:p>
              </w:tc>
              <w:tc>
                <w:tcPr>
                  <w:tcW w:w="660" w:type="pct"/>
                  <w:vAlign w:val="center"/>
                </w:tcPr>
                <w:p w14:paraId="351D7CF9">
                  <w:pPr>
                    <w:pStyle w:val="39"/>
                    <w:rPr>
                      <w:rFonts w:hint="default" w:ascii="Times New Roman" w:hAnsi="Times New Roman" w:cs="Times New Roman"/>
                      <w:color w:val="auto"/>
                    </w:rPr>
                  </w:pPr>
                  <w:r>
                    <w:rPr>
                      <w:rFonts w:hint="default" w:ascii="Times New Roman" w:hAnsi="Times New Roman" w:cs="Times New Roman"/>
                      <w:color w:val="auto"/>
                    </w:rPr>
                    <w:t>监测点位</w:t>
                  </w:r>
                </w:p>
              </w:tc>
              <w:tc>
                <w:tcPr>
                  <w:tcW w:w="577" w:type="pct"/>
                  <w:vAlign w:val="center"/>
                </w:tcPr>
                <w:p w14:paraId="5BB10061">
                  <w:pPr>
                    <w:pStyle w:val="39"/>
                    <w:rPr>
                      <w:rFonts w:hint="default" w:ascii="Times New Roman" w:hAnsi="Times New Roman" w:cs="Times New Roman"/>
                      <w:color w:val="auto"/>
                    </w:rPr>
                  </w:pPr>
                  <w:r>
                    <w:rPr>
                      <w:rFonts w:hint="default" w:ascii="Times New Roman" w:hAnsi="Times New Roman" w:cs="Times New Roman"/>
                      <w:color w:val="auto"/>
                    </w:rPr>
                    <w:t>监测指标</w:t>
                  </w:r>
                </w:p>
              </w:tc>
              <w:tc>
                <w:tcPr>
                  <w:tcW w:w="660" w:type="pct"/>
                  <w:vAlign w:val="center"/>
                </w:tcPr>
                <w:p w14:paraId="6AD91CE8">
                  <w:pPr>
                    <w:pStyle w:val="39"/>
                    <w:rPr>
                      <w:rFonts w:hint="default" w:ascii="Times New Roman" w:hAnsi="Times New Roman" w:cs="Times New Roman"/>
                      <w:color w:val="auto"/>
                    </w:rPr>
                  </w:pPr>
                  <w:r>
                    <w:rPr>
                      <w:rFonts w:hint="default" w:ascii="Times New Roman" w:hAnsi="Times New Roman" w:cs="Times New Roman"/>
                      <w:color w:val="auto"/>
                    </w:rPr>
                    <w:t>监测频次</w:t>
                  </w:r>
                </w:p>
              </w:tc>
              <w:tc>
                <w:tcPr>
                  <w:tcW w:w="2008" w:type="pct"/>
                  <w:vAlign w:val="center"/>
                </w:tcPr>
                <w:p w14:paraId="7EAAD516">
                  <w:pPr>
                    <w:pStyle w:val="39"/>
                    <w:rPr>
                      <w:rFonts w:hint="default" w:ascii="Times New Roman" w:hAnsi="Times New Roman" w:cs="Times New Roman"/>
                      <w:color w:val="auto"/>
                    </w:rPr>
                  </w:pPr>
                  <w:r>
                    <w:rPr>
                      <w:rFonts w:hint="default" w:ascii="Times New Roman" w:hAnsi="Times New Roman" w:cs="Times New Roman"/>
                      <w:color w:val="auto"/>
                    </w:rPr>
                    <w:t>执行标准</w:t>
                  </w:r>
                </w:p>
              </w:tc>
            </w:tr>
            <w:tr w14:paraId="14C3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Align w:val="center"/>
                </w:tcPr>
                <w:p w14:paraId="24822330">
                  <w:pPr>
                    <w:pStyle w:val="39"/>
                    <w:rPr>
                      <w:rFonts w:hint="default" w:ascii="Times New Roman" w:hAnsi="Times New Roman" w:cs="Times New Roman"/>
                      <w:color w:val="auto"/>
                    </w:rPr>
                  </w:pPr>
                  <w:r>
                    <w:rPr>
                      <w:rFonts w:hint="default" w:ascii="Times New Roman" w:hAnsi="Times New Roman" w:cs="Times New Roman"/>
                      <w:color w:val="auto"/>
                    </w:rPr>
                    <w:t>噪声</w:t>
                  </w:r>
                </w:p>
              </w:tc>
              <w:tc>
                <w:tcPr>
                  <w:tcW w:w="660" w:type="pct"/>
                  <w:vAlign w:val="center"/>
                </w:tcPr>
                <w:p w14:paraId="647017AB">
                  <w:pPr>
                    <w:pStyle w:val="39"/>
                    <w:rPr>
                      <w:rFonts w:hint="default" w:ascii="Times New Roman" w:hAnsi="Times New Roman" w:cs="Times New Roman"/>
                      <w:color w:val="auto"/>
                    </w:rPr>
                  </w:pPr>
                  <w:r>
                    <w:rPr>
                      <w:rFonts w:hint="default" w:ascii="Times New Roman" w:hAnsi="Times New Roman" w:cs="Times New Roman"/>
                      <w:color w:val="auto"/>
                    </w:rPr>
                    <w:t>厂界噪声</w:t>
                  </w:r>
                </w:p>
              </w:tc>
              <w:tc>
                <w:tcPr>
                  <w:tcW w:w="660" w:type="pct"/>
                  <w:vAlign w:val="center"/>
                </w:tcPr>
                <w:p w14:paraId="0739195F">
                  <w:pPr>
                    <w:pStyle w:val="39"/>
                    <w:rPr>
                      <w:rFonts w:hint="default" w:ascii="Times New Roman" w:hAnsi="Times New Roman" w:cs="Times New Roman"/>
                      <w:color w:val="auto"/>
                    </w:rPr>
                  </w:pPr>
                  <w:r>
                    <w:rPr>
                      <w:rFonts w:hint="default" w:ascii="Times New Roman" w:hAnsi="Times New Roman" w:cs="Times New Roman"/>
                      <w:color w:val="auto"/>
                    </w:rPr>
                    <w:t>厂界四周</w:t>
                  </w:r>
                </w:p>
              </w:tc>
              <w:tc>
                <w:tcPr>
                  <w:tcW w:w="577" w:type="pct"/>
                  <w:vAlign w:val="center"/>
                </w:tcPr>
                <w:p w14:paraId="188185F0">
                  <w:pPr>
                    <w:pStyle w:val="39"/>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660" w:type="pct"/>
                  <w:vAlign w:val="center"/>
                </w:tcPr>
                <w:p w14:paraId="09940EFE">
                  <w:pPr>
                    <w:pStyle w:val="39"/>
                    <w:rPr>
                      <w:rFonts w:hint="default" w:ascii="Times New Roman" w:hAnsi="Times New Roman" w:cs="Times New Roman"/>
                      <w:color w:val="auto"/>
                    </w:rPr>
                  </w:pPr>
                  <w:r>
                    <w:rPr>
                      <w:rFonts w:hint="default" w:ascii="Times New Roman" w:hAnsi="Times New Roman" w:cs="Times New Roman"/>
                      <w:color w:val="auto"/>
                    </w:rPr>
                    <w:t>1次/季度</w:t>
                  </w:r>
                </w:p>
              </w:tc>
              <w:tc>
                <w:tcPr>
                  <w:tcW w:w="2008" w:type="pct"/>
                  <w:vAlign w:val="center"/>
                </w:tcPr>
                <w:p w14:paraId="2BB00647">
                  <w:pPr>
                    <w:pStyle w:val="39"/>
                    <w:rPr>
                      <w:rFonts w:hint="default" w:ascii="Times New Roman" w:hAnsi="Times New Roman" w:cs="Times New Roman"/>
                      <w:color w:val="auto"/>
                    </w:rPr>
                  </w:pPr>
                  <w:r>
                    <w:rPr>
                      <w:rFonts w:hint="default" w:ascii="Times New Roman" w:hAnsi="Times New Roman" w:cs="Times New Roman"/>
                      <w:color w:val="auto"/>
                    </w:rPr>
                    <w:t>《工业企业厂界环境噪声排放标准》（GB12348-2008）中3类标准</w:t>
                  </w:r>
                </w:p>
              </w:tc>
            </w:tr>
          </w:tbl>
          <w:p w14:paraId="4E4F1497">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3.噪声治理措施</w:t>
            </w:r>
          </w:p>
          <w:p w14:paraId="2C5F9FA2">
            <w:pPr>
              <w:ind w:firstLine="480"/>
              <w:rPr>
                <w:rFonts w:hint="default" w:ascii="Times New Roman" w:hAnsi="Times New Roman" w:cs="Times New Roman"/>
                <w:color w:val="auto"/>
              </w:rPr>
            </w:pPr>
            <w:r>
              <w:rPr>
                <w:rFonts w:hint="default" w:ascii="Times New Roman" w:hAnsi="Times New Roman" w:cs="Times New Roman"/>
                <w:color w:val="auto"/>
              </w:rPr>
              <w:t>为减少噪声对周围环境的影响，评价要求采用如下措施：</w:t>
            </w:r>
          </w:p>
          <w:p w14:paraId="4E7D01F0">
            <w:pPr>
              <w:ind w:firstLine="480"/>
              <w:rPr>
                <w:rFonts w:hint="default" w:ascii="Times New Roman" w:hAnsi="Times New Roman" w:cs="Times New Roman"/>
                <w:color w:val="auto"/>
              </w:rPr>
            </w:pPr>
            <w:r>
              <w:rPr>
                <w:rFonts w:hint="default" w:ascii="Times New Roman" w:hAnsi="Times New Roman" w:cs="Times New Roman"/>
                <w:color w:val="auto"/>
              </w:rPr>
              <w:t>①项目选用先进的、噪音低、振动小的生产设备，安装时采取台基减震、橡胶减震接头以及减震垫等措施。风机进出口管道采用柔性连接，底座安装橡胶减振器。</w:t>
            </w:r>
          </w:p>
          <w:p w14:paraId="5A87C9DE">
            <w:pPr>
              <w:ind w:firstLine="480"/>
              <w:rPr>
                <w:rFonts w:hint="default" w:ascii="Times New Roman" w:hAnsi="Times New Roman" w:cs="Times New Roman"/>
                <w:color w:val="auto"/>
              </w:rPr>
            </w:pPr>
            <w:r>
              <w:rPr>
                <w:rFonts w:hint="default" w:ascii="Times New Roman" w:hAnsi="Times New Roman" w:cs="Times New Roman"/>
                <w:color w:val="auto"/>
              </w:rPr>
              <w:t>②合理布设产噪设备，将高噪声设备集中摆放，置于厂房内合理位置，以有效利用噪声距离衰减作用。</w:t>
            </w:r>
          </w:p>
          <w:p w14:paraId="79138B6B">
            <w:pPr>
              <w:ind w:firstLine="480"/>
              <w:rPr>
                <w:rFonts w:hint="default" w:ascii="Times New Roman" w:hAnsi="Times New Roman" w:cs="Times New Roman"/>
                <w:color w:val="auto"/>
              </w:rPr>
            </w:pPr>
            <w:r>
              <w:rPr>
                <w:rFonts w:hint="default" w:ascii="Times New Roman" w:hAnsi="Times New Roman" w:cs="Times New Roman"/>
                <w:color w:val="auto"/>
              </w:rPr>
              <w:t>③加强设备的维护工作，设备做到定期维护和保养，确保设备处于良好的运转状态，杜绝因设备不正常运转时产生的高噪声现象。</w:t>
            </w:r>
          </w:p>
          <w:p w14:paraId="2F00A299">
            <w:pPr>
              <w:ind w:firstLine="480"/>
              <w:rPr>
                <w:rFonts w:hint="default" w:ascii="Times New Roman" w:hAnsi="Times New Roman" w:cs="Times New Roman"/>
                <w:color w:val="auto"/>
              </w:rPr>
            </w:pPr>
            <w:r>
              <w:rPr>
                <w:rFonts w:hint="default" w:ascii="Times New Roman" w:hAnsi="Times New Roman" w:cs="Times New Roman"/>
                <w:color w:val="auto"/>
              </w:rPr>
              <w:t>④项目投入使用后，管理部门应加强设备的日常检修和维护，以保证各设备正常运转，以免由于设备故障造成的噪声污染。</w:t>
            </w:r>
          </w:p>
          <w:p w14:paraId="247A663E">
            <w:pPr>
              <w:ind w:firstLine="480"/>
              <w:rPr>
                <w:rFonts w:hint="default" w:ascii="Times New Roman" w:hAnsi="Times New Roman" w:cs="Times New Roman"/>
                <w:color w:val="auto"/>
              </w:rPr>
            </w:pPr>
            <w:r>
              <w:rPr>
                <w:rFonts w:hint="default" w:ascii="Times New Roman" w:hAnsi="Times New Roman" w:cs="Times New Roman"/>
                <w:color w:val="auto"/>
              </w:rPr>
              <w:t>通过采取上述噪声治理措施后，项目营运期厂界噪声可达标排放，项目采取的降噪措施合理可行。</w:t>
            </w:r>
          </w:p>
          <w:p w14:paraId="4FDE8EF3">
            <w:pPr>
              <w:pStyle w:val="8"/>
              <w:spacing w:after="120"/>
              <w:rPr>
                <w:rFonts w:hint="default" w:ascii="Times New Roman" w:hAnsi="Times New Roman" w:cs="Times New Roman"/>
                <w:color w:val="auto"/>
              </w:rPr>
            </w:pPr>
            <w:r>
              <w:rPr>
                <w:rFonts w:hint="default" w:ascii="Times New Roman" w:hAnsi="Times New Roman" w:cs="Times New Roman"/>
                <w:color w:val="auto"/>
              </w:rPr>
              <w:t>四、固废</w:t>
            </w:r>
          </w:p>
          <w:p w14:paraId="6F2A44AD">
            <w:pPr>
              <w:ind w:firstLine="480"/>
              <w:rPr>
                <w:rFonts w:hint="default" w:ascii="Times New Roman" w:hAnsi="Times New Roman" w:cs="Times New Roman"/>
                <w:color w:val="auto"/>
                <w:lang w:eastAsia="zh-CN"/>
              </w:rPr>
            </w:pPr>
            <w:r>
              <w:rPr>
                <w:rFonts w:hint="default" w:ascii="Times New Roman" w:hAnsi="Times New Roman" w:cs="Times New Roman"/>
                <w:color w:val="auto"/>
              </w:rPr>
              <w:t>项目产生的固体废物</w:t>
            </w:r>
            <w:r>
              <w:rPr>
                <w:rFonts w:hint="default" w:ascii="Times New Roman" w:hAnsi="Times New Roman" w:cs="Times New Roman"/>
                <w:color w:val="auto"/>
                <w:lang w:val="en-US" w:eastAsia="zh-CN"/>
              </w:rPr>
              <w:t>包括一般工业固体废物、危险废物</w:t>
            </w:r>
            <w:r>
              <w:rPr>
                <w:rFonts w:hint="default" w:ascii="Times New Roman" w:hAnsi="Times New Roman" w:cs="Times New Roman"/>
                <w:color w:val="auto"/>
              </w:rPr>
              <w:t>和生活垃圾</w:t>
            </w:r>
            <w:r>
              <w:rPr>
                <w:rFonts w:hint="default" w:ascii="Times New Roman" w:hAnsi="Times New Roman" w:cs="Times New Roman"/>
                <w:color w:val="auto"/>
                <w:lang w:eastAsia="zh-CN"/>
              </w:rPr>
              <w:t>。</w:t>
            </w:r>
          </w:p>
          <w:p w14:paraId="49B6B91F">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一般工业固体废物包括熔炼炉产生的熔炼渣，</w:t>
            </w:r>
            <w:r>
              <w:rPr>
                <w:rFonts w:hint="default" w:ascii="Times New Roman" w:hAnsi="Times New Roman" w:cs="Times New Roman"/>
                <w:color w:val="auto"/>
                <w:lang w:val="en-US" w:eastAsia="zh-CN"/>
              </w:rPr>
              <w:t>压铸件清理、检验、机加工、清理浇筑口及排气槽、颗粒切削过程产生的废压铸件、边角料等各环节镁合金废料，压铸机产生的废模具，各类除尘设施产生的除尘灰渣以及湿式脱硫产</w:t>
            </w:r>
            <w:r>
              <w:rPr>
                <w:rFonts w:hint="default" w:ascii="Times New Roman" w:hAnsi="Times New Roman" w:cs="Times New Roman"/>
                <w:color w:val="auto"/>
                <w:highlight w:val="none"/>
                <w:lang w:val="en-US" w:eastAsia="zh-CN"/>
              </w:rPr>
              <w:t>生的脱硫渣。其中，各环节镁合金废料回用于</w:t>
            </w:r>
            <w:r>
              <w:rPr>
                <w:rFonts w:hint="default" w:ascii="Times New Roman" w:hAnsi="Times New Roman" w:cs="Times New Roman"/>
                <w:color w:val="auto"/>
                <w:highlight w:val="none"/>
                <w:lang w:val="en-US" w:eastAsia="zh-CN"/>
              </w:rPr>
              <w:t>压铸车间熔化保温炉熔化</w:t>
            </w:r>
            <w:r>
              <w:rPr>
                <w:rFonts w:hint="default" w:ascii="Times New Roman" w:hAnsi="Times New Roman" w:cs="Times New Roman"/>
                <w:color w:val="auto"/>
                <w:highlight w:val="none"/>
                <w:lang w:val="en-US" w:eastAsia="zh-CN"/>
              </w:rPr>
              <w:t>，压铸废模具由厂家回收利用；熔炼渣主要成分为</w:t>
            </w:r>
            <w:r>
              <w:rPr>
                <w:rFonts w:hint="default" w:ascii="Times New Roman" w:hAnsi="Times New Roman" w:cs="Times New Roman"/>
                <w:b w:val="0"/>
                <w:bCs w:val="0"/>
                <w:color w:val="auto"/>
                <w:spacing w:val="-7"/>
                <w:kern w:val="2"/>
                <w:sz w:val="24"/>
                <w:szCs w:val="24"/>
                <w:highlight w:val="none"/>
                <w:vertAlign w:val="baseline"/>
                <w:lang w:val="en-US" w:eastAsia="zh-CN" w:bidi="ar-SA"/>
              </w:rPr>
              <w:t>氧化钙</w:t>
            </w:r>
            <w:r>
              <w:rPr>
                <w:rFonts w:hint="default" w:ascii="Times New Roman" w:hAnsi="Times New Roman" w:eastAsia="宋体" w:cs="Times New Roman"/>
                <w:b w:val="0"/>
                <w:bCs w:val="0"/>
                <w:color w:val="auto"/>
                <w:spacing w:val="-7"/>
                <w:kern w:val="2"/>
                <w:sz w:val="24"/>
                <w:szCs w:val="24"/>
                <w:highlight w:val="none"/>
                <w:vertAlign w:val="baseline"/>
                <w:lang w:val="en-US" w:eastAsia="zh-CN" w:bidi="ar-SA"/>
              </w:rPr>
              <w:t>、氧化铝、二氧化硅等</w:t>
            </w:r>
            <w:r>
              <w:rPr>
                <w:rFonts w:hint="default" w:ascii="Times New Roman" w:hAnsi="Times New Roman" w:cs="Times New Roman"/>
                <w:b w:val="0"/>
                <w:bCs w:val="0"/>
                <w:color w:val="auto"/>
                <w:spacing w:val="-7"/>
                <w:kern w:val="2"/>
                <w:sz w:val="24"/>
                <w:szCs w:val="24"/>
                <w:highlight w:val="none"/>
                <w:vertAlign w:val="baseline"/>
                <w:lang w:val="en-US" w:eastAsia="zh-CN" w:bidi="ar-SA"/>
              </w:rPr>
              <w:t>，各类除尘灰渣除主要成分镁、铝外也含氧化钙</w:t>
            </w:r>
            <w:r>
              <w:rPr>
                <w:rFonts w:hint="default" w:ascii="Times New Roman" w:hAnsi="Times New Roman" w:eastAsia="宋体" w:cs="Times New Roman"/>
                <w:b w:val="0"/>
                <w:bCs w:val="0"/>
                <w:color w:val="auto"/>
                <w:spacing w:val="-7"/>
                <w:kern w:val="2"/>
                <w:sz w:val="24"/>
                <w:szCs w:val="24"/>
                <w:highlight w:val="none"/>
                <w:vertAlign w:val="baseline"/>
                <w:lang w:val="en-US" w:eastAsia="zh-CN" w:bidi="ar-SA"/>
              </w:rPr>
              <w:t>、氧化铝、二氧化硅等</w:t>
            </w:r>
            <w:r>
              <w:rPr>
                <w:rFonts w:hint="default" w:ascii="Times New Roman" w:hAnsi="Times New Roman" w:cs="Times New Roman"/>
                <w:b w:val="0"/>
                <w:bCs w:val="0"/>
                <w:color w:val="auto"/>
                <w:spacing w:val="-7"/>
                <w:kern w:val="2"/>
                <w:sz w:val="24"/>
                <w:szCs w:val="24"/>
                <w:highlight w:val="none"/>
                <w:vertAlign w:val="baseline"/>
                <w:lang w:val="en-US" w:eastAsia="zh-CN" w:bidi="ar-SA"/>
              </w:rPr>
              <w:t>杂质，脱硫</w:t>
            </w:r>
            <w:r>
              <w:rPr>
                <w:rFonts w:hint="default" w:ascii="Times New Roman" w:hAnsi="Times New Roman" w:eastAsia="宋体" w:cs="Times New Roman"/>
                <w:b w:val="0"/>
                <w:bCs w:val="0"/>
                <w:color w:val="auto"/>
                <w:spacing w:val="-7"/>
                <w:kern w:val="2"/>
                <w:sz w:val="24"/>
                <w:szCs w:val="24"/>
                <w:highlight w:val="none"/>
                <w:vertAlign w:val="baseline"/>
                <w:lang w:val="en-US" w:eastAsia="zh-CN" w:bidi="ar-SA"/>
              </w:rPr>
              <w:t>渣主要成分</w:t>
            </w:r>
            <w:r>
              <w:rPr>
                <w:rFonts w:hint="default" w:ascii="Times New Roman" w:hAnsi="Times New Roman" w:eastAsia="宋体" w:cs="Times New Roman"/>
                <w:b w:val="0"/>
                <w:bCs w:val="0"/>
                <w:color w:val="auto"/>
                <w:spacing w:val="-7"/>
                <w:kern w:val="2"/>
                <w:sz w:val="24"/>
                <w:szCs w:val="24"/>
                <w:highlight w:val="none"/>
                <w:vertAlign w:val="baseline"/>
                <w:lang w:val="en-US" w:eastAsia="zh-CN" w:bidi="ar-SA"/>
              </w:rPr>
              <w:t>为硫酸</w:t>
            </w:r>
            <w:r>
              <w:rPr>
                <w:rFonts w:hint="default" w:ascii="Times New Roman" w:hAnsi="Times New Roman" w:cs="Times New Roman"/>
                <w:b w:val="0"/>
                <w:bCs w:val="0"/>
                <w:color w:val="auto"/>
                <w:spacing w:val="-7"/>
                <w:kern w:val="2"/>
                <w:sz w:val="24"/>
                <w:szCs w:val="24"/>
                <w:highlight w:val="none"/>
                <w:vertAlign w:val="baseline"/>
                <w:lang w:val="en-US" w:eastAsia="zh-CN" w:bidi="ar-SA"/>
              </w:rPr>
              <w:t>钠</w:t>
            </w:r>
            <w:r>
              <w:rPr>
                <w:rFonts w:hint="default" w:ascii="Times New Roman" w:hAnsi="Times New Roman" w:eastAsia="宋体" w:cs="Times New Roman"/>
                <w:b w:val="0"/>
                <w:bCs w:val="0"/>
                <w:color w:val="auto"/>
                <w:spacing w:val="-7"/>
                <w:kern w:val="2"/>
                <w:sz w:val="24"/>
                <w:szCs w:val="24"/>
                <w:highlight w:val="none"/>
                <w:vertAlign w:val="baseline"/>
                <w:lang w:val="en-US" w:eastAsia="zh-CN" w:bidi="ar-SA"/>
              </w:rPr>
              <w:t>、氯化</w:t>
            </w:r>
            <w:r>
              <w:rPr>
                <w:rFonts w:hint="default" w:ascii="Times New Roman" w:hAnsi="Times New Roman" w:cs="Times New Roman"/>
                <w:b w:val="0"/>
                <w:bCs w:val="0"/>
                <w:color w:val="auto"/>
                <w:spacing w:val="-7"/>
                <w:kern w:val="2"/>
                <w:sz w:val="24"/>
                <w:szCs w:val="24"/>
                <w:highlight w:val="none"/>
                <w:vertAlign w:val="baseline"/>
                <w:lang w:val="en-US" w:eastAsia="zh-CN" w:bidi="ar-SA"/>
              </w:rPr>
              <w:t>钠</w:t>
            </w:r>
            <w:r>
              <w:rPr>
                <w:rFonts w:hint="default" w:ascii="Times New Roman" w:hAnsi="Times New Roman" w:eastAsia="宋体" w:cs="Times New Roman"/>
                <w:b w:val="0"/>
                <w:bCs w:val="0"/>
                <w:color w:val="auto"/>
                <w:spacing w:val="-7"/>
                <w:kern w:val="2"/>
                <w:sz w:val="24"/>
                <w:szCs w:val="24"/>
                <w:highlight w:val="none"/>
                <w:vertAlign w:val="baseline"/>
                <w:lang w:val="en-US" w:eastAsia="zh-CN" w:bidi="ar-SA"/>
              </w:rPr>
              <w:t>等</w:t>
            </w:r>
            <w:r>
              <w:rPr>
                <w:rFonts w:hint="default" w:ascii="Times New Roman" w:hAnsi="Times New Roman" w:cs="Times New Roman"/>
                <w:b w:val="0"/>
                <w:bCs w:val="0"/>
                <w:color w:val="auto"/>
                <w:spacing w:val="-7"/>
                <w:kern w:val="2"/>
                <w:sz w:val="24"/>
                <w:szCs w:val="24"/>
                <w:highlight w:val="none"/>
                <w:vertAlign w:val="baseline"/>
                <w:lang w:val="en-US" w:eastAsia="zh-CN" w:bidi="ar-SA"/>
              </w:rPr>
              <w:t>，以上成分可作为水泥生产原辅材料的补充，根据行业生产经验，全部交水泥厂综合利用。</w:t>
            </w:r>
          </w:p>
          <w:p w14:paraId="7EB4A1D3">
            <w:pPr>
              <w:ind w:firstLine="480"/>
              <w:rPr>
                <w:rFonts w:hint="default" w:ascii="Times New Roman" w:hAnsi="Times New Roman" w:cs="Times New Roman"/>
                <w:color w:val="auto"/>
                <w:lang w:eastAsia="zh-CN"/>
              </w:rPr>
            </w:pPr>
            <w:r>
              <w:rPr>
                <w:rFonts w:hint="default" w:ascii="Times New Roman" w:hAnsi="Times New Roman" w:cs="Times New Roman"/>
                <w:color w:val="auto"/>
                <w:lang w:eastAsia="zh-CN"/>
              </w:rPr>
              <w:t>危险废物包括生产中加工中心、车床等设备操作中产生的废切削液以及各类设备维护保养产生的废机油。</w:t>
            </w:r>
          </w:p>
          <w:p w14:paraId="06E5E8F8">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项目固体废物产生及处置详见下表。</w:t>
            </w:r>
          </w:p>
          <w:p w14:paraId="3FFF68F6">
            <w:pPr>
              <w:pStyle w:val="42"/>
              <w:numPr>
                <w:ilvl w:val="3"/>
                <w:numId w:val="0"/>
              </w:numPr>
              <w:ind w:left="0" w:leftChars="0" w:firstLine="0" w:firstLineChars="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表4-1</w:t>
            </w:r>
            <w:r>
              <w:rPr>
                <w:rFonts w:hint="default" w:ascii="Times New Roman" w:hAnsi="Times New Roman" w:cs="Times New Roman"/>
                <w:color w:val="auto"/>
                <w:kern w:val="2"/>
                <w:sz w:val="24"/>
                <w:szCs w:val="24"/>
                <w:lang w:val="en-US" w:eastAsia="zh-CN" w:bidi="ar-SA"/>
              </w:rPr>
              <w:t>2</w:t>
            </w:r>
            <w:r>
              <w:rPr>
                <w:rFonts w:hint="default" w:ascii="Times New Roman" w:hAnsi="Times New Roman" w:eastAsia="黑体" w:cs="Times New Roman"/>
                <w:color w:val="auto"/>
                <w:kern w:val="2"/>
                <w:sz w:val="24"/>
                <w:szCs w:val="24"/>
                <w:lang w:val="en-US" w:eastAsia="zh-CN" w:bidi="ar-SA"/>
              </w:rPr>
              <w:t xml:space="preserve">  项目固废产生及处置情况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610"/>
              <w:gridCol w:w="1430"/>
              <w:gridCol w:w="1067"/>
              <w:gridCol w:w="2931"/>
            </w:tblGrid>
            <w:tr w14:paraId="0362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57F946E5">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产生环节</w:t>
                  </w:r>
                </w:p>
              </w:tc>
              <w:tc>
                <w:tcPr>
                  <w:tcW w:w="1610" w:type="dxa"/>
                  <w:vAlign w:val="center"/>
                </w:tcPr>
                <w:p w14:paraId="720C5D10">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固废名称</w:t>
                  </w:r>
                </w:p>
              </w:tc>
              <w:tc>
                <w:tcPr>
                  <w:tcW w:w="1430" w:type="dxa"/>
                  <w:vAlign w:val="center"/>
                </w:tcPr>
                <w:p w14:paraId="378CE8F2">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固废属性</w:t>
                  </w:r>
                </w:p>
              </w:tc>
              <w:tc>
                <w:tcPr>
                  <w:tcW w:w="1067" w:type="dxa"/>
                  <w:vAlign w:val="center"/>
                </w:tcPr>
                <w:p w14:paraId="2989DABE">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产生量</w:t>
                  </w:r>
                </w:p>
                <w:p w14:paraId="0EC2977A">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（t/a）</w:t>
                  </w:r>
                </w:p>
              </w:tc>
              <w:tc>
                <w:tcPr>
                  <w:tcW w:w="2931" w:type="dxa"/>
                  <w:vAlign w:val="center"/>
                </w:tcPr>
                <w:p w14:paraId="575A9986">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处置措施</w:t>
                  </w:r>
                </w:p>
              </w:tc>
            </w:tr>
            <w:tr w14:paraId="3739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3E2C309E">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熔炼炉</w:t>
                  </w:r>
                </w:p>
              </w:tc>
              <w:tc>
                <w:tcPr>
                  <w:tcW w:w="1610" w:type="dxa"/>
                  <w:vAlign w:val="center"/>
                </w:tcPr>
                <w:p w14:paraId="33D3E7A6">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熔炼渣</w:t>
                  </w:r>
                </w:p>
              </w:tc>
              <w:tc>
                <w:tcPr>
                  <w:tcW w:w="1430" w:type="dxa"/>
                  <w:vMerge w:val="restart"/>
                  <w:vAlign w:val="center"/>
                </w:tcPr>
                <w:p w14:paraId="5833D9BC">
                  <w:pPr>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pacing w:val="6"/>
                      <w:sz w:val="21"/>
                      <w:szCs w:val="21"/>
                    </w:rPr>
                    <w:t>一般</w:t>
                  </w:r>
                  <w:r>
                    <w:rPr>
                      <w:rFonts w:hint="default" w:ascii="Times New Roman" w:hAnsi="Times New Roman" w:cs="Times New Roman"/>
                      <w:color w:val="auto"/>
                      <w:spacing w:val="6"/>
                      <w:sz w:val="21"/>
                      <w:szCs w:val="21"/>
                      <w:lang w:val="en-US" w:eastAsia="zh-CN"/>
                    </w:rPr>
                    <w:t>工业固体废物</w:t>
                  </w:r>
                </w:p>
              </w:tc>
              <w:tc>
                <w:tcPr>
                  <w:tcW w:w="1067" w:type="dxa"/>
                  <w:vAlign w:val="center"/>
                </w:tcPr>
                <w:p w14:paraId="3E4A17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cs="Times New Roman"/>
                      <w:color w:val="auto"/>
                      <w:sz w:val="21"/>
                      <w:szCs w:val="21"/>
                      <w:highlight w:val="none"/>
                      <w:lang w:val="en-US" w:eastAsia="zh-CN"/>
                    </w:rPr>
                    <w:t>46.4</w:t>
                  </w:r>
                  <w:r>
                    <w:rPr>
                      <w:rFonts w:hint="default" w:ascii="Times New Roman" w:hAnsi="Times New Roman" w:cs="Times New Roman"/>
                      <w:color w:val="auto"/>
                      <w:sz w:val="21"/>
                      <w:szCs w:val="21"/>
                      <w:highlight w:val="none"/>
                      <w:vertAlign w:val="superscript"/>
                      <w:lang w:val="en-US" w:eastAsia="zh-CN"/>
                    </w:rPr>
                    <w:t>①</w:t>
                  </w:r>
                </w:p>
              </w:tc>
              <w:tc>
                <w:tcPr>
                  <w:tcW w:w="2931" w:type="dxa"/>
                  <w:vAlign w:val="center"/>
                </w:tcPr>
                <w:p w14:paraId="7CD0B539">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default" w:ascii="Times New Roman" w:hAnsi="Times New Roman" w:cs="Times New Roman"/>
                      <w:b w:val="0"/>
                      <w:bCs w:val="0"/>
                      <w:color w:val="auto"/>
                      <w:spacing w:val="-7"/>
                      <w:kern w:val="2"/>
                      <w:sz w:val="21"/>
                      <w:szCs w:val="21"/>
                      <w:highlight w:val="none"/>
                      <w:vertAlign w:val="baseline"/>
                      <w:lang w:val="en-US" w:eastAsia="zh-CN" w:bidi="ar-SA"/>
                    </w:rPr>
                    <w:t>交水泥厂综合利用</w:t>
                  </w:r>
                </w:p>
              </w:tc>
            </w:tr>
            <w:tr w14:paraId="7D81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1535" w:type="dxa"/>
                  <w:vAlign w:val="center"/>
                </w:tcPr>
                <w:p w14:paraId="4110A1F9">
                  <w:pPr>
                    <w:spacing w:line="240" w:lineRule="auto"/>
                    <w:ind w:left="0" w:leftChars="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压铸件清理、检验、机加工、</w:t>
                  </w:r>
                  <w:r>
                    <w:rPr>
                      <w:rFonts w:hint="default" w:ascii="Times New Roman" w:hAnsi="Times New Roman" w:cs="Times New Roman"/>
                      <w:color w:val="auto"/>
                      <w:spacing w:val="8"/>
                      <w:sz w:val="21"/>
                      <w:szCs w:val="21"/>
                    </w:rPr>
                    <w:t>清理浇筑</w:t>
                  </w:r>
                  <w:r>
                    <w:rPr>
                      <w:rFonts w:hint="default" w:ascii="Times New Roman" w:hAnsi="Times New Roman" w:cs="Times New Roman"/>
                      <w:color w:val="auto"/>
                      <w:spacing w:val="4"/>
                      <w:sz w:val="21"/>
                      <w:szCs w:val="21"/>
                    </w:rPr>
                    <w:t>口及排气槽</w:t>
                  </w:r>
                  <w:r>
                    <w:rPr>
                      <w:rFonts w:hint="default" w:ascii="Times New Roman" w:hAnsi="Times New Roman" w:cs="Times New Roman"/>
                      <w:color w:val="auto"/>
                      <w:spacing w:val="4"/>
                      <w:sz w:val="21"/>
                      <w:szCs w:val="21"/>
                      <w:lang w:eastAsia="zh-CN"/>
                    </w:rPr>
                    <w:t>、</w:t>
                  </w:r>
                  <w:r>
                    <w:rPr>
                      <w:rFonts w:hint="default" w:ascii="Times New Roman" w:hAnsi="Times New Roman" w:cs="Times New Roman"/>
                      <w:color w:val="auto"/>
                      <w:spacing w:val="4"/>
                      <w:sz w:val="21"/>
                      <w:szCs w:val="21"/>
                      <w:lang w:val="en-US" w:eastAsia="zh-CN"/>
                    </w:rPr>
                    <w:t>颗粒切削</w:t>
                  </w:r>
                </w:p>
              </w:tc>
              <w:tc>
                <w:tcPr>
                  <w:tcW w:w="1610" w:type="dxa"/>
                  <w:vAlign w:val="center"/>
                </w:tcPr>
                <w:p w14:paraId="7D385D14">
                  <w:pPr>
                    <w:spacing w:line="240" w:lineRule="auto"/>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废压铸件、边角料等</w:t>
                  </w:r>
                  <w:r>
                    <w:rPr>
                      <w:rFonts w:hint="default" w:ascii="Times New Roman" w:hAnsi="Times New Roman" w:cs="Times New Roman"/>
                      <w:color w:val="auto"/>
                      <w:sz w:val="21"/>
                      <w:szCs w:val="21"/>
                      <w:lang w:val="en-US" w:eastAsia="zh-CN"/>
                    </w:rPr>
                    <w:t>镁合金废料</w:t>
                  </w:r>
                </w:p>
              </w:tc>
              <w:tc>
                <w:tcPr>
                  <w:tcW w:w="1430" w:type="dxa"/>
                  <w:vMerge w:val="continue"/>
                  <w:vAlign w:val="center"/>
                </w:tcPr>
                <w:p w14:paraId="5909B0D3">
                  <w:pPr>
                    <w:jc w:val="left"/>
                    <w:rPr>
                      <w:rFonts w:hint="default" w:ascii="Times New Roman" w:hAnsi="Times New Roman" w:cs="Times New Roman"/>
                      <w:color w:val="auto"/>
                      <w:sz w:val="21"/>
                      <w:szCs w:val="21"/>
                      <w:vertAlign w:val="baseline"/>
                      <w:lang w:val="en-US" w:eastAsia="zh-CN"/>
                    </w:rPr>
                  </w:pPr>
                </w:p>
              </w:tc>
              <w:tc>
                <w:tcPr>
                  <w:tcW w:w="1067" w:type="dxa"/>
                  <w:vAlign w:val="center"/>
                </w:tcPr>
                <w:p w14:paraId="51E71A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460</w:t>
                  </w:r>
                </w:p>
              </w:tc>
              <w:tc>
                <w:tcPr>
                  <w:tcW w:w="2931" w:type="dxa"/>
                  <w:vAlign w:val="center"/>
                </w:tcPr>
                <w:p w14:paraId="4214C601">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回用于生产</w:t>
                  </w:r>
                  <w:r>
                    <w:rPr>
                      <w:rFonts w:hint="default" w:ascii="Times New Roman" w:hAnsi="Times New Roman" w:cs="Times New Roman"/>
                      <w:color w:val="auto"/>
                      <w:sz w:val="21"/>
                      <w:szCs w:val="21"/>
                      <w:highlight w:val="none"/>
                      <w:lang w:val="en-US" w:eastAsia="zh-CN"/>
                    </w:rPr>
                    <w:t>保温炉熔化</w:t>
                  </w:r>
                </w:p>
              </w:tc>
            </w:tr>
            <w:tr w14:paraId="11A7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054AA1C9">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压铸机</w:t>
                  </w:r>
                </w:p>
              </w:tc>
              <w:tc>
                <w:tcPr>
                  <w:tcW w:w="1610" w:type="dxa"/>
                  <w:vAlign w:val="center"/>
                </w:tcPr>
                <w:p w14:paraId="74EC9D33">
                  <w:pPr>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废模具</w:t>
                  </w:r>
                </w:p>
              </w:tc>
              <w:tc>
                <w:tcPr>
                  <w:tcW w:w="1430" w:type="dxa"/>
                  <w:vMerge w:val="continue"/>
                  <w:vAlign w:val="center"/>
                </w:tcPr>
                <w:p w14:paraId="476AC75E">
                  <w:pPr>
                    <w:jc w:val="left"/>
                    <w:rPr>
                      <w:rFonts w:hint="default" w:ascii="Times New Roman" w:hAnsi="Times New Roman" w:cs="Times New Roman"/>
                      <w:color w:val="auto"/>
                      <w:sz w:val="21"/>
                      <w:szCs w:val="21"/>
                      <w:vertAlign w:val="baseline"/>
                      <w:lang w:val="en-US" w:eastAsia="zh-CN"/>
                    </w:rPr>
                  </w:pPr>
                </w:p>
              </w:tc>
              <w:tc>
                <w:tcPr>
                  <w:tcW w:w="1067" w:type="dxa"/>
                  <w:vAlign w:val="center"/>
                </w:tcPr>
                <w:p w14:paraId="60614DA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2931" w:type="dxa"/>
                  <w:vAlign w:val="center"/>
                </w:tcPr>
                <w:p w14:paraId="404DEA3A">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交生产厂家回收利用</w:t>
                  </w:r>
                </w:p>
              </w:tc>
            </w:tr>
            <w:tr w14:paraId="2744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0FC67265">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水浴除尘</w:t>
                  </w:r>
                </w:p>
              </w:tc>
              <w:tc>
                <w:tcPr>
                  <w:tcW w:w="1610" w:type="dxa"/>
                  <w:vAlign w:val="center"/>
                </w:tcPr>
                <w:p w14:paraId="12786679">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水浴除尘渣</w:t>
                  </w:r>
                </w:p>
              </w:tc>
              <w:tc>
                <w:tcPr>
                  <w:tcW w:w="1430" w:type="dxa"/>
                  <w:vMerge w:val="continue"/>
                  <w:vAlign w:val="center"/>
                </w:tcPr>
                <w:p w14:paraId="7EE4D652">
                  <w:pPr>
                    <w:jc w:val="left"/>
                    <w:rPr>
                      <w:rFonts w:hint="default" w:ascii="Times New Roman" w:hAnsi="Times New Roman" w:cs="Times New Roman"/>
                      <w:color w:val="auto"/>
                      <w:sz w:val="21"/>
                      <w:szCs w:val="21"/>
                      <w:vertAlign w:val="baseline"/>
                      <w:lang w:val="en-US" w:eastAsia="zh-CN"/>
                    </w:rPr>
                  </w:pPr>
                </w:p>
              </w:tc>
              <w:tc>
                <w:tcPr>
                  <w:tcW w:w="1067" w:type="dxa"/>
                  <w:vAlign w:val="center"/>
                </w:tcPr>
                <w:p w14:paraId="31BFF6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24.87</w:t>
                  </w:r>
                </w:p>
              </w:tc>
              <w:tc>
                <w:tcPr>
                  <w:tcW w:w="2931" w:type="dxa"/>
                  <w:vAlign w:val="center"/>
                </w:tcPr>
                <w:p w14:paraId="37B7755B">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default" w:ascii="Times New Roman" w:hAnsi="Times New Roman" w:cs="Times New Roman"/>
                      <w:b w:val="0"/>
                      <w:bCs w:val="0"/>
                      <w:color w:val="auto"/>
                      <w:spacing w:val="-7"/>
                      <w:kern w:val="2"/>
                      <w:sz w:val="21"/>
                      <w:szCs w:val="21"/>
                      <w:highlight w:val="none"/>
                      <w:vertAlign w:val="baseline"/>
                      <w:lang w:val="en-US" w:eastAsia="zh-CN" w:bidi="ar-SA"/>
                    </w:rPr>
                    <w:t>交水泥厂综合利用</w:t>
                  </w:r>
                </w:p>
              </w:tc>
            </w:tr>
            <w:tr w14:paraId="01B5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06D2E27B">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旋风除尘</w:t>
                  </w:r>
                </w:p>
              </w:tc>
              <w:tc>
                <w:tcPr>
                  <w:tcW w:w="1610" w:type="dxa"/>
                  <w:vAlign w:val="center"/>
                </w:tcPr>
                <w:p w14:paraId="5F3462C0">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旋风收尘</w:t>
                  </w:r>
                </w:p>
              </w:tc>
              <w:tc>
                <w:tcPr>
                  <w:tcW w:w="1430" w:type="dxa"/>
                  <w:vMerge w:val="continue"/>
                  <w:vAlign w:val="center"/>
                </w:tcPr>
                <w:p w14:paraId="4F196A64">
                  <w:pPr>
                    <w:jc w:val="left"/>
                    <w:rPr>
                      <w:rFonts w:hint="default" w:ascii="Times New Roman" w:hAnsi="Times New Roman" w:cs="Times New Roman"/>
                      <w:color w:val="auto"/>
                      <w:sz w:val="21"/>
                      <w:szCs w:val="21"/>
                      <w:vertAlign w:val="baseline"/>
                      <w:lang w:val="en-US" w:eastAsia="zh-CN"/>
                    </w:rPr>
                  </w:pPr>
                </w:p>
              </w:tc>
              <w:tc>
                <w:tcPr>
                  <w:tcW w:w="1067" w:type="dxa"/>
                  <w:vAlign w:val="center"/>
                </w:tcPr>
                <w:p w14:paraId="49AF2B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13.99</w:t>
                  </w:r>
                </w:p>
              </w:tc>
              <w:tc>
                <w:tcPr>
                  <w:tcW w:w="2931" w:type="dxa"/>
                  <w:vAlign w:val="center"/>
                </w:tcPr>
                <w:p w14:paraId="2169EA7B">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default" w:ascii="Times New Roman" w:hAnsi="Times New Roman" w:cs="Times New Roman"/>
                      <w:b w:val="0"/>
                      <w:bCs w:val="0"/>
                      <w:color w:val="auto"/>
                      <w:spacing w:val="-7"/>
                      <w:kern w:val="2"/>
                      <w:sz w:val="21"/>
                      <w:szCs w:val="21"/>
                      <w:highlight w:val="none"/>
                      <w:vertAlign w:val="baseline"/>
                      <w:lang w:val="en-US" w:eastAsia="zh-CN" w:bidi="ar-SA"/>
                    </w:rPr>
                    <w:t>交水泥厂综合利用</w:t>
                  </w:r>
                </w:p>
              </w:tc>
            </w:tr>
            <w:tr w14:paraId="7AA5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659B6B96">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布袋除尘</w:t>
                  </w:r>
                </w:p>
              </w:tc>
              <w:tc>
                <w:tcPr>
                  <w:tcW w:w="1610" w:type="dxa"/>
                  <w:vAlign w:val="center"/>
                </w:tcPr>
                <w:p w14:paraId="1D7C1408">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布袋收尘</w:t>
                  </w:r>
                </w:p>
              </w:tc>
              <w:tc>
                <w:tcPr>
                  <w:tcW w:w="1430" w:type="dxa"/>
                  <w:vMerge w:val="continue"/>
                  <w:vAlign w:val="center"/>
                </w:tcPr>
                <w:p w14:paraId="4A2EA997">
                  <w:pPr>
                    <w:jc w:val="left"/>
                    <w:rPr>
                      <w:rFonts w:hint="default" w:ascii="Times New Roman" w:hAnsi="Times New Roman" w:cs="Times New Roman"/>
                      <w:color w:val="auto"/>
                      <w:sz w:val="21"/>
                      <w:szCs w:val="21"/>
                      <w:vertAlign w:val="baseline"/>
                      <w:lang w:val="en-US" w:eastAsia="zh-CN"/>
                    </w:rPr>
                  </w:pPr>
                </w:p>
              </w:tc>
              <w:tc>
                <w:tcPr>
                  <w:tcW w:w="1067" w:type="dxa"/>
                  <w:vAlign w:val="center"/>
                </w:tcPr>
                <w:p w14:paraId="7F790E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91.</w:t>
                  </w:r>
                  <w:r>
                    <w:rPr>
                      <w:rFonts w:hint="eastAsia" w:cs="Times New Roman"/>
                      <w:color w:val="auto"/>
                      <w:sz w:val="21"/>
                      <w:szCs w:val="21"/>
                      <w:vertAlign w:val="baseline"/>
                      <w:lang w:val="en-US" w:eastAsia="zh-CN"/>
                    </w:rPr>
                    <w:t>41</w:t>
                  </w:r>
                </w:p>
              </w:tc>
              <w:tc>
                <w:tcPr>
                  <w:tcW w:w="2931" w:type="dxa"/>
                  <w:vAlign w:val="center"/>
                </w:tcPr>
                <w:p w14:paraId="6A59B6BC">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b w:val="0"/>
                      <w:bCs w:val="0"/>
                      <w:color w:val="auto"/>
                      <w:spacing w:val="-7"/>
                      <w:kern w:val="2"/>
                      <w:sz w:val="21"/>
                      <w:szCs w:val="21"/>
                      <w:highlight w:val="none"/>
                      <w:vertAlign w:val="baseline"/>
                      <w:lang w:val="en-US" w:eastAsia="zh-CN" w:bidi="ar-SA"/>
                    </w:rPr>
                    <w:t>交水泥厂综合利用</w:t>
                  </w:r>
                </w:p>
              </w:tc>
            </w:tr>
            <w:tr w14:paraId="09CD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5C8CA5D8">
                  <w:p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湿式脱硫</w:t>
                  </w:r>
                </w:p>
              </w:tc>
              <w:tc>
                <w:tcPr>
                  <w:tcW w:w="1610" w:type="dxa"/>
                  <w:vAlign w:val="center"/>
                </w:tcPr>
                <w:p w14:paraId="24150F4C">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脱硫渣</w:t>
                  </w:r>
                </w:p>
              </w:tc>
              <w:tc>
                <w:tcPr>
                  <w:tcW w:w="1430" w:type="dxa"/>
                  <w:vMerge w:val="continue"/>
                  <w:vAlign w:val="center"/>
                </w:tcPr>
                <w:p w14:paraId="34559062">
                  <w:pPr>
                    <w:jc w:val="left"/>
                    <w:rPr>
                      <w:rFonts w:hint="default" w:ascii="Times New Roman" w:hAnsi="Times New Roman" w:cs="Times New Roman"/>
                      <w:color w:val="auto"/>
                      <w:sz w:val="21"/>
                      <w:szCs w:val="21"/>
                      <w:vertAlign w:val="baseline"/>
                      <w:lang w:val="en-US" w:eastAsia="zh-CN"/>
                    </w:rPr>
                  </w:pPr>
                </w:p>
              </w:tc>
              <w:tc>
                <w:tcPr>
                  <w:tcW w:w="1067" w:type="dxa"/>
                  <w:vAlign w:val="center"/>
                </w:tcPr>
                <w:p w14:paraId="30814E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167</w:t>
                  </w:r>
                </w:p>
              </w:tc>
              <w:tc>
                <w:tcPr>
                  <w:tcW w:w="2931" w:type="dxa"/>
                  <w:vAlign w:val="center"/>
                </w:tcPr>
                <w:p w14:paraId="6BFBF03A">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imes New Roman" w:hAnsi="Times New Roman" w:cs="Times New Roman"/>
                      <w:color w:val="auto"/>
                      <w:sz w:val="21"/>
                      <w:szCs w:val="21"/>
                      <w:highlight w:val="yellow"/>
                      <w:vertAlign w:val="baseline"/>
                      <w:lang w:val="en-US" w:eastAsia="zh-CN"/>
                    </w:rPr>
                  </w:pPr>
                  <w:r>
                    <w:rPr>
                      <w:rFonts w:hint="default" w:ascii="Times New Roman" w:hAnsi="Times New Roman" w:cs="Times New Roman"/>
                      <w:b w:val="0"/>
                      <w:bCs w:val="0"/>
                      <w:color w:val="auto"/>
                      <w:spacing w:val="-7"/>
                      <w:kern w:val="2"/>
                      <w:sz w:val="21"/>
                      <w:szCs w:val="21"/>
                      <w:highlight w:val="none"/>
                      <w:vertAlign w:val="baseline"/>
                      <w:lang w:val="en-US" w:eastAsia="zh-CN" w:bidi="ar-SA"/>
                    </w:rPr>
                    <w:t>交水泥厂综合利用</w:t>
                  </w:r>
                </w:p>
              </w:tc>
            </w:tr>
            <w:tr w14:paraId="0A0C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Merge w:val="restart"/>
                  <w:vAlign w:val="center"/>
                </w:tcPr>
                <w:p w14:paraId="580D0247">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设备维护保养</w:t>
                  </w:r>
                </w:p>
              </w:tc>
              <w:tc>
                <w:tcPr>
                  <w:tcW w:w="1610" w:type="dxa"/>
                  <w:vAlign w:val="center"/>
                </w:tcPr>
                <w:p w14:paraId="5E34574B">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废机油</w:t>
                  </w:r>
                </w:p>
              </w:tc>
              <w:tc>
                <w:tcPr>
                  <w:tcW w:w="1430" w:type="dxa"/>
                  <w:vAlign w:val="center"/>
                </w:tcPr>
                <w:p w14:paraId="29CA22C7">
                  <w:pPr>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w:t>
                  </w:r>
                  <w:r>
                    <w:rPr>
                      <w:rFonts w:hint="default" w:ascii="Times New Roman" w:hAnsi="Times New Roman" w:cs="Times New Roman"/>
                      <w:color w:val="auto"/>
                      <w:spacing w:val="6"/>
                      <w:sz w:val="21"/>
                      <w:szCs w:val="21"/>
                    </w:rPr>
                    <w:t>（</w:t>
                  </w:r>
                  <w:r>
                    <w:rPr>
                      <w:rFonts w:hint="default" w:ascii="Times New Roman" w:hAnsi="Times New Roman" w:eastAsia="Times New Roman" w:cs="Times New Roman"/>
                      <w:color w:val="auto"/>
                      <w:sz w:val="21"/>
                      <w:szCs w:val="21"/>
                    </w:rPr>
                    <w:t>HW</w:t>
                  </w:r>
                  <w:r>
                    <w:rPr>
                      <w:rFonts w:hint="default" w:ascii="Times New Roman" w:hAnsi="Times New Roman" w:eastAsia="Times New Roman" w:cs="Times New Roman"/>
                      <w:color w:val="auto"/>
                      <w:spacing w:val="6"/>
                      <w:sz w:val="21"/>
                      <w:szCs w:val="21"/>
                    </w:rPr>
                    <w:t>08</w:t>
                  </w:r>
                  <w:r>
                    <w:rPr>
                      <w:rFonts w:hint="default" w:ascii="Times New Roman" w:hAnsi="Times New Roman" w:eastAsia="Times New Roman" w:cs="Times New Roman"/>
                      <w:color w:val="auto"/>
                      <w:sz w:val="21"/>
                      <w:szCs w:val="21"/>
                    </w:rPr>
                    <w:t xml:space="preserve">     </w:t>
                  </w:r>
                  <w:r>
                    <w:rPr>
                      <w:rFonts w:hint="default" w:ascii="Times New Roman" w:hAnsi="Times New Roman" w:eastAsia="Times New Roman" w:cs="Times New Roman"/>
                      <w:color w:val="auto"/>
                      <w:spacing w:val="2"/>
                      <w:sz w:val="21"/>
                      <w:szCs w:val="21"/>
                    </w:rPr>
                    <w:t>900-214-08</w:t>
                  </w:r>
                  <w:r>
                    <w:rPr>
                      <w:rFonts w:hint="default" w:ascii="Times New Roman" w:hAnsi="Times New Roman" w:cs="Times New Roman"/>
                      <w:color w:val="auto"/>
                      <w:spacing w:val="2"/>
                      <w:sz w:val="21"/>
                      <w:szCs w:val="21"/>
                    </w:rPr>
                    <w:t>）</w:t>
                  </w:r>
                </w:p>
              </w:tc>
              <w:tc>
                <w:tcPr>
                  <w:tcW w:w="1067" w:type="dxa"/>
                  <w:vAlign w:val="center"/>
                </w:tcPr>
                <w:p w14:paraId="7D2CD935">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2931" w:type="dxa"/>
                  <w:vMerge w:val="restart"/>
                  <w:vAlign w:val="center"/>
                </w:tcPr>
                <w:p w14:paraId="0843D4D5">
                  <w:pPr>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存于危废贮存库，交有资质单位处置</w:t>
                  </w:r>
                </w:p>
              </w:tc>
            </w:tr>
            <w:tr w14:paraId="151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Merge w:val="continue"/>
                  <w:vAlign w:val="center"/>
                </w:tcPr>
                <w:p w14:paraId="2AEFB75A">
                  <w:pPr>
                    <w:ind w:left="0" w:leftChars="0" w:firstLine="0" w:firstLineChars="0"/>
                    <w:jc w:val="left"/>
                    <w:rPr>
                      <w:rFonts w:hint="default" w:ascii="Times New Roman" w:hAnsi="Times New Roman" w:cs="Times New Roman"/>
                      <w:color w:val="auto"/>
                      <w:sz w:val="21"/>
                      <w:szCs w:val="21"/>
                      <w:vertAlign w:val="baseline"/>
                      <w:lang w:val="en-US" w:eastAsia="zh-CN"/>
                    </w:rPr>
                  </w:pPr>
                </w:p>
              </w:tc>
              <w:tc>
                <w:tcPr>
                  <w:tcW w:w="1610" w:type="dxa"/>
                  <w:vAlign w:val="center"/>
                </w:tcPr>
                <w:p w14:paraId="03780605">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废切削液</w:t>
                  </w:r>
                </w:p>
              </w:tc>
              <w:tc>
                <w:tcPr>
                  <w:tcW w:w="1430" w:type="dxa"/>
                  <w:vAlign w:val="center"/>
                </w:tcPr>
                <w:p w14:paraId="41B6497C">
                  <w:pPr>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w:t>
                  </w:r>
                  <w:r>
                    <w:rPr>
                      <w:rFonts w:hint="default" w:ascii="Times New Roman" w:hAnsi="Times New Roman" w:cs="Times New Roman"/>
                      <w:color w:val="auto"/>
                      <w:spacing w:val="6"/>
                      <w:sz w:val="21"/>
                      <w:szCs w:val="21"/>
                    </w:rPr>
                    <w:t>（</w:t>
                  </w:r>
                  <w:r>
                    <w:rPr>
                      <w:rFonts w:hint="default" w:ascii="Times New Roman" w:hAnsi="Times New Roman" w:eastAsia="Times New Roman" w:cs="Times New Roman"/>
                      <w:color w:val="auto"/>
                      <w:sz w:val="21"/>
                      <w:szCs w:val="21"/>
                    </w:rPr>
                    <w:t>HW</w:t>
                  </w:r>
                  <w:r>
                    <w:rPr>
                      <w:rFonts w:hint="default" w:ascii="Times New Roman" w:hAnsi="Times New Roman" w:eastAsia="Times New Roman" w:cs="Times New Roman"/>
                      <w:color w:val="auto"/>
                      <w:spacing w:val="6"/>
                      <w:sz w:val="21"/>
                      <w:szCs w:val="21"/>
                    </w:rPr>
                    <w:t>09</w:t>
                  </w:r>
                  <w:r>
                    <w:rPr>
                      <w:rFonts w:hint="default" w:ascii="Times New Roman" w:hAnsi="Times New Roman" w:eastAsia="Times New Roman" w:cs="Times New Roman"/>
                      <w:color w:val="auto"/>
                      <w:sz w:val="21"/>
                      <w:szCs w:val="21"/>
                    </w:rPr>
                    <w:t xml:space="preserve">     </w:t>
                  </w:r>
                  <w:r>
                    <w:rPr>
                      <w:rFonts w:hint="default" w:ascii="Times New Roman" w:hAnsi="Times New Roman" w:eastAsia="Times New Roman" w:cs="Times New Roman"/>
                      <w:color w:val="auto"/>
                      <w:spacing w:val="2"/>
                      <w:sz w:val="21"/>
                      <w:szCs w:val="21"/>
                    </w:rPr>
                    <w:t>900-006-09</w:t>
                  </w:r>
                  <w:r>
                    <w:rPr>
                      <w:rFonts w:hint="default" w:ascii="Times New Roman" w:hAnsi="Times New Roman" w:cs="Times New Roman"/>
                      <w:color w:val="auto"/>
                      <w:spacing w:val="2"/>
                      <w:sz w:val="21"/>
                      <w:szCs w:val="21"/>
                    </w:rPr>
                    <w:t>）</w:t>
                  </w:r>
                </w:p>
              </w:tc>
              <w:tc>
                <w:tcPr>
                  <w:tcW w:w="1067" w:type="dxa"/>
                  <w:vAlign w:val="center"/>
                </w:tcPr>
                <w:p w14:paraId="244B0D49">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2931" w:type="dxa"/>
                  <w:vMerge w:val="continue"/>
                  <w:vAlign w:val="center"/>
                </w:tcPr>
                <w:p w14:paraId="3915F35C">
                  <w:pPr>
                    <w:jc w:val="left"/>
                    <w:rPr>
                      <w:rFonts w:hint="default" w:ascii="Times New Roman" w:hAnsi="Times New Roman" w:cs="Times New Roman"/>
                      <w:color w:val="auto"/>
                      <w:sz w:val="21"/>
                      <w:szCs w:val="21"/>
                      <w:vertAlign w:val="baseline"/>
                      <w:lang w:val="en-US" w:eastAsia="zh-CN"/>
                    </w:rPr>
                  </w:pPr>
                </w:p>
              </w:tc>
            </w:tr>
            <w:tr w14:paraId="4946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center"/>
                </w:tcPr>
                <w:p w14:paraId="36BC3B82">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办公生活</w:t>
                  </w:r>
                </w:p>
              </w:tc>
              <w:tc>
                <w:tcPr>
                  <w:tcW w:w="1610" w:type="dxa"/>
                  <w:vAlign w:val="center"/>
                </w:tcPr>
                <w:p w14:paraId="22750067">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1430" w:type="dxa"/>
                  <w:vAlign w:val="center"/>
                </w:tcPr>
                <w:p w14:paraId="3E49D686">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1067" w:type="dxa"/>
                  <w:vAlign w:val="center"/>
                </w:tcPr>
                <w:p w14:paraId="2F7DA18A">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40.8</w:t>
                  </w:r>
                </w:p>
              </w:tc>
              <w:tc>
                <w:tcPr>
                  <w:tcW w:w="2931" w:type="dxa"/>
                  <w:vAlign w:val="center"/>
                </w:tcPr>
                <w:p w14:paraId="30883692">
                  <w:pPr>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Cs/>
                      <w:color w:val="auto"/>
                      <w:kern w:val="2"/>
                      <w:sz w:val="21"/>
                      <w:szCs w:val="21"/>
                      <w:highlight w:val="none"/>
                      <w:lang w:val="en-US" w:eastAsia="zh-CN" w:bidi="ar-BH"/>
                    </w:rPr>
                    <w:t>送生活垃圾填埋场处置</w:t>
                  </w:r>
                </w:p>
              </w:tc>
            </w:tr>
            <w:tr w14:paraId="6C11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3" w:type="dxa"/>
                  <w:gridSpan w:val="5"/>
                  <w:vAlign w:val="center"/>
                </w:tcPr>
                <w:p w14:paraId="3D1C1551">
                  <w:pPr>
                    <w:ind w:left="0" w:leftChars="0" w:firstLine="0" w:firstLineChars="0"/>
                    <w:jc w:val="left"/>
                    <w:rPr>
                      <w:rFonts w:hint="default" w:ascii="Times New Roman" w:hAnsi="Times New Roman" w:eastAsia="宋体" w:cs="Times New Roman"/>
                      <w:bCs/>
                      <w:color w:val="auto"/>
                      <w:kern w:val="2"/>
                      <w:sz w:val="21"/>
                      <w:szCs w:val="21"/>
                      <w:highlight w:val="none"/>
                      <w:lang w:val="en-US" w:eastAsia="zh-CN" w:bidi="ar-BH"/>
                    </w:rPr>
                  </w:pPr>
                  <w:r>
                    <w:rPr>
                      <w:rFonts w:hint="default" w:ascii="Times New Roman" w:hAnsi="Times New Roman" w:cs="Times New Roman"/>
                      <w:bCs/>
                      <w:color w:val="auto"/>
                      <w:kern w:val="2"/>
                      <w:sz w:val="21"/>
                      <w:szCs w:val="21"/>
                      <w:highlight w:val="none"/>
                      <w:lang w:val="en-US" w:eastAsia="zh-CN" w:bidi="ar-BH"/>
                    </w:rPr>
                    <w:t>注①：熔炼渣量参照</w:t>
                  </w:r>
                  <w:r>
                    <w:rPr>
                      <w:rFonts w:hint="default" w:ascii="Times New Roman" w:hAnsi="Times New Roman" w:eastAsia="宋体" w:cs="Times New Roman"/>
                      <w:color w:val="auto"/>
                      <w:spacing w:val="2"/>
                      <w:position w:val="2"/>
                      <w:sz w:val="21"/>
                      <w:szCs w:val="21"/>
                      <w:highlight w:val="none"/>
                    </w:rPr>
                    <w:t>《</w:t>
                  </w:r>
                  <w:r>
                    <w:rPr>
                      <w:rFonts w:hint="default" w:ascii="Times New Roman" w:hAnsi="Times New Roman" w:eastAsia="宋体" w:cs="Times New Roman"/>
                      <w:color w:val="auto"/>
                      <w:position w:val="2"/>
                      <w:sz w:val="21"/>
                      <w:szCs w:val="21"/>
                      <w:highlight w:val="none"/>
                    </w:rPr>
                    <w:t>排放</w:t>
                  </w:r>
                  <w:r>
                    <w:rPr>
                      <w:rFonts w:hint="default" w:ascii="Times New Roman" w:hAnsi="Times New Roman" w:eastAsia="宋体" w:cs="Times New Roman"/>
                      <w:color w:val="auto"/>
                      <w:spacing w:val="2"/>
                      <w:sz w:val="21"/>
                      <w:szCs w:val="21"/>
                      <w:highlight w:val="none"/>
                    </w:rPr>
                    <w:t>源统计调</w:t>
                  </w:r>
                  <w:r>
                    <w:rPr>
                      <w:rFonts w:hint="default" w:ascii="Times New Roman" w:hAnsi="Times New Roman" w:eastAsia="宋体" w:cs="Times New Roman"/>
                      <w:color w:val="auto"/>
                      <w:sz w:val="21"/>
                      <w:szCs w:val="21"/>
                      <w:highlight w:val="none"/>
                    </w:rPr>
                    <w:t>查</w:t>
                  </w:r>
                  <w:r>
                    <w:rPr>
                      <w:rFonts w:hint="default" w:ascii="Times New Roman" w:hAnsi="Times New Roman" w:eastAsia="宋体" w:cs="Times New Roman"/>
                      <w:color w:val="auto"/>
                      <w:spacing w:val="2"/>
                      <w:sz w:val="21"/>
                      <w:szCs w:val="21"/>
                      <w:highlight w:val="none"/>
                    </w:rPr>
                    <w:t>产排污核算方法</w:t>
                  </w:r>
                  <w:r>
                    <w:rPr>
                      <w:rFonts w:hint="default" w:ascii="Times New Roman" w:hAnsi="Times New Roman" w:eastAsia="宋体" w:cs="Times New Roman"/>
                      <w:color w:val="auto"/>
                      <w:sz w:val="21"/>
                      <w:szCs w:val="21"/>
                      <w:highlight w:val="none"/>
                    </w:rPr>
                    <w:t>和</w:t>
                  </w:r>
                  <w:r>
                    <w:rPr>
                      <w:rFonts w:hint="default" w:ascii="Times New Roman" w:hAnsi="Times New Roman" w:eastAsia="宋体" w:cs="Times New Roman"/>
                      <w:color w:val="auto"/>
                      <w:spacing w:val="2"/>
                      <w:sz w:val="21"/>
                      <w:szCs w:val="21"/>
                      <w:highlight w:val="none"/>
                    </w:rPr>
                    <w:t>系数手册》（</w:t>
                  </w:r>
                  <w:r>
                    <w:rPr>
                      <w:rFonts w:hint="default" w:ascii="Times New Roman" w:hAnsi="Times New Roman" w:eastAsia="宋体" w:cs="Times New Roman"/>
                      <w:color w:val="auto"/>
                      <w:spacing w:val="2"/>
                      <w:sz w:val="21"/>
                      <w:szCs w:val="21"/>
                      <w:highlight w:val="none"/>
                      <w:lang w:eastAsia="zh-CN"/>
                    </w:rPr>
                    <w:t>生态</w:t>
                  </w:r>
                  <w:r>
                    <w:rPr>
                      <w:rFonts w:hint="default" w:ascii="Times New Roman" w:hAnsi="Times New Roman" w:eastAsia="宋体" w:cs="Times New Roman"/>
                      <w:color w:val="auto"/>
                      <w:spacing w:val="2"/>
                      <w:sz w:val="21"/>
                      <w:szCs w:val="21"/>
                      <w:highlight w:val="none"/>
                    </w:rPr>
                    <w:t>环境</w:t>
                  </w:r>
                  <w:r>
                    <w:rPr>
                      <w:rFonts w:hint="default" w:ascii="Times New Roman" w:hAnsi="Times New Roman" w:eastAsia="宋体" w:cs="Times New Roman"/>
                      <w:color w:val="auto"/>
                      <w:sz w:val="21"/>
                      <w:szCs w:val="21"/>
                      <w:highlight w:val="none"/>
                    </w:rPr>
                    <w:t>部</w:t>
                  </w:r>
                  <w:r>
                    <w:rPr>
                      <w:rFonts w:hint="default" w:ascii="Times New Roman" w:hAnsi="Times New Roman" w:eastAsia="宋体" w:cs="Times New Roman"/>
                      <w:color w:val="auto"/>
                      <w:spacing w:val="2"/>
                      <w:sz w:val="21"/>
                      <w:szCs w:val="21"/>
                      <w:highlight w:val="none"/>
                    </w:rPr>
                    <w:t>公</w:t>
                  </w:r>
                  <w:r>
                    <w:rPr>
                      <w:rFonts w:hint="default" w:ascii="Times New Roman" w:hAnsi="Times New Roman" w:eastAsia="宋体" w:cs="Times New Roman"/>
                      <w:color w:val="auto"/>
                      <w:sz w:val="21"/>
                      <w:szCs w:val="21"/>
                      <w:highlight w:val="none"/>
                    </w:rPr>
                    <w:t>告</w:t>
                  </w:r>
                  <w:r>
                    <w:rPr>
                      <w:rFonts w:hint="default" w:ascii="Times New Roman" w:hAnsi="Times New Roman" w:eastAsia="宋体" w:cs="Times New Roman"/>
                      <w:color w:val="auto"/>
                      <w:spacing w:val="-58"/>
                      <w:sz w:val="21"/>
                      <w:szCs w:val="21"/>
                      <w:highlight w:val="none"/>
                    </w:rPr>
                    <w:t xml:space="preserve"> </w:t>
                  </w: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pacing w:val="2"/>
                      <w:sz w:val="21"/>
                      <w:szCs w:val="21"/>
                      <w:highlight w:val="none"/>
                    </w:rPr>
                    <w:t>年</w:t>
                  </w:r>
                  <w:r>
                    <w:rPr>
                      <w:rFonts w:hint="default" w:ascii="Times New Roman" w:hAnsi="Times New Roman" w:eastAsia="宋体" w:cs="Times New Roman"/>
                      <w:color w:val="auto"/>
                      <w:sz w:val="21"/>
                      <w:szCs w:val="21"/>
                      <w:highlight w:val="none"/>
                    </w:rPr>
                    <w:t>第</w:t>
                  </w:r>
                  <w:r>
                    <w:rPr>
                      <w:rFonts w:hint="default" w:ascii="Times New Roman" w:hAnsi="Times New Roman" w:eastAsia="宋体" w:cs="Times New Roman"/>
                      <w:color w:val="auto"/>
                      <w:spacing w:val="-58"/>
                      <w:sz w:val="21"/>
                      <w:szCs w:val="21"/>
                      <w:highlight w:val="none"/>
                    </w:rPr>
                    <w:t xml:space="preserve"> </w:t>
                  </w:r>
                  <w:r>
                    <w:rPr>
                      <w:rFonts w:hint="default" w:ascii="Times New Roman" w:hAnsi="Times New Roman" w:eastAsia="宋体" w:cs="Times New Roman"/>
                      <w:color w:val="auto"/>
                      <w:sz w:val="21"/>
                      <w:szCs w:val="21"/>
                      <w:highlight w:val="none"/>
                    </w:rPr>
                    <w:t>24</w:t>
                  </w:r>
                  <w:r>
                    <w:rPr>
                      <w:rFonts w:hint="default" w:ascii="Times New Roman" w:hAnsi="Times New Roman" w:eastAsia="宋体" w:cs="Times New Roman"/>
                      <w:color w:val="auto"/>
                      <w:spacing w:val="2"/>
                      <w:sz w:val="21"/>
                      <w:szCs w:val="21"/>
                      <w:highlight w:val="none"/>
                    </w:rPr>
                    <w:t>号）中</w:t>
                  </w:r>
                  <w:r>
                    <w:rPr>
                      <w:rFonts w:hint="default" w:ascii="Times New Roman" w:hAnsi="Times New Roman" w:eastAsia="宋体" w:cs="Times New Roman"/>
                      <w:color w:val="auto"/>
                      <w:kern w:val="0"/>
                      <w:sz w:val="21"/>
                      <w:szCs w:val="21"/>
                      <w:lang w:val="en-US" w:eastAsia="zh-CN" w:bidi="ar"/>
                    </w:rPr>
                    <w:t>3240 有色金属合金制造行业系数表（续表11）铝镁合金-圆形炉产排污系数</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每吨产品产生</w:t>
                  </w:r>
                  <w:r>
                    <w:rPr>
                      <w:rFonts w:hint="default" w:ascii="Times New Roman" w:hAnsi="Times New Roman" w:cs="Times New Roman"/>
                      <w:color w:val="auto"/>
                      <w:kern w:val="0"/>
                      <w:sz w:val="21"/>
                      <w:szCs w:val="21"/>
                      <w:lang w:val="en-US" w:eastAsia="zh-CN" w:bidi="ar"/>
                    </w:rPr>
                    <w:t>一般工业固体废物0.0029吨，本项目熔炼炉产量为16000t/a，则熔炼渣产生量为46.4t/a。</w:t>
                  </w:r>
                </w:p>
              </w:tc>
            </w:tr>
          </w:tbl>
          <w:p w14:paraId="6401026E">
            <w:pPr>
              <w:pStyle w:val="9"/>
              <w:spacing w:after="120" w:line="360" w:lineRule="auto"/>
              <w:ind w:firstLine="482"/>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由上表可知，本项目各类固体废物均可得到综合利用或无害化处置。评价就固废贮存及处置情况，提出以下具体要求：</w:t>
            </w:r>
          </w:p>
          <w:p w14:paraId="57417FF9">
            <w:pPr>
              <w:pStyle w:val="9"/>
              <w:spacing w:after="120" w:line="360" w:lineRule="auto"/>
              <w:ind w:firstLine="48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1.一般固体废物</w:t>
            </w:r>
          </w:p>
          <w:p w14:paraId="0A557ABE">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（1）项目一般工业固体废物尤其熔炼渣产生量较多，应采取</w:t>
            </w:r>
            <w:r>
              <w:rPr>
                <w:rFonts w:hint="default" w:ascii="Times New Roman" w:hAnsi="Times New Roman" w:cs="Times New Roman"/>
                <w:color w:val="auto"/>
                <w:lang w:eastAsia="zh-CN"/>
              </w:rPr>
              <w:t>防雨淋、</w:t>
            </w:r>
            <w:r>
              <w:rPr>
                <w:rFonts w:hint="default" w:ascii="Times New Roman" w:hAnsi="Times New Roman" w:cs="Times New Roman"/>
                <w:color w:val="auto"/>
              </w:rPr>
              <w:t>防扬散、防流失、防渗漏</w:t>
            </w:r>
            <w:r>
              <w:rPr>
                <w:rFonts w:hint="default" w:ascii="Times New Roman" w:hAnsi="Times New Roman" w:cs="Times New Roman"/>
                <w:color w:val="auto"/>
                <w:lang w:eastAsia="zh-CN"/>
              </w:rPr>
              <w:t>等措施</w:t>
            </w:r>
            <w:r>
              <w:rPr>
                <w:rFonts w:hint="default" w:ascii="Times New Roman" w:hAnsi="Times New Roman" w:cs="Times New Roman"/>
                <w:color w:val="auto"/>
                <w:lang w:val="en-US" w:eastAsia="zh-CN"/>
              </w:rPr>
              <w:t>防止二次污染，储存于厂房内；</w:t>
            </w:r>
          </w:p>
          <w:p w14:paraId="6D7158E6">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（2）熔炼渣等一般工业固体废物应及时清运利用，避免长期积存，导致二次污染；</w:t>
            </w:r>
          </w:p>
          <w:p w14:paraId="392C66F6">
            <w:pPr>
              <w:numPr>
                <w:ilvl w:val="0"/>
                <w:numId w:val="0"/>
              </w:numPr>
              <w:spacing w:line="360" w:lineRule="auto"/>
              <w:ind w:firstLine="480" w:firstLineChars="200"/>
              <w:rPr>
                <w:rFonts w:hint="default" w:ascii="Times New Roman" w:hAnsi="Times New Roman" w:cs="Times New Roman"/>
                <w:color w:val="auto"/>
                <w:shd w:val="clear" w:color="auto" w:fill="FFFFFF"/>
                <w:lang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按照</w:t>
            </w:r>
            <w:r>
              <w:rPr>
                <w:rFonts w:hint="default" w:ascii="Times New Roman" w:hAnsi="Times New Roman" w:cs="Times New Roman"/>
                <w:color w:val="auto"/>
                <w:shd w:val="clear" w:color="auto" w:fill="FFFFFF"/>
              </w:rPr>
              <w:t>《环境保护图形标志》(GB15562.1-1995；GB15562.2-1995)</w:t>
            </w:r>
            <w:r>
              <w:rPr>
                <w:rFonts w:hint="default" w:ascii="Times New Roman" w:hAnsi="Times New Roman" w:cs="Times New Roman"/>
                <w:color w:val="auto"/>
                <w:shd w:val="clear" w:color="auto" w:fill="FFFFFF"/>
                <w:lang w:eastAsia="zh-CN"/>
              </w:rPr>
              <w:t>及其修改单要求设置</w:t>
            </w:r>
            <w:r>
              <w:rPr>
                <w:rFonts w:hint="default" w:ascii="Times New Roman" w:hAnsi="Times New Roman" w:cs="Times New Roman"/>
                <w:color w:val="auto"/>
                <w:shd w:val="clear" w:color="auto" w:fill="FFFFFF"/>
              </w:rPr>
              <w:t>环境保护图形标志</w:t>
            </w:r>
            <w:r>
              <w:rPr>
                <w:rFonts w:hint="default" w:ascii="Times New Roman" w:hAnsi="Times New Roman" w:cs="Times New Roman"/>
                <w:color w:val="auto"/>
                <w:shd w:val="clear" w:color="auto" w:fill="FFFFFF"/>
                <w:lang w:eastAsia="zh-CN"/>
              </w:rPr>
              <w:t>；</w:t>
            </w:r>
          </w:p>
          <w:p w14:paraId="62DBC5D4">
            <w:pPr>
              <w:numPr>
                <w:ilvl w:val="0"/>
                <w:numId w:val="0"/>
              </w:numPr>
              <w:spacing w:line="360" w:lineRule="auto"/>
              <w:ind w:firstLine="480" w:firstLineChars="200"/>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eastAsia="zh-CN"/>
              </w:rPr>
              <w:t>（</w:t>
            </w:r>
            <w:r>
              <w:rPr>
                <w:rFonts w:hint="default" w:ascii="Times New Roman" w:hAnsi="Times New Roman" w:cs="Times New Roman"/>
                <w:color w:val="auto"/>
                <w:shd w:val="clear" w:color="auto" w:fill="FFFFFF"/>
                <w:lang w:val="en-US" w:eastAsia="zh-CN"/>
              </w:rPr>
              <w:t>4</w:t>
            </w:r>
            <w:r>
              <w:rPr>
                <w:rFonts w:hint="default" w:ascii="Times New Roman" w:hAnsi="Times New Roman" w:cs="Times New Roman"/>
                <w:color w:val="auto"/>
                <w:shd w:val="clear" w:color="auto" w:fill="FFFFFF"/>
                <w:lang w:eastAsia="zh-CN"/>
              </w:rPr>
              <w:t>）</w:t>
            </w:r>
            <w:r>
              <w:rPr>
                <w:rFonts w:hint="default" w:ascii="Times New Roman" w:hAnsi="Times New Roman" w:cs="Times New Roman"/>
                <w:color w:val="auto"/>
                <w:shd w:val="clear" w:color="auto" w:fill="FFFFFF"/>
                <w:lang w:val="en-US" w:eastAsia="zh-CN"/>
              </w:rPr>
              <w:t>生活垃圾设封闭垃圾桶收集后，送生活垃圾填埋场统一处置。</w:t>
            </w:r>
          </w:p>
          <w:p w14:paraId="276052E1">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危险废物</w:t>
            </w:r>
          </w:p>
          <w:p w14:paraId="66B8185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本项目设置危险废物贮存</w:t>
            </w:r>
            <w:r>
              <w:rPr>
                <w:rFonts w:hint="default" w:ascii="Times New Roman" w:hAnsi="Times New Roman" w:cs="Times New Roman"/>
                <w:color w:val="auto"/>
                <w:sz w:val="24"/>
                <w:lang w:val="en-US" w:eastAsia="zh-CN"/>
              </w:rPr>
              <w:t>库</w:t>
            </w:r>
            <w:r>
              <w:rPr>
                <w:rFonts w:hint="default" w:ascii="Times New Roman" w:hAnsi="Times New Roman" w:cs="Times New Roman"/>
                <w:color w:val="auto"/>
                <w:sz w:val="24"/>
              </w:rPr>
              <w:t>1处，</w:t>
            </w:r>
            <w:r>
              <w:rPr>
                <w:rFonts w:hint="default" w:ascii="Times New Roman" w:hAnsi="Times New Roman" w:cs="Times New Roman"/>
                <w:color w:val="auto"/>
                <w:spacing w:val="7"/>
                <w:sz w:val="24"/>
              </w:rPr>
              <w:t>位</w:t>
            </w:r>
            <w:r>
              <w:rPr>
                <w:rFonts w:hint="default" w:ascii="Times New Roman" w:hAnsi="Times New Roman" w:cs="Times New Roman"/>
                <w:color w:val="auto"/>
                <w:spacing w:val="7"/>
                <w:sz w:val="24"/>
                <w:highlight w:val="none"/>
              </w:rPr>
              <w:t>于</w:t>
            </w:r>
            <w:r>
              <w:rPr>
                <w:rFonts w:hint="default" w:ascii="Times New Roman" w:hAnsi="Times New Roman" w:cs="Times New Roman"/>
                <w:color w:val="auto"/>
                <w:spacing w:val="7"/>
                <w:sz w:val="24"/>
                <w:highlight w:val="none"/>
                <w:lang w:val="en-US" w:eastAsia="zh-CN"/>
              </w:rPr>
              <w:t>厂区仓库</w:t>
            </w:r>
            <w:r>
              <w:rPr>
                <w:rFonts w:hint="default" w:ascii="Times New Roman" w:hAnsi="Times New Roman" w:cs="Times New Roman"/>
                <w:color w:val="auto"/>
                <w:sz w:val="24"/>
                <w:highlight w:val="none"/>
              </w:rPr>
              <w:t>，占地面积</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rPr>
              <w:t>可以满足使用需求。危险废物贮存</w:t>
            </w:r>
            <w:r>
              <w:rPr>
                <w:rFonts w:hint="default" w:ascii="Times New Roman" w:hAnsi="Times New Roman" w:cs="Times New Roman"/>
                <w:color w:val="auto"/>
                <w:sz w:val="24"/>
                <w:lang w:val="en-US" w:eastAsia="zh-CN"/>
              </w:rPr>
              <w:t>库应</w:t>
            </w:r>
            <w:r>
              <w:rPr>
                <w:rFonts w:hint="default" w:ascii="Times New Roman" w:hAnsi="Times New Roman" w:cs="Times New Roman"/>
                <w:color w:val="auto"/>
                <w:sz w:val="24"/>
              </w:rPr>
              <w:t>按照《危险废物贮存污染控制标准》（GB18597-2023）标准中的要求进行建设，采取如下措施：</w:t>
            </w:r>
          </w:p>
          <w:p w14:paraId="39D07F06">
            <w:pPr>
              <w:numPr>
                <w:ilvl w:val="0"/>
                <w:numId w:val="8"/>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贮存设施应根据危险废物的形态、物理化学性质、包装形式和污染物迁移途径，采取必要的防风、防晒、防雨、防漏、防渗、防腐以及其他环境污染防治措施，不应露天堆放危险废物。</w:t>
            </w:r>
          </w:p>
          <w:p w14:paraId="300555D9">
            <w:pPr>
              <w:numPr>
                <w:ilvl w:val="0"/>
                <w:numId w:val="8"/>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贮存设施应根据危险废物的类别、数量、形态、物理化学性质和污染防治等要求设置必要的贮存分区，避免不相容的危险废物接触、混合。</w:t>
            </w:r>
          </w:p>
          <w:p w14:paraId="60E277C7">
            <w:pPr>
              <w:numPr>
                <w:ilvl w:val="0"/>
                <w:numId w:val="8"/>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cm/s），或至少2mm 厚高密度聚乙烯膜等人工防渗材料（渗透系数不大于10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cm/s），或其他防渗性能等效的材料。</w:t>
            </w:r>
          </w:p>
          <w:p w14:paraId="7981E2C5">
            <w:pPr>
              <w:numPr>
                <w:ilvl w:val="0"/>
                <w:numId w:val="8"/>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贮存设施所有者或运营者应建立贮存设施环境管理制度、管理人员岗位职责制度、设施运行操作制度、人员岗位培训制度等。</w:t>
            </w:r>
          </w:p>
          <w:p w14:paraId="57FC5C23">
            <w:pPr>
              <w:numPr>
                <w:ilvl w:val="0"/>
                <w:numId w:val="8"/>
              </w:num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b w:val="0"/>
                <w:bCs w:val="0"/>
                <w:color w:val="auto"/>
                <w:sz w:val="24"/>
              </w:rPr>
              <w:t>贮存</w:t>
            </w:r>
            <w:r>
              <w:rPr>
                <w:rFonts w:hint="default" w:ascii="Times New Roman" w:hAnsi="Times New Roman" w:cs="Times New Roman"/>
                <w:color w:val="auto"/>
                <w:sz w:val="24"/>
              </w:rPr>
              <w:t>设施或场所、容器和包装物应按 HJ 1276 要求设置危险废物贮存设施或场所标志、危险废物贮存分区标志和危险废物标签等危险废物识别标志。</w:t>
            </w:r>
          </w:p>
          <w:p w14:paraId="4DE337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）危险废物</w:t>
            </w:r>
            <w:r>
              <w:rPr>
                <w:rFonts w:hint="default" w:ascii="Times New Roman" w:hAnsi="Times New Roman" w:cs="Times New Roman"/>
                <w:color w:val="auto"/>
                <w:sz w:val="24"/>
                <w:lang w:val="en-US" w:eastAsia="zh-CN"/>
              </w:rPr>
              <w:t>贮存</w:t>
            </w:r>
            <w:r>
              <w:rPr>
                <w:rFonts w:hint="default" w:ascii="Times New Roman" w:hAnsi="Times New Roman" w:cs="Times New Roman"/>
                <w:color w:val="auto"/>
                <w:sz w:val="24"/>
              </w:rPr>
              <w:t>及转移应按照《危险废物贮存污染控制标准》（GB18597-2023）、《危险废物识别标志设置技术规范》（HJ1276-2022）、《危险废物转移管理办法</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生态环境部</w:t>
            </w:r>
            <w:r>
              <w:rPr>
                <w:rFonts w:hint="default" w:ascii="Times New Roman" w:hAnsi="Times New Roman" w:cs="Times New Roman"/>
                <w:color w:val="auto"/>
                <w:sz w:val="24"/>
                <w:highlight w:val="none"/>
              </w:rPr>
              <w:t>令第</w:t>
            </w:r>
            <w:r>
              <w:rPr>
                <w:rFonts w:hint="default" w:ascii="Times New Roman" w:hAnsi="Times New Roman" w:cs="Times New Roman"/>
                <w:color w:val="auto"/>
                <w:sz w:val="24"/>
                <w:highlight w:val="none"/>
                <w:lang w:val="en-US" w:eastAsia="zh-CN"/>
              </w:rPr>
              <w:t>23</w:t>
            </w:r>
            <w:r>
              <w:rPr>
                <w:rFonts w:hint="default" w:ascii="Times New Roman" w:hAnsi="Times New Roman" w:cs="Times New Roman"/>
                <w:color w:val="auto"/>
                <w:sz w:val="24"/>
                <w:highlight w:val="none"/>
              </w:rPr>
              <w:t>号）</w:t>
            </w:r>
            <w:r>
              <w:rPr>
                <w:rFonts w:hint="default" w:ascii="Times New Roman" w:hAnsi="Times New Roman" w:cs="Times New Roman"/>
                <w:color w:val="auto"/>
                <w:sz w:val="24"/>
              </w:rPr>
              <w:t>要求进行。危险废物必须装入符合标准的容器内储存，不相容的危险废物必须进行分类收集、分区暂存，并定期送往有资质单位处置。</w:t>
            </w:r>
          </w:p>
          <w:p w14:paraId="6A37CC8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危险废物收集时应按腐蚀性、毒性、易燃性、反应性和感染性等危险特性对危险废物进行分类、包装并设置相应的标志及标签。危险废物特性应根据其产生源特性及GB5085.1-7、HJ/T298进行鉴别。对危险废物的容器和包装物以及收集、贮存处置危险废物的设施、场所，必须设置危险废物识别标志、标识，危险废物容器和包装袋上设立危险废物明显标志。</w:t>
            </w:r>
          </w:p>
          <w:p w14:paraId="68B4E54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）要求企业履行</w:t>
            </w:r>
            <w:r>
              <w:rPr>
                <w:rFonts w:hint="default" w:ascii="Times New Roman" w:hAnsi="Times New Roman" w:cs="Times New Roman"/>
                <w:color w:val="auto"/>
                <w:sz w:val="24"/>
                <w:lang w:val="en-US" w:eastAsia="zh-CN"/>
              </w:rPr>
              <w:t>危废</w:t>
            </w:r>
            <w:r>
              <w:rPr>
                <w:rFonts w:hint="default" w:ascii="Times New Roman" w:hAnsi="Times New Roman" w:cs="Times New Roman"/>
                <w:color w:val="auto"/>
                <w:sz w:val="24"/>
              </w:rPr>
              <w:t>申报登记制度、建立危废管理台账制度，记录危险废物的名称、来源、数量、特性和包装容器的类别、入库日期、存放库位、废物出库日期及接收单位名称。</w:t>
            </w:r>
          </w:p>
          <w:p w14:paraId="4567403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做好危险废物的入库、存放、出库记录，不得随意堆置。项目产生的危险废物均交由有资质单位处置，并严格遵守危险废物联单转移制度，登记台账，以备管理部门监督，禁止在转移过程中将危险废物排至环境中。</w:t>
            </w:r>
          </w:p>
          <w:p w14:paraId="12B210DA">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）危险废物</w:t>
            </w:r>
            <w:r>
              <w:rPr>
                <w:rFonts w:hint="default" w:ascii="Times New Roman" w:hAnsi="Times New Roman" w:cs="Times New Roman"/>
                <w:color w:val="auto"/>
                <w:sz w:val="24"/>
                <w:lang w:val="en-US" w:eastAsia="zh-CN"/>
              </w:rPr>
              <w:t>的转移</w:t>
            </w:r>
            <w:r>
              <w:rPr>
                <w:rFonts w:hint="default" w:ascii="Times New Roman" w:hAnsi="Times New Roman" w:cs="Times New Roman"/>
                <w:color w:val="auto"/>
                <w:kern w:val="0"/>
                <w:sz w:val="24"/>
              </w:rPr>
              <w:t>应按照</w:t>
            </w:r>
            <w:r>
              <w:rPr>
                <w:rFonts w:hint="default" w:ascii="Times New Roman" w:hAnsi="Times New Roman" w:cs="Times New Roman"/>
                <w:color w:val="auto"/>
                <w:sz w:val="24"/>
              </w:rPr>
              <w:t>《危险废物转移管理办法</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生态环境部</w:t>
            </w:r>
            <w:r>
              <w:rPr>
                <w:rFonts w:hint="default" w:ascii="Times New Roman" w:hAnsi="Times New Roman" w:cs="Times New Roman"/>
                <w:color w:val="auto"/>
                <w:sz w:val="24"/>
                <w:highlight w:val="none"/>
              </w:rPr>
              <w:t>令第</w:t>
            </w:r>
            <w:r>
              <w:rPr>
                <w:rFonts w:hint="default" w:ascii="Times New Roman" w:hAnsi="Times New Roman" w:cs="Times New Roman"/>
                <w:color w:val="auto"/>
                <w:sz w:val="24"/>
                <w:highlight w:val="none"/>
                <w:lang w:val="en-US" w:eastAsia="zh-CN"/>
              </w:rPr>
              <w:t>23</w:t>
            </w:r>
            <w:r>
              <w:rPr>
                <w:rFonts w:hint="default" w:ascii="Times New Roman" w:hAnsi="Times New Roman" w:cs="Times New Roman"/>
                <w:color w:val="auto"/>
                <w:sz w:val="24"/>
                <w:highlight w:val="none"/>
              </w:rPr>
              <w:t>号）</w:t>
            </w:r>
            <w:r>
              <w:rPr>
                <w:rFonts w:hint="default" w:ascii="Times New Roman" w:hAnsi="Times New Roman" w:cs="Times New Roman"/>
                <w:color w:val="auto"/>
                <w:sz w:val="24"/>
                <w:highlight w:val="none"/>
                <w:lang w:val="en-US" w:eastAsia="zh-CN"/>
              </w:rPr>
              <w:t>以及陕西省、榆林市有关规定执行。</w:t>
            </w:r>
          </w:p>
          <w:p w14:paraId="756D3065">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sz w:val="24"/>
              </w:rPr>
              <w:t>采取上述固体废物贮存、处置、管理措施后，项目固废全部得到妥善处置或利用。</w:t>
            </w:r>
          </w:p>
          <w:p w14:paraId="1BBB3592">
            <w:pPr>
              <w:pStyle w:val="8"/>
              <w:spacing w:after="120"/>
              <w:rPr>
                <w:rFonts w:hint="default" w:ascii="Times New Roman" w:hAnsi="Times New Roman" w:cs="Times New Roman"/>
                <w:color w:val="auto"/>
              </w:rPr>
            </w:pPr>
            <w:r>
              <w:rPr>
                <w:rFonts w:hint="default" w:ascii="Times New Roman" w:hAnsi="Times New Roman" w:cs="Times New Roman"/>
                <w:color w:val="auto"/>
              </w:rPr>
              <w:t>五、土壤、地下水</w:t>
            </w:r>
          </w:p>
          <w:p w14:paraId="23CA0B3C">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废机油、废切削液在符合</w:t>
            </w:r>
            <w:r>
              <w:rPr>
                <w:rFonts w:hint="default" w:ascii="Times New Roman" w:hAnsi="Times New Roman" w:cs="Times New Roman"/>
                <w:color w:val="auto"/>
                <w:sz w:val="24"/>
              </w:rPr>
              <w:t>《危险废物贮存污染控制标准》（GB18597-2023）</w:t>
            </w:r>
            <w:r>
              <w:rPr>
                <w:rFonts w:hint="default" w:ascii="Times New Roman" w:hAnsi="Times New Roman" w:cs="Times New Roman"/>
                <w:color w:val="auto"/>
                <w:lang w:val="en-US" w:eastAsia="zh-CN"/>
              </w:rPr>
              <w:t>要求的危废贮存库内储存，厂区各厂房地面硬化，废水管道及</w:t>
            </w:r>
            <w:r>
              <w:rPr>
                <w:rFonts w:hint="default" w:ascii="Times New Roman" w:hAnsi="Times New Roman" w:cs="Times New Roman"/>
                <w:color w:val="auto"/>
                <w:lang w:val="en-US" w:eastAsia="zh-CN"/>
              </w:rPr>
              <w:t>脱硫水池、</w:t>
            </w:r>
            <w:r>
              <w:rPr>
                <w:rFonts w:hint="default" w:ascii="Times New Roman" w:hAnsi="Times New Roman" w:cs="Times New Roman"/>
                <w:color w:val="auto"/>
                <w:lang w:val="en-US" w:eastAsia="zh-CN"/>
              </w:rPr>
              <w:t>水浴除尘池等各废水池也采取防渗措施，大气污染源均达标排放，</w:t>
            </w:r>
            <w:r>
              <w:rPr>
                <w:rFonts w:hint="default" w:ascii="Times New Roman" w:hAnsi="Times New Roman" w:eastAsia="宋体" w:cs="Times New Roman"/>
                <w:color w:val="auto"/>
                <w:sz w:val="24"/>
                <w:szCs w:val="24"/>
              </w:rPr>
              <w:t>基本不存在土壤、地下水环境污染途径，对周边土壤、地下水环境影响</w:t>
            </w:r>
            <w:r>
              <w:rPr>
                <w:rFonts w:hint="default" w:ascii="Times New Roman" w:hAnsi="Times New Roman" w:eastAsia="宋体" w:cs="Times New Roman"/>
                <w:color w:val="auto"/>
                <w:sz w:val="24"/>
                <w:szCs w:val="24"/>
                <w:lang w:val="en-US" w:eastAsia="zh-CN"/>
              </w:rPr>
              <w:t>较小</w:t>
            </w:r>
            <w:r>
              <w:rPr>
                <w:rFonts w:hint="default" w:ascii="Times New Roman" w:hAnsi="Times New Roman" w:eastAsia="宋体" w:cs="Times New Roman"/>
                <w:color w:val="auto"/>
                <w:sz w:val="24"/>
                <w:szCs w:val="24"/>
                <w:lang w:eastAsia="zh-CN"/>
              </w:rPr>
              <w:t>。</w:t>
            </w:r>
          </w:p>
          <w:p w14:paraId="325D6125">
            <w:pPr>
              <w:pStyle w:val="8"/>
              <w:spacing w:after="120"/>
              <w:rPr>
                <w:rFonts w:hint="default" w:ascii="Times New Roman" w:hAnsi="Times New Roman" w:cs="Times New Roman"/>
                <w:color w:val="auto"/>
              </w:rPr>
            </w:pPr>
            <w:r>
              <w:rPr>
                <w:rFonts w:hint="default" w:ascii="Times New Roman" w:hAnsi="Times New Roman" w:cs="Times New Roman"/>
                <w:color w:val="auto"/>
              </w:rPr>
              <w:t>六、生态</w:t>
            </w:r>
          </w:p>
          <w:p w14:paraId="7BD1EB10">
            <w:pPr>
              <w:pStyle w:val="13"/>
              <w:ind w:firstLine="480"/>
              <w:rPr>
                <w:rFonts w:hint="default" w:ascii="Times New Roman" w:hAnsi="Times New Roman" w:cs="Times New Roman"/>
                <w:color w:val="auto"/>
              </w:rPr>
            </w:pPr>
            <w:r>
              <w:rPr>
                <w:rFonts w:hint="default" w:ascii="Times New Roman" w:hAnsi="Times New Roman" w:cs="Times New Roman"/>
                <w:color w:val="auto"/>
              </w:rPr>
              <w:t>根据资料分析和现场调查，项目在现有工业厂区的</w:t>
            </w:r>
            <w:r>
              <w:rPr>
                <w:rFonts w:hint="default" w:ascii="Times New Roman" w:hAnsi="Times New Roman" w:cs="Times New Roman"/>
                <w:color w:val="auto"/>
                <w:lang w:val="en-US" w:eastAsia="zh-CN"/>
              </w:rPr>
              <w:t>厂房内建设</w:t>
            </w:r>
            <w:r>
              <w:rPr>
                <w:rFonts w:hint="default" w:ascii="Times New Roman" w:hAnsi="Times New Roman" w:cs="Times New Roman"/>
                <w:color w:val="auto"/>
              </w:rPr>
              <w:t>，主要为设备安装，用地范围内不涉及生态保护红线和生态环境保护目标，对生态环境影响甚微。</w:t>
            </w:r>
          </w:p>
          <w:p w14:paraId="70A253B0">
            <w:pPr>
              <w:pStyle w:val="8"/>
              <w:spacing w:after="120"/>
              <w:rPr>
                <w:rFonts w:hint="default" w:ascii="Times New Roman" w:hAnsi="Times New Roman" w:cs="Times New Roman"/>
                <w:color w:val="auto"/>
              </w:rPr>
            </w:pPr>
            <w:r>
              <w:rPr>
                <w:rFonts w:hint="default" w:ascii="Times New Roman" w:hAnsi="Times New Roman" w:cs="Times New Roman"/>
                <w:color w:val="auto"/>
              </w:rPr>
              <w:t>七、环境风险</w:t>
            </w:r>
          </w:p>
          <w:p w14:paraId="1C15F8BC">
            <w:pPr>
              <w:pStyle w:val="9"/>
              <w:spacing w:after="120"/>
              <w:ind w:firstLine="482"/>
              <w:rPr>
                <w:rFonts w:hint="default" w:ascii="Times New Roman" w:hAnsi="Times New Roman" w:eastAsia="宋体" w:cs="Times New Roman"/>
                <w:color w:val="auto"/>
                <w:lang w:val="en-US" w:eastAsia="zh-CN"/>
              </w:rPr>
            </w:pPr>
            <w:r>
              <w:rPr>
                <w:rFonts w:hint="default" w:ascii="Times New Roman" w:hAnsi="Times New Roman" w:cs="Times New Roman"/>
                <w:color w:val="auto"/>
              </w:rPr>
              <w:t>1.风险源调查</w:t>
            </w:r>
          </w:p>
          <w:p w14:paraId="3E103A86">
            <w:pPr>
              <w:ind w:firstLine="480"/>
              <w:rPr>
                <w:rFonts w:hint="default" w:ascii="Times New Roman" w:hAnsi="Times New Roman" w:cs="Times New Roman"/>
                <w:color w:val="auto"/>
              </w:rPr>
            </w:pPr>
            <w:r>
              <w:rPr>
                <w:rFonts w:hint="default" w:ascii="Times New Roman" w:hAnsi="Times New Roman" w:cs="Times New Roman"/>
                <w:color w:val="auto"/>
              </w:rPr>
              <w:t>根据调查</w:t>
            </w:r>
            <w:r>
              <w:rPr>
                <w:rFonts w:hint="default" w:ascii="Times New Roman" w:hAnsi="Times New Roman" w:cs="Times New Roman"/>
                <w:color w:val="auto"/>
                <w:lang w:eastAsia="zh-CN"/>
              </w:rPr>
              <w:t>，</w:t>
            </w:r>
            <w:r>
              <w:rPr>
                <w:rFonts w:hint="default" w:ascii="Times New Roman" w:hAnsi="Times New Roman" w:cs="Times New Roman"/>
                <w:color w:val="auto"/>
              </w:rPr>
              <w:t>项目原辅料及生产工艺特点，</w:t>
            </w:r>
            <w:r>
              <w:rPr>
                <w:rFonts w:hint="default" w:ascii="Times New Roman" w:hAnsi="Times New Roman" w:cs="Times New Roman"/>
                <w:color w:val="auto"/>
                <w:lang w:val="en-US" w:eastAsia="zh-CN"/>
              </w:rPr>
              <w:t>项目</w:t>
            </w:r>
            <w:r>
              <w:rPr>
                <w:rFonts w:hint="default" w:ascii="Times New Roman" w:hAnsi="Times New Roman" w:cs="Times New Roman"/>
                <w:color w:val="auto"/>
              </w:rPr>
              <w:t>涉及的危险物质</w:t>
            </w:r>
            <w:r>
              <w:rPr>
                <w:rFonts w:hint="default" w:ascii="Times New Roman" w:hAnsi="Times New Roman" w:cs="Times New Roman"/>
                <w:color w:val="auto"/>
                <w:lang w:val="en-US" w:eastAsia="zh-CN"/>
              </w:rPr>
              <w:t>包括荒煤气、天然气以及废机油和废切削液，</w:t>
            </w:r>
            <w:r>
              <w:rPr>
                <w:rFonts w:hint="default" w:ascii="Times New Roman" w:hAnsi="Times New Roman" w:cs="Times New Roman"/>
                <w:color w:val="auto"/>
                <w:lang w:eastAsia="zh-CN"/>
              </w:rPr>
              <w:t>风险类型</w:t>
            </w:r>
            <w:r>
              <w:rPr>
                <w:rFonts w:hint="default" w:ascii="Times New Roman" w:hAnsi="Times New Roman" w:cs="Times New Roman"/>
                <w:color w:val="auto"/>
                <w:lang w:val="en-US" w:eastAsia="zh-CN"/>
              </w:rPr>
              <w:t>包括</w:t>
            </w:r>
            <w:r>
              <w:rPr>
                <w:rFonts w:hint="default" w:ascii="Times New Roman" w:hAnsi="Times New Roman" w:cs="Times New Roman"/>
                <w:color w:val="auto"/>
                <w:lang w:eastAsia="zh-CN"/>
              </w:rPr>
              <w:t>泄漏</w:t>
            </w:r>
            <w:r>
              <w:rPr>
                <w:rFonts w:hint="default" w:ascii="Times New Roman" w:hAnsi="Times New Roman" w:cs="Times New Roman"/>
                <w:color w:val="auto"/>
              </w:rPr>
              <w:t>和火灾</w:t>
            </w:r>
            <w:r>
              <w:rPr>
                <w:rFonts w:hint="default" w:ascii="Times New Roman" w:hAnsi="Times New Roman" w:cs="Times New Roman"/>
                <w:color w:val="auto"/>
                <w:lang w:eastAsia="zh-CN"/>
              </w:rPr>
              <w:t>、爆炸</w:t>
            </w:r>
            <w:r>
              <w:rPr>
                <w:rFonts w:hint="default" w:ascii="Times New Roman" w:hAnsi="Times New Roman" w:cs="Times New Roman"/>
                <w:color w:val="auto"/>
              </w:rPr>
              <w:t>。</w:t>
            </w:r>
          </w:p>
          <w:p w14:paraId="1DEA0221">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2.风险潜势初判</w:t>
            </w:r>
          </w:p>
          <w:p w14:paraId="7EEF9D00">
            <w:pPr>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根据《建设项目环境风险评价技术导则》（HJ169-2018）附录 B 中“表 B.1突发环境事件风险物质及临界量”，本项目所涉及的</w:t>
            </w:r>
            <w:r>
              <w:rPr>
                <w:rFonts w:hint="default" w:ascii="Times New Roman" w:hAnsi="Times New Roman" w:cs="Times New Roman"/>
                <w:color w:val="auto"/>
                <w:lang w:eastAsia="zh-CN"/>
              </w:rPr>
              <w:t>危险</w:t>
            </w:r>
            <w:r>
              <w:rPr>
                <w:rFonts w:hint="default" w:ascii="Times New Roman" w:hAnsi="Times New Roman" w:cs="Times New Roman"/>
                <w:color w:val="auto"/>
              </w:rPr>
              <w:t>物质主要为天然气。</w:t>
            </w:r>
          </w:p>
          <w:p w14:paraId="4D9620F5">
            <w:pPr>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根据《建设项目环境风险评价技术导则》（HJ169-2018）附录 C 中“C.1.1 危险物种数量与临界量比值（Q）”计算所涉及的每种危险物质在厂界内的最大存在总量与其在附录B中对应临界量的比值计算Q值。</w:t>
            </w:r>
          </w:p>
          <w:p w14:paraId="7D02A5C3">
            <w:pPr>
              <w:ind w:firstLine="480"/>
              <w:rPr>
                <w:rFonts w:hint="default" w:ascii="Times New Roman" w:hAnsi="Times New Roman" w:cs="Times New Roman"/>
                <w:color w:val="auto"/>
              </w:rPr>
            </w:pPr>
            <w:r>
              <w:rPr>
                <w:rFonts w:hint="default" w:ascii="Times New Roman" w:hAnsi="Times New Roman" w:cs="Times New Roman"/>
                <w:color w:val="auto"/>
              </w:rPr>
              <w:t>当只涉及一种危险物质时，计算该物质的总量与其临界量比值，即为Q；</w:t>
            </w:r>
          </w:p>
          <w:p w14:paraId="0AB49E22">
            <w:pPr>
              <w:ind w:firstLine="480"/>
              <w:rPr>
                <w:rFonts w:hint="default" w:ascii="Times New Roman" w:hAnsi="Times New Roman" w:cs="Times New Roman"/>
                <w:color w:val="auto"/>
              </w:rPr>
            </w:pPr>
            <w:r>
              <w:rPr>
                <w:rFonts w:hint="default" w:ascii="Times New Roman" w:hAnsi="Times New Roman" w:cs="Times New Roman"/>
                <w:color w:val="auto"/>
              </w:rPr>
              <w:t>当存在多种危险物质时，则按式（C.1）计算物质总量与其临界量比值（Q）：</w:t>
            </w:r>
          </w:p>
          <w:p w14:paraId="4EB75C85">
            <w:pPr>
              <w:pStyle w:val="55"/>
              <w:ind w:firstLine="480"/>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676400" cy="505460"/>
                  <wp:effectExtent l="0" t="0" r="0" b="8890"/>
                  <wp:docPr id="14" name="图片 14"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p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76400" cy="505460"/>
                          </a:xfrm>
                          <a:prstGeom prst="rect">
                            <a:avLst/>
                          </a:prstGeom>
                          <a:noFill/>
                          <a:ln>
                            <a:noFill/>
                          </a:ln>
                        </pic:spPr>
                      </pic:pic>
                    </a:graphicData>
                  </a:graphic>
                </wp:inline>
              </w:drawing>
            </w:r>
          </w:p>
          <w:p w14:paraId="19CD3A3A">
            <w:pPr>
              <w:ind w:firstLine="480"/>
              <w:rPr>
                <w:rFonts w:hint="default" w:ascii="Times New Roman" w:hAnsi="Times New Roman" w:cs="Times New Roman"/>
                <w:color w:val="auto"/>
              </w:rPr>
            </w:pPr>
            <w:r>
              <w:rPr>
                <w:rFonts w:hint="default" w:ascii="Times New Roman" w:hAnsi="Times New Roman" w:cs="Times New Roman"/>
                <w:color w:val="auto"/>
              </w:rPr>
              <w:t>式中：</w:t>
            </w:r>
          </w:p>
          <w:p w14:paraId="277791E6">
            <w:pPr>
              <w:ind w:firstLine="480"/>
              <w:rPr>
                <w:rFonts w:hint="default" w:ascii="Times New Roman" w:hAnsi="Times New Roman" w:cs="Times New Roman"/>
                <w:color w:val="auto"/>
              </w:rPr>
            </w:pPr>
            <w:r>
              <w:rPr>
                <w:rFonts w:hint="default" w:ascii="Times New Roman" w:hAnsi="Times New Roman" w:cs="Times New Roman"/>
                <w:i/>
                <w:color w:val="auto"/>
              </w:rPr>
              <w:t>q</w:t>
            </w:r>
            <w:r>
              <w:rPr>
                <w:rFonts w:hint="default" w:ascii="Times New Roman" w:hAnsi="Times New Roman" w:cs="Times New Roman"/>
                <w:i/>
                <w:color w:val="auto"/>
                <w:vertAlign w:val="subscript"/>
              </w:rPr>
              <w:t>1</w:t>
            </w:r>
            <w:r>
              <w:rPr>
                <w:rFonts w:hint="default" w:ascii="Times New Roman" w:hAnsi="Times New Roman" w:cs="Times New Roman"/>
                <w:color w:val="auto"/>
              </w:rPr>
              <w:t>，</w:t>
            </w:r>
            <w:r>
              <w:rPr>
                <w:rFonts w:hint="default" w:ascii="Times New Roman" w:hAnsi="Times New Roman" w:cs="Times New Roman"/>
                <w:i/>
                <w:color w:val="auto"/>
              </w:rPr>
              <w:t>q</w:t>
            </w:r>
            <w:r>
              <w:rPr>
                <w:rFonts w:hint="default" w:ascii="Times New Roman" w:hAnsi="Times New Roman" w:cs="Times New Roman"/>
                <w:i/>
                <w:color w:val="auto"/>
                <w:vertAlign w:val="subscript"/>
              </w:rPr>
              <w:t>2</w:t>
            </w:r>
            <w:r>
              <w:rPr>
                <w:rFonts w:hint="default" w:ascii="Times New Roman" w:hAnsi="Times New Roman" w:cs="Times New Roman"/>
                <w:color w:val="auto"/>
              </w:rPr>
              <w:t>，…，</w:t>
            </w:r>
            <w:r>
              <w:rPr>
                <w:rFonts w:hint="default" w:ascii="Times New Roman" w:hAnsi="Times New Roman" w:cs="Times New Roman"/>
                <w:i/>
                <w:color w:val="auto"/>
              </w:rPr>
              <w:t>q</w:t>
            </w:r>
            <w:r>
              <w:rPr>
                <w:rFonts w:hint="default" w:ascii="Times New Roman" w:hAnsi="Times New Roman" w:cs="Times New Roman"/>
                <w:i/>
                <w:color w:val="auto"/>
                <w:vertAlign w:val="subscript"/>
              </w:rPr>
              <w:t>n</w:t>
            </w:r>
            <w:r>
              <w:rPr>
                <w:rFonts w:hint="default" w:ascii="Times New Roman" w:hAnsi="Times New Roman" w:cs="Times New Roman"/>
                <w:color w:val="auto"/>
              </w:rPr>
              <w:t>—每种危险物质的最大存在总量，t；</w:t>
            </w:r>
          </w:p>
          <w:p w14:paraId="33655DE6">
            <w:pPr>
              <w:ind w:firstLine="480"/>
              <w:rPr>
                <w:rFonts w:hint="default" w:ascii="Times New Roman" w:hAnsi="Times New Roman" w:cs="Times New Roman"/>
                <w:color w:val="auto"/>
              </w:rPr>
            </w:pPr>
            <w:r>
              <w:rPr>
                <w:rFonts w:hint="default" w:ascii="Times New Roman" w:hAnsi="Times New Roman" w:cs="Times New Roman"/>
                <w:i/>
                <w:color w:val="auto"/>
              </w:rPr>
              <w:t>Q</w:t>
            </w:r>
            <w:r>
              <w:rPr>
                <w:rFonts w:hint="default" w:ascii="Times New Roman" w:hAnsi="Times New Roman" w:cs="Times New Roman"/>
                <w:i/>
                <w:color w:val="auto"/>
                <w:vertAlign w:val="subscript"/>
              </w:rPr>
              <w:t>1</w:t>
            </w:r>
            <w:r>
              <w:rPr>
                <w:rFonts w:hint="default" w:ascii="Times New Roman" w:hAnsi="Times New Roman" w:cs="Times New Roman"/>
                <w:color w:val="auto"/>
              </w:rPr>
              <w:t>，</w:t>
            </w:r>
            <w:r>
              <w:rPr>
                <w:rFonts w:hint="default" w:ascii="Times New Roman" w:hAnsi="Times New Roman" w:cs="Times New Roman"/>
                <w:i/>
                <w:color w:val="auto"/>
              </w:rPr>
              <w:t>Q</w:t>
            </w:r>
            <w:r>
              <w:rPr>
                <w:rFonts w:hint="default" w:ascii="Times New Roman" w:hAnsi="Times New Roman" w:cs="Times New Roman"/>
                <w:i/>
                <w:color w:val="auto"/>
                <w:vertAlign w:val="subscript"/>
              </w:rPr>
              <w:t>2</w:t>
            </w:r>
            <w:r>
              <w:rPr>
                <w:rFonts w:hint="default" w:ascii="Times New Roman" w:hAnsi="Times New Roman" w:cs="Times New Roman"/>
                <w:color w:val="auto"/>
              </w:rPr>
              <w:t>，…，</w:t>
            </w:r>
            <w:r>
              <w:rPr>
                <w:rFonts w:hint="default" w:ascii="Times New Roman" w:hAnsi="Times New Roman" w:cs="Times New Roman"/>
                <w:i/>
                <w:color w:val="auto"/>
              </w:rPr>
              <w:t>Q</w:t>
            </w:r>
            <w:r>
              <w:rPr>
                <w:rFonts w:hint="default" w:ascii="Times New Roman" w:hAnsi="Times New Roman" w:cs="Times New Roman"/>
                <w:i/>
                <w:color w:val="auto"/>
                <w:vertAlign w:val="subscript"/>
              </w:rPr>
              <w:t>n</w:t>
            </w:r>
            <w:r>
              <w:rPr>
                <w:rFonts w:hint="default" w:ascii="Times New Roman" w:hAnsi="Times New Roman" w:cs="Times New Roman"/>
                <w:color w:val="auto"/>
              </w:rPr>
              <w:t>—每种危险物质的临界量，t。</w:t>
            </w:r>
          </w:p>
          <w:p w14:paraId="41C7E100">
            <w:pPr>
              <w:ind w:firstLine="480"/>
              <w:rPr>
                <w:rFonts w:hint="default" w:ascii="Times New Roman" w:hAnsi="Times New Roman" w:cs="Times New Roman"/>
                <w:color w:val="auto"/>
              </w:rPr>
            </w:pPr>
            <w:r>
              <w:rPr>
                <w:rFonts w:hint="default" w:ascii="Times New Roman" w:hAnsi="Times New Roman" w:cs="Times New Roman"/>
                <w:color w:val="auto"/>
              </w:rPr>
              <w:t>当Q＜1时，该项目环境风险潜势为Ⅰ。</w:t>
            </w:r>
          </w:p>
          <w:p w14:paraId="3E037B9C">
            <w:pPr>
              <w:ind w:firstLine="480"/>
              <w:rPr>
                <w:rFonts w:hint="default" w:ascii="Times New Roman" w:hAnsi="Times New Roman" w:cs="Times New Roman"/>
                <w:color w:val="auto"/>
              </w:rPr>
            </w:pPr>
            <w:r>
              <w:rPr>
                <w:rFonts w:hint="default" w:ascii="Times New Roman" w:hAnsi="Times New Roman" w:cs="Times New Roman"/>
                <w:color w:val="auto"/>
              </w:rPr>
              <w:t>当Q≥1时，将Q值划分为：（1）1≤Q＜10；（2）10≤Q＜100；（3）Q≥100。</w:t>
            </w:r>
          </w:p>
          <w:p w14:paraId="07B3488A">
            <w:pPr>
              <w:ind w:firstLine="480"/>
              <w:rPr>
                <w:rFonts w:hint="default" w:ascii="Times New Roman" w:hAnsi="Times New Roman" w:cs="Times New Roman"/>
                <w:color w:val="auto"/>
              </w:rPr>
            </w:pPr>
            <w:r>
              <w:rPr>
                <w:rFonts w:hint="default" w:ascii="Times New Roman" w:hAnsi="Times New Roman" w:cs="Times New Roman"/>
                <w:color w:val="auto"/>
                <w:lang w:eastAsia="zh-CN"/>
              </w:rPr>
              <w:t>项目存在危险物质情况见下表。</w:t>
            </w:r>
          </w:p>
          <w:p w14:paraId="6B0D1E67">
            <w:pPr>
              <w:pStyle w:val="42"/>
              <w:numPr>
                <w:ilvl w:val="3"/>
                <w:numId w:val="0"/>
              </w:numPr>
              <w:ind w:left="0" w:leftChars="0" w:firstLine="0" w:firstLineChars="0"/>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kern w:val="2"/>
                <w:sz w:val="24"/>
                <w:szCs w:val="24"/>
                <w:lang w:val="en-US" w:eastAsia="zh-CN" w:bidi="ar-SA"/>
              </w:rPr>
              <w:t>表4-1</w:t>
            </w:r>
            <w:r>
              <w:rPr>
                <w:rFonts w:hint="default" w:ascii="Times New Roman" w:hAnsi="Times New Roman" w:cs="Times New Roman"/>
                <w:b w:val="0"/>
                <w:bCs w:val="0"/>
                <w:color w:val="auto"/>
                <w:kern w:val="2"/>
                <w:sz w:val="24"/>
                <w:szCs w:val="24"/>
                <w:lang w:val="en-US" w:eastAsia="zh-CN" w:bidi="ar-SA"/>
              </w:rPr>
              <w:t>3</w:t>
            </w:r>
            <w:r>
              <w:rPr>
                <w:rFonts w:hint="default" w:ascii="Times New Roman" w:hAnsi="Times New Roman" w:eastAsia="黑体" w:cs="Times New Roman"/>
                <w:b w:val="0"/>
                <w:bCs w:val="0"/>
                <w:color w:val="auto"/>
                <w:kern w:val="2"/>
                <w:sz w:val="24"/>
                <w:szCs w:val="24"/>
                <w:lang w:val="en-US" w:eastAsia="zh-CN" w:bidi="ar-SA"/>
              </w:rPr>
              <w:t xml:space="preserve">  </w:t>
            </w:r>
            <w:r>
              <w:rPr>
                <w:rFonts w:hint="default" w:ascii="Times New Roman" w:hAnsi="Times New Roman" w:eastAsia="黑体" w:cs="Times New Roman"/>
                <w:b w:val="0"/>
                <w:bCs w:val="0"/>
                <w:color w:val="auto"/>
                <w:sz w:val="24"/>
                <w:szCs w:val="24"/>
              </w:rPr>
              <w:t>项目</w:t>
            </w:r>
            <w:r>
              <w:rPr>
                <w:rFonts w:hint="default" w:ascii="Times New Roman" w:hAnsi="Times New Roman" w:eastAsia="黑体" w:cs="Times New Roman"/>
                <w:b w:val="0"/>
                <w:bCs w:val="0"/>
                <w:color w:val="auto"/>
                <w:sz w:val="24"/>
                <w:szCs w:val="24"/>
                <w:lang w:eastAsia="zh-CN"/>
              </w:rPr>
              <w:t>存在</w:t>
            </w:r>
            <w:r>
              <w:rPr>
                <w:rFonts w:hint="default" w:ascii="Times New Roman" w:hAnsi="Times New Roman" w:eastAsia="黑体" w:cs="Times New Roman"/>
                <w:b w:val="0"/>
                <w:bCs w:val="0"/>
                <w:color w:val="auto"/>
                <w:sz w:val="24"/>
                <w:szCs w:val="24"/>
              </w:rPr>
              <w:t>的危险物质情况统计</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596"/>
              <w:gridCol w:w="2502"/>
              <w:gridCol w:w="1723"/>
              <w:gridCol w:w="1716"/>
            </w:tblGrid>
            <w:tr w14:paraId="7E87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pct"/>
                  <w:tcBorders>
                    <w:bottom w:val="single" w:color="auto" w:sz="4" w:space="0"/>
                    <w:right w:val="single" w:color="auto" w:sz="4" w:space="0"/>
                  </w:tcBorders>
                  <w:vAlign w:val="center"/>
                </w:tcPr>
                <w:p w14:paraId="16001CD6">
                  <w:pPr>
                    <w:pStyle w:val="40"/>
                    <w:jc w:val="center"/>
                    <w:rPr>
                      <w:rFonts w:hint="default" w:ascii="Times New Roman" w:hAnsi="Times New Roman" w:cs="Times New Roman"/>
                      <w:color w:val="auto"/>
                    </w:rPr>
                  </w:pPr>
                  <w:r>
                    <w:rPr>
                      <w:rFonts w:hint="default" w:ascii="Times New Roman" w:hAnsi="Times New Roman" w:cs="Times New Roman"/>
                      <w:color w:val="auto"/>
                    </w:rPr>
                    <w:t>序号</w:t>
                  </w:r>
                </w:p>
              </w:tc>
              <w:tc>
                <w:tcPr>
                  <w:tcW w:w="931" w:type="pct"/>
                  <w:tcBorders>
                    <w:left w:val="single" w:color="auto" w:sz="4" w:space="0"/>
                    <w:bottom w:val="single" w:color="auto" w:sz="4" w:space="0"/>
                    <w:right w:val="single" w:color="auto" w:sz="4" w:space="0"/>
                  </w:tcBorders>
                  <w:vAlign w:val="center"/>
                </w:tcPr>
                <w:p w14:paraId="06024844">
                  <w:pPr>
                    <w:pStyle w:val="40"/>
                    <w:jc w:val="center"/>
                    <w:rPr>
                      <w:rFonts w:hint="default" w:ascii="Times New Roman" w:hAnsi="Times New Roman" w:cs="Times New Roman"/>
                      <w:color w:val="auto"/>
                    </w:rPr>
                  </w:pPr>
                  <w:r>
                    <w:rPr>
                      <w:rFonts w:hint="default" w:ascii="Times New Roman" w:hAnsi="Times New Roman" w:cs="Times New Roman"/>
                      <w:color w:val="auto"/>
                    </w:rPr>
                    <w:t>危险物质</w:t>
                  </w:r>
                </w:p>
              </w:tc>
              <w:tc>
                <w:tcPr>
                  <w:tcW w:w="1460" w:type="pct"/>
                  <w:tcBorders>
                    <w:left w:val="single" w:color="auto" w:sz="4" w:space="0"/>
                    <w:bottom w:val="single" w:color="auto" w:sz="4" w:space="0"/>
                    <w:right w:val="single" w:color="auto" w:sz="4" w:space="0"/>
                  </w:tcBorders>
                  <w:vAlign w:val="center"/>
                </w:tcPr>
                <w:p w14:paraId="4CF31F73">
                  <w:pPr>
                    <w:pStyle w:val="40"/>
                    <w:jc w:val="center"/>
                    <w:rPr>
                      <w:rFonts w:hint="default" w:ascii="Times New Roman" w:hAnsi="Times New Roman" w:cs="Times New Roman"/>
                      <w:color w:val="auto"/>
                    </w:rPr>
                  </w:pPr>
                  <w:r>
                    <w:rPr>
                      <w:rFonts w:hint="default" w:ascii="Times New Roman" w:hAnsi="Times New Roman" w:cs="Times New Roman"/>
                      <w:color w:val="auto"/>
                    </w:rPr>
                    <w:t>最大</w:t>
                  </w:r>
                  <w:r>
                    <w:rPr>
                      <w:rFonts w:hint="default" w:ascii="Times New Roman" w:hAnsi="Times New Roman" w:cs="Times New Roman"/>
                      <w:color w:val="auto"/>
                      <w:lang w:eastAsia="zh-CN"/>
                    </w:rPr>
                    <w:t>存在</w:t>
                  </w:r>
                  <w:r>
                    <w:rPr>
                      <w:rFonts w:hint="default" w:ascii="Times New Roman" w:hAnsi="Times New Roman" w:cs="Times New Roman"/>
                      <w:color w:val="auto"/>
                    </w:rPr>
                    <w:t>量（t）</w:t>
                  </w:r>
                </w:p>
              </w:tc>
              <w:tc>
                <w:tcPr>
                  <w:tcW w:w="1004" w:type="pct"/>
                  <w:tcBorders>
                    <w:left w:val="single" w:color="auto" w:sz="4" w:space="0"/>
                    <w:bottom w:val="single" w:color="auto" w:sz="4" w:space="0"/>
                    <w:right w:val="single" w:color="auto" w:sz="4" w:space="0"/>
                  </w:tcBorders>
                  <w:vAlign w:val="center"/>
                </w:tcPr>
                <w:p w14:paraId="768FB6AB">
                  <w:pPr>
                    <w:pStyle w:val="40"/>
                    <w:jc w:val="center"/>
                    <w:rPr>
                      <w:rFonts w:hint="default" w:ascii="Times New Roman" w:hAnsi="Times New Roman" w:cs="Times New Roman"/>
                      <w:color w:val="auto"/>
                    </w:rPr>
                  </w:pPr>
                  <w:r>
                    <w:rPr>
                      <w:rFonts w:hint="default" w:ascii="Times New Roman" w:hAnsi="Times New Roman" w:cs="Times New Roman"/>
                      <w:color w:val="auto"/>
                    </w:rPr>
                    <w:t>临界量（t）</w:t>
                  </w:r>
                </w:p>
              </w:tc>
              <w:tc>
                <w:tcPr>
                  <w:tcW w:w="1001" w:type="pct"/>
                  <w:tcBorders>
                    <w:left w:val="single" w:color="auto" w:sz="4" w:space="0"/>
                    <w:bottom w:val="single" w:color="auto" w:sz="4" w:space="0"/>
                  </w:tcBorders>
                  <w:vAlign w:val="center"/>
                </w:tcPr>
                <w:p w14:paraId="400D2D95">
                  <w:pPr>
                    <w:pStyle w:val="40"/>
                    <w:jc w:val="center"/>
                    <w:rPr>
                      <w:rFonts w:hint="default" w:ascii="Times New Roman" w:hAnsi="Times New Roman" w:cs="Times New Roman"/>
                      <w:color w:val="auto"/>
                    </w:rPr>
                  </w:pPr>
                  <w:r>
                    <w:rPr>
                      <w:rFonts w:hint="default" w:ascii="Times New Roman" w:hAnsi="Times New Roman" w:cs="Times New Roman"/>
                      <w:color w:val="auto"/>
                    </w:rPr>
                    <w:t>比值Q</w:t>
                  </w:r>
                </w:p>
              </w:tc>
            </w:tr>
            <w:tr w14:paraId="1893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pct"/>
                  <w:tcBorders>
                    <w:top w:val="single" w:color="auto" w:sz="8" w:space="0"/>
                    <w:bottom w:val="single" w:color="auto" w:sz="4" w:space="0"/>
                    <w:right w:val="single" w:color="auto" w:sz="4" w:space="0"/>
                  </w:tcBorders>
                  <w:vAlign w:val="center"/>
                </w:tcPr>
                <w:p w14:paraId="3EFA376E">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931" w:type="pct"/>
                  <w:tcBorders>
                    <w:top w:val="single" w:color="auto" w:sz="8" w:space="0"/>
                    <w:left w:val="single" w:color="auto" w:sz="4" w:space="0"/>
                    <w:bottom w:val="single" w:color="auto" w:sz="4" w:space="0"/>
                    <w:right w:val="single" w:color="auto" w:sz="4" w:space="0"/>
                  </w:tcBorders>
                  <w:vAlign w:val="center"/>
                </w:tcPr>
                <w:p w14:paraId="69621D2A">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荒煤气</w:t>
                  </w:r>
                </w:p>
              </w:tc>
              <w:tc>
                <w:tcPr>
                  <w:tcW w:w="1460" w:type="pct"/>
                  <w:tcBorders>
                    <w:top w:val="single" w:color="auto" w:sz="8" w:space="0"/>
                    <w:left w:val="single" w:color="auto" w:sz="4" w:space="0"/>
                    <w:bottom w:val="single" w:color="auto" w:sz="4" w:space="0"/>
                    <w:right w:val="single" w:color="auto" w:sz="4" w:space="0"/>
                  </w:tcBorders>
                  <w:vAlign w:val="center"/>
                </w:tcPr>
                <w:p w14:paraId="2EE63F14">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1004" w:type="pct"/>
                  <w:tcBorders>
                    <w:top w:val="single" w:color="auto" w:sz="8" w:space="0"/>
                    <w:left w:val="single" w:color="auto" w:sz="4" w:space="0"/>
                    <w:bottom w:val="single" w:color="auto" w:sz="4" w:space="0"/>
                    <w:right w:val="single" w:color="auto" w:sz="4" w:space="0"/>
                  </w:tcBorders>
                  <w:vAlign w:val="center"/>
                </w:tcPr>
                <w:p w14:paraId="40E0C834">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1001" w:type="pct"/>
                  <w:tcBorders>
                    <w:top w:val="single" w:color="auto" w:sz="8" w:space="0"/>
                    <w:left w:val="single" w:color="auto" w:sz="4" w:space="0"/>
                    <w:bottom w:val="single" w:color="auto" w:sz="4" w:space="0"/>
                  </w:tcBorders>
                  <w:vAlign w:val="center"/>
                </w:tcPr>
                <w:p w14:paraId="28EC6D32">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w:t>
                  </w:r>
                </w:p>
              </w:tc>
            </w:tr>
            <w:tr w14:paraId="0313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op w:val="single" w:color="auto" w:sz="8" w:space="0"/>
                    <w:bottom w:val="single" w:color="auto" w:sz="4" w:space="0"/>
                    <w:right w:val="single" w:color="auto" w:sz="4" w:space="0"/>
                  </w:tcBorders>
                  <w:vAlign w:val="center"/>
                </w:tcPr>
                <w:p w14:paraId="13083ED4">
                  <w:pPr>
                    <w:pStyle w:val="4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931" w:type="pct"/>
                  <w:tcBorders>
                    <w:top w:val="single" w:color="auto" w:sz="8" w:space="0"/>
                    <w:left w:val="single" w:color="auto" w:sz="4" w:space="0"/>
                    <w:bottom w:val="single" w:color="auto" w:sz="4" w:space="0"/>
                    <w:right w:val="single" w:color="auto" w:sz="4" w:space="0"/>
                  </w:tcBorders>
                  <w:shd w:val="clear" w:color="auto" w:fill="auto"/>
                  <w:vAlign w:val="center"/>
                </w:tcPr>
                <w:p w14:paraId="61E6A20F">
                  <w:pPr>
                    <w:pStyle w:val="4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天然气</w:t>
                  </w:r>
                </w:p>
              </w:tc>
              <w:tc>
                <w:tcPr>
                  <w:tcW w:w="1460" w:type="pct"/>
                  <w:tcBorders>
                    <w:top w:val="single" w:color="auto" w:sz="8" w:space="0"/>
                    <w:left w:val="single" w:color="auto" w:sz="4" w:space="0"/>
                    <w:bottom w:val="single" w:color="auto" w:sz="4" w:space="0"/>
                    <w:right w:val="single" w:color="auto" w:sz="4" w:space="0"/>
                  </w:tcBorders>
                  <w:shd w:val="clear" w:color="auto" w:fill="auto"/>
                  <w:vAlign w:val="center"/>
                </w:tcPr>
                <w:p w14:paraId="4BF8BBB3">
                  <w:pPr>
                    <w:pStyle w:val="4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0.01</w:t>
                  </w:r>
                </w:p>
              </w:tc>
              <w:tc>
                <w:tcPr>
                  <w:tcW w:w="1004" w:type="pct"/>
                  <w:tcBorders>
                    <w:top w:val="single" w:color="auto" w:sz="8" w:space="0"/>
                    <w:left w:val="single" w:color="auto" w:sz="4" w:space="0"/>
                    <w:bottom w:val="single" w:color="auto" w:sz="4" w:space="0"/>
                    <w:right w:val="single" w:color="auto" w:sz="4" w:space="0"/>
                  </w:tcBorders>
                  <w:shd w:val="clear" w:color="auto" w:fill="auto"/>
                  <w:vAlign w:val="center"/>
                </w:tcPr>
                <w:p w14:paraId="1E94A3FB">
                  <w:pPr>
                    <w:pStyle w:val="4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10</w:t>
                  </w:r>
                </w:p>
              </w:tc>
              <w:tc>
                <w:tcPr>
                  <w:tcW w:w="1001" w:type="pct"/>
                  <w:tcBorders>
                    <w:top w:val="single" w:color="auto" w:sz="8" w:space="0"/>
                    <w:left w:val="single" w:color="auto" w:sz="4" w:space="0"/>
                    <w:bottom w:val="single" w:color="auto" w:sz="4" w:space="0"/>
                  </w:tcBorders>
                  <w:vAlign w:val="center"/>
                </w:tcPr>
                <w:p w14:paraId="37A092D8">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0.001</w:t>
                  </w:r>
                </w:p>
              </w:tc>
            </w:tr>
            <w:tr w14:paraId="08A5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op w:val="single" w:color="auto" w:sz="4" w:space="0"/>
                    <w:bottom w:val="single" w:color="auto" w:sz="4" w:space="0"/>
                    <w:right w:val="single" w:color="auto" w:sz="4" w:space="0"/>
                  </w:tcBorders>
                  <w:vAlign w:val="center"/>
                </w:tcPr>
                <w:p w14:paraId="4F5BB99D">
                  <w:pPr>
                    <w:pStyle w:val="40"/>
                    <w:ind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931" w:type="pct"/>
                  <w:tcBorders>
                    <w:top w:val="single" w:color="auto" w:sz="4" w:space="0"/>
                    <w:left w:val="single" w:color="auto" w:sz="4" w:space="0"/>
                    <w:bottom w:val="single" w:color="auto" w:sz="4" w:space="0"/>
                    <w:right w:val="single" w:color="auto" w:sz="4" w:space="0"/>
                  </w:tcBorders>
                  <w:vAlign w:val="center"/>
                </w:tcPr>
                <w:p w14:paraId="1526603D">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废机油</w:t>
                  </w:r>
                </w:p>
              </w:tc>
              <w:tc>
                <w:tcPr>
                  <w:tcW w:w="1460" w:type="pct"/>
                  <w:tcBorders>
                    <w:top w:val="single" w:color="auto" w:sz="4" w:space="0"/>
                    <w:left w:val="single" w:color="auto" w:sz="4" w:space="0"/>
                    <w:bottom w:val="single" w:color="auto" w:sz="4" w:space="0"/>
                    <w:right w:val="single" w:color="auto" w:sz="4" w:space="0"/>
                  </w:tcBorders>
                  <w:vAlign w:val="center"/>
                </w:tcPr>
                <w:p w14:paraId="506591B2">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2.5</w:t>
                  </w:r>
                </w:p>
              </w:tc>
              <w:tc>
                <w:tcPr>
                  <w:tcW w:w="1004" w:type="pct"/>
                  <w:tcBorders>
                    <w:top w:val="single" w:color="auto" w:sz="4" w:space="0"/>
                    <w:left w:val="single" w:color="auto" w:sz="4" w:space="0"/>
                    <w:bottom w:val="single" w:color="auto" w:sz="4" w:space="0"/>
                    <w:right w:val="single" w:color="auto" w:sz="4" w:space="0"/>
                  </w:tcBorders>
                  <w:vAlign w:val="center"/>
                </w:tcPr>
                <w:p w14:paraId="3EDBA82D">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w:t>
                  </w:r>
                </w:p>
              </w:tc>
              <w:tc>
                <w:tcPr>
                  <w:tcW w:w="1001" w:type="pct"/>
                  <w:tcBorders>
                    <w:top w:val="single" w:color="auto" w:sz="4" w:space="0"/>
                    <w:left w:val="single" w:color="auto" w:sz="4" w:space="0"/>
                    <w:bottom w:val="single" w:color="auto" w:sz="4" w:space="0"/>
                  </w:tcBorders>
                  <w:vAlign w:val="bottom"/>
                </w:tcPr>
                <w:p w14:paraId="7241AF2A">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0.05</w:t>
                  </w:r>
                </w:p>
              </w:tc>
            </w:tr>
            <w:tr w14:paraId="26D4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op w:val="single" w:color="auto" w:sz="4" w:space="0"/>
                    <w:bottom w:val="single" w:color="auto" w:sz="4" w:space="0"/>
                    <w:right w:val="single" w:color="auto" w:sz="4" w:space="0"/>
                  </w:tcBorders>
                  <w:vAlign w:val="center"/>
                </w:tcPr>
                <w:p w14:paraId="502D48EF">
                  <w:pPr>
                    <w:pStyle w:val="4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p>
              </w:tc>
              <w:tc>
                <w:tcPr>
                  <w:tcW w:w="931" w:type="pct"/>
                  <w:tcBorders>
                    <w:top w:val="single" w:color="auto" w:sz="4" w:space="0"/>
                    <w:left w:val="single" w:color="auto" w:sz="4" w:space="0"/>
                    <w:bottom w:val="single" w:color="auto" w:sz="4" w:space="0"/>
                    <w:right w:val="single" w:color="auto" w:sz="4" w:space="0"/>
                  </w:tcBorders>
                  <w:vAlign w:val="center"/>
                </w:tcPr>
                <w:p w14:paraId="3F3C657B">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废切削液</w:t>
                  </w:r>
                </w:p>
              </w:tc>
              <w:tc>
                <w:tcPr>
                  <w:tcW w:w="1460" w:type="pct"/>
                  <w:tcBorders>
                    <w:top w:val="single" w:color="auto" w:sz="4" w:space="0"/>
                    <w:left w:val="single" w:color="auto" w:sz="4" w:space="0"/>
                    <w:bottom w:val="single" w:color="auto" w:sz="4" w:space="0"/>
                    <w:right w:val="single" w:color="auto" w:sz="4" w:space="0"/>
                  </w:tcBorders>
                  <w:vAlign w:val="center"/>
                </w:tcPr>
                <w:p w14:paraId="383AE84E">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0.25</w:t>
                  </w:r>
                </w:p>
              </w:tc>
              <w:tc>
                <w:tcPr>
                  <w:tcW w:w="1004" w:type="pct"/>
                  <w:tcBorders>
                    <w:top w:val="single" w:color="auto" w:sz="4" w:space="0"/>
                    <w:left w:val="single" w:color="auto" w:sz="4" w:space="0"/>
                    <w:bottom w:val="single" w:color="auto" w:sz="4" w:space="0"/>
                    <w:right w:val="single" w:color="auto" w:sz="4" w:space="0"/>
                  </w:tcBorders>
                  <w:vAlign w:val="center"/>
                </w:tcPr>
                <w:p w14:paraId="47DC108B">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w:t>
                  </w:r>
                </w:p>
              </w:tc>
              <w:tc>
                <w:tcPr>
                  <w:tcW w:w="1001" w:type="pct"/>
                  <w:tcBorders>
                    <w:top w:val="single" w:color="auto" w:sz="4" w:space="0"/>
                    <w:left w:val="single" w:color="auto" w:sz="4" w:space="0"/>
                    <w:bottom w:val="single" w:color="auto" w:sz="4" w:space="0"/>
                  </w:tcBorders>
                  <w:vAlign w:val="bottom"/>
                </w:tcPr>
                <w:p w14:paraId="1B99B909">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0.005</w:t>
                  </w:r>
                </w:p>
              </w:tc>
            </w:tr>
            <w:tr w14:paraId="629E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8" w:type="pct"/>
                  <w:gridSpan w:val="4"/>
                  <w:tcBorders>
                    <w:top w:val="single" w:color="auto" w:sz="4" w:space="0"/>
                    <w:right w:val="single" w:color="auto" w:sz="4" w:space="0"/>
                  </w:tcBorders>
                  <w:vAlign w:val="center"/>
                </w:tcPr>
                <w:p w14:paraId="177F6BCC">
                  <w:pPr>
                    <w:pStyle w:val="40"/>
                    <w:jc w:val="center"/>
                    <w:rPr>
                      <w:rFonts w:hint="default" w:ascii="Times New Roman" w:hAnsi="Times New Roman" w:cs="Times New Roman"/>
                      <w:color w:val="auto"/>
                    </w:rPr>
                  </w:pPr>
                  <w:r>
                    <w:rPr>
                      <w:rFonts w:hint="default" w:ascii="Times New Roman" w:hAnsi="Times New Roman" w:cs="Times New Roman"/>
                      <w:color w:val="auto"/>
                    </w:rPr>
                    <w:t>合计</w:t>
                  </w:r>
                </w:p>
              </w:tc>
              <w:tc>
                <w:tcPr>
                  <w:tcW w:w="1001" w:type="pct"/>
                  <w:tcBorders>
                    <w:top w:val="single" w:color="auto" w:sz="4" w:space="0"/>
                    <w:left w:val="single" w:color="auto" w:sz="4" w:space="0"/>
                  </w:tcBorders>
                  <w:vAlign w:val="center"/>
                </w:tcPr>
                <w:p w14:paraId="579CC44C">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0.066</w:t>
                  </w:r>
                </w:p>
              </w:tc>
            </w:tr>
          </w:tbl>
          <w:p w14:paraId="042095BC">
            <w:pPr>
              <w:ind w:firstLine="480"/>
              <w:rPr>
                <w:rFonts w:hint="default" w:ascii="Times New Roman" w:hAnsi="Times New Roman" w:cs="Times New Roman"/>
                <w:color w:val="auto"/>
              </w:rPr>
            </w:pPr>
            <w:r>
              <w:rPr>
                <w:rFonts w:hint="default" w:ascii="Times New Roman" w:hAnsi="Times New Roman" w:cs="Times New Roman"/>
                <w:color w:val="auto"/>
              </w:rPr>
              <w:t>经计算：Q=0.</w:t>
            </w:r>
            <w:r>
              <w:rPr>
                <w:rFonts w:hint="default" w:ascii="Times New Roman" w:hAnsi="Times New Roman" w:cs="Times New Roman"/>
                <w:color w:val="auto"/>
                <w:lang w:val="en-US" w:eastAsia="zh-CN"/>
              </w:rPr>
              <w:t>066</w:t>
            </w:r>
            <w:r>
              <w:rPr>
                <w:rFonts w:hint="default" w:ascii="Times New Roman" w:hAnsi="Times New Roman" w:cs="Times New Roman"/>
                <w:color w:val="auto"/>
              </w:rPr>
              <w:t>＜1，因此可判定本项目环境风险潜势为Ⅰ。</w:t>
            </w:r>
          </w:p>
          <w:p w14:paraId="70FBDFF1">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3.环境风险识别</w:t>
            </w:r>
          </w:p>
          <w:p w14:paraId="26E22C5E">
            <w:pPr>
              <w:ind w:firstLine="480"/>
              <w:rPr>
                <w:rFonts w:hint="default" w:ascii="Times New Roman" w:hAnsi="Times New Roman" w:cs="Times New Roman"/>
                <w:color w:val="auto"/>
              </w:rPr>
            </w:pPr>
            <w:r>
              <w:rPr>
                <w:rFonts w:hint="default" w:ascii="Times New Roman" w:hAnsi="Times New Roman" w:cs="Times New Roman"/>
                <w:color w:val="auto"/>
              </w:rPr>
              <w:t>（1）物质危险性识别</w:t>
            </w:r>
          </w:p>
          <w:p w14:paraId="75A00763">
            <w:pPr>
              <w:ind w:firstLine="480"/>
              <w:rPr>
                <w:rFonts w:hint="default" w:ascii="Times New Roman" w:hAnsi="Times New Roman" w:cs="Times New Roman"/>
                <w:color w:val="auto"/>
              </w:rPr>
            </w:pPr>
            <w:r>
              <w:rPr>
                <w:rFonts w:hint="default" w:ascii="Times New Roman" w:hAnsi="Times New Roman" w:cs="Times New Roman"/>
                <w:color w:val="auto"/>
              </w:rPr>
              <w:t>通过对生产中主要原辅材料、产品和生产过程中涉及的</w:t>
            </w:r>
            <w:r>
              <w:rPr>
                <w:rFonts w:hint="default" w:ascii="Times New Roman" w:hAnsi="Times New Roman" w:cs="Times New Roman"/>
                <w:color w:val="auto"/>
                <w:lang w:eastAsia="zh-CN"/>
              </w:rPr>
              <w:t>危险</w:t>
            </w:r>
            <w:r>
              <w:rPr>
                <w:rFonts w:hint="default" w:ascii="Times New Roman" w:hAnsi="Times New Roman" w:cs="Times New Roman"/>
                <w:color w:val="auto"/>
              </w:rPr>
              <w:t>物质</w:t>
            </w:r>
            <w:r>
              <w:rPr>
                <w:rFonts w:hint="default" w:ascii="Times New Roman" w:hAnsi="Times New Roman" w:cs="Times New Roman"/>
                <w:color w:val="auto"/>
                <w:lang w:val="en-US" w:eastAsia="zh-CN"/>
              </w:rPr>
              <w:t>分布如下表</w:t>
            </w:r>
            <w:r>
              <w:rPr>
                <w:rFonts w:hint="default" w:ascii="Times New Roman" w:hAnsi="Times New Roman" w:cs="Times New Roman"/>
                <w:color w:val="auto"/>
              </w:rPr>
              <w:t>。</w:t>
            </w:r>
          </w:p>
          <w:p w14:paraId="3C1BDEAF">
            <w:pPr>
              <w:pStyle w:val="42"/>
              <w:numPr>
                <w:ilvl w:val="3"/>
                <w:numId w:val="0"/>
              </w:numPr>
              <w:ind w:left="0" w:leftChars="0" w:firstLine="0" w:firstLineChars="0"/>
              <w:rPr>
                <w:rFonts w:hint="default" w:ascii="Times New Roman" w:hAnsi="Times New Roman" w:cs="Times New Roman"/>
                <w:color w:val="auto"/>
              </w:rPr>
            </w:pPr>
            <w:r>
              <w:rPr>
                <w:rFonts w:hint="default" w:ascii="Times New Roman" w:hAnsi="Times New Roman" w:eastAsia="黑体" w:cs="Times New Roman"/>
                <w:color w:val="auto"/>
                <w:kern w:val="2"/>
                <w:sz w:val="24"/>
                <w:szCs w:val="24"/>
                <w:lang w:val="en-US" w:eastAsia="zh-CN" w:bidi="ar-SA"/>
              </w:rPr>
              <w:t>表4-1</w:t>
            </w:r>
            <w:r>
              <w:rPr>
                <w:rFonts w:hint="default" w:ascii="Times New Roman" w:hAnsi="Times New Roman" w:cs="Times New Roman"/>
                <w:color w:val="auto"/>
                <w:kern w:val="2"/>
                <w:sz w:val="24"/>
                <w:szCs w:val="24"/>
                <w:lang w:val="en-US" w:eastAsia="zh-CN" w:bidi="ar-SA"/>
              </w:rPr>
              <w:t>4</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项目涉及的主要危险物质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2215"/>
              <w:gridCol w:w="2914"/>
              <w:gridCol w:w="2143"/>
            </w:tblGrid>
            <w:tr w14:paraId="57E3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6" w:type="pct"/>
                  <w:tcBorders>
                    <w:bottom w:val="single" w:color="auto" w:sz="4" w:space="0"/>
                    <w:right w:val="single" w:color="auto" w:sz="4" w:space="0"/>
                  </w:tcBorders>
                  <w:vAlign w:val="center"/>
                </w:tcPr>
                <w:p w14:paraId="0F50C82A">
                  <w:pPr>
                    <w:pStyle w:val="39"/>
                    <w:rPr>
                      <w:rFonts w:hint="default" w:ascii="Times New Roman" w:hAnsi="Times New Roman" w:cs="Times New Roman"/>
                      <w:color w:val="auto"/>
                    </w:rPr>
                  </w:pPr>
                  <w:r>
                    <w:rPr>
                      <w:rFonts w:hint="default" w:ascii="Times New Roman" w:hAnsi="Times New Roman" w:cs="Times New Roman"/>
                      <w:color w:val="auto"/>
                    </w:rPr>
                    <w:t>序号</w:t>
                  </w:r>
                </w:p>
              </w:tc>
              <w:tc>
                <w:tcPr>
                  <w:tcW w:w="1292" w:type="pct"/>
                  <w:tcBorders>
                    <w:left w:val="single" w:color="auto" w:sz="4" w:space="0"/>
                    <w:bottom w:val="single" w:color="auto" w:sz="4" w:space="0"/>
                    <w:right w:val="single" w:color="auto" w:sz="4" w:space="0"/>
                  </w:tcBorders>
                  <w:vAlign w:val="center"/>
                </w:tcPr>
                <w:p w14:paraId="46746857">
                  <w:pPr>
                    <w:pStyle w:val="39"/>
                    <w:rPr>
                      <w:rFonts w:hint="default" w:ascii="Times New Roman" w:hAnsi="Times New Roman" w:cs="Times New Roman"/>
                      <w:color w:val="auto"/>
                    </w:rPr>
                  </w:pPr>
                  <w:r>
                    <w:rPr>
                      <w:rFonts w:hint="default" w:ascii="Times New Roman" w:hAnsi="Times New Roman" w:cs="Times New Roman"/>
                      <w:color w:val="auto"/>
                    </w:rPr>
                    <w:t>危险物质</w:t>
                  </w:r>
                </w:p>
              </w:tc>
              <w:tc>
                <w:tcPr>
                  <w:tcW w:w="1700" w:type="pct"/>
                  <w:tcBorders>
                    <w:left w:val="single" w:color="auto" w:sz="4" w:space="0"/>
                    <w:bottom w:val="single" w:color="auto" w:sz="4" w:space="0"/>
                    <w:right w:val="single" w:color="auto" w:sz="4" w:space="0"/>
                  </w:tcBorders>
                  <w:vAlign w:val="center"/>
                </w:tcPr>
                <w:p w14:paraId="3DEE4CC5">
                  <w:pPr>
                    <w:pStyle w:val="39"/>
                    <w:rPr>
                      <w:rFonts w:hint="default" w:ascii="Times New Roman" w:hAnsi="Times New Roman" w:cs="Times New Roman"/>
                      <w:color w:val="auto"/>
                    </w:rPr>
                  </w:pPr>
                  <w:r>
                    <w:rPr>
                      <w:rFonts w:hint="default" w:ascii="Times New Roman" w:hAnsi="Times New Roman" w:cs="Times New Roman"/>
                      <w:color w:val="auto"/>
                      <w:lang w:eastAsia="zh-CN"/>
                    </w:rPr>
                    <w:t>存在场所</w:t>
                  </w:r>
                </w:p>
              </w:tc>
              <w:tc>
                <w:tcPr>
                  <w:tcW w:w="1250" w:type="pct"/>
                  <w:tcBorders>
                    <w:left w:val="single" w:color="auto" w:sz="4" w:space="0"/>
                    <w:bottom w:val="single" w:color="auto" w:sz="4" w:space="0"/>
                  </w:tcBorders>
                  <w:vAlign w:val="center"/>
                </w:tcPr>
                <w:p w14:paraId="3AFA6711">
                  <w:pPr>
                    <w:pStyle w:val="39"/>
                    <w:rPr>
                      <w:rFonts w:hint="default" w:ascii="Times New Roman" w:hAnsi="Times New Roman" w:cs="Times New Roman"/>
                      <w:color w:val="auto"/>
                    </w:rPr>
                  </w:pPr>
                  <w:r>
                    <w:rPr>
                      <w:rFonts w:hint="default" w:ascii="Times New Roman" w:hAnsi="Times New Roman" w:cs="Times New Roman"/>
                      <w:color w:val="auto"/>
                    </w:rPr>
                    <w:t>危险特性</w:t>
                  </w:r>
                </w:p>
              </w:tc>
            </w:tr>
            <w:tr w14:paraId="7445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6" w:type="pct"/>
                  <w:tcBorders>
                    <w:top w:val="single" w:color="auto" w:sz="8" w:space="0"/>
                    <w:bottom w:val="single" w:color="auto" w:sz="4" w:space="0"/>
                    <w:right w:val="single" w:color="auto" w:sz="4" w:space="0"/>
                  </w:tcBorders>
                  <w:vAlign w:val="center"/>
                </w:tcPr>
                <w:p w14:paraId="0826C4D4">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1292" w:type="pct"/>
                  <w:tcBorders>
                    <w:top w:val="single" w:color="auto" w:sz="8" w:space="0"/>
                    <w:left w:val="single" w:color="auto" w:sz="4" w:space="0"/>
                    <w:bottom w:val="single" w:color="auto" w:sz="4" w:space="0"/>
                    <w:right w:val="single" w:color="auto" w:sz="4" w:space="0"/>
                  </w:tcBorders>
                  <w:vAlign w:val="center"/>
                </w:tcPr>
                <w:p w14:paraId="1CF38A8D">
                  <w:pPr>
                    <w:pStyle w:val="4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荒煤气</w:t>
                  </w:r>
                </w:p>
              </w:tc>
              <w:tc>
                <w:tcPr>
                  <w:tcW w:w="1700" w:type="pct"/>
                  <w:tcBorders>
                    <w:top w:val="single" w:color="auto" w:sz="8" w:space="0"/>
                    <w:left w:val="single" w:color="auto" w:sz="4" w:space="0"/>
                    <w:bottom w:val="single" w:color="auto" w:sz="4" w:space="0"/>
                    <w:right w:val="single" w:color="auto" w:sz="4" w:space="0"/>
                  </w:tcBorders>
                  <w:vAlign w:val="center"/>
                </w:tcPr>
                <w:p w14:paraId="7B592308">
                  <w:pPr>
                    <w:pStyle w:val="3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管道、镁合金锭熔炼车间</w:t>
                  </w:r>
                </w:p>
              </w:tc>
              <w:tc>
                <w:tcPr>
                  <w:tcW w:w="1250" w:type="pct"/>
                  <w:tcBorders>
                    <w:top w:val="single" w:color="auto" w:sz="8" w:space="0"/>
                    <w:left w:val="single" w:color="auto" w:sz="4" w:space="0"/>
                    <w:bottom w:val="single" w:color="auto" w:sz="4" w:space="0"/>
                  </w:tcBorders>
                  <w:vAlign w:val="center"/>
                </w:tcPr>
                <w:p w14:paraId="6209BC63">
                  <w:pPr>
                    <w:pStyle w:val="3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易燃易爆</w:t>
                  </w:r>
                </w:p>
              </w:tc>
            </w:tr>
            <w:tr w14:paraId="58F4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6" w:type="dxa"/>
                  <w:tcBorders>
                    <w:top w:val="single" w:color="auto" w:sz="8" w:space="0"/>
                    <w:bottom w:val="single" w:color="auto" w:sz="4" w:space="0"/>
                    <w:right w:val="single" w:color="auto" w:sz="4" w:space="0"/>
                  </w:tcBorders>
                  <w:vAlign w:val="center"/>
                </w:tcPr>
                <w:p w14:paraId="36A79B7D">
                  <w:pPr>
                    <w:pStyle w:val="39"/>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1292" w:type="pct"/>
                  <w:tcBorders>
                    <w:top w:val="single" w:color="auto" w:sz="8" w:space="0"/>
                    <w:left w:val="single" w:color="auto" w:sz="4" w:space="0"/>
                    <w:bottom w:val="single" w:color="auto" w:sz="4" w:space="0"/>
                    <w:right w:val="single" w:color="auto" w:sz="4" w:space="0"/>
                  </w:tcBorders>
                  <w:vAlign w:val="center"/>
                </w:tcPr>
                <w:p w14:paraId="1EE4CE8B">
                  <w:pPr>
                    <w:pStyle w:val="4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天然气</w:t>
                  </w:r>
                </w:p>
              </w:tc>
              <w:tc>
                <w:tcPr>
                  <w:tcW w:w="1700" w:type="pct"/>
                  <w:tcBorders>
                    <w:top w:val="single" w:color="auto" w:sz="8" w:space="0"/>
                    <w:left w:val="single" w:color="auto" w:sz="4" w:space="0"/>
                    <w:bottom w:val="single" w:color="auto" w:sz="4" w:space="0"/>
                    <w:right w:val="single" w:color="auto" w:sz="4" w:space="0"/>
                  </w:tcBorders>
                  <w:vAlign w:val="center"/>
                </w:tcPr>
                <w:p w14:paraId="32B1FF9C">
                  <w:pPr>
                    <w:pStyle w:val="39"/>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管道、压铸车间</w:t>
                  </w:r>
                </w:p>
              </w:tc>
              <w:tc>
                <w:tcPr>
                  <w:tcW w:w="1250" w:type="pct"/>
                  <w:tcBorders>
                    <w:top w:val="single" w:color="auto" w:sz="8" w:space="0"/>
                    <w:left w:val="single" w:color="auto" w:sz="4" w:space="0"/>
                    <w:bottom w:val="single" w:color="auto" w:sz="4" w:space="0"/>
                  </w:tcBorders>
                  <w:vAlign w:val="center"/>
                </w:tcPr>
                <w:p w14:paraId="2DEC597B">
                  <w:pPr>
                    <w:pStyle w:val="3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易燃易爆</w:t>
                  </w:r>
                </w:p>
              </w:tc>
            </w:tr>
            <w:tr w14:paraId="5915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6" w:type="dxa"/>
                  <w:tcBorders>
                    <w:top w:val="single" w:color="auto" w:sz="8" w:space="0"/>
                    <w:bottom w:val="single" w:color="auto" w:sz="4" w:space="0"/>
                    <w:right w:val="single" w:color="auto" w:sz="4" w:space="0"/>
                  </w:tcBorders>
                  <w:vAlign w:val="center"/>
                </w:tcPr>
                <w:p w14:paraId="1BEA0C08">
                  <w:pPr>
                    <w:pStyle w:val="39"/>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p>
              </w:tc>
              <w:tc>
                <w:tcPr>
                  <w:tcW w:w="1292" w:type="pct"/>
                  <w:tcBorders>
                    <w:top w:val="single" w:color="auto" w:sz="8" w:space="0"/>
                    <w:left w:val="single" w:color="auto" w:sz="4" w:space="0"/>
                    <w:bottom w:val="single" w:color="auto" w:sz="4" w:space="0"/>
                    <w:right w:val="single" w:color="auto" w:sz="4" w:space="0"/>
                  </w:tcBorders>
                  <w:vAlign w:val="center"/>
                </w:tcPr>
                <w:p w14:paraId="0E49DE91">
                  <w:pPr>
                    <w:pStyle w:val="4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废机油</w:t>
                  </w:r>
                </w:p>
              </w:tc>
              <w:tc>
                <w:tcPr>
                  <w:tcW w:w="1700" w:type="pct"/>
                  <w:tcBorders>
                    <w:top w:val="single" w:color="auto" w:sz="8" w:space="0"/>
                    <w:left w:val="single" w:color="auto" w:sz="4" w:space="0"/>
                    <w:bottom w:val="single" w:color="auto" w:sz="4" w:space="0"/>
                    <w:right w:val="single" w:color="auto" w:sz="4" w:space="0"/>
                  </w:tcBorders>
                  <w:vAlign w:val="center"/>
                </w:tcPr>
                <w:p w14:paraId="7918B4DA">
                  <w:pPr>
                    <w:pStyle w:val="3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危废贮存库</w:t>
                  </w:r>
                </w:p>
              </w:tc>
              <w:tc>
                <w:tcPr>
                  <w:tcW w:w="1250" w:type="pct"/>
                  <w:tcBorders>
                    <w:top w:val="single" w:color="auto" w:sz="8" w:space="0"/>
                    <w:left w:val="single" w:color="auto" w:sz="4" w:space="0"/>
                    <w:bottom w:val="single" w:color="auto" w:sz="4" w:space="0"/>
                  </w:tcBorders>
                  <w:vAlign w:val="center"/>
                </w:tcPr>
                <w:p w14:paraId="08F822C6">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有毒可燃</w:t>
                  </w:r>
                </w:p>
              </w:tc>
            </w:tr>
            <w:tr w14:paraId="0E6A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6" w:type="dxa"/>
                  <w:tcBorders>
                    <w:top w:val="single" w:color="auto" w:sz="4" w:space="0"/>
                    <w:right w:val="single" w:color="auto" w:sz="4" w:space="0"/>
                  </w:tcBorders>
                  <w:vAlign w:val="center"/>
                </w:tcPr>
                <w:p w14:paraId="496C70DC">
                  <w:pPr>
                    <w:pStyle w:val="39"/>
                    <w:ind w:firstLine="0" w:firstLineChars="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4</w:t>
                  </w:r>
                </w:p>
              </w:tc>
              <w:tc>
                <w:tcPr>
                  <w:tcW w:w="1292" w:type="pct"/>
                  <w:tcBorders>
                    <w:top w:val="single" w:color="auto" w:sz="4" w:space="0"/>
                    <w:left w:val="single" w:color="auto" w:sz="4" w:space="0"/>
                    <w:right w:val="single" w:color="auto" w:sz="4" w:space="0"/>
                  </w:tcBorders>
                  <w:vAlign w:val="center"/>
                </w:tcPr>
                <w:p w14:paraId="0D572C91">
                  <w:pPr>
                    <w:pStyle w:val="39"/>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废切削液</w:t>
                  </w:r>
                </w:p>
              </w:tc>
              <w:tc>
                <w:tcPr>
                  <w:tcW w:w="1700" w:type="pct"/>
                  <w:tcBorders>
                    <w:top w:val="single" w:color="auto" w:sz="4" w:space="0"/>
                    <w:left w:val="single" w:color="auto" w:sz="4" w:space="0"/>
                    <w:right w:val="single" w:color="auto" w:sz="4" w:space="0"/>
                  </w:tcBorders>
                  <w:vAlign w:val="center"/>
                </w:tcPr>
                <w:p w14:paraId="340556B3">
                  <w:pPr>
                    <w:pStyle w:val="39"/>
                    <w:rPr>
                      <w:rFonts w:hint="default" w:ascii="Times New Roman" w:hAnsi="Times New Roman" w:cs="Times New Roman"/>
                      <w:color w:val="auto"/>
                    </w:rPr>
                  </w:pPr>
                  <w:r>
                    <w:rPr>
                      <w:rFonts w:hint="default" w:ascii="Times New Roman" w:hAnsi="Times New Roman" w:cs="Times New Roman"/>
                      <w:color w:val="auto"/>
                      <w:lang w:val="en-US" w:eastAsia="zh-CN"/>
                    </w:rPr>
                    <w:t>危废贮存库</w:t>
                  </w:r>
                </w:p>
              </w:tc>
              <w:tc>
                <w:tcPr>
                  <w:tcW w:w="1250" w:type="pct"/>
                  <w:tcBorders>
                    <w:top w:val="single" w:color="auto" w:sz="4" w:space="0"/>
                    <w:left w:val="single" w:color="auto" w:sz="4" w:space="0"/>
                  </w:tcBorders>
                  <w:vAlign w:val="center"/>
                </w:tcPr>
                <w:p w14:paraId="28E62992">
                  <w:pPr>
                    <w:pStyle w:val="3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有毒可燃</w:t>
                  </w:r>
                </w:p>
              </w:tc>
            </w:tr>
          </w:tbl>
          <w:p w14:paraId="724F3702">
            <w:pPr>
              <w:ind w:firstLine="480"/>
              <w:rPr>
                <w:rFonts w:hint="default" w:ascii="Times New Roman" w:hAnsi="Times New Roman" w:cs="Times New Roman"/>
                <w:color w:val="auto"/>
              </w:rPr>
            </w:pPr>
            <w:r>
              <w:rPr>
                <w:rFonts w:hint="default" w:ascii="Times New Roman" w:hAnsi="Times New Roman" w:cs="Times New Roman"/>
                <w:color w:val="auto"/>
              </w:rPr>
              <w:t>（2）生产系统危险性识别</w:t>
            </w:r>
          </w:p>
          <w:p w14:paraId="5E572035">
            <w:pPr>
              <w:ind w:firstLine="480"/>
              <w:rPr>
                <w:rFonts w:hint="default" w:ascii="Times New Roman" w:hAnsi="Times New Roman" w:cs="Times New Roman"/>
                <w:color w:val="auto"/>
              </w:rPr>
            </w:pPr>
            <w:r>
              <w:rPr>
                <w:rFonts w:hint="default" w:ascii="Times New Roman" w:hAnsi="Times New Roman" w:cs="Times New Roman"/>
                <w:color w:val="auto"/>
              </w:rPr>
              <w:t>本项目生产设施可能产生的环境风险识别如下表所示。</w:t>
            </w:r>
          </w:p>
          <w:p w14:paraId="1ACD5AF4">
            <w:pPr>
              <w:pStyle w:val="42"/>
              <w:numPr>
                <w:ilvl w:val="3"/>
                <w:numId w:val="0"/>
              </w:numPr>
              <w:ind w:left="0" w:leftChars="0" w:firstLine="0" w:firstLineChars="0"/>
              <w:rPr>
                <w:rFonts w:hint="default" w:ascii="Times New Roman" w:hAnsi="Times New Roman" w:cs="Times New Roman"/>
                <w:color w:val="auto"/>
                <w:sz w:val="24"/>
                <w:szCs w:val="24"/>
              </w:rPr>
            </w:pPr>
            <w:r>
              <w:rPr>
                <w:rFonts w:hint="default" w:ascii="Times New Roman" w:hAnsi="Times New Roman" w:eastAsia="黑体" w:cs="Times New Roman"/>
                <w:color w:val="auto"/>
                <w:kern w:val="2"/>
                <w:sz w:val="24"/>
                <w:szCs w:val="24"/>
                <w:lang w:val="en-US" w:eastAsia="zh-CN" w:bidi="ar-SA"/>
              </w:rPr>
              <w:t>表4-1</w:t>
            </w:r>
            <w:r>
              <w:rPr>
                <w:rFonts w:hint="default" w:ascii="Times New Roman" w:hAnsi="Times New Roman" w:cs="Times New Roman"/>
                <w:color w:val="auto"/>
                <w:kern w:val="2"/>
                <w:sz w:val="24"/>
                <w:szCs w:val="24"/>
                <w:lang w:val="en-US" w:eastAsia="zh-CN" w:bidi="ar-SA"/>
              </w:rPr>
              <w:t>5</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生产系统危险性识别</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97"/>
              <w:gridCol w:w="1350"/>
              <w:gridCol w:w="5361"/>
            </w:tblGrid>
            <w:tr w14:paraId="6F4F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tcBorders>
                    <w:bottom w:val="single" w:color="auto" w:sz="4" w:space="0"/>
                    <w:right w:val="single" w:color="auto" w:sz="4" w:space="0"/>
                  </w:tcBorders>
                  <w:vAlign w:val="center"/>
                </w:tcPr>
                <w:p w14:paraId="29083F55">
                  <w:pPr>
                    <w:pStyle w:val="40"/>
                    <w:jc w:val="center"/>
                    <w:rPr>
                      <w:rFonts w:hint="default" w:ascii="Times New Roman" w:hAnsi="Times New Roman" w:cs="Times New Roman"/>
                      <w:color w:val="auto"/>
                    </w:rPr>
                  </w:pPr>
                  <w:r>
                    <w:rPr>
                      <w:rFonts w:hint="default" w:ascii="Times New Roman" w:hAnsi="Times New Roman" w:cs="Times New Roman"/>
                      <w:color w:val="auto"/>
                    </w:rPr>
                    <w:t>序号</w:t>
                  </w:r>
                </w:p>
              </w:tc>
              <w:tc>
                <w:tcPr>
                  <w:tcW w:w="698" w:type="pct"/>
                  <w:tcBorders>
                    <w:left w:val="single" w:color="auto" w:sz="4" w:space="0"/>
                    <w:bottom w:val="single" w:color="auto" w:sz="4" w:space="0"/>
                    <w:right w:val="single" w:color="auto" w:sz="4" w:space="0"/>
                  </w:tcBorders>
                  <w:vAlign w:val="center"/>
                </w:tcPr>
                <w:p w14:paraId="69EDFEA0">
                  <w:pPr>
                    <w:pStyle w:val="40"/>
                    <w:jc w:val="center"/>
                    <w:rPr>
                      <w:rFonts w:hint="default" w:ascii="Times New Roman" w:hAnsi="Times New Roman" w:cs="Times New Roman"/>
                      <w:color w:val="auto"/>
                    </w:rPr>
                  </w:pPr>
                  <w:r>
                    <w:rPr>
                      <w:rFonts w:hint="default" w:ascii="Times New Roman" w:hAnsi="Times New Roman" w:cs="Times New Roman"/>
                      <w:color w:val="auto"/>
                    </w:rPr>
                    <w:t>风险源</w:t>
                  </w:r>
                </w:p>
              </w:tc>
              <w:tc>
                <w:tcPr>
                  <w:tcW w:w="787" w:type="pct"/>
                  <w:tcBorders>
                    <w:left w:val="single" w:color="auto" w:sz="4" w:space="0"/>
                    <w:bottom w:val="single" w:color="auto" w:sz="4" w:space="0"/>
                    <w:right w:val="single" w:color="auto" w:sz="4" w:space="0"/>
                  </w:tcBorders>
                  <w:vAlign w:val="center"/>
                </w:tcPr>
                <w:p w14:paraId="768CCFC2">
                  <w:pPr>
                    <w:pStyle w:val="40"/>
                    <w:jc w:val="center"/>
                    <w:rPr>
                      <w:rFonts w:hint="default" w:ascii="Times New Roman" w:hAnsi="Times New Roman" w:cs="Times New Roman"/>
                      <w:color w:val="auto"/>
                    </w:rPr>
                  </w:pPr>
                  <w:r>
                    <w:rPr>
                      <w:rFonts w:hint="default" w:ascii="Times New Roman" w:hAnsi="Times New Roman" w:cs="Times New Roman"/>
                      <w:color w:val="auto"/>
                    </w:rPr>
                    <w:t>风险物质</w:t>
                  </w:r>
                </w:p>
              </w:tc>
              <w:tc>
                <w:tcPr>
                  <w:tcW w:w="3125" w:type="pct"/>
                  <w:tcBorders>
                    <w:left w:val="single" w:color="auto" w:sz="4" w:space="0"/>
                    <w:bottom w:val="single" w:color="auto" w:sz="4" w:space="0"/>
                  </w:tcBorders>
                  <w:vAlign w:val="center"/>
                </w:tcPr>
                <w:p w14:paraId="49123727">
                  <w:pPr>
                    <w:pStyle w:val="40"/>
                    <w:jc w:val="center"/>
                    <w:rPr>
                      <w:rFonts w:hint="default" w:ascii="Times New Roman" w:hAnsi="Times New Roman" w:cs="Times New Roman"/>
                      <w:color w:val="auto"/>
                    </w:rPr>
                  </w:pPr>
                  <w:r>
                    <w:rPr>
                      <w:rFonts w:hint="default" w:ascii="Times New Roman" w:hAnsi="Times New Roman" w:cs="Times New Roman"/>
                      <w:color w:val="auto"/>
                    </w:rPr>
                    <w:t>危害后果</w:t>
                  </w:r>
                </w:p>
              </w:tc>
            </w:tr>
            <w:tr w14:paraId="46E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tcBorders>
                    <w:top w:val="single" w:color="auto" w:sz="4" w:space="0"/>
                    <w:bottom w:val="single" w:color="auto" w:sz="4" w:space="0"/>
                    <w:right w:val="single" w:color="auto" w:sz="4" w:space="0"/>
                  </w:tcBorders>
                  <w:vAlign w:val="center"/>
                </w:tcPr>
                <w:p w14:paraId="3C0817E1">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698" w:type="pct"/>
                  <w:tcBorders>
                    <w:top w:val="single" w:color="auto" w:sz="4" w:space="0"/>
                    <w:left w:val="single" w:color="auto" w:sz="4" w:space="0"/>
                    <w:bottom w:val="single" w:color="auto" w:sz="4" w:space="0"/>
                    <w:right w:val="single" w:color="auto" w:sz="4" w:space="0"/>
                  </w:tcBorders>
                  <w:vAlign w:val="center"/>
                </w:tcPr>
                <w:p w14:paraId="0E531A0B">
                  <w:pPr>
                    <w:pStyle w:val="4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熔炼炉</w:t>
                  </w:r>
                </w:p>
              </w:tc>
              <w:tc>
                <w:tcPr>
                  <w:tcW w:w="787" w:type="pct"/>
                  <w:tcBorders>
                    <w:top w:val="single" w:color="auto" w:sz="4" w:space="0"/>
                    <w:left w:val="single" w:color="auto" w:sz="4" w:space="0"/>
                    <w:bottom w:val="single" w:color="auto" w:sz="4" w:space="0"/>
                    <w:right w:val="single" w:color="auto" w:sz="4" w:space="0"/>
                  </w:tcBorders>
                  <w:vAlign w:val="center"/>
                </w:tcPr>
                <w:p w14:paraId="49A5B37A">
                  <w:pPr>
                    <w:pStyle w:val="4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荒煤气</w:t>
                  </w:r>
                </w:p>
              </w:tc>
              <w:tc>
                <w:tcPr>
                  <w:tcW w:w="3125" w:type="pct"/>
                  <w:tcBorders>
                    <w:top w:val="single" w:color="auto" w:sz="4" w:space="0"/>
                    <w:left w:val="single" w:color="auto" w:sz="4" w:space="0"/>
                    <w:bottom w:val="single" w:color="auto" w:sz="4" w:space="0"/>
                  </w:tcBorders>
                  <w:vAlign w:val="center"/>
                </w:tcPr>
                <w:p w14:paraId="008EBBA0">
                  <w:pPr>
                    <w:pStyle w:val="40"/>
                    <w:jc w:val="center"/>
                    <w:rPr>
                      <w:rFonts w:hint="default" w:ascii="Times New Roman" w:hAnsi="Times New Roman" w:cs="Times New Roman"/>
                      <w:color w:val="auto"/>
                    </w:rPr>
                  </w:pPr>
                  <w:r>
                    <w:rPr>
                      <w:rFonts w:hint="default" w:ascii="Times New Roman" w:hAnsi="Times New Roman" w:cs="Times New Roman"/>
                      <w:color w:val="auto"/>
                    </w:rPr>
                    <w:t>发生泄漏，污染大气环境；发生</w:t>
                  </w:r>
                  <w:r>
                    <w:rPr>
                      <w:rFonts w:hint="default" w:ascii="Times New Roman" w:hAnsi="Times New Roman" w:cs="Times New Roman"/>
                      <w:color w:val="auto"/>
                      <w:lang w:eastAsia="zh-CN"/>
                    </w:rPr>
                    <w:t>燃烧、</w:t>
                  </w:r>
                  <w:r>
                    <w:rPr>
                      <w:rFonts w:hint="default" w:ascii="Times New Roman" w:hAnsi="Times New Roman" w:cs="Times New Roman"/>
                      <w:color w:val="auto"/>
                      <w:lang w:val="en-US" w:eastAsia="zh-CN"/>
                    </w:rPr>
                    <w:t>爆炸</w:t>
                  </w:r>
                  <w:r>
                    <w:rPr>
                      <w:rFonts w:hint="default" w:ascii="Times New Roman" w:hAnsi="Times New Roman" w:cs="Times New Roman"/>
                      <w:color w:val="auto"/>
                      <w:lang w:eastAsia="zh-CN"/>
                    </w:rPr>
                    <w:t>，</w:t>
                  </w:r>
                  <w:r>
                    <w:rPr>
                      <w:rFonts w:hint="default" w:ascii="Times New Roman" w:hAnsi="Times New Roman" w:cs="Times New Roman"/>
                      <w:color w:val="auto"/>
                    </w:rPr>
                    <w:t>产生有害气体</w:t>
                  </w:r>
                </w:p>
              </w:tc>
            </w:tr>
            <w:tr w14:paraId="022E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tcBorders>
                    <w:top w:val="single" w:color="auto" w:sz="4" w:space="0"/>
                    <w:bottom w:val="single" w:color="auto" w:sz="4" w:space="0"/>
                    <w:right w:val="single" w:color="auto" w:sz="4" w:space="0"/>
                  </w:tcBorders>
                  <w:shd w:val="clear" w:color="auto" w:fill="auto"/>
                  <w:vAlign w:val="center"/>
                </w:tcPr>
                <w:p w14:paraId="3258F0A5">
                  <w:pPr>
                    <w:pStyle w:val="4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2</w:t>
                  </w:r>
                </w:p>
              </w:tc>
              <w:tc>
                <w:tcPr>
                  <w:tcW w:w="698" w:type="pct"/>
                  <w:tcBorders>
                    <w:top w:val="single" w:color="auto" w:sz="4" w:space="0"/>
                    <w:left w:val="single" w:color="auto" w:sz="4" w:space="0"/>
                    <w:bottom w:val="single" w:color="auto" w:sz="4" w:space="0"/>
                    <w:right w:val="single" w:color="auto" w:sz="4" w:space="0"/>
                  </w:tcBorders>
                  <w:vAlign w:val="center"/>
                </w:tcPr>
                <w:p w14:paraId="02BB844B">
                  <w:pPr>
                    <w:pStyle w:val="4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压铸保温炉</w:t>
                  </w:r>
                </w:p>
              </w:tc>
              <w:tc>
                <w:tcPr>
                  <w:tcW w:w="787" w:type="pct"/>
                  <w:tcBorders>
                    <w:top w:val="single" w:color="auto" w:sz="4" w:space="0"/>
                    <w:left w:val="single" w:color="auto" w:sz="4" w:space="0"/>
                    <w:bottom w:val="single" w:color="auto" w:sz="4" w:space="0"/>
                    <w:right w:val="single" w:color="auto" w:sz="4" w:space="0"/>
                  </w:tcBorders>
                  <w:vAlign w:val="center"/>
                </w:tcPr>
                <w:p w14:paraId="61865394">
                  <w:pPr>
                    <w:pStyle w:val="4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天然气</w:t>
                  </w:r>
                </w:p>
              </w:tc>
              <w:tc>
                <w:tcPr>
                  <w:tcW w:w="3125" w:type="pct"/>
                  <w:tcBorders>
                    <w:top w:val="single" w:color="auto" w:sz="4" w:space="0"/>
                    <w:left w:val="single" w:color="auto" w:sz="4" w:space="0"/>
                    <w:bottom w:val="single" w:color="auto" w:sz="4" w:space="0"/>
                  </w:tcBorders>
                  <w:vAlign w:val="center"/>
                </w:tcPr>
                <w:p w14:paraId="79B9A4F6">
                  <w:pPr>
                    <w:pStyle w:val="40"/>
                    <w:jc w:val="center"/>
                    <w:rPr>
                      <w:rFonts w:hint="default" w:ascii="Times New Roman" w:hAnsi="Times New Roman" w:cs="Times New Roman"/>
                      <w:color w:val="auto"/>
                    </w:rPr>
                  </w:pPr>
                  <w:r>
                    <w:rPr>
                      <w:rFonts w:hint="default" w:ascii="Times New Roman" w:hAnsi="Times New Roman" w:cs="Times New Roman"/>
                      <w:color w:val="auto"/>
                    </w:rPr>
                    <w:t>发生泄漏，污染大气环境；发生</w:t>
                  </w:r>
                  <w:r>
                    <w:rPr>
                      <w:rFonts w:hint="default" w:ascii="Times New Roman" w:hAnsi="Times New Roman" w:cs="Times New Roman"/>
                      <w:color w:val="auto"/>
                      <w:lang w:eastAsia="zh-CN"/>
                    </w:rPr>
                    <w:t>燃烧、</w:t>
                  </w:r>
                  <w:r>
                    <w:rPr>
                      <w:rFonts w:hint="default" w:ascii="Times New Roman" w:hAnsi="Times New Roman" w:cs="Times New Roman"/>
                      <w:color w:val="auto"/>
                      <w:lang w:val="en-US" w:eastAsia="zh-CN"/>
                    </w:rPr>
                    <w:t>爆炸</w:t>
                  </w:r>
                  <w:r>
                    <w:rPr>
                      <w:rFonts w:hint="default" w:ascii="Times New Roman" w:hAnsi="Times New Roman" w:cs="Times New Roman"/>
                      <w:color w:val="auto"/>
                      <w:lang w:eastAsia="zh-CN"/>
                    </w:rPr>
                    <w:t>，</w:t>
                  </w:r>
                  <w:r>
                    <w:rPr>
                      <w:rFonts w:hint="default" w:ascii="Times New Roman" w:hAnsi="Times New Roman" w:cs="Times New Roman"/>
                      <w:color w:val="auto"/>
                    </w:rPr>
                    <w:t>产生有害气体</w:t>
                  </w:r>
                </w:p>
              </w:tc>
            </w:tr>
            <w:tr w14:paraId="0A34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tcBorders>
                    <w:top w:val="single" w:color="auto" w:sz="4" w:space="0"/>
                    <w:bottom w:val="single" w:color="auto" w:sz="4" w:space="0"/>
                    <w:right w:val="single" w:color="auto" w:sz="4" w:space="0"/>
                  </w:tcBorders>
                  <w:shd w:val="clear" w:color="auto" w:fill="auto"/>
                  <w:vAlign w:val="center"/>
                </w:tcPr>
                <w:p w14:paraId="645850F3">
                  <w:pPr>
                    <w:pStyle w:val="4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3</w:t>
                  </w:r>
                </w:p>
              </w:tc>
              <w:tc>
                <w:tcPr>
                  <w:tcW w:w="698" w:type="pct"/>
                  <w:tcBorders>
                    <w:top w:val="single" w:color="auto" w:sz="4" w:space="0"/>
                    <w:left w:val="single" w:color="auto" w:sz="4" w:space="0"/>
                    <w:bottom w:val="single" w:color="auto" w:sz="4" w:space="0"/>
                    <w:right w:val="single" w:color="auto" w:sz="4" w:space="0"/>
                  </w:tcBorders>
                  <w:vAlign w:val="center"/>
                </w:tcPr>
                <w:p w14:paraId="1736CE4B">
                  <w:pPr>
                    <w:pStyle w:val="4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燃气管道</w:t>
                  </w:r>
                </w:p>
              </w:tc>
              <w:tc>
                <w:tcPr>
                  <w:tcW w:w="787" w:type="pct"/>
                  <w:tcBorders>
                    <w:top w:val="single" w:color="auto" w:sz="4" w:space="0"/>
                    <w:left w:val="single" w:color="auto" w:sz="4" w:space="0"/>
                    <w:bottom w:val="single" w:color="auto" w:sz="4" w:space="0"/>
                    <w:right w:val="single" w:color="auto" w:sz="4" w:space="0"/>
                  </w:tcBorders>
                  <w:vAlign w:val="center"/>
                </w:tcPr>
                <w:p w14:paraId="6FBDE562">
                  <w:pPr>
                    <w:pStyle w:val="4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荒煤气/天然气</w:t>
                  </w:r>
                </w:p>
              </w:tc>
              <w:tc>
                <w:tcPr>
                  <w:tcW w:w="3125" w:type="pct"/>
                  <w:tcBorders>
                    <w:top w:val="single" w:color="auto" w:sz="4" w:space="0"/>
                    <w:left w:val="single" w:color="auto" w:sz="4" w:space="0"/>
                    <w:bottom w:val="single" w:color="auto" w:sz="4" w:space="0"/>
                  </w:tcBorders>
                  <w:vAlign w:val="center"/>
                </w:tcPr>
                <w:p w14:paraId="39E8C324">
                  <w:pPr>
                    <w:pStyle w:val="40"/>
                    <w:jc w:val="center"/>
                    <w:rPr>
                      <w:rFonts w:hint="default" w:ascii="Times New Roman" w:hAnsi="Times New Roman" w:cs="Times New Roman"/>
                      <w:color w:val="auto"/>
                    </w:rPr>
                  </w:pPr>
                  <w:r>
                    <w:rPr>
                      <w:rFonts w:hint="default" w:ascii="Times New Roman" w:hAnsi="Times New Roman" w:cs="Times New Roman"/>
                      <w:color w:val="auto"/>
                    </w:rPr>
                    <w:t>发生泄漏，污染大气环境；发生</w:t>
                  </w:r>
                  <w:r>
                    <w:rPr>
                      <w:rFonts w:hint="default" w:ascii="Times New Roman" w:hAnsi="Times New Roman" w:cs="Times New Roman"/>
                      <w:color w:val="auto"/>
                      <w:lang w:eastAsia="zh-CN"/>
                    </w:rPr>
                    <w:t>燃烧、</w:t>
                  </w:r>
                  <w:r>
                    <w:rPr>
                      <w:rFonts w:hint="default" w:ascii="Times New Roman" w:hAnsi="Times New Roman" w:cs="Times New Roman"/>
                      <w:color w:val="auto"/>
                      <w:lang w:val="en-US" w:eastAsia="zh-CN"/>
                    </w:rPr>
                    <w:t>爆炸</w:t>
                  </w:r>
                  <w:r>
                    <w:rPr>
                      <w:rFonts w:hint="default" w:ascii="Times New Roman" w:hAnsi="Times New Roman" w:cs="Times New Roman"/>
                      <w:color w:val="auto"/>
                      <w:lang w:eastAsia="zh-CN"/>
                    </w:rPr>
                    <w:t>，</w:t>
                  </w:r>
                  <w:r>
                    <w:rPr>
                      <w:rFonts w:hint="default" w:ascii="Times New Roman" w:hAnsi="Times New Roman" w:cs="Times New Roman"/>
                      <w:color w:val="auto"/>
                    </w:rPr>
                    <w:t>产生有害气体</w:t>
                  </w:r>
                </w:p>
              </w:tc>
            </w:tr>
            <w:tr w14:paraId="7822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tcBorders>
                    <w:top w:val="single" w:color="auto" w:sz="4" w:space="0"/>
                    <w:right w:val="single" w:color="auto" w:sz="4" w:space="0"/>
                  </w:tcBorders>
                  <w:shd w:val="clear" w:color="auto" w:fill="auto"/>
                  <w:vAlign w:val="center"/>
                </w:tcPr>
                <w:p w14:paraId="4BD24BEF">
                  <w:pPr>
                    <w:pStyle w:val="4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4</w:t>
                  </w:r>
                </w:p>
              </w:tc>
              <w:tc>
                <w:tcPr>
                  <w:tcW w:w="698" w:type="pct"/>
                  <w:tcBorders>
                    <w:top w:val="single" w:color="auto" w:sz="4" w:space="0"/>
                    <w:left w:val="single" w:color="auto" w:sz="4" w:space="0"/>
                    <w:right w:val="single" w:color="auto" w:sz="4" w:space="0"/>
                  </w:tcBorders>
                  <w:vAlign w:val="center"/>
                </w:tcPr>
                <w:p w14:paraId="62869F67">
                  <w:pPr>
                    <w:pStyle w:val="4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危废贮存库</w:t>
                  </w:r>
                </w:p>
              </w:tc>
              <w:tc>
                <w:tcPr>
                  <w:tcW w:w="787" w:type="pct"/>
                  <w:tcBorders>
                    <w:top w:val="single" w:color="auto" w:sz="4" w:space="0"/>
                    <w:left w:val="single" w:color="auto" w:sz="4" w:space="0"/>
                    <w:right w:val="single" w:color="auto" w:sz="4" w:space="0"/>
                  </w:tcBorders>
                  <w:vAlign w:val="center"/>
                </w:tcPr>
                <w:p w14:paraId="026A499A">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废机油、废切削液</w:t>
                  </w:r>
                </w:p>
              </w:tc>
              <w:tc>
                <w:tcPr>
                  <w:tcW w:w="3125" w:type="pct"/>
                  <w:tcBorders>
                    <w:top w:val="single" w:color="auto" w:sz="4" w:space="0"/>
                    <w:left w:val="single" w:color="auto" w:sz="4" w:space="0"/>
                  </w:tcBorders>
                  <w:vAlign w:val="center"/>
                </w:tcPr>
                <w:p w14:paraId="7E282D83">
                  <w:pPr>
                    <w:pStyle w:val="40"/>
                    <w:jc w:val="center"/>
                    <w:rPr>
                      <w:rFonts w:hint="default" w:ascii="Times New Roman" w:hAnsi="Times New Roman" w:cs="Times New Roman"/>
                      <w:color w:val="auto"/>
                    </w:rPr>
                  </w:pPr>
                  <w:r>
                    <w:rPr>
                      <w:rFonts w:hint="default" w:ascii="Times New Roman" w:hAnsi="Times New Roman" w:cs="Times New Roman"/>
                      <w:color w:val="auto"/>
                    </w:rPr>
                    <w:t>发生泄漏，污染</w:t>
                  </w:r>
                  <w:r>
                    <w:rPr>
                      <w:rFonts w:hint="default" w:ascii="Times New Roman" w:hAnsi="Times New Roman" w:cs="Times New Roman"/>
                      <w:color w:val="auto"/>
                      <w:lang w:val="en-US" w:eastAsia="zh-CN"/>
                    </w:rPr>
                    <w:t>土壤、地下水</w:t>
                  </w:r>
                  <w:r>
                    <w:rPr>
                      <w:rFonts w:hint="default" w:ascii="Times New Roman" w:hAnsi="Times New Roman" w:cs="Times New Roman"/>
                      <w:color w:val="auto"/>
                    </w:rPr>
                    <w:t>环境；发生</w:t>
                  </w:r>
                  <w:r>
                    <w:rPr>
                      <w:rFonts w:hint="default" w:ascii="Times New Roman" w:hAnsi="Times New Roman" w:cs="Times New Roman"/>
                      <w:color w:val="auto"/>
                      <w:lang w:eastAsia="zh-CN"/>
                    </w:rPr>
                    <w:t>燃烧，</w:t>
                  </w:r>
                  <w:r>
                    <w:rPr>
                      <w:rFonts w:hint="default" w:ascii="Times New Roman" w:hAnsi="Times New Roman" w:cs="Times New Roman"/>
                      <w:color w:val="auto"/>
                    </w:rPr>
                    <w:t>产生有害气体</w:t>
                  </w:r>
                </w:p>
              </w:tc>
            </w:tr>
          </w:tbl>
          <w:p w14:paraId="35886294">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4.环境风险分析</w:t>
            </w:r>
          </w:p>
          <w:p w14:paraId="03196A2C">
            <w:pPr>
              <w:ind w:firstLine="480"/>
              <w:rPr>
                <w:rFonts w:hint="default" w:ascii="Times New Roman" w:hAnsi="Times New Roman" w:cs="Times New Roman"/>
                <w:color w:val="auto"/>
              </w:rPr>
            </w:pPr>
            <w:r>
              <w:rPr>
                <w:rFonts w:hint="default" w:ascii="Times New Roman" w:hAnsi="Times New Roman" w:cs="Times New Roman"/>
                <w:color w:val="auto"/>
              </w:rPr>
              <w:t>本项目环境风险分析详见下表。</w:t>
            </w:r>
          </w:p>
          <w:p w14:paraId="3B43CDBF">
            <w:pPr>
              <w:pStyle w:val="42"/>
              <w:numPr>
                <w:ilvl w:val="3"/>
                <w:numId w:val="0"/>
              </w:numPr>
              <w:ind w:left="0" w:leftChars="0" w:firstLine="0" w:firstLineChars="0"/>
              <w:rPr>
                <w:rFonts w:hint="default" w:ascii="Times New Roman" w:hAnsi="Times New Roman" w:cs="Times New Roman"/>
                <w:color w:val="auto"/>
                <w:sz w:val="24"/>
                <w:szCs w:val="24"/>
              </w:rPr>
            </w:pPr>
            <w:r>
              <w:rPr>
                <w:rFonts w:hint="default" w:ascii="Times New Roman" w:hAnsi="Times New Roman" w:eastAsia="黑体" w:cs="Times New Roman"/>
                <w:color w:val="auto"/>
                <w:kern w:val="2"/>
                <w:sz w:val="24"/>
                <w:szCs w:val="24"/>
                <w:lang w:val="en-US" w:eastAsia="zh-CN" w:bidi="ar-SA"/>
              </w:rPr>
              <w:t>表4-1</w:t>
            </w:r>
            <w:r>
              <w:rPr>
                <w:rFonts w:hint="default" w:ascii="Times New Roman" w:hAnsi="Times New Roman" w:cs="Times New Roman"/>
                <w:color w:val="auto"/>
                <w:kern w:val="2"/>
                <w:sz w:val="24"/>
                <w:szCs w:val="24"/>
                <w:lang w:val="en-US" w:eastAsia="zh-CN" w:bidi="ar-SA"/>
              </w:rPr>
              <w:t>6</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环境风险分析表</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39"/>
              <w:gridCol w:w="1285"/>
              <w:gridCol w:w="5249"/>
            </w:tblGrid>
            <w:tr w14:paraId="6EA1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189" w:type="pct"/>
                  <w:vAlign w:val="center"/>
                </w:tcPr>
                <w:p w14:paraId="4EE9285E">
                  <w:pPr>
                    <w:pStyle w:val="40"/>
                    <w:jc w:val="center"/>
                    <w:rPr>
                      <w:rFonts w:hint="default" w:ascii="Times New Roman" w:hAnsi="Times New Roman" w:cs="Times New Roman"/>
                      <w:b/>
                      <w:color w:val="auto"/>
                    </w:rPr>
                  </w:pPr>
                  <w:r>
                    <w:rPr>
                      <w:rFonts w:hint="default" w:ascii="Times New Roman" w:hAnsi="Times New Roman" w:cs="Times New Roman"/>
                      <w:b/>
                      <w:color w:val="auto"/>
                    </w:rPr>
                    <w:t>事故分类</w:t>
                  </w:r>
                </w:p>
              </w:tc>
              <w:tc>
                <w:tcPr>
                  <w:tcW w:w="749" w:type="pct"/>
                  <w:vAlign w:val="center"/>
                </w:tcPr>
                <w:p w14:paraId="02A9DFA2">
                  <w:pPr>
                    <w:pStyle w:val="40"/>
                    <w:jc w:val="center"/>
                    <w:rPr>
                      <w:rFonts w:hint="default" w:ascii="Times New Roman" w:hAnsi="Times New Roman" w:cs="Times New Roman"/>
                      <w:b/>
                      <w:color w:val="auto"/>
                    </w:rPr>
                  </w:pPr>
                  <w:r>
                    <w:rPr>
                      <w:rFonts w:hint="default" w:ascii="Times New Roman" w:hAnsi="Times New Roman" w:cs="Times New Roman"/>
                      <w:b/>
                      <w:color w:val="auto"/>
                    </w:rPr>
                    <w:t>原因类型</w:t>
                  </w:r>
                </w:p>
              </w:tc>
              <w:tc>
                <w:tcPr>
                  <w:tcW w:w="3060" w:type="pct"/>
                  <w:vAlign w:val="center"/>
                </w:tcPr>
                <w:p w14:paraId="00665C94">
                  <w:pPr>
                    <w:pStyle w:val="40"/>
                    <w:jc w:val="center"/>
                    <w:rPr>
                      <w:rFonts w:hint="default" w:ascii="Times New Roman" w:hAnsi="Times New Roman" w:cs="Times New Roman"/>
                      <w:b/>
                      <w:color w:val="auto"/>
                    </w:rPr>
                  </w:pPr>
                  <w:r>
                    <w:rPr>
                      <w:rFonts w:hint="default" w:ascii="Times New Roman" w:hAnsi="Times New Roman" w:cs="Times New Roman"/>
                      <w:b/>
                      <w:color w:val="auto"/>
                    </w:rPr>
                    <w:t>风险项目</w:t>
                  </w:r>
                </w:p>
              </w:tc>
            </w:tr>
            <w:tr w14:paraId="17E6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189" w:type="pct"/>
                  <w:vAlign w:val="center"/>
                </w:tcPr>
                <w:p w14:paraId="7914CD5D">
                  <w:pPr>
                    <w:pStyle w:val="40"/>
                    <w:jc w:val="center"/>
                    <w:rPr>
                      <w:rFonts w:hint="default" w:ascii="Times New Roman" w:hAnsi="Times New Roman" w:cs="Times New Roman"/>
                      <w:color w:val="auto"/>
                    </w:rPr>
                  </w:pPr>
                  <w:r>
                    <w:rPr>
                      <w:rFonts w:hint="default" w:ascii="Times New Roman" w:hAnsi="Times New Roman" w:cs="Times New Roman"/>
                      <w:color w:val="auto"/>
                      <w:lang w:val="en-US" w:eastAsia="zh-CN"/>
                    </w:rPr>
                    <w:t>燃气</w:t>
                  </w:r>
                  <w:r>
                    <w:rPr>
                      <w:rFonts w:hint="default" w:ascii="Times New Roman" w:hAnsi="Times New Roman" w:cs="Times New Roman"/>
                      <w:color w:val="auto"/>
                    </w:rPr>
                    <w:t>泄漏并引起火灾、爆炸</w:t>
                  </w:r>
                </w:p>
              </w:tc>
              <w:tc>
                <w:tcPr>
                  <w:tcW w:w="749" w:type="pct"/>
                  <w:vAlign w:val="center"/>
                </w:tcPr>
                <w:p w14:paraId="7B15A98E">
                  <w:pPr>
                    <w:pStyle w:val="40"/>
                    <w:jc w:val="center"/>
                    <w:rPr>
                      <w:rFonts w:hint="default" w:ascii="Times New Roman" w:hAnsi="Times New Roman" w:cs="Times New Roman"/>
                      <w:color w:val="auto"/>
                    </w:rPr>
                  </w:pPr>
                  <w:r>
                    <w:rPr>
                      <w:rFonts w:hint="default" w:ascii="Times New Roman" w:hAnsi="Times New Roman" w:cs="Times New Roman"/>
                      <w:color w:val="auto"/>
                    </w:rPr>
                    <w:t>设备、操作</w:t>
                  </w:r>
                </w:p>
              </w:tc>
              <w:tc>
                <w:tcPr>
                  <w:tcW w:w="3060" w:type="pct"/>
                  <w:vAlign w:val="center"/>
                </w:tcPr>
                <w:p w14:paraId="3219AA3C">
                  <w:pPr>
                    <w:pStyle w:val="40"/>
                    <w:jc w:val="both"/>
                    <w:rPr>
                      <w:rFonts w:hint="default" w:ascii="Times New Roman" w:hAnsi="Times New Roman" w:cs="Times New Roman"/>
                      <w:color w:val="auto"/>
                    </w:rPr>
                  </w:pPr>
                  <w:r>
                    <w:rPr>
                      <w:rFonts w:hint="default" w:ascii="Times New Roman" w:hAnsi="Times New Roman" w:cs="Times New Roman"/>
                      <w:color w:val="auto"/>
                      <w:lang w:val="en-US" w:eastAsia="zh-CN"/>
                    </w:rPr>
                    <w:t>燃气炉窑</w:t>
                  </w:r>
                  <w:r>
                    <w:rPr>
                      <w:rFonts w:hint="default" w:ascii="Times New Roman" w:hAnsi="Times New Roman" w:cs="Times New Roman"/>
                      <w:color w:val="auto"/>
                    </w:rPr>
                    <w:t>及连接管道因老化、受外力压迫受损，发生泄漏，遇火源发生火灾、爆炸。</w:t>
                  </w:r>
                </w:p>
              </w:tc>
            </w:tr>
            <w:tr w14:paraId="51CD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189" w:type="pct"/>
                  <w:vAlign w:val="center"/>
                </w:tcPr>
                <w:p w14:paraId="06380545">
                  <w:pPr>
                    <w:pStyle w:val="4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废机油、废切削液泄漏、火灾</w:t>
                  </w:r>
                </w:p>
              </w:tc>
              <w:tc>
                <w:tcPr>
                  <w:tcW w:w="749" w:type="pct"/>
                  <w:vAlign w:val="center"/>
                </w:tcPr>
                <w:p w14:paraId="0395CF57">
                  <w:pPr>
                    <w:pStyle w:val="40"/>
                    <w:jc w:val="center"/>
                    <w:rPr>
                      <w:rFonts w:hint="default" w:ascii="Times New Roman" w:hAnsi="Times New Roman" w:cs="Times New Roman"/>
                      <w:color w:val="auto"/>
                    </w:rPr>
                  </w:pPr>
                  <w:r>
                    <w:rPr>
                      <w:rFonts w:hint="default" w:ascii="Times New Roman" w:hAnsi="Times New Roman" w:cs="Times New Roman"/>
                      <w:color w:val="auto"/>
                    </w:rPr>
                    <w:t>设备、操作</w:t>
                  </w:r>
                </w:p>
              </w:tc>
              <w:tc>
                <w:tcPr>
                  <w:tcW w:w="3060" w:type="pct"/>
                  <w:vAlign w:val="center"/>
                </w:tcPr>
                <w:p w14:paraId="189B0948">
                  <w:pPr>
                    <w:pStyle w:val="4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危废容器</w:t>
                  </w:r>
                  <w:r>
                    <w:rPr>
                      <w:rFonts w:hint="default" w:ascii="Times New Roman" w:hAnsi="Times New Roman" w:cs="Times New Roman"/>
                      <w:color w:val="auto"/>
                    </w:rPr>
                    <w:t>因老化、受外力压迫受损，发生泄漏，遇火源发生火灾</w:t>
                  </w:r>
                </w:p>
              </w:tc>
            </w:tr>
            <w:tr w14:paraId="1991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189" w:type="pct"/>
                  <w:vAlign w:val="center"/>
                </w:tcPr>
                <w:p w14:paraId="1FF865BC">
                  <w:pPr>
                    <w:pStyle w:val="4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以上全部</w:t>
                  </w:r>
                </w:p>
              </w:tc>
              <w:tc>
                <w:tcPr>
                  <w:tcW w:w="749" w:type="pct"/>
                  <w:vAlign w:val="center"/>
                </w:tcPr>
                <w:p w14:paraId="459E0C91">
                  <w:pPr>
                    <w:pStyle w:val="40"/>
                    <w:jc w:val="center"/>
                    <w:rPr>
                      <w:rFonts w:hint="default" w:ascii="Times New Roman" w:hAnsi="Times New Roman" w:cs="Times New Roman"/>
                      <w:color w:val="auto"/>
                    </w:rPr>
                  </w:pPr>
                  <w:r>
                    <w:rPr>
                      <w:rFonts w:hint="default" w:ascii="Times New Roman" w:hAnsi="Times New Roman" w:cs="Times New Roman"/>
                      <w:color w:val="auto"/>
                    </w:rPr>
                    <w:t>自然因素</w:t>
                  </w:r>
                </w:p>
              </w:tc>
              <w:tc>
                <w:tcPr>
                  <w:tcW w:w="3060" w:type="pct"/>
                  <w:vAlign w:val="center"/>
                </w:tcPr>
                <w:p w14:paraId="16945F0B">
                  <w:pPr>
                    <w:pStyle w:val="40"/>
                    <w:jc w:val="both"/>
                    <w:rPr>
                      <w:rFonts w:hint="default" w:ascii="Times New Roman" w:hAnsi="Times New Roman" w:cs="Times New Roman"/>
                      <w:color w:val="auto"/>
                    </w:rPr>
                  </w:pPr>
                  <w:r>
                    <w:rPr>
                      <w:rFonts w:hint="default" w:ascii="Times New Roman" w:hAnsi="Times New Roman" w:cs="Times New Roman"/>
                      <w:color w:val="auto"/>
                    </w:rPr>
                    <w:t>泄漏、火灾</w:t>
                  </w:r>
                  <w:r>
                    <w:rPr>
                      <w:rFonts w:hint="default" w:ascii="Times New Roman" w:hAnsi="Times New Roman" w:cs="Times New Roman"/>
                      <w:color w:val="auto"/>
                      <w:lang w:val="en-US" w:eastAsia="zh-CN"/>
                    </w:rPr>
                    <w:t>或</w:t>
                  </w:r>
                  <w:r>
                    <w:rPr>
                      <w:rFonts w:hint="default" w:ascii="Times New Roman" w:hAnsi="Times New Roman" w:cs="Times New Roman"/>
                      <w:color w:val="auto"/>
                    </w:rPr>
                    <w:t>爆炸事故后未完全燃烧的有毒有害物质，以及完全燃烧后伴生/次生的有害物质进入环境空气，从而对大气环境造成影响。</w:t>
                  </w:r>
                </w:p>
              </w:tc>
            </w:tr>
          </w:tbl>
          <w:p w14:paraId="1EB2E695">
            <w:pPr>
              <w:pStyle w:val="9"/>
              <w:spacing w:after="120"/>
              <w:ind w:firstLine="482"/>
              <w:rPr>
                <w:rFonts w:hint="default" w:ascii="Times New Roman" w:hAnsi="Times New Roman" w:cs="Times New Roman"/>
                <w:color w:val="auto"/>
              </w:rPr>
            </w:pPr>
            <w:r>
              <w:rPr>
                <w:rFonts w:hint="default" w:ascii="Times New Roman" w:hAnsi="Times New Roman" w:cs="Times New Roman"/>
                <w:color w:val="auto"/>
              </w:rPr>
              <w:t>5.风险防范措施</w:t>
            </w:r>
          </w:p>
          <w:p w14:paraId="03719C29">
            <w:pPr>
              <w:ind w:firstLine="480"/>
              <w:rPr>
                <w:rFonts w:hint="default" w:ascii="Times New Roman" w:hAnsi="Times New Roman" w:cs="Times New Roman"/>
                <w:color w:val="auto"/>
              </w:rPr>
            </w:pPr>
            <w:r>
              <w:rPr>
                <w:rFonts w:hint="default" w:ascii="Times New Roman" w:hAnsi="Times New Roman" w:cs="Times New Roman"/>
                <w:color w:val="auto"/>
              </w:rPr>
              <w:t>项目采取以下</w:t>
            </w:r>
            <w:r>
              <w:rPr>
                <w:rFonts w:hint="default" w:ascii="Times New Roman" w:hAnsi="Times New Roman" w:cs="Times New Roman"/>
                <w:color w:val="auto"/>
                <w:lang w:val="en-US" w:eastAsia="zh-CN"/>
              </w:rPr>
              <w:t>风险防范</w:t>
            </w:r>
            <w:r>
              <w:rPr>
                <w:rFonts w:hint="default" w:ascii="Times New Roman" w:hAnsi="Times New Roman" w:cs="Times New Roman"/>
                <w:color w:val="auto"/>
              </w:rPr>
              <w:t>措施：</w:t>
            </w:r>
          </w:p>
          <w:p w14:paraId="618CE318">
            <w:pPr>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建立健全公司各项生产、安全和环境保护管理和责任制度，强化管理，落实责任，突出环境风险意识，按制度开展环境</w:t>
            </w:r>
            <w:r>
              <w:rPr>
                <w:rFonts w:hint="default" w:ascii="Times New Roman" w:hAnsi="Times New Roman" w:cs="Times New Roman"/>
                <w:color w:val="auto"/>
                <w:lang w:val="en-US" w:eastAsia="zh-CN"/>
              </w:rPr>
              <w:t>安全</w:t>
            </w:r>
            <w:r>
              <w:rPr>
                <w:rFonts w:hint="default" w:ascii="Times New Roman" w:hAnsi="Times New Roman" w:cs="Times New Roman"/>
                <w:color w:val="auto"/>
              </w:rPr>
              <w:t>宣传教育和培训，对培训内容进行考核，定期进行模拟事故演习，定期组织安全技术考试考核，严格按操作规程办事，杜绝因责任心不强而造成事故发生</w:t>
            </w:r>
            <w:r>
              <w:rPr>
                <w:rFonts w:hint="default" w:ascii="Times New Roman" w:hAnsi="Times New Roman" w:cs="Times New Roman"/>
                <w:color w:val="auto"/>
                <w:lang w:eastAsia="zh-CN"/>
              </w:rPr>
              <w:t>。</w:t>
            </w:r>
          </w:p>
          <w:p w14:paraId="52E1F5F8">
            <w:pPr>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lang w:val="en-US" w:eastAsia="zh-CN"/>
              </w:rPr>
              <w:t>燃气炉窑</w:t>
            </w:r>
            <w:r>
              <w:rPr>
                <w:rFonts w:hint="default" w:ascii="Times New Roman" w:hAnsi="Times New Roman" w:cs="Times New Roman"/>
                <w:color w:val="auto"/>
                <w:highlight w:val="none"/>
                <w:lang w:eastAsia="zh-CN"/>
              </w:rPr>
              <w:t>及</w:t>
            </w:r>
            <w:r>
              <w:rPr>
                <w:rFonts w:hint="default" w:ascii="Times New Roman" w:hAnsi="Times New Roman" w:cs="Times New Roman"/>
                <w:color w:val="auto"/>
                <w:highlight w:val="none"/>
                <w:lang w:val="en-US" w:eastAsia="zh-CN"/>
              </w:rPr>
              <w:t>燃气管线等配套</w:t>
            </w:r>
            <w:r>
              <w:rPr>
                <w:rFonts w:hint="default" w:ascii="Times New Roman" w:hAnsi="Times New Roman" w:cs="Times New Roman"/>
                <w:color w:val="auto"/>
                <w:highlight w:val="none"/>
                <w:lang w:eastAsia="zh-CN"/>
              </w:rPr>
              <w:t>设施，均应符合国家有关特种设备安全管理要求，配套管道、阀门应做好检修、维护</w:t>
            </w:r>
            <w:r>
              <w:rPr>
                <w:rFonts w:hint="default" w:ascii="Times New Roman" w:hAnsi="Times New Roman" w:cs="Times New Roman"/>
                <w:color w:val="auto"/>
              </w:rPr>
              <w:t>，制定正常、异常和紧急状态下的操作手册及维修手册，并对操作、维修人员进行培训、持证上岗，避免因严重操作失误而造成的事故</w:t>
            </w:r>
            <w:r>
              <w:rPr>
                <w:rFonts w:hint="default" w:ascii="Times New Roman" w:hAnsi="Times New Roman" w:cs="Times New Roman"/>
                <w:color w:val="auto"/>
                <w:lang w:eastAsia="zh-CN"/>
              </w:rPr>
              <w:t>。</w:t>
            </w:r>
          </w:p>
          <w:p w14:paraId="7A3107DA">
            <w:pPr>
              <w:pStyle w:val="60"/>
              <w:numPr>
                <w:ilvl w:val="0"/>
                <w:numId w:val="0"/>
              </w:numPr>
              <w:ind w:left="0" w:leftChars="0"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rPr>
              <w:t>设</w:t>
            </w:r>
            <w:r>
              <w:rPr>
                <w:rFonts w:hint="default" w:ascii="Times New Roman" w:hAnsi="Times New Roman" w:cs="Times New Roman"/>
                <w:color w:val="auto"/>
                <w:lang w:val="en-US" w:eastAsia="zh-CN"/>
              </w:rPr>
              <w:t>燃气炉窑及</w:t>
            </w:r>
            <w:r>
              <w:rPr>
                <w:rFonts w:hint="default" w:ascii="Times New Roman" w:hAnsi="Times New Roman" w:cs="Times New Roman"/>
                <w:color w:val="auto"/>
              </w:rPr>
              <w:t>管道专人管理岗，使用防爆型的通风系统和设备，</w:t>
            </w:r>
            <w:r>
              <w:rPr>
                <w:rFonts w:hint="default" w:ascii="Times New Roman" w:hAnsi="Times New Roman" w:cs="Times New Roman"/>
                <w:color w:val="auto"/>
                <w:lang w:val="en-US" w:eastAsia="zh-CN"/>
              </w:rPr>
              <w:t>配套防雷防静电措施，</w:t>
            </w:r>
            <w:r>
              <w:rPr>
                <w:rFonts w:hint="default" w:ascii="Times New Roman" w:hAnsi="Times New Roman" w:cs="Times New Roman"/>
                <w:color w:val="auto"/>
              </w:rPr>
              <w:t>区域设置安全警示标志，在燃气使用场所设置可燃气体监测</w:t>
            </w:r>
            <w:r>
              <w:rPr>
                <w:rFonts w:hint="default" w:ascii="Times New Roman" w:hAnsi="Times New Roman" w:cs="Times New Roman"/>
                <w:color w:val="auto"/>
                <w:lang w:val="en-US" w:eastAsia="zh-CN"/>
              </w:rPr>
              <w:t>泄漏</w:t>
            </w:r>
            <w:r>
              <w:rPr>
                <w:rFonts w:hint="default" w:ascii="Times New Roman" w:hAnsi="Times New Roman" w:cs="Times New Roman"/>
                <w:color w:val="auto"/>
              </w:rPr>
              <w:t>报警仪、自动切断阀，一旦发生泄漏及时发现，及时采取措施。</w:t>
            </w:r>
          </w:p>
          <w:p w14:paraId="4ED94F18">
            <w:pPr>
              <w:pStyle w:val="60"/>
              <w:numPr>
                <w:ilvl w:val="0"/>
                <w:numId w:val="0"/>
              </w:numPr>
              <w:ind w:left="0" w:leftChars="0"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lang w:val="en-US" w:eastAsia="zh-CN"/>
              </w:rPr>
              <w:t>各车间、仓库、危废贮存库均应做好防火安全管理，除生产安全必要外严禁烟火，配套设置消防设施及应急物资。</w:t>
            </w:r>
          </w:p>
          <w:p w14:paraId="3FE45153">
            <w:pPr>
              <w:pStyle w:val="60"/>
              <w:numPr>
                <w:ilvl w:val="0"/>
                <w:numId w:val="0"/>
              </w:numPr>
              <w:ind w:left="0" w:leftChars="0"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rPr>
              <w:t>严格按防火规范进行了平面布置，燃气</w:t>
            </w:r>
            <w:r>
              <w:rPr>
                <w:rFonts w:hint="default" w:ascii="Times New Roman" w:hAnsi="Times New Roman" w:cs="Times New Roman"/>
                <w:color w:val="auto"/>
                <w:lang w:val="en-US" w:eastAsia="zh-CN"/>
              </w:rPr>
              <w:t>炉窑</w:t>
            </w:r>
            <w:r>
              <w:rPr>
                <w:rFonts w:hint="default" w:ascii="Times New Roman" w:hAnsi="Times New Roman" w:cs="Times New Roman"/>
                <w:color w:val="auto"/>
              </w:rPr>
              <w:t>放置在</w:t>
            </w:r>
            <w:r>
              <w:rPr>
                <w:rFonts w:hint="default" w:ascii="Times New Roman" w:hAnsi="Times New Roman" w:cs="Times New Roman"/>
                <w:color w:val="auto"/>
                <w:lang w:val="en-US" w:eastAsia="zh-CN"/>
              </w:rPr>
              <w:t>厂</w:t>
            </w:r>
            <w:r>
              <w:rPr>
                <w:rFonts w:hint="default" w:ascii="Times New Roman" w:hAnsi="Times New Roman" w:cs="Times New Roman"/>
                <w:color w:val="auto"/>
              </w:rPr>
              <w:t>房内，阴凉、通风，远离</w:t>
            </w:r>
            <w:r>
              <w:rPr>
                <w:rFonts w:hint="default" w:ascii="Times New Roman" w:hAnsi="Times New Roman" w:cs="Times New Roman"/>
                <w:color w:val="auto"/>
                <w:lang w:eastAsia="zh-CN"/>
              </w:rPr>
              <w:t>外部</w:t>
            </w:r>
            <w:r>
              <w:rPr>
                <w:rFonts w:hint="default" w:ascii="Times New Roman" w:hAnsi="Times New Roman" w:cs="Times New Roman"/>
                <w:color w:val="auto"/>
              </w:rPr>
              <w:t>火种、热源。</w:t>
            </w:r>
          </w:p>
          <w:p w14:paraId="27629083">
            <w:pPr>
              <w:pStyle w:val="60"/>
              <w:numPr>
                <w:ilvl w:val="0"/>
                <w:numId w:val="0"/>
              </w:numPr>
              <w:ind w:left="0" w:leftChars="0"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lang w:val="en-US" w:eastAsia="zh-CN"/>
              </w:rPr>
              <w:t>针对铸锭打磨等产生粉尘场所，也应采用</w:t>
            </w:r>
            <w:r>
              <w:rPr>
                <w:rFonts w:hint="default" w:ascii="Times New Roman" w:hAnsi="Times New Roman" w:cs="Times New Roman"/>
                <w:color w:val="auto"/>
              </w:rPr>
              <w:t>防爆型的通风系统和设备，</w:t>
            </w:r>
            <w:r>
              <w:rPr>
                <w:rFonts w:hint="default" w:ascii="Times New Roman" w:hAnsi="Times New Roman" w:cs="Times New Roman"/>
                <w:color w:val="auto"/>
                <w:lang w:val="en-US" w:eastAsia="zh-CN"/>
              </w:rPr>
              <w:t>禁止烟火，防范粉尘爆炸风险。</w:t>
            </w:r>
          </w:p>
          <w:p w14:paraId="47E20945">
            <w:pPr>
              <w:pStyle w:val="60"/>
              <w:numPr>
                <w:ilvl w:val="0"/>
                <w:numId w:val="0"/>
              </w:numPr>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危废贮存库按</w:t>
            </w:r>
            <w:r>
              <w:rPr>
                <w:rFonts w:hint="default" w:ascii="Times New Roman" w:hAnsi="Times New Roman" w:cs="Times New Roman"/>
                <w:color w:val="auto"/>
                <w:sz w:val="24"/>
              </w:rPr>
              <w:t>GB18597</w:t>
            </w:r>
            <w:r>
              <w:rPr>
                <w:rFonts w:hint="default" w:ascii="Times New Roman" w:hAnsi="Times New Roman" w:cs="Times New Roman"/>
                <w:color w:val="auto"/>
                <w:sz w:val="24"/>
                <w:lang w:val="en-US" w:eastAsia="zh-CN"/>
              </w:rPr>
              <w:t>采取防渗措施，其他厂房地面硬化。</w:t>
            </w:r>
          </w:p>
          <w:p w14:paraId="7B624E3C">
            <w:pPr>
              <w:pStyle w:val="60"/>
              <w:numPr>
                <w:ilvl w:val="0"/>
                <w:numId w:val="0"/>
              </w:numPr>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（8）建立全厂应急指挥体系，编写突发环境事件应急预案报当地生态环境主管部门备案。</w:t>
            </w:r>
          </w:p>
          <w:p w14:paraId="145F2ADE">
            <w:pPr>
              <w:rPr>
                <w:rFonts w:hint="default" w:ascii="Times New Roman" w:hAnsi="Times New Roman" w:cs="Times New Roman"/>
                <w:color w:val="auto"/>
              </w:rPr>
            </w:pPr>
            <w:r>
              <w:rPr>
                <w:rFonts w:hint="default" w:ascii="Times New Roman" w:hAnsi="Times New Roman" w:cs="Times New Roman"/>
                <w:color w:val="auto"/>
              </w:rPr>
              <w:t>综上，项目采取风险防范措施后，环境风险水平可接受。</w:t>
            </w:r>
          </w:p>
          <w:p w14:paraId="4C5FB55D">
            <w:pPr>
              <w:pStyle w:val="8"/>
              <w:spacing w:after="120"/>
              <w:rPr>
                <w:rFonts w:hint="default" w:ascii="Times New Roman" w:hAnsi="Times New Roman" w:cs="Times New Roman"/>
                <w:color w:val="auto"/>
              </w:rPr>
            </w:pPr>
            <w:r>
              <w:rPr>
                <w:rFonts w:hint="default" w:ascii="Times New Roman" w:hAnsi="Times New Roman" w:cs="Times New Roman"/>
                <w:color w:val="auto"/>
              </w:rPr>
              <w:t>八、环保投资</w:t>
            </w:r>
          </w:p>
          <w:p w14:paraId="01A60741">
            <w:pPr>
              <w:ind w:firstLine="480"/>
              <w:rPr>
                <w:rFonts w:hint="default" w:ascii="Times New Roman" w:hAnsi="Times New Roman" w:cs="Times New Roman"/>
                <w:color w:val="auto"/>
                <w:highlight w:val="none"/>
              </w:rPr>
            </w:pPr>
            <w:r>
              <w:rPr>
                <w:rFonts w:hint="default" w:ascii="Times New Roman" w:hAnsi="Times New Roman" w:cs="Times New Roman"/>
                <w:color w:val="auto"/>
              </w:rPr>
              <w:t>本项目总投资</w:t>
            </w:r>
            <w:r>
              <w:rPr>
                <w:rFonts w:hint="default" w:ascii="Times New Roman" w:hAnsi="Times New Roman" w:cs="Times New Roman"/>
                <w:color w:val="auto"/>
                <w:lang w:val="en-US" w:eastAsia="zh-CN"/>
              </w:rPr>
              <w:t>11000</w:t>
            </w:r>
            <w:r>
              <w:rPr>
                <w:rFonts w:hint="default" w:ascii="Times New Roman" w:hAnsi="Times New Roman" w:cs="Times New Roman"/>
                <w:color w:val="auto"/>
              </w:rPr>
              <w:t>万元，其中环保投</w:t>
            </w:r>
            <w:r>
              <w:rPr>
                <w:rFonts w:hint="default" w:ascii="Times New Roman" w:hAnsi="Times New Roman" w:cs="Times New Roman"/>
                <w:color w:val="auto"/>
                <w:highlight w:val="none"/>
              </w:rPr>
              <w:t>资</w:t>
            </w:r>
            <w:r>
              <w:rPr>
                <w:rFonts w:hint="default" w:ascii="Times New Roman" w:hAnsi="Times New Roman" w:cs="Times New Roman"/>
                <w:color w:val="auto"/>
                <w:highlight w:val="none"/>
                <w:lang w:val="en-US" w:eastAsia="zh-CN"/>
              </w:rPr>
              <w:t>410.</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万元，环保投资占总投资的</w:t>
            </w:r>
            <w:r>
              <w:rPr>
                <w:rFonts w:hint="default" w:ascii="Times New Roman" w:hAnsi="Times New Roman" w:cs="Times New Roman"/>
                <w:color w:val="auto"/>
                <w:highlight w:val="none"/>
                <w:lang w:val="en-US" w:eastAsia="zh-CN"/>
              </w:rPr>
              <w:t>3.73</w:t>
            </w:r>
            <w:r>
              <w:rPr>
                <w:rFonts w:hint="default" w:ascii="Times New Roman" w:hAnsi="Times New Roman" w:cs="Times New Roman"/>
                <w:color w:val="auto"/>
                <w:highlight w:val="none"/>
              </w:rPr>
              <w:t>%。环保投资估算见下表。</w:t>
            </w:r>
          </w:p>
          <w:p w14:paraId="082620DA">
            <w:pPr>
              <w:pStyle w:val="42"/>
              <w:numPr>
                <w:ilvl w:val="3"/>
                <w:numId w:val="0"/>
              </w:numPr>
              <w:ind w:left="0" w:leftChars="0" w:firstLine="0" w:firstLineChars="0"/>
              <w:rPr>
                <w:rFonts w:hint="default" w:ascii="Times New Roman" w:hAnsi="Times New Roman" w:cs="Times New Roman"/>
                <w:color w:val="auto"/>
                <w:sz w:val="24"/>
                <w:szCs w:val="24"/>
              </w:rPr>
            </w:pPr>
            <w:r>
              <w:rPr>
                <w:rFonts w:hint="default" w:ascii="Times New Roman" w:hAnsi="Times New Roman" w:eastAsia="黑体" w:cs="Times New Roman"/>
                <w:color w:val="auto"/>
                <w:kern w:val="2"/>
                <w:sz w:val="24"/>
                <w:szCs w:val="24"/>
                <w:lang w:val="en-US" w:eastAsia="zh-CN" w:bidi="ar-SA"/>
              </w:rPr>
              <w:t>表4-1</w:t>
            </w:r>
            <w:r>
              <w:rPr>
                <w:rFonts w:hint="default" w:ascii="Times New Roman" w:hAnsi="Times New Roman" w:cs="Times New Roman"/>
                <w:color w:val="auto"/>
                <w:kern w:val="2"/>
                <w:sz w:val="24"/>
                <w:szCs w:val="24"/>
                <w:lang w:val="en-US" w:eastAsia="zh-CN" w:bidi="ar-SA"/>
              </w:rPr>
              <w:t>7</w:t>
            </w:r>
            <w:r>
              <w:rPr>
                <w:rFonts w:hint="default" w:ascii="Times New Roman" w:hAnsi="Times New Roman" w:eastAsia="黑体" w:cs="Times New Roman"/>
                <w:color w:val="auto"/>
                <w:kern w:val="2"/>
                <w:sz w:val="24"/>
                <w:szCs w:val="24"/>
                <w:lang w:val="en-US" w:eastAsia="zh-CN" w:bidi="ar-SA"/>
              </w:rPr>
              <w:t xml:space="preserve"> </w:t>
            </w:r>
            <w:r>
              <w:rPr>
                <w:rFonts w:hint="default" w:ascii="Times New Roman" w:hAnsi="Times New Roman" w:cs="Times New Roman"/>
                <w:color w:val="auto"/>
                <w:sz w:val="24"/>
                <w:szCs w:val="24"/>
              </w:rPr>
              <w:t>环境保护投入及资金来源</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单位：万元</w:t>
            </w:r>
          </w:p>
          <w:tbl>
            <w:tblPr>
              <w:tblStyle w:val="67"/>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2918"/>
              <w:gridCol w:w="3581"/>
              <w:gridCol w:w="1289"/>
            </w:tblGrid>
            <w:tr w14:paraId="62E0B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54" w:type="pct"/>
                  <w:tcBorders>
                    <w:bottom w:val="single" w:color="auto" w:sz="4" w:space="0"/>
                  </w:tcBorders>
                  <w:vAlign w:val="center"/>
                </w:tcPr>
                <w:p w14:paraId="2D65173A">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类别</w:t>
                  </w:r>
                </w:p>
              </w:tc>
              <w:tc>
                <w:tcPr>
                  <w:tcW w:w="1703" w:type="pct"/>
                  <w:tcBorders>
                    <w:bottom w:val="single" w:color="auto" w:sz="4" w:space="0"/>
                  </w:tcBorders>
                  <w:vAlign w:val="center"/>
                </w:tcPr>
                <w:p w14:paraId="7CBF8CB8">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污染源</w:t>
                  </w:r>
                </w:p>
              </w:tc>
              <w:tc>
                <w:tcPr>
                  <w:tcW w:w="2088" w:type="pct"/>
                  <w:tcBorders>
                    <w:bottom w:val="single" w:color="auto" w:sz="4" w:space="0"/>
                  </w:tcBorders>
                  <w:vAlign w:val="center"/>
                </w:tcPr>
                <w:p w14:paraId="50178C3E">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环境保护措施</w:t>
                  </w:r>
                </w:p>
              </w:tc>
              <w:tc>
                <w:tcPr>
                  <w:tcW w:w="752" w:type="pct"/>
                  <w:tcBorders>
                    <w:bottom w:val="single" w:color="auto" w:sz="4" w:space="0"/>
                  </w:tcBorders>
                  <w:vAlign w:val="center"/>
                </w:tcPr>
                <w:p w14:paraId="2A4DE34E">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费用</w:t>
                  </w:r>
                </w:p>
              </w:tc>
            </w:tr>
            <w:tr w14:paraId="7465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4" w:type="pct"/>
                  <w:vMerge w:val="restart"/>
                  <w:tcBorders>
                    <w:top w:val="single" w:color="auto" w:sz="4" w:space="0"/>
                    <w:left w:val="single" w:color="auto" w:sz="4" w:space="0"/>
                    <w:bottom w:val="single" w:color="auto" w:sz="4" w:space="0"/>
                    <w:right w:val="single" w:color="auto" w:sz="4" w:space="0"/>
                  </w:tcBorders>
                  <w:vAlign w:val="center"/>
                </w:tcPr>
                <w:p w14:paraId="6E1D113E">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废气</w:t>
                  </w:r>
                </w:p>
              </w:tc>
              <w:tc>
                <w:tcPr>
                  <w:tcW w:w="1703" w:type="pct"/>
                  <w:tcBorders>
                    <w:top w:val="single" w:color="auto" w:sz="4" w:space="0"/>
                    <w:left w:val="single" w:color="auto" w:sz="4" w:space="0"/>
                    <w:bottom w:val="single" w:color="auto" w:sz="4" w:space="0"/>
                    <w:right w:val="single" w:color="auto" w:sz="4" w:space="0"/>
                  </w:tcBorders>
                  <w:vAlign w:val="center"/>
                </w:tcPr>
                <w:p w14:paraId="71633FC3">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熔炼、浇铸废气</w:t>
                  </w:r>
                </w:p>
              </w:tc>
              <w:tc>
                <w:tcPr>
                  <w:tcW w:w="2088" w:type="pct"/>
                  <w:tcBorders>
                    <w:top w:val="single" w:color="auto" w:sz="4" w:space="0"/>
                    <w:left w:val="single" w:color="auto" w:sz="4" w:space="0"/>
                    <w:bottom w:val="single" w:color="auto" w:sz="4" w:space="0"/>
                    <w:right w:val="single" w:color="auto" w:sz="4" w:space="0"/>
                  </w:tcBorders>
                  <w:vAlign w:val="center"/>
                </w:tcPr>
                <w:p w14:paraId="6167D269">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position w:val="1"/>
                      <w:sz w:val="21"/>
                      <w:szCs w:val="21"/>
                    </w:rPr>
                    <w:t>集气罩</w:t>
                  </w:r>
                  <w:r>
                    <w:rPr>
                      <w:rFonts w:hint="default" w:ascii="Times New Roman" w:hAnsi="Times New Roman" w:eastAsia="Times New Roman" w:cs="Times New Roman"/>
                      <w:color w:val="auto"/>
                      <w:spacing w:val="7"/>
                      <w:position w:val="1"/>
                      <w:sz w:val="21"/>
                      <w:szCs w:val="21"/>
                      <w:highlight w:val="none"/>
                    </w:rPr>
                    <w:t>+</w:t>
                  </w:r>
                  <w:r>
                    <w:rPr>
                      <w:rFonts w:hint="default" w:ascii="Times New Roman" w:hAnsi="Times New Roman" w:cs="Times New Roman"/>
                      <w:color w:val="auto"/>
                      <w:spacing w:val="2"/>
                      <w:sz w:val="21"/>
                      <w:szCs w:val="21"/>
                      <w:highlight w:val="none"/>
                    </w:rPr>
                    <w:t>布袋除尘</w:t>
                  </w:r>
                  <w:r>
                    <w:rPr>
                      <w:rFonts w:hint="default" w:ascii="Times New Roman" w:hAnsi="Times New Roman" w:cs="Times New Roman"/>
                      <w:color w:val="auto"/>
                      <w:spacing w:val="2"/>
                      <w:sz w:val="21"/>
                      <w:szCs w:val="21"/>
                      <w:highlight w:val="none"/>
                      <w:lang w:eastAsia="zh-CN"/>
                    </w:rPr>
                    <w:t>系统</w:t>
                  </w:r>
                  <w:r>
                    <w:rPr>
                      <w:rFonts w:hint="default" w:ascii="Times New Roman" w:hAnsi="Times New Roman" w:cs="Times New Roman"/>
                      <w:color w:val="auto"/>
                      <w:spacing w:val="5"/>
                      <w:sz w:val="21"/>
                      <w:szCs w:val="21"/>
                      <w:highlight w:val="none"/>
                      <w:lang w:val="en-US" w:eastAsia="zh-CN"/>
                    </w:rPr>
                    <w:t>+</w:t>
                  </w:r>
                  <w:r>
                    <w:rPr>
                      <w:rFonts w:hint="default" w:ascii="Times New Roman" w:hAnsi="Times New Roman" w:eastAsia="Times New Roman" w:cs="Times New Roman"/>
                      <w:color w:val="auto"/>
                      <w:spacing w:val="7"/>
                      <w:sz w:val="21"/>
                      <w:szCs w:val="21"/>
                      <w:highlight w:val="none"/>
                    </w:rPr>
                    <w:t>15m</w:t>
                  </w:r>
                  <w:r>
                    <w:rPr>
                      <w:rFonts w:hint="default" w:ascii="Times New Roman" w:hAnsi="Times New Roman" w:cs="Times New Roman"/>
                      <w:color w:val="auto"/>
                      <w:spacing w:val="7"/>
                      <w:sz w:val="21"/>
                      <w:szCs w:val="21"/>
                      <w:highlight w:val="none"/>
                    </w:rPr>
                    <w:t>高排气筒</w:t>
                  </w:r>
                </w:p>
              </w:tc>
              <w:tc>
                <w:tcPr>
                  <w:tcW w:w="752" w:type="pct"/>
                  <w:tcBorders>
                    <w:top w:val="single" w:color="auto" w:sz="4" w:space="0"/>
                    <w:left w:val="single" w:color="auto" w:sz="4" w:space="0"/>
                    <w:bottom w:val="single" w:color="auto" w:sz="4" w:space="0"/>
                    <w:right w:val="single" w:color="auto" w:sz="4" w:space="0"/>
                  </w:tcBorders>
                  <w:vAlign w:val="center"/>
                </w:tcPr>
                <w:p w14:paraId="4751917D">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3"/>
                      <w:sz w:val="21"/>
                      <w:szCs w:val="21"/>
                      <w:highlight w:val="none"/>
                      <w:lang w:val="en-US" w:eastAsia="zh-CN"/>
                    </w:rPr>
                    <w:t>200</w:t>
                  </w:r>
                </w:p>
              </w:tc>
            </w:tr>
            <w:tr w14:paraId="3AB7E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 w:hRule="atLeast"/>
              </w:trPr>
              <w:tc>
                <w:tcPr>
                  <w:tcW w:w="454" w:type="pct"/>
                  <w:vMerge w:val="continue"/>
                  <w:tcBorders>
                    <w:left w:val="single" w:color="auto" w:sz="4" w:space="0"/>
                    <w:right w:val="single" w:color="auto" w:sz="4" w:space="0"/>
                  </w:tcBorders>
                  <w:vAlign w:val="center"/>
                </w:tcPr>
                <w:p w14:paraId="499393D5">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5"/>
                      <w:sz w:val="21"/>
                      <w:szCs w:val="21"/>
                    </w:rPr>
                  </w:pPr>
                </w:p>
              </w:tc>
              <w:tc>
                <w:tcPr>
                  <w:tcW w:w="1703" w:type="pct"/>
                  <w:tcBorders>
                    <w:top w:val="single" w:color="auto" w:sz="4" w:space="0"/>
                    <w:left w:val="single" w:color="auto" w:sz="4" w:space="0"/>
                    <w:bottom w:val="single" w:color="auto" w:sz="4" w:space="0"/>
                    <w:right w:val="single" w:color="auto" w:sz="4" w:space="0"/>
                  </w:tcBorders>
                  <w:vAlign w:val="center"/>
                </w:tcPr>
                <w:p w14:paraId="58F2883B">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cs="Times New Roman"/>
                      <w:color w:val="auto"/>
                      <w:spacing w:val="8"/>
                      <w:sz w:val="21"/>
                      <w:szCs w:val="21"/>
                      <w:lang w:eastAsia="zh-CN"/>
                    </w:rPr>
                    <w:t>熔炼燃烧废气</w:t>
                  </w:r>
                </w:p>
              </w:tc>
              <w:tc>
                <w:tcPr>
                  <w:tcW w:w="2088" w:type="pct"/>
                  <w:tcBorders>
                    <w:top w:val="single" w:color="auto" w:sz="4" w:space="0"/>
                    <w:left w:val="single" w:color="auto" w:sz="4" w:space="0"/>
                    <w:bottom w:val="single" w:color="auto" w:sz="4" w:space="0"/>
                    <w:right w:val="single" w:color="auto" w:sz="4" w:space="0"/>
                  </w:tcBorders>
                  <w:vAlign w:val="center"/>
                </w:tcPr>
                <w:p w14:paraId="2719F842">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7"/>
                      <w:position w:val="1"/>
                      <w:sz w:val="21"/>
                      <w:szCs w:val="21"/>
                    </w:rPr>
                  </w:pPr>
                  <w:r>
                    <w:rPr>
                      <w:rFonts w:hint="default" w:ascii="Times New Roman" w:hAnsi="Times New Roman" w:cs="Times New Roman"/>
                      <w:color w:val="auto"/>
                      <w:spacing w:val="7"/>
                      <w:position w:val="1"/>
                      <w:sz w:val="21"/>
                      <w:szCs w:val="21"/>
                      <w:lang w:eastAsia="zh-CN"/>
                    </w:rPr>
                    <w:t>低氮燃烧，</w:t>
                  </w:r>
                  <w:r>
                    <w:rPr>
                      <w:rFonts w:hint="default" w:ascii="Times New Roman" w:hAnsi="Times New Roman" w:cs="Times New Roman"/>
                      <w:color w:val="auto"/>
                      <w:spacing w:val="7"/>
                      <w:position w:val="1"/>
                      <w:sz w:val="21"/>
                      <w:szCs w:val="21"/>
                    </w:rPr>
                    <w:t>集气罩</w:t>
                  </w:r>
                  <w:r>
                    <w:rPr>
                      <w:rFonts w:hint="default" w:ascii="Times New Roman" w:hAnsi="Times New Roman" w:eastAsia="Times New Roman" w:cs="Times New Roman"/>
                      <w:color w:val="auto"/>
                      <w:spacing w:val="7"/>
                      <w:position w:val="1"/>
                      <w:sz w:val="21"/>
                      <w:szCs w:val="21"/>
                      <w:highlight w:val="none"/>
                    </w:rPr>
                    <w:t>+</w:t>
                  </w:r>
                  <w:r>
                    <w:rPr>
                      <w:rFonts w:hint="default" w:ascii="Times New Roman" w:hAnsi="Times New Roman" w:eastAsia="宋体" w:cs="Times New Roman"/>
                      <w:color w:val="auto"/>
                      <w:spacing w:val="5"/>
                      <w:sz w:val="21"/>
                      <w:szCs w:val="21"/>
                      <w:highlight w:val="none"/>
                      <w:lang w:val="en-US" w:eastAsia="zh-CN"/>
                    </w:rPr>
                    <w:t>湿式脱硫</w:t>
                  </w:r>
                  <w:r>
                    <w:rPr>
                      <w:rFonts w:hint="default" w:ascii="Times New Roman" w:hAnsi="Times New Roman" w:cs="Times New Roman"/>
                      <w:color w:val="auto"/>
                      <w:spacing w:val="5"/>
                      <w:sz w:val="21"/>
                      <w:szCs w:val="21"/>
                      <w:highlight w:val="none"/>
                      <w:lang w:val="en-US" w:eastAsia="zh-CN"/>
                    </w:rPr>
                    <w:t>除尘设施+</w:t>
                  </w:r>
                  <w:r>
                    <w:rPr>
                      <w:rFonts w:hint="default" w:ascii="Times New Roman" w:hAnsi="Times New Roman" w:eastAsia="Times New Roman" w:cs="Times New Roman"/>
                      <w:color w:val="auto"/>
                      <w:spacing w:val="7"/>
                      <w:sz w:val="21"/>
                      <w:szCs w:val="21"/>
                      <w:highlight w:val="none"/>
                    </w:rPr>
                    <w:t>15m</w:t>
                  </w:r>
                  <w:r>
                    <w:rPr>
                      <w:rFonts w:hint="default" w:ascii="Times New Roman" w:hAnsi="Times New Roman" w:cs="Times New Roman"/>
                      <w:color w:val="auto"/>
                      <w:spacing w:val="7"/>
                      <w:sz w:val="21"/>
                      <w:szCs w:val="21"/>
                      <w:highlight w:val="none"/>
                    </w:rPr>
                    <w:t>高排气筒</w:t>
                  </w:r>
                </w:p>
              </w:tc>
              <w:tc>
                <w:tcPr>
                  <w:tcW w:w="752" w:type="pct"/>
                  <w:tcBorders>
                    <w:top w:val="single" w:color="auto" w:sz="4" w:space="0"/>
                    <w:left w:val="single" w:color="auto" w:sz="4" w:space="0"/>
                    <w:bottom w:val="single" w:color="auto" w:sz="4" w:space="0"/>
                    <w:right w:val="single" w:color="auto" w:sz="4" w:space="0"/>
                  </w:tcBorders>
                  <w:vAlign w:val="center"/>
                </w:tcPr>
                <w:p w14:paraId="7730B04C">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120</w:t>
                  </w:r>
                </w:p>
              </w:tc>
            </w:tr>
            <w:tr w14:paraId="02D11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14:paraId="2479F05A">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5"/>
                      <w:sz w:val="21"/>
                      <w:szCs w:val="21"/>
                    </w:rPr>
                  </w:pPr>
                </w:p>
              </w:tc>
              <w:tc>
                <w:tcPr>
                  <w:tcW w:w="1703" w:type="pct"/>
                  <w:tcBorders>
                    <w:top w:val="single" w:color="auto" w:sz="4" w:space="0"/>
                    <w:left w:val="single" w:color="auto" w:sz="4" w:space="0"/>
                    <w:bottom w:val="single" w:color="auto" w:sz="4" w:space="0"/>
                    <w:right w:val="single" w:color="auto" w:sz="4" w:space="0"/>
                  </w:tcBorders>
                  <w:vAlign w:val="center"/>
                </w:tcPr>
                <w:p w14:paraId="740592E8">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cs="Times New Roman"/>
                      <w:color w:val="auto"/>
                      <w:spacing w:val="8"/>
                      <w:sz w:val="21"/>
                      <w:szCs w:val="21"/>
                      <w:lang w:val="en-US" w:eastAsia="zh-CN"/>
                    </w:rPr>
                    <w:t>熔化、</w:t>
                  </w:r>
                  <w:r>
                    <w:rPr>
                      <w:rFonts w:hint="default" w:ascii="Times New Roman" w:hAnsi="Times New Roman" w:cs="Times New Roman"/>
                      <w:color w:val="auto"/>
                      <w:spacing w:val="8"/>
                      <w:sz w:val="21"/>
                      <w:szCs w:val="21"/>
                      <w:lang w:val="en-US" w:eastAsia="zh-CN"/>
                    </w:rPr>
                    <w:t>压铸废气</w:t>
                  </w:r>
                </w:p>
              </w:tc>
              <w:tc>
                <w:tcPr>
                  <w:tcW w:w="2088" w:type="pct"/>
                  <w:tcBorders>
                    <w:top w:val="single" w:color="auto" w:sz="4" w:space="0"/>
                    <w:left w:val="single" w:color="auto" w:sz="4" w:space="0"/>
                    <w:bottom w:val="single" w:color="auto" w:sz="4" w:space="0"/>
                    <w:right w:val="single" w:color="auto" w:sz="4" w:space="0"/>
                  </w:tcBorders>
                  <w:vAlign w:val="center"/>
                </w:tcPr>
                <w:p w14:paraId="40C61438">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7"/>
                      <w:position w:val="1"/>
                      <w:sz w:val="21"/>
                      <w:szCs w:val="21"/>
                      <w:lang w:val="en-US" w:eastAsia="zh-CN"/>
                    </w:rPr>
                  </w:pPr>
                  <w:r>
                    <w:rPr>
                      <w:rFonts w:hint="default" w:ascii="Times New Roman" w:hAnsi="Times New Roman" w:cs="Times New Roman"/>
                      <w:color w:val="auto"/>
                      <w:spacing w:val="7"/>
                      <w:position w:val="1"/>
                      <w:sz w:val="21"/>
                      <w:szCs w:val="21"/>
                    </w:rPr>
                    <w:t>集气罩</w:t>
                  </w:r>
                  <w:r>
                    <w:rPr>
                      <w:rFonts w:hint="default" w:ascii="Times New Roman" w:hAnsi="Times New Roman" w:eastAsia="Times New Roman" w:cs="Times New Roman"/>
                      <w:color w:val="auto"/>
                      <w:spacing w:val="7"/>
                      <w:position w:val="1"/>
                      <w:sz w:val="21"/>
                      <w:szCs w:val="21"/>
                    </w:rPr>
                    <w:t>+</w:t>
                  </w:r>
                  <w:r>
                    <w:rPr>
                      <w:rFonts w:hint="default" w:ascii="Times New Roman" w:hAnsi="Times New Roman" w:cs="Times New Roman"/>
                      <w:color w:val="auto"/>
                      <w:spacing w:val="7"/>
                      <w:position w:val="1"/>
                      <w:sz w:val="21"/>
                      <w:szCs w:val="21"/>
                      <w:lang w:val="en-US" w:eastAsia="zh-CN"/>
                    </w:rPr>
                    <w:t>布袋除尘器</w:t>
                  </w:r>
                  <w:r>
                    <w:rPr>
                      <w:rFonts w:hint="default" w:ascii="Times New Roman" w:hAnsi="Times New Roman" w:eastAsia="Times New Roman" w:cs="Times New Roman"/>
                      <w:color w:val="auto"/>
                      <w:spacing w:val="5"/>
                      <w:sz w:val="21"/>
                      <w:szCs w:val="21"/>
                    </w:rPr>
                    <w:t>+</w:t>
                  </w:r>
                  <w:r>
                    <w:rPr>
                      <w:rFonts w:hint="default" w:ascii="Times New Roman" w:hAnsi="Times New Roman" w:eastAsia="Times New Roman" w:cs="Times New Roman"/>
                      <w:color w:val="auto"/>
                      <w:spacing w:val="7"/>
                      <w:sz w:val="21"/>
                      <w:szCs w:val="21"/>
                    </w:rPr>
                    <w:t>15m</w:t>
                  </w:r>
                  <w:r>
                    <w:rPr>
                      <w:rFonts w:hint="default" w:ascii="Times New Roman" w:hAnsi="Times New Roman" w:cs="Times New Roman"/>
                      <w:color w:val="auto"/>
                      <w:spacing w:val="7"/>
                      <w:sz w:val="21"/>
                      <w:szCs w:val="21"/>
                    </w:rPr>
                    <w:t>高排气筒</w:t>
                  </w:r>
                </w:p>
              </w:tc>
              <w:tc>
                <w:tcPr>
                  <w:tcW w:w="752" w:type="pct"/>
                  <w:tcBorders>
                    <w:top w:val="single" w:color="auto" w:sz="4" w:space="0"/>
                    <w:left w:val="single" w:color="auto" w:sz="4" w:space="0"/>
                    <w:bottom w:val="single" w:color="auto" w:sz="4" w:space="0"/>
                    <w:right w:val="single" w:color="auto" w:sz="4" w:space="0"/>
                  </w:tcBorders>
                  <w:vAlign w:val="center"/>
                </w:tcPr>
                <w:p w14:paraId="149E7DFA">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cs="Times New Roman"/>
                      <w:color w:val="auto"/>
                      <w:spacing w:val="3"/>
                      <w:sz w:val="21"/>
                      <w:szCs w:val="21"/>
                      <w:lang w:val="en-US" w:eastAsia="zh-CN"/>
                    </w:rPr>
                    <w:t>36</w:t>
                  </w:r>
                </w:p>
              </w:tc>
            </w:tr>
            <w:tr w14:paraId="107D2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14:paraId="69EED043">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5"/>
                      <w:sz w:val="21"/>
                      <w:szCs w:val="21"/>
                    </w:rPr>
                  </w:pPr>
                </w:p>
              </w:tc>
              <w:tc>
                <w:tcPr>
                  <w:tcW w:w="1703" w:type="pct"/>
                  <w:tcBorders>
                    <w:top w:val="single" w:color="auto" w:sz="4" w:space="0"/>
                    <w:left w:val="single" w:color="auto" w:sz="4" w:space="0"/>
                    <w:bottom w:val="single" w:color="auto" w:sz="4" w:space="0"/>
                    <w:right w:val="single" w:color="auto" w:sz="4" w:space="0"/>
                  </w:tcBorders>
                  <w:vAlign w:val="center"/>
                </w:tcPr>
                <w:p w14:paraId="2D08C307">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pacing w:val="8"/>
                      <w:sz w:val="21"/>
                      <w:szCs w:val="21"/>
                      <w:lang w:val="en-US" w:eastAsia="zh-CN"/>
                    </w:rPr>
                  </w:pPr>
                  <w:r>
                    <w:rPr>
                      <w:rFonts w:hint="default" w:ascii="Times New Roman" w:hAnsi="Times New Roman" w:cs="Times New Roman"/>
                      <w:color w:val="auto"/>
                      <w:spacing w:val="8"/>
                      <w:sz w:val="21"/>
                      <w:szCs w:val="21"/>
                      <w:lang w:val="en-US" w:eastAsia="zh-CN"/>
                    </w:rPr>
                    <w:t>压铸车间保温炉燃烧废气</w:t>
                  </w:r>
                </w:p>
              </w:tc>
              <w:tc>
                <w:tcPr>
                  <w:tcW w:w="2088" w:type="pct"/>
                  <w:tcBorders>
                    <w:top w:val="single" w:color="auto" w:sz="4" w:space="0"/>
                    <w:left w:val="single" w:color="auto" w:sz="4" w:space="0"/>
                    <w:bottom w:val="single" w:color="auto" w:sz="4" w:space="0"/>
                    <w:right w:val="single" w:color="auto" w:sz="4" w:space="0"/>
                  </w:tcBorders>
                  <w:vAlign w:val="center"/>
                </w:tcPr>
                <w:p w14:paraId="0624F91C">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pacing w:val="7"/>
                      <w:position w:val="1"/>
                      <w:sz w:val="21"/>
                      <w:szCs w:val="21"/>
                      <w:lang w:val="en-US" w:eastAsia="zh-CN"/>
                    </w:rPr>
                  </w:pPr>
                  <w:r>
                    <w:rPr>
                      <w:rFonts w:hint="default" w:ascii="Times New Roman" w:hAnsi="Times New Roman" w:cs="Times New Roman"/>
                      <w:color w:val="auto"/>
                      <w:spacing w:val="7"/>
                      <w:position w:val="1"/>
                      <w:sz w:val="21"/>
                      <w:szCs w:val="21"/>
                      <w:lang w:eastAsia="zh-CN"/>
                    </w:rPr>
                    <w:t>低氮燃烧</w:t>
                  </w:r>
                  <w:r>
                    <w:rPr>
                      <w:rFonts w:hint="default" w:ascii="Times New Roman" w:hAnsi="Times New Roman" w:cs="Times New Roman"/>
                      <w:color w:val="auto"/>
                      <w:spacing w:val="7"/>
                      <w:position w:val="1"/>
                      <w:sz w:val="21"/>
                      <w:szCs w:val="21"/>
                      <w:lang w:val="en-US" w:eastAsia="zh-CN"/>
                    </w:rPr>
                    <w:t>+15m高排气筒</w:t>
                  </w:r>
                </w:p>
              </w:tc>
              <w:tc>
                <w:tcPr>
                  <w:tcW w:w="752" w:type="pct"/>
                  <w:tcBorders>
                    <w:top w:val="single" w:color="auto" w:sz="4" w:space="0"/>
                    <w:left w:val="single" w:color="auto" w:sz="4" w:space="0"/>
                    <w:bottom w:val="single" w:color="auto" w:sz="4" w:space="0"/>
                    <w:right w:val="single" w:color="auto" w:sz="4" w:space="0"/>
                  </w:tcBorders>
                  <w:vAlign w:val="center"/>
                </w:tcPr>
                <w:p w14:paraId="3C9748CF">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pacing w:val="3"/>
                      <w:sz w:val="21"/>
                      <w:szCs w:val="21"/>
                      <w:lang w:val="en-US" w:eastAsia="zh-CN"/>
                    </w:rPr>
                  </w:pPr>
                  <w:r>
                    <w:rPr>
                      <w:rFonts w:hint="default" w:ascii="Times New Roman" w:hAnsi="Times New Roman" w:cs="Times New Roman"/>
                      <w:color w:val="auto"/>
                      <w:spacing w:val="3"/>
                      <w:sz w:val="21"/>
                      <w:szCs w:val="21"/>
                      <w:lang w:val="en-US" w:eastAsia="zh-CN"/>
                    </w:rPr>
                    <w:t>10</w:t>
                  </w:r>
                </w:p>
              </w:tc>
            </w:tr>
            <w:tr w14:paraId="776F5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14:paraId="2B52469F">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c>
                <w:tcPr>
                  <w:tcW w:w="1703" w:type="pct"/>
                  <w:tcBorders>
                    <w:top w:val="single" w:color="auto" w:sz="4" w:space="0"/>
                    <w:left w:val="single" w:color="auto" w:sz="4" w:space="0"/>
                    <w:bottom w:val="single" w:color="auto" w:sz="4" w:space="0"/>
                    <w:right w:val="single" w:color="auto" w:sz="4" w:space="0"/>
                  </w:tcBorders>
                  <w:vAlign w:val="center"/>
                </w:tcPr>
                <w:p w14:paraId="51A896C3">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lang w:val="en-US" w:eastAsia="zh-CN"/>
                    </w:rPr>
                    <w:t>铸锭打磨</w:t>
                  </w:r>
                  <w:r>
                    <w:rPr>
                      <w:rFonts w:hint="default" w:ascii="Times New Roman" w:hAnsi="Times New Roman" w:cs="Times New Roman"/>
                      <w:color w:val="auto"/>
                      <w:spacing w:val="7"/>
                      <w:sz w:val="21"/>
                      <w:szCs w:val="21"/>
                    </w:rPr>
                    <w:t>粉尘</w:t>
                  </w:r>
                </w:p>
              </w:tc>
              <w:tc>
                <w:tcPr>
                  <w:tcW w:w="2088" w:type="pct"/>
                  <w:tcBorders>
                    <w:top w:val="single" w:color="auto" w:sz="4" w:space="0"/>
                    <w:left w:val="single" w:color="auto" w:sz="4" w:space="0"/>
                    <w:bottom w:val="single" w:color="auto" w:sz="4" w:space="0"/>
                    <w:right w:val="single" w:color="auto" w:sz="4" w:space="0"/>
                  </w:tcBorders>
                  <w:vAlign w:val="center"/>
                </w:tcPr>
                <w:p w14:paraId="50499069">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7"/>
                      <w:sz w:val="21"/>
                      <w:szCs w:val="21"/>
                      <w:lang w:val="en-US" w:eastAsia="zh-CN"/>
                    </w:rPr>
                    <w:t>水浴</w:t>
                  </w:r>
                  <w:r>
                    <w:rPr>
                      <w:rFonts w:hint="default" w:ascii="Times New Roman" w:hAnsi="Times New Roman" w:cs="Times New Roman"/>
                      <w:color w:val="auto"/>
                      <w:spacing w:val="7"/>
                      <w:sz w:val="21"/>
                      <w:szCs w:val="21"/>
                    </w:rPr>
                    <w:t>除尘设施</w:t>
                  </w:r>
                  <w:r>
                    <w:rPr>
                      <w:rFonts w:hint="default" w:ascii="Times New Roman" w:hAnsi="Times New Roman" w:eastAsia="Times New Roman" w:cs="Times New Roman"/>
                      <w:color w:val="auto"/>
                      <w:spacing w:val="5"/>
                      <w:sz w:val="21"/>
                      <w:szCs w:val="21"/>
                    </w:rPr>
                    <w:t>+</w:t>
                  </w:r>
                  <w:r>
                    <w:rPr>
                      <w:rFonts w:hint="default" w:ascii="Times New Roman" w:hAnsi="Times New Roman" w:eastAsia="Times New Roman" w:cs="Times New Roman"/>
                      <w:color w:val="auto"/>
                      <w:spacing w:val="7"/>
                      <w:sz w:val="21"/>
                      <w:szCs w:val="21"/>
                    </w:rPr>
                    <w:t>15m</w:t>
                  </w:r>
                  <w:r>
                    <w:rPr>
                      <w:rFonts w:hint="default" w:ascii="Times New Roman" w:hAnsi="Times New Roman" w:cs="Times New Roman"/>
                      <w:color w:val="auto"/>
                      <w:spacing w:val="7"/>
                      <w:sz w:val="21"/>
                      <w:szCs w:val="21"/>
                    </w:rPr>
                    <w:t>高排气筒</w:t>
                  </w:r>
                </w:p>
              </w:tc>
              <w:tc>
                <w:tcPr>
                  <w:tcW w:w="752" w:type="pct"/>
                  <w:tcBorders>
                    <w:top w:val="single" w:color="auto" w:sz="4" w:space="0"/>
                    <w:left w:val="single" w:color="auto" w:sz="4" w:space="0"/>
                    <w:bottom w:val="single" w:color="auto" w:sz="4" w:space="0"/>
                    <w:right w:val="single" w:color="auto" w:sz="4" w:space="0"/>
                  </w:tcBorders>
                  <w:vAlign w:val="center"/>
                </w:tcPr>
                <w:p w14:paraId="09A57A6F">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8"/>
                      <w:sz w:val="21"/>
                      <w:szCs w:val="21"/>
                      <w:lang w:val="en-US" w:eastAsia="zh-CN"/>
                    </w:rPr>
                    <w:t>10</w:t>
                  </w:r>
                </w:p>
              </w:tc>
            </w:tr>
            <w:tr w14:paraId="5B438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14:paraId="0F36B1A5">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c>
                <w:tcPr>
                  <w:tcW w:w="1703" w:type="pct"/>
                  <w:tcBorders>
                    <w:top w:val="single" w:color="auto" w:sz="4" w:space="0"/>
                    <w:left w:val="single" w:color="auto" w:sz="4" w:space="0"/>
                    <w:bottom w:val="single" w:color="auto" w:sz="4" w:space="0"/>
                    <w:right w:val="single" w:color="auto" w:sz="4" w:space="0"/>
                  </w:tcBorders>
                  <w:vAlign w:val="center"/>
                </w:tcPr>
                <w:p w14:paraId="591D093C">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lang w:val="en-US" w:eastAsia="zh-CN"/>
                    </w:rPr>
                    <w:t>合金颗粒切削产线</w:t>
                  </w:r>
                  <w:r>
                    <w:rPr>
                      <w:rFonts w:hint="default" w:ascii="Times New Roman" w:hAnsi="Times New Roman" w:cs="Times New Roman"/>
                      <w:color w:val="auto"/>
                      <w:spacing w:val="8"/>
                      <w:sz w:val="21"/>
                      <w:szCs w:val="21"/>
                    </w:rPr>
                    <w:t>粉尘</w:t>
                  </w:r>
                </w:p>
              </w:tc>
              <w:tc>
                <w:tcPr>
                  <w:tcW w:w="2088" w:type="pct"/>
                  <w:tcBorders>
                    <w:top w:val="single" w:color="auto" w:sz="4" w:space="0"/>
                    <w:left w:val="single" w:color="auto" w:sz="4" w:space="0"/>
                    <w:bottom w:val="single" w:color="auto" w:sz="4" w:space="0"/>
                    <w:right w:val="single" w:color="auto" w:sz="4" w:space="0"/>
                  </w:tcBorders>
                  <w:vAlign w:val="center"/>
                </w:tcPr>
                <w:p w14:paraId="3C83D763">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pacing w:val="7"/>
                      <w:position w:val="1"/>
                      <w:sz w:val="21"/>
                      <w:szCs w:val="21"/>
                    </w:rPr>
                    <w:t>集气罩</w:t>
                  </w:r>
                  <w:r>
                    <w:rPr>
                      <w:rFonts w:hint="default" w:ascii="Times New Roman" w:hAnsi="Times New Roman" w:eastAsia="Times New Roman" w:cs="Times New Roman"/>
                      <w:color w:val="auto"/>
                      <w:spacing w:val="7"/>
                      <w:position w:val="1"/>
                      <w:sz w:val="21"/>
                      <w:szCs w:val="21"/>
                    </w:rPr>
                    <w:t>+</w:t>
                  </w:r>
                  <w:r>
                    <w:rPr>
                      <w:rFonts w:hint="default" w:ascii="Times New Roman" w:hAnsi="Times New Roman" w:eastAsia="宋体" w:cs="Times New Roman"/>
                      <w:color w:val="auto"/>
                      <w:spacing w:val="7"/>
                      <w:position w:val="1"/>
                      <w:sz w:val="21"/>
                      <w:szCs w:val="21"/>
                      <w:lang w:val="en-US" w:eastAsia="zh-CN"/>
                    </w:rPr>
                    <w:t>旋风+水浴</w:t>
                  </w:r>
                  <w:r>
                    <w:rPr>
                      <w:rFonts w:hint="default" w:ascii="Times New Roman" w:hAnsi="Times New Roman" w:cs="Times New Roman"/>
                      <w:color w:val="auto"/>
                      <w:spacing w:val="7"/>
                      <w:position w:val="1"/>
                      <w:sz w:val="21"/>
                      <w:szCs w:val="21"/>
                    </w:rPr>
                    <w:t>除尘</w:t>
                  </w:r>
                  <w:r>
                    <w:rPr>
                      <w:rFonts w:hint="default" w:ascii="Times New Roman" w:hAnsi="Times New Roman" w:cs="Times New Roman"/>
                      <w:color w:val="auto"/>
                      <w:spacing w:val="7"/>
                      <w:position w:val="1"/>
                      <w:sz w:val="21"/>
                      <w:szCs w:val="21"/>
                      <w:lang w:eastAsia="zh-CN"/>
                    </w:rPr>
                    <w:t>设施</w:t>
                  </w:r>
                </w:p>
              </w:tc>
              <w:tc>
                <w:tcPr>
                  <w:tcW w:w="752" w:type="pct"/>
                  <w:tcBorders>
                    <w:top w:val="single" w:color="auto" w:sz="4" w:space="0"/>
                    <w:left w:val="single" w:color="auto" w:sz="4" w:space="0"/>
                    <w:bottom w:val="single" w:color="auto" w:sz="4" w:space="0"/>
                    <w:right w:val="single" w:color="auto" w:sz="4" w:space="0"/>
                  </w:tcBorders>
                  <w:vAlign w:val="center"/>
                </w:tcPr>
                <w:p w14:paraId="3B57BA5C">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5</w:t>
                  </w:r>
                </w:p>
              </w:tc>
            </w:tr>
            <w:tr w14:paraId="4842C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54" w:type="pct"/>
                  <w:vMerge w:val="restart"/>
                  <w:tcBorders>
                    <w:top w:val="single" w:color="auto" w:sz="4" w:space="0"/>
                    <w:left w:val="single" w:color="auto" w:sz="4" w:space="0"/>
                    <w:bottom w:val="single" w:color="auto" w:sz="4" w:space="0"/>
                    <w:right w:val="single" w:color="auto" w:sz="4" w:space="0"/>
                  </w:tcBorders>
                  <w:vAlign w:val="center"/>
                </w:tcPr>
                <w:p w14:paraId="3D447154">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p w14:paraId="3F5F2A40">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废水</w:t>
                  </w:r>
                </w:p>
              </w:tc>
              <w:tc>
                <w:tcPr>
                  <w:tcW w:w="1703" w:type="pct"/>
                  <w:tcBorders>
                    <w:top w:val="single" w:color="auto" w:sz="4" w:space="0"/>
                    <w:left w:val="single" w:color="auto" w:sz="4" w:space="0"/>
                    <w:bottom w:val="single" w:color="auto" w:sz="4" w:space="0"/>
                    <w:right w:val="single" w:color="auto" w:sz="4" w:space="0"/>
                  </w:tcBorders>
                  <w:vAlign w:val="center"/>
                </w:tcPr>
                <w:p w14:paraId="621C145C">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循环冷却系统排污水</w:t>
                  </w:r>
                </w:p>
              </w:tc>
              <w:tc>
                <w:tcPr>
                  <w:tcW w:w="2088" w:type="pct"/>
                  <w:tcBorders>
                    <w:top w:val="single" w:color="auto" w:sz="4" w:space="0"/>
                    <w:left w:val="single" w:color="auto" w:sz="4" w:space="0"/>
                    <w:bottom w:val="single" w:color="auto" w:sz="4" w:space="0"/>
                    <w:right w:val="single" w:color="auto" w:sz="4" w:space="0"/>
                  </w:tcBorders>
                  <w:vAlign w:val="center"/>
                </w:tcPr>
                <w:p w14:paraId="39F05A4C">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rPr>
                    <w:t>用于厂区道路洒水抑尘，不外排</w:t>
                  </w:r>
                </w:p>
              </w:tc>
              <w:tc>
                <w:tcPr>
                  <w:tcW w:w="752" w:type="pct"/>
                  <w:tcBorders>
                    <w:top w:val="single" w:color="auto" w:sz="4" w:space="0"/>
                    <w:left w:val="single" w:color="auto" w:sz="4" w:space="0"/>
                    <w:bottom w:val="single" w:color="auto" w:sz="4" w:space="0"/>
                    <w:right w:val="single" w:color="auto" w:sz="4" w:space="0"/>
                  </w:tcBorders>
                  <w:vAlign w:val="center"/>
                </w:tcPr>
                <w:p w14:paraId="4C2611A2">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position w:val="1"/>
                      <w:sz w:val="21"/>
                      <w:szCs w:val="21"/>
                    </w:rPr>
                    <w:t>/</w:t>
                  </w:r>
                </w:p>
              </w:tc>
            </w:tr>
            <w:tr w14:paraId="23B8A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14:paraId="6807E780">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c>
                <w:tcPr>
                  <w:tcW w:w="1703" w:type="pct"/>
                  <w:tcBorders>
                    <w:top w:val="single" w:color="auto" w:sz="4" w:space="0"/>
                    <w:left w:val="single" w:color="auto" w:sz="4" w:space="0"/>
                  </w:tcBorders>
                  <w:vAlign w:val="center"/>
                </w:tcPr>
                <w:p w14:paraId="53F473F5">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9"/>
                      <w:sz w:val="21"/>
                      <w:szCs w:val="21"/>
                      <w:lang w:val="en-US" w:eastAsia="zh-CN"/>
                    </w:rPr>
                    <w:t>水浴除尘废水</w:t>
                  </w:r>
                </w:p>
              </w:tc>
              <w:tc>
                <w:tcPr>
                  <w:tcW w:w="2088" w:type="pct"/>
                  <w:tcBorders>
                    <w:top w:val="single" w:color="auto" w:sz="4" w:space="0"/>
                  </w:tcBorders>
                  <w:vAlign w:val="center"/>
                </w:tcPr>
                <w:p w14:paraId="124BD3CF">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沉淀池</w:t>
                  </w:r>
                </w:p>
              </w:tc>
              <w:tc>
                <w:tcPr>
                  <w:tcW w:w="752" w:type="pct"/>
                  <w:tcBorders>
                    <w:top w:val="single" w:color="auto" w:sz="4" w:space="0"/>
                  </w:tcBorders>
                  <w:vAlign w:val="center"/>
                </w:tcPr>
                <w:p w14:paraId="1B23F67B">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r>
            <w:tr w14:paraId="7D6D0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4" w:type="pct"/>
                  <w:tcBorders>
                    <w:top w:val="single" w:color="auto" w:sz="4" w:space="0"/>
                    <w:left w:val="single" w:color="auto" w:sz="4" w:space="0"/>
                    <w:bottom w:val="single" w:color="auto" w:sz="4" w:space="0"/>
                    <w:right w:val="single" w:color="auto" w:sz="4" w:space="0"/>
                  </w:tcBorders>
                  <w:vAlign w:val="center"/>
                </w:tcPr>
                <w:p w14:paraId="424BCE67">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c>
                <w:tcPr>
                  <w:tcW w:w="1703" w:type="pct"/>
                  <w:tcBorders>
                    <w:top w:val="single" w:color="auto" w:sz="4" w:space="0"/>
                    <w:left w:val="single" w:color="auto" w:sz="4" w:space="0"/>
                  </w:tcBorders>
                  <w:vAlign w:val="center"/>
                </w:tcPr>
                <w:p w14:paraId="6047D955">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pacing w:val="9"/>
                      <w:sz w:val="21"/>
                      <w:szCs w:val="21"/>
                      <w:lang w:val="en-US" w:eastAsia="zh-CN"/>
                    </w:rPr>
                  </w:pPr>
                  <w:r>
                    <w:rPr>
                      <w:rFonts w:hint="default" w:ascii="Times New Roman" w:hAnsi="Times New Roman" w:cs="Times New Roman"/>
                      <w:color w:val="auto"/>
                      <w:spacing w:val="9"/>
                      <w:sz w:val="21"/>
                      <w:szCs w:val="21"/>
                      <w:lang w:val="en-US" w:eastAsia="zh-CN"/>
                    </w:rPr>
                    <w:t>脱硫废水</w:t>
                  </w:r>
                </w:p>
              </w:tc>
              <w:tc>
                <w:tcPr>
                  <w:tcW w:w="2088" w:type="pct"/>
                  <w:tcBorders>
                    <w:top w:val="single" w:color="auto" w:sz="4" w:space="0"/>
                  </w:tcBorders>
                  <w:vAlign w:val="center"/>
                </w:tcPr>
                <w:p w14:paraId="08BDDEF7">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pacing w:val="4"/>
                      <w:sz w:val="21"/>
                      <w:szCs w:val="21"/>
                      <w:lang w:eastAsia="zh-CN"/>
                    </w:rPr>
                  </w:pPr>
                  <w:r>
                    <w:rPr>
                      <w:rFonts w:hint="default" w:ascii="Times New Roman" w:hAnsi="Times New Roman" w:cs="Times New Roman"/>
                      <w:color w:val="auto"/>
                      <w:spacing w:val="4"/>
                      <w:sz w:val="21"/>
                      <w:szCs w:val="21"/>
                      <w:lang w:eastAsia="zh-CN"/>
                    </w:rPr>
                    <w:t>沉淀池</w:t>
                  </w:r>
                </w:p>
              </w:tc>
              <w:tc>
                <w:tcPr>
                  <w:tcW w:w="752" w:type="pct"/>
                  <w:tcBorders>
                    <w:top w:val="single" w:color="auto" w:sz="4" w:space="0"/>
                  </w:tcBorders>
                  <w:vAlign w:val="center"/>
                </w:tcPr>
                <w:p w14:paraId="330BC4E0">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214F1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4" w:type="pct"/>
                  <w:vMerge w:val="restart"/>
                  <w:tcBorders>
                    <w:top w:val="single" w:color="auto" w:sz="4" w:space="0"/>
                    <w:left w:val="single" w:color="auto" w:sz="4" w:space="0"/>
                    <w:bottom w:val="single" w:color="auto" w:sz="4" w:space="0"/>
                    <w:right w:val="single" w:color="auto" w:sz="4" w:space="0"/>
                  </w:tcBorders>
                  <w:vAlign w:val="center"/>
                </w:tcPr>
                <w:p w14:paraId="33262D82">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p w14:paraId="6FBB598C">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p w14:paraId="2F5A9151">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噪声</w:t>
                  </w:r>
                </w:p>
              </w:tc>
              <w:tc>
                <w:tcPr>
                  <w:tcW w:w="1703" w:type="pct"/>
                  <w:tcBorders>
                    <w:left w:val="single" w:color="auto" w:sz="4" w:space="0"/>
                  </w:tcBorders>
                  <w:vAlign w:val="center"/>
                </w:tcPr>
                <w:p w14:paraId="171AB4DF">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rPr>
                    <w:t>熔炼炉、铸锭机、压铸机、</w:t>
                  </w:r>
                  <w:r>
                    <w:rPr>
                      <w:rFonts w:hint="default" w:ascii="Times New Roman" w:hAnsi="Times New Roman" w:cs="Times New Roman"/>
                      <w:color w:val="auto"/>
                      <w:spacing w:val="9"/>
                      <w:sz w:val="21"/>
                      <w:szCs w:val="21"/>
                      <w:lang w:val="en-US" w:eastAsia="zh-CN"/>
                    </w:rPr>
                    <w:t>打磨</w:t>
                  </w:r>
                  <w:r>
                    <w:rPr>
                      <w:rFonts w:hint="default" w:ascii="Times New Roman" w:hAnsi="Times New Roman" w:cs="Times New Roman"/>
                      <w:color w:val="auto"/>
                      <w:spacing w:val="6"/>
                      <w:sz w:val="21"/>
                      <w:szCs w:val="21"/>
                    </w:rPr>
                    <w:t>机等</w:t>
                  </w:r>
                </w:p>
              </w:tc>
              <w:tc>
                <w:tcPr>
                  <w:tcW w:w="2088" w:type="pct"/>
                  <w:vAlign w:val="center"/>
                </w:tcPr>
                <w:p w14:paraId="66347A75">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rPr>
                    <w:t>置于室内，基础减振</w:t>
                  </w:r>
                </w:p>
              </w:tc>
              <w:tc>
                <w:tcPr>
                  <w:tcW w:w="752" w:type="pct"/>
                  <w:vMerge w:val="restart"/>
                  <w:tcBorders>
                    <w:bottom w:val="nil"/>
                  </w:tcBorders>
                  <w:vAlign w:val="center"/>
                </w:tcPr>
                <w:p w14:paraId="2D47BC70">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p w14:paraId="0B4AAA81">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p w14:paraId="26BDB93D">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20</w:t>
                  </w:r>
                </w:p>
              </w:tc>
            </w:tr>
            <w:tr w14:paraId="7C4A4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14:paraId="419C4595">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c>
                <w:tcPr>
                  <w:tcW w:w="1703" w:type="pct"/>
                  <w:tcBorders>
                    <w:left w:val="single" w:color="auto" w:sz="4" w:space="0"/>
                  </w:tcBorders>
                  <w:vAlign w:val="center"/>
                </w:tcPr>
                <w:p w14:paraId="7B1BDB31">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泵类</w:t>
                  </w:r>
                </w:p>
              </w:tc>
              <w:tc>
                <w:tcPr>
                  <w:tcW w:w="2088" w:type="pct"/>
                  <w:vAlign w:val="center"/>
                </w:tcPr>
                <w:p w14:paraId="1961C476">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置于液下（室内</w:t>
                  </w:r>
                  <w:r>
                    <w:rPr>
                      <w:rFonts w:hint="default" w:ascii="Times New Roman" w:hAnsi="Times New Roman" w:cs="Times New Roman"/>
                      <w:color w:val="auto"/>
                      <w:spacing w:val="19"/>
                      <w:sz w:val="21"/>
                      <w:szCs w:val="21"/>
                    </w:rPr>
                    <w:t>），</w:t>
                  </w:r>
                  <w:r>
                    <w:rPr>
                      <w:rFonts w:hint="default" w:ascii="Times New Roman" w:hAnsi="Times New Roman" w:cs="Times New Roman"/>
                      <w:color w:val="auto"/>
                      <w:spacing w:val="8"/>
                      <w:sz w:val="21"/>
                      <w:szCs w:val="21"/>
                    </w:rPr>
                    <w:t>基础减振，采用</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7"/>
                      <w:sz w:val="21"/>
                      <w:szCs w:val="21"/>
                    </w:rPr>
                    <w:t>柔性连接</w:t>
                  </w:r>
                </w:p>
              </w:tc>
              <w:tc>
                <w:tcPr>
                  <w:tcW w:w="752" w:type="pct"/>
                  <w:vMerge w:val="continue"/>
                  <w:tcBorders>
                    <w:top w:val="nil"/>
                    <w:bottom w:val="nil"/>
                  </w:tcBorders>
                  <w:vAlign w:val="center"/>
                </w:tcPr>
                <w:p w14:paraId="2795D735">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r>
            <w:tr w14:paraId="15388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14:paraId="4D7B1274">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c>
                <w:tcPr>
                  <w:tcW w:w="1703" w:type="pct"/>
                  <w:tcBorders>
                    <w:left w:val="single" w:color="auto" w:sz="4" w:space="0"/>
                  </w:tcBorders>
                  <w:vAlign w:val="center"/>
                </w:tcPr>
                <w:p w14:paraId="358D3B56">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空压机</w:t>
                  </w:r>
                </w:p>
              </w:tc>
              <w:tc>
                <w:tcPr>
                  <w:tcW w:w="2088" w:type="pct"/>
                  <w:vAlign w:val="center"/>
                </w:tcPr>
                <w:p w14:paraId="7C3B7D3D">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rPr>
                    <w:t>置于室内，基础减振、空压机安装消</w:t>
                  </w:r>
                  <w:r>
                    <w:rPr>
                      <w:rFonts w:hint="default" w:ascii="Times New Roman" w:hAnsi="Times New Roman" w:cs="Times New Roman"/>
                      <w:color w:val="auto"/>
                      <w:spacing w:val="6"/>
                      <w:sz w:val="21"/>
                      <w:szCs w:val="21"/>
                    </w:rPr>
                    <w:t xml:space="preserve"> </w:t>
                  </w:r>
                  <w:r>
                    <w:rPr>
                      <w:rFonts w:hint="default" w:ascii="Times New Roman" w:hAnsi="Times New Roman" w:cs="Times New Roman"/>
                      <w:color w:val="auto"/>
                      <w:spacing w:val="2"/>
                      <w:sz w:val="21"/>
                      <w:szCs w:val="21"/>
                    </w:rPr>
                    <w:t>声器</w:t>
                  </w:r>
                </w:p>
              </w:tc>
              <w:tc>
                <w:tcPr>
                  <w:tcW w:w="752" w:type="pct"/>
                  <w:vMerge w:val="continue"/>
                  <w:tcBorders>
                    <w:top w:val="nil"/>
                  </w:tcBorders>
                  <w:vAlign w:val="center"/>
                </w:tcPr>
                <w:p w14:paraId="4D0169A0">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r>
            <w:tr w14:paraId="71A38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4" w:type="pct"/>
                  <w:vMerge w:val="restart"/>
                  <w:tcBorders>
                    <w:top w:val="single" w:color="auto" w:sz="4" w:space="0"/>
                    <w:bottom w:val="single" w:color="auto" w:sz="4" w:space="0"/>
                  </w:tcBorders>
                  <w:vAlign w:val="center"/>
                </w:tcPr>
                <w:p w14:paraId="6B8D88D3">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p w14:paraId="15929C11">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p w14:paraId="35660F47">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固废</w:t>
                  </w:r>
                </w:p>
              </w:tc>
              <w:tc>
                <w:tcPr>
                  <w:tcW w:w="1703" w:type="pct"/>
                  <w:vAlign w:val="center"/>
                </w:tcPr>
                <w:p w14:paraId="1F142CF7">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生活垃圾</w:t>
                  </w:r>
                </w:p>
              </w:tc>
              <w:tc>
                <w:tcPr>
                  <w:tcW w:w="2088" w:type="pct"/>
                  <w:vAlign w:val="center"/>
                </w:tcPr>
                <w:p w14:paraId="5C0E914A">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lang w:val="en-US" w:eastAsia="zh-CN"/>
                    </w:rPr>
                    <w:t>封闭</w:t>
                  </w:r>
                  <w:r>
                    <w:rPr>
                      <w:rFonts w:hint="default" w:ascii="Times New Roman" w:hAnsi="Times New Roman" w:cs="Times New Roman"/>
                      <w:color w:val="auto"/>
                      <w:spacing w:val="9"/>
                      <w:sz w:val="21"/>
                      <w:szCs w:val="21"/>
                    </w:rPr>
                    <w:t>桶收集后送至生活垃圾填埋</w:t>
                  </w:r>
                  <w:r>
                    <w:rPr>
                      <w:rFonts w:hint="default" w:ascii="Times New Roman" w:hAnsi="Times New Roman" w:cs="Times New Roman"/>
                      <w:color w:val="auto"/>
                      <w:spacing w:val="2"/>
                      <w:sz w:val="21"/>
                      <w:szCs w:val="21"/>
                    </w:rPr>
                    <w:t xml:space="preserve"> </w:t>
                  </w:r>
                  <w:r>
                    <w:rPr>
                      <w:rFonts w:hint="default" w:ascii="Times New Roman" w:hAnsi="Times New Roman" w:cs="Times New Roman"/>
                      <w:color w:val="auto"/>
                      <w:spacing w:val="7"/>
                      <w:sz w:val="21"/>
                      <w:szCs w:val="21"/>
                    </w:rPr>
                    <w:t>场填埋处置</w:t>
                  </w:r>
                </w:p>
              </w:tc>
              <w:tc>
                <w:tcPr>
                  <w:tcW w:w="752" w:type="pct"/>
                  <w:vAlign w:val="center"/>
                </w:tcPr>
                <w:p w14:paraId="0681A148">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0.5</w:t>
                  </w:r>
                </w:p>
              </w:tc>
            </w:tr>
            <w:tr w14:paraId="77A9F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4" w:type="pct"/>
                  <w:vMerge w:val="continue"/>
                  <w:tcBorders>
                    <w:top w:val="single" w:color="auto" w:sz="4" w:space="0"/>
                    <w:bottom w:val="single" w:color="auto" w:sz="4" w:space="0"/>
                  </w:tcBorders>
                  <w:vAlign w:val="center"/>
                </w:tcPr>
                <w:p w14:paraId="1207F8D6">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cs="Times New Roman"/>
                      <w:color w:val="auto"/>
                      <w:sz w:val="21"/>
                      <w:szCs w:val="21"/>
                    </w:rPr>
                  </w:pPr>
                </w:p>
              </w:tc>
              <w:tc>
                <w:tcPr>
                  <w:tcW w:w="1703" w:type="pct"/>
                  <w:vAlign w:val="center"/>
                </w:tcPr>
                <w:p w14:paraId="504B9A93">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7"/>
                      <w:sz w:val="21"/>
                      <w:szCs w:val="21"/>
                    </w:rPr>
                    <w:t>废机油</w:t>
                  </w:r>
                  <w:r>
                    <w:rPr>
                      <w:rFonts w:hint="default" w:ascii="Times New Roman" w:hAnsi="Times New Roman" w:cs="Times New Roman"/>
                      <w:color w:val="auto"/>
                      <w:spacing w:val="7"/>
                      <w:sz w:val="21"/>
                      <w:szCs w:val="21"/>
                      <w:lang w:eastAsia="zh-CN"/>
                    </w:rPr>
                    <w:t>、</w:t>
                  </w:r>
                  <w:r>
                    <w:rPr>
                      <w:rFonts w:hint="default" w:ascii="Times New Roman" w:hAnsi="Times New Roman" w:cs="Times New Roman"/>
                      <w:color w:val="auto"/>
                      <w:spacing w:val="7"/>
                      <w:sz w:val="21"/>
                      <w:szCs w:val="21"/>
                      <w:lang w:val="en-US" w:eastAsia="zh-CN"/>
                    </w:rPr>
                    <w:t>废切削液</w:t>
                  </w:r>
                </w:p>
              </w:tc>
              <w:tc>
                <w:tcPr>
                  <w:tcW w:w="2088" w:type="pct"/>
                  <w:vAlign w:val="center"/>
                </w:tcPr>
                <w:p w14:paraId="4B2FD9E1">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rPr>
                    <w:t>危废</w:t>
                  </w:r>
                  <w:r>
                    <w:rPr>
                      <w:rFonts w:hint="default" w:ascii="Times New Roman" w:hAnsi="Times New Roman" w:cs="Times New Roman"/>
                      <w:color w:val="auto"/>
                      <w:spacing w:val="9"/>
                      <w:sz w:val="21"/>
                      <w:szCs w:val="21"/>
                      <w:lang w:val="en-US" w:eastAsia="zh-CN"/>
                    </w:rPr>
                    <w:t>贮存库</w:t>
                  </w:r>
                  <w:r>
                    <w:rPr>
                      <w:rFonts w:hint="default" w:ascii="Times New Roman" w:hAnsi="Times New Roman" w:cs="Times New Roman"/>
                      <w:color w:val="auto"/>
                      <w:spacing w:val="9"/>
                      <w:sz w:val="21"/>
                      <w:szCs w:val="21"/>
                    </w:rPr>
                    <w:t>，定期交有</w:t>
                  </w:r>
                  <w:r>
                    <w:rPr>
                      <w:rFonts w:hint="default" w:ascii="Times New Roman" w:hAnsi="Times New Roman" w:cs="Times New Roman"/>
                      <w:color w:val="auto"/>
                      <w:spacing w:val="6"/>
                      <w:sz w:val="21"/>
                      <w:szCs w:val="21"/>
                    </w:rPr>
                    <w:t>资质单位处置</w:t>
                  </w:r>
                </w:p>
              </w:tc>
              <w:tc>
                <w:tcPr>
                  <w:tcW w:w="752" w:type="pct"/>
                  <w:vAlign w:val="center"/>
                </w:tcPr>
                <w:p w14:paraId="60389515">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3</w:t>
                  </w:r>
                </w:p>
              </w:tc>
            </w:tr>
            <w:tr w14:paraId="45FA0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247" w:type="pct"/>
                  <w:gridSpan w:val="3"/>
                  <w:vAlign w:val="center"/>
                </w:tcPr>
                <w:p w14:paraId="16620743">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4"/>
                      <w:sz w:val="21"/>
                      <w:szCs w:val="21"/>
                    </w:rPr>
                    <w:t>合计</w:t>
                  </w:r>
                </w:p>
              </w:tc>
              <w:tc>
                <w:tcPr>
                  <w:tcW w:w="752" w:type="pct"/>
                  <w:vAlign w:val="center"/>
                </w:tcPr>
                <w:p w14:paraId="7E25135C">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2"/>
                      <w:sz w:val="21"/>
                      <w:szCs w:val="21"/>
                      <w:highlight w:val="none"/>
                      <w:lang w:val="en-US" w:eastAsia="zh-CN"/>
                    </w:rPr>
                    <w:t>41</w:t>
                  </w:r>
                  <w:r>
                    <w:rPr>
                      <w:rFonts w:hint="default" w:ascii="Times New Roman" w:hAnsi="Times New Roman" w:eastAsia="宋体" w:cs="Times New Roman"/>
                      <w:color w:val="auto"/>
                      <w:spacing w:val="2"/>
                      <w:sz w:val="21"/>
                      <w:szCs w:val="21"/>
                      <w:highlight w:val="none"/>
                      <w:lang w:val="en-US" w:eastAsia="zh-CN"/>
                    </w:rPr>
                    <w:t>0.5</w:t>
                  </w:r>
                </w:p>
              </w:tc>
            </w:tr>
          </w:tbl>
          <w:p w14:paraId="5BFE4263">
            <w:pPr>
              <w:ind w:left="0" w:leftChars="0" w:firstLine="0" w:firstLineChars="0"/>
              <w:rPr>
                <w:rFonts w:hint="default" w:ascii="Times New Roman" w:hAnsi="Times New Roman" w:cs="Times New Roman"/>
                <w:color w:val="auto"/>
              </w:rPr>
            </w:pPr>
          </w:p>
        </w:tc>
      </w:tr>
    </w:tbl>
    <w:p w14:paraId="0AF98B4F">
      <w:pPr>
        <w:ind w:firstLine="0" w:firstLineChars="0"/>
        <w:rPr>
          <w:color w:val="auto"/>
        </w:rPr>
        <w:sectPr>
          <w:pgSz w:w="11906" w:h="16838"/>
          <w:pgMar w:top="1531" w:right="1304" w:bottom="1531" w:left="1304" w:header="851" w:footer="851" w:gutter="0"/>
          <w:pgBorders>
            <w:top w:val="none" w:sz="0" w:space="0"/>
            <w:left w:val="none" w:sz="0" w:space="0"/>
            <w:bottom w:val="none" w:sz="0" w:space="0"/>
            <w:right w:val="none" w:sz="0" w:space="0"/>
          </w:pgBorders>
          <w:cols w:space="720" w:num="1"/>
          <w:docGrid w:linePitch="312" w:charSpace="0"/>
        </w:sectPr>
      </w:pPr>
    </w:p>
    <w:p w14:paraId="6F228BE7">
      <w:pPr>
        <w:pStyle w:val="7"/>
        <w:numPr>
          <w:ilvl w:val="0"/>
          <w:numId w:val="0"/>
        </w:numPr>
        <w:ind w:left="425" w:leftChars="0" w:firstLine="0" w:firstLineChars="0"/>
        <w:rPr>
          <w:color w:val="auto"/>
          <w:kern w:val="0"/>
        </w:rPr>
      </w:pPr>
      <w:r>
        <w:rPr>
          <w:rFonts w:hint="eastAsia" w:ascii="Times New Roman" w:hAnsi="Times New Roman" w:eastAsia="黑体"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5</w:t>
      </w:r>
      <w:r>
        <w:rPr>
          <w:rFonts w:hint="eastAsia"/>
          <w:color w:val="auto"/>
        </w:rPr>
        <w:t>五、环境保护措施监督检查清单</w:t>
      </w:r>
    </w:p>
    <w:tbl>
      <w:tblPr>
        <w:tblStyle w:val="24"/>
        <w:tblW w:w="5000" w:type="pct"/>
        <w:tblInd w:w="13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489"/>
        <w:gridCol w:w="1401"/>
        <w:gridCol w:w="981"/>
        <w:gridCol w:w="2303"/>
        <w:gridCol w:w="3238"/>
      </w:tblGrid>
      <w:tr w14:paraId="2F094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5" w:hRule="atLeast"/>
        </w:trPr>
        <w:tc>
          <w:tcPr>
            <w:tcW w:w="791" w:type="pct"/>
            <w:tcBorders>
              <w:top w:val="single" w:color="auto" w:sz="12" w:space="0"/>
              <w:left w:val="single" w:color="auto" w:sz="12" w:space="0"/>
              <w:bottom w:val="single" w:color="auto" w:sz="6" w:space="0"/>
              <w:right w:val="single" w:color="auto" w:sz="6" w:space="0"/>
              <w:tl2br w:val="single" w:color="auto" w:sz="4" w:space="0"/>
            </w:tcBorders>
          </w:tcPr>
          <w:p w14:paraId="6B6A6570">
            <w:pPr>
              <w:wordWrap w:val="0"/>
              <w:adjustRightInd w:val="0"/>
              <w:snapToGrid w:val="0"/>
              <w:spacing w:line="273" w:lineRule="auto"/>
              <w:ind w:firstLine="0" w:firstLineChars="0"/>
              <w:jc w:val="right"/>
              <w:rPr>
                <w:b/>
                <w:color w:val="auto"/>
              </w:rPr>
            </w:pPr>
            <w:r>
              <w:rPr>
                <w:rFonts w:ascii="宋体" w:hAnsi="宋体"/>
                <w:b/>
                <w:color w:val="auto"/>
              </w:rPr>
              <w:t>内容</w:t>
            </w:r>
          </w:p>
          <w:p w14:paraId="472E6356">
            <w:pPr>
              <w:wordWrap w:val="0"/>
              <w:adjustRightInd w:val="0"/>
              <w:snapToGrid w:val="0"/>
              <w:spacing w:line="273" w:lineRule="auto"/>
              <w:ind w:firstLine="0" w:firstLineChars="0"/>
              <w:rPr>
                <w:rFonts w:ascii="宋体" w:hAnsi="宋体"/>
                <w:b/>
                <w:color w:val="auto"/>
              </w:rPr>
            </w:pPr>
          </w:p>
          <w:p w14:paraId="04C25673">
            <w:pPr>
              <w:wordWrap w:val="0"/>
              <w:adjustRightInd w:val="0"/>
              <w:snapToGrid w:val="0"/>
              <w:spacing w:line="273" w:lineRule="auto"/>
              <w:ind w:firstLine="0" w:firstLineChars="0"/>
              <w:rPr>
                <w:b/>
                <w:color w:val="auto"/>
              </w:rPr>
            </w:pPr>
            <w:r>
              <w:rPr>
                <w:rFonts w:ascii="宋体" w:hAnsi="宋体"/>
                <w:b/>
                <w:color w:val="auto"/>
              </w:rPr>
              <w:t>要素</w:t>
            </w:r>
          </w:p>
        </w:tc>
        <w:tc>
          <w:tcPr>
            <w:tcW w:w="744" w:type="pct"/>
            <w:tcBorders>
              <w:top w:val="single" w:color="auto" w:sz="12" w:space="0"/>
              <w:left w:val="single" w:color="auto" w:sz="6" w:space="0"/>
              <w:bottom w:val="single" w:color="auto" w:sz="6" w:space="0"/>
              <w:right w:val="single" w:color="auto" w:sz="6" w:space="0"/>
            </w:tcBorders>
            <w:vAlign w:val="center"/>
          </w:tcPr>
          <w:p w14:paraId="61326092">
            <w:pPr>
              <w:wordWrap w:val="0"/>
              <w:adjustRightInd w:val="0"/>
              <w:snapToGrid w:val="0"/>
              <w:spacing w:line="273" w:lineRule="auto"/>
              <w:ind w:firstLine="0" w:firstLineChars="0"/>
              <w:jc w:val="center"/>
              <w:rPr>
                <w:b/>
                <w:color w:val="auto"/>
              </w:rPr>
            </w:pPr>
            <w:r>
              <w:rPr>
                <w:rFonts w:ascii="宋体" w:hAnsi="宋体"/>
                <w:b/>
                <w:color w:val="auto"/>
              </w:rPr>
              <w:t>排放口</w:t>
            </w:r>
            <w:r>
              <w:rPr>
                <w:rFonts w:hint="eastAsia" w:ascii="宋体" w:hAnsi="宋体"/>
                <w:b/>
                <w:color w:val="auto"/>
              </w:rPr>
              <w:t>（</w:t>
            </w:r>
            <w:r>
              <w:rPr>
                <w:rFonts w:ascii="宋体" w:hAnsi="宋体"/>
                <w:b/>
                <w:color w:val="auto"/>
              </w:rPr>
              <w:t>编号、名称</w:t>
            </w:r>
            <w:r>
              <w:rPr>
                <w:rFonts w:hint="eastAsia" w:ascii="宋体" w:hAnsi="宋体"/>
                <w:b/>
                <w:color w:val="auto"/>
              </w:rPr>
              <w:t>）</w:t>
            </w:r>
            <w:r>
              <w:rPr>
                <w:b/>
                <w:color w:val="auto"/>
              </w:rPr>
              <w:t>/</w:t>
            </w:r>
            <w:r>
              <w:rPr>
                <w:rFonts w:ascii="宋体" w:hAnsi="宋体"/>
                <w:b/>
                <w:color w:val="auto"/>
              </w:rPr>
              <w:t>污染源</w:t>
            </w:r>
          </w:p>
        </w:tc>
        <w:tc>
          <w:tcPr>
            <w:tcW w:w="521" w:type="pct"/>
            <w:tcBorders>
              <w:top w:val="single" w:color="auto" w:sz="12" w:space="0"/>
              <w:left w:val="single" w:color="auto" w:sz="6" w:space="0"/>
              <w:bottom w:val="single" w:color="auto" w:sz="6" w:space="0"/>
              <w:right w:val="single" w:color="auto" w:sz="6" w:space="0"/>
            </w:tcBorders>
            <w:vAlign w:val="center"/>
          </w:tcPr>
          <w:p w14:paraId="037B541B">
            <w:pPr>
              <w:wordWrap w:val="0"/>
              <w:adjustRightInd w:val="0"/>
              <w:snapToGrid w:val="0"/>
              <w:spacing w:line="273" w:lineRule="auto"/>
              <w:ind w:firstLine="0" w:firstLineChars="0"/>
              <w:jc w:val="center"/>
              <w:rPr>
                <w:b/>
                <w:color w:val="auto"/>
              </w:rPr>
            </w:pPr>
            <w:r>
              <w:rPr>
                <w:rFonts w:ascii="宋体" w:hAnsi="宋体"/>
                <w:b/>
                <w:color w:val="auto"/>
              </w:rPr>
              <w:t>污染物项目</w:t>
            </w:r>
          </w:p>
        </w:tc>
        <w:tc>
          <w:tcPr>
            <w:tcW w:w="1223" w:type="pct"/>
            <w:tcBorders>
              <w:top w:val="single" w:color="auto" w:sz="12" w:space="0"/>
              <w:left w:val="single" w:color="auto" w:sz="6" w:space="0"/>
              <w:bottom w:val="single" w:color="auto" w:sz="6" w:space="0"/>
              <w:right w:val="single" w:color="auto" w:sz="6" w:space="0"/>
            </w:tcBorders>
            <w:vAlign w:val="center"/>
          </w:tcPr>
          <w:p w14:paraId="70AF8377">
            <w:pPr>
              <w:wordWrap w:val="0"/>
              <w:adjustRightInd w:val="0"/>
              <w:snapToGrid w:val="0"/>
              <w:spacing w:line="273" w:lineRule="auto"/>
              <w:ind w:firstLine="0" w:firstLineChars="0"/>
              <w:jc w:val="center"/>
              <w:rPr>
                <w:b/>
                <w:color w:val="auto"/>
              </w:rPr>
            </w:pPr>
            <w:r>
              <w:rPr>
                <w:rFonts w:ascii="宋体" w:hAnsi="宋体"/>
                <w:b/>
                <w:color w:val="auto"/>
              </w:rPr>
              <w:t>环境保护措施</w:t>
            </w:r>
          </w:p>
        </w:tc>
        <w:tc>
          <w:tcPr>
            <w:tcW w:w="1720" w:type="pct"/>
            <w:tcBorders>
              <w:top w:val="single" w:color="auto" w:sz="12" w:space="0"/>
              <w:left w:val="single" w:color="auto" w:sz="6" w:space="0"/>
              <w:bottom w:val="single" w:color="auto" w:sz="6" w:space="0"/>
              <w:right w:val="single" w:color="auto" w:sz="12" w:space="0"/>
            </w:tcBorders>
            <w:vAlign w:val="center"/>
          </w:tcPr>
          <w:p w14:paraId="25FABCD2">
            <w:pPr>
              <w:wordWrap w:val="0"/>
              <w:adjustRightInd w:val="0"/>
              <w:snapToGrid w:val="0"/>
              <w:spacing w:line="273" w:lineRule="auto"/>
              <w:ind w:firstLine="0" w:firstLineChars="0"/>
              <w:jc w:val="center"/>
              <w:rPr>
                <w:b/>
                <w:color w:val="auto"/>
              </w:rPr>
            </w:pPr>
            <w:r>
              <w:rPr>
                <w:rFonts w:ascii="宋体" w:hAnsi="宋体"/>
                <w:b/>
                <w:color w:val="auto"/>
              </w:rPr>
              <w:t>执行标准</w:t>
            </w:r>
          </w:p>
        </w:tc>
      </w:tr>
      <w:tr w14:paraId="52EDC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5" w:hRule="atLeast"/>
        </w:trPr>
        <w:tc>
          <w:tcPr>
            <w:tcW w:w="791" w:type="pct"/>
            <w:vMerge w:val="restart"/>
            <w:tcBorders>
              <w:top w:val="nil"/>
              <w:left w:val="single" w:color="auto" w:sz="12" w:space="0"/>
              <w:right w:val="single" w:color="auto" w:sz="6" w:space="0"/>
            </w:tcBorders>
            <w:vAlign w:val="center"/>
          </w:tcPr>
          <w:p w14:paraId="2F8C916B">
            <w:pPr>
              <w:wordWrap w:val="0"/>
              <w:adjustRightInd w:val="0"/>
              <w:snapToGrid w:val="0"/>
              <w:spacing w:line="273" w:lineRule="auto"/>
              <w:ind w:firstLine="0" w:firstLineChars="0"/>
              <w:jc w:val="center"/>
              <w:rPr>
                <w:color w:val="auto"/>
              </w:rPr>
            </w:pPr>
            <w:r>
              <w:rPr>
                <w:rFonts w:ascii="宋体" w:hAnsi="宋体"/>
                <w:color w:val="auto"/>
              </w:rPr>
              <w:t>大气环境</w:t>
            </w:r>
          </w:p>
        </w:tc>
        <w:tc>
          <w:tcPr>
            <w:tcW w:w="744" w:type="pct"/>
            <w:tcBorders>
              <w:top w:val="single" w:color="auto" w:sz="6" w:space="0"/>
              <w:left w:val="single" w:color="auto" w:sz="6" w:space="0"/>
              <w:bottom w:val="single" w:color="auto" w:sz="6" w:space="0"/>
              <w:right w:val="single" w:color="auto" w:sz="6" w:space="0"/>
            </w:tcBorders>
            <w:vAlign w:val="center"/>
          </w:tcPr>
          <w:p w14:paraId="3EBDFAC3">
            <w:pPr>
              <w:wordWrap w:val="0"/>
              <w:adjustRightInd w:val="0"/>
              <w:snapToGrid w:val="0"/>
              <w:spacing w:line="273" w:lineRule="auto"/>
              <w:ind w:firstLine="0" w:firstLineChars="0"/>
              <w:jc w:val="center"/>
              <w:rPr>
                <w:rFonts w:hint="eastAsia" w:eastAsia="宋体"/>
                <w:color w:val="auto"/>
                <w:sz w:val="24"/>
                <w:szCs w:val="24"/>
                <w:lang w:eastAsia="zh-CN"/>
              </w:rPr>
            </w:pPr>
            <w:r>
              <w:rPr>
                <w:rFonts w:hint="eastAsia"/>
                <w:color w:val="auto"/>
                <w:sz w:val="24"/>
                <w:szCs w:val="24"/>
              </w:rPr>
              <w:t>DA0</w:t>
            </w:r>
            <w:r>
              <w:rPr>
                <w:rFonts w:hint="eastAsia"/>
                <w:color w:val="auto"/>
                <w:sz w:val="24"/>
                <w:szCs w:val="24"/>
                <w:lang w:val="en-US" w:eastAsia="zh-CN"/>
              </w:rPr>
              <w:t>01熔炼、浇铸</w:t>
            </w:r>
            <w:r>
              <w:rPr>
                <w:rFonts w:hint="eastAsia"/>
                <w:color w:val="auto"/>
                <w:sz w:val="24"/>
                <w:szCs w:val="24"/>
                <w:lang w:eastAsia="zh-CN"/>
              </w:rPr>
              <w:t>废气</w:t>
            </w:r>
          </w:p>
        </w:tc>
        <w:tc>
          <w:tcPr>
            <w:tcW w:w="521" w:type="pct"/>
            <w:tcBorders>
              <w:top w:val="single" w:color="auto" w:sz="6" w:space="0"/>
              <w:left w:val="single" w:color="auto" w:sz="6" w:space="0"/>
              <w:bottom w:val="single" w:color="auto" w:sz="6" w:space="0"/>
              <w:right w:val="single" w:color="auto" w:sz="6" w:space="0"/>
            </w:tcBorders>
            <w:vAlign w:val="center"/>
          </w:tcPr>
          <w:p w14:paraId="22409CE6">
            <w:pPr>
              <w:wordWrap w:val="0"/>
              <w:adjustRightInd w:val="0"/>
              <w:snapToGrid w:val="0"/>
              <w:spacing w:line="273" w:lineRule="auto"/>
              <w:ind w:firstLine="0" w:firstLineChars="0"/>
              <w:jc w:val="center"/>
              <w:rPr>
                <w:rFonts w:hint="default" w:eastAsia="宋体"/>
                <w:color w:val="auto"/>
                <w:sz w:val="24"/>
                <w:szCs w:val="24"/>
                <w:lang w:val="en-US" w:eastAsia="zh-CN"/>
              </w:rPr>
            </w:pPr>
            <w:r>
              <w:rPr>
                <w:rFonts w:hint="eastAsia"/>
                <w:color w:val="auto"/>
                <w:sz w:val="24"/>
                <w:szCs w:val="24"/>
              </w:rPr>
              <w:t>颗粒物</w:t>
            </w:r>
          </w:p>
        </w:tc>
        <w:tc>
          <w:tcPr>
            <w:tcW w:w="1223" w:type="pct"/>
            <w:tcBorders>
              <w:top w:val="single" w:color="auto" w:sz="6" w:space="0"/>
              <w:left w:val="single" w:color="auto" w:sz="6" w:space="0"/>
              <w:bottom w:val="single" w:color="auto" w:sz="6" w:space="0"/>
              <w:right w:val="single" w:color="auto" w:sz="6" w:space="0"/>
            </w:tcBorders>
            <w:vAlign w:val="center"/>
          </w:tcPr>
          <w:p w14:paraId="34CFC5EE">
            <w:pPr>
              <w:wordWrap w:val="0"/>
              <w:adjustRightInd w:val="0"/>
              <w:snapToGrid w:val="0"/>
              <w:spacing w:line="273" w:lineRule="auto"/>
              <w:ind w:firstLine="0" w:firstLineChars="0"/>
              <w:jc w:val="center"/>
              <w:rPr>
                <w:color w:val="auto"/>
                <w:sz w:val="24"/>
                <w:szCs w:val="24"/>
              </w:rPr>
            </w:pPr>
            <w:r>
              <w:rPr>
                <w:rFonts w:hint="eastAsia" w:ascii="Times New Roman" w:hAnsi="Times New Roman" w:cs="Times New Roman"/>
                <w:color w:val="auto"/>
                <w:sz w:val="24"/>
                <w:szCs w:val="24"/>
                <w:highlight w:val="none"/>
                <w:lang w:val="en-US" w:eastAsia="zh-CN"/>
              </w:rPr>
              <w:t>布袋除尘器</w:t>
            </w:r>
            <w:r>
              <w:rPr>
                <w:rFonts w:hint="eastAsia"/>
                <w:color w:val="auto"/>
                <w:sz w:val="24"/>
                <w:szCs w:val="24"/>
              </w:rPr>
              <w:t>+1</w:t>
            </w:r>
            <w:r>
              <w:rPr>
                <w:rFonts w:hint="eastAsia"/>
                <w:color w:val="auto"/>
                <w:sz w:val="24"/>
                <w:szCs w:val="24"/>
                <w:lang w:val="en-US" w:eastAsia="zh-CN"/>
              </w:rPr>
              <w:t>5</w:t>
            </w:r>
            <w:r>
              <w:rPr>
                <w:rFonts w:hint="eastAsia"/>
                <w:color w:val="auto"/>
                <w:sz w:val="24"/>
                <w:szCs w:val="24"/>
              </w:rPr>
              <w:t>m排气筒</w:t>
            </w:r>
          </w:p>
        </w:tc>
        <w:tc>
          <w:tcPr>
            <w:tcW w:w="1720" w:type="pct"/>
            <w:tcBorders>
              <w:top w:val="single" w:color="auto" w:sz="6" w:space="0"/>
              <w:left w:val="single" w:color="auto" w:sz="6" w:space="0"/>
              <w:bottom w:val="single" w:color="auto" w:sz="6" w:space="0"/>
              <w:right w:val="single" w:color="auto" w:sz="12" w:space="0"/>
            </w:tcBorders>
            <w:vAlign w:val="center"/>
          </w:tcPr>
          <w:p w14:paraId="604AE786">
            <w:pPr>
              <w:wordWrap w:val="0"/>
              <w:adjustRightInd w:val="0"/>
              <w:snapToGrid w:val="0"/>
              <w:spacing w:line="273" w:lineRule="auto"/>
              <w:ind w:firstLine="0" w:firstLineChars="0"/>
              <w:jc w:val="center"/>
              <w:rPr>
                <w:color w:val="auto"/>
                <w:sz w:val="24"/>
                <w:szCs w:val="24"/>
              </w:rPr>
            </w:pPr>
            <w:r>
              <w:rPr>
                <w:color w:val="auto"/>
                <w:spacing w:val="8"/>
                <w:sz w:val="24"/>
                <w:szCs w:val="24"/>
                <w:highlight w:val="none"/>
              </w:rPr>
              <w:t>《铸造工业大气污染物排</w:t>
            </w:r>
            <w:r>
              <w:rPr>
                <w:color w:val="auto"/>
                <w:spacing w:val="-2"/>
                <w:sz w:val="24"/>
                <w:szCs w:val="24"/>
                <w:highlight w:val="none"/>
              </w:rPr>
              <w:t>放标准》（</w:t>
            </w:r>
            <w:r>
              <w:rPr>
                <w:rFonts w:ascii="Times New Roman" w:hAnsi="Times New Roman" w:eastAsia="Times New Roman" w:cs="Times New Roman"/>
                <w:color w:val="auto"/>
                <w:spacing w:val="-2"/>
                <w:sz w:val="24"/>
                <w:szCs w:val="24"/>
                <w:highlight w:val="none"/>
              </w:rPr>
              <w:t>GB39726-2020</w:t>
            </w:r>
            <w:r>
              <w:rPr>
                <w:color w:val="auto"/>
                <w:spacing w:val="-2"/>
                <w:sz w:val="24"/>
                <w:szCs w:val="24"/>
                <w:highlight w:val="none"/>
              </w:rPr>
              <w:t>）</w:t>
            </w:r>
            <w:r>
              <w:rPr>
                <w:rFonts w:hint="eastAsia"/>
                <w:color w:val="auto"/>
                <w:sz w:val="24"/>
                <w:szCs w:val="24"/>
                <w:highlight w:val="none"/>
              </w:rPr>
              <w:t>表</w:t>
            </w:r>
            <w:r>
              <w:rPr>
                <w:rFonts w:hint="eastAsia"/>
                <w:color w:val="auto"/>
                <w:sz w:val="24"/>
                <w:szCs w:val="24"/>
                <w:highlight w:val="none"/>
                <w:lang w:val="en-US" w:eastAsia="zh-CN"/>
              </w:rPr>
              <w:t>1</w:t>
            </w:r>
          </w:p>
        </w:tc>
      </w:tr>
      <w:tr w14:paraId="70381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5" w:hRule="atLeast"/>
        </w:trPr>
        <w:tc>
          <w:tcPr>
            <w:tcW w:w="791" w:type="pct"/>
            <w:vMerge w:val="continue"/>
            <w:tcBorders>
              <w:left w:val="single" w:color="auto" w:sz="12" w:space="0"/>
              <w:right w:val="single" w:color="auto" w:sz="6" w:space="0"/>
            </w:tcBorders>
            <w:vAlign w:val="center"/>
          </w:tcPr>
          <w:p w14:paraId="07FEB5BC">
            <w:pPr>
              <w:wordWrap w:val="0"/>
              <w:adjustRightInd w:val="0"/>
              <w:snapToGrid w:val="0"/>
              <w:spacing w:line="273" w:lineRule="auto"/>
              <w:ind w:firstLine="0" w:firstLineChars="0"/>
              <w:jc w:val="center"/>
              <w:rPr>
                <w:rFonts w:ascii="宋体" w:hAnsi="宋体"/>
                <w:color w:val="auto"/>
              </w:rPr>
            </w:pPr>
          </w:p>
        </w:tc>
        <w:tc>
          <w:tcPr>
            <w:tcW w:w="744" w:type="pct"/>
            <w:tcBorders>
              <w:top w:val="single" w:color="auto" w:sz="6" w:space="0"/>
              <w:left w:val="single" w:color="auto" w:sz="6" w:space="0"/>
              <w:bottom w:val="single" w:color="auto" w:sz="6" w:space="0"/>
              <w:right w:val="single" w:color="auto" w:sz="6" w:space="0"/>
            </w:tcBorders>
            <w:vAlign w:val="center"/>
          </w:tcPr>
          <w:p w14:paraId="4F3610FD">
            <w:pPr>
              <w:wordWrap w:val="0"/>
              <w:adjustRightInd w:val="0"/>
              <w:snapToGrid w:val="0"/>
              <w:spacing w:line="273" w:lineRule="auto"/>
              <w:ind w:firstLine="0" w:firstLineChars="0"/>
              <w:jc w:val="center"/>
              <w:rPr>
                <w:rFonts w:hint="eastAsia"/>
                <w:color w:val="auto"/>
                <w:sz w:val="24"/>
                <w:szCs w:val="24"/>
              </w:rPr>
            </w:pPr>
            <w:r>
              <w:rPr>
                <w:rFonts w:hint="eastAsia"/>
                <w:color w:val="auto"/>
                <w:sz w:val="24"/>
                <w:szCs w:val="24"/>
              </w:rPr>
              <w:t>DA0</w:t>
            </w:r>
            <w:r>
              <w:rPr>
                <w:rFonts w:hint="eastAsia"/>
                <w:color w:val="auto"/>
                <w:sz w:val="24"/>
                <w:szCs w:val="24"/>
                <w:lang w:val="en-US" w:eastAsia="zh-CN"/>
              </w:rPr>
              <w:t>02熔炼燃烧</w:t>
            </w:r>
            <w:r>
              <w:rPr>
                <w:rFonts w:hint="eastAsia"/>
                <w:color w:val="auto"/>
                <w:sz w:val="24"/>
                <w:szCs w:val="24"/>
                <w:lang w:eastAsia="zh-CN"/>
              </w:rPr>
              <w:t>废气</w:t>
            </w:r>
          </w:p>
        </w:tc>
        <w:tc>
          <w:tcPr>
            <w:tcW w:w="521" w:type="pct"/>
            <w:tcBorders>
              <w:top w:val="single" w:color="auto" w:sz="6" w:space="0"/>
              <w:left w:val="single" w:color="auto" w:sz="6" w:space="0"/>
              <w:bottom w:val="single" w:color="auto" w:sz="6" w:space="0"/>
              <w:right w:val="single" w:color="auto" w:sz="6" w:space="0"/>
            </w:tcBorders>
            <w:vAlign w:val="center"/>
          </w:tcPr>
          <w:p w14:paraId="7AA1FEE0">
            <w:pPr>
              <w:wordWrap w:val="0"/>
              <w:adjustRightInd w:val="0"/>
              <w:snapToGrid w:val="0"/>
              <w:spacing w:line="273" w:lineRule="auto"/>
              <w:ind w:firstLine="0" w:firstLineChars="0"/>
              <w:jc w:val="center"/>
              <w:rPr>
                <w:rFonts w:hint="eastAsia" w:eastAsia="宋体"/>
                <w:color w:val="auto"/>
                <w:sz w:val="24"/>
                <w:szCs w:val="24"/>
                <w:lang w:eastAsia="zh-CN"/>
              </w:rPr>
            </w:pPr>
            <w:r>
              <w:rPr>
                <w:rFonts w:hint="eastAsia"/>
                <w:color w:val="auto"/>
                <w:sz w:val="24"/>
                <w:szCs w:val="24"/>
              </w:rPr>
              <w:t>SO</w:t>
            </w:r>
            <w:r>
              <w:rPr>
                <w:rFonts w:hint="eastAsia"/>
                <w:color w:val="auto"/>
                <w:sz w:val="24"/>
                <w:szCs w:val="24"/>
                <w:vertAlign w:val="subscript"/>
              </w:rPr>
              <w:t>2</w:t>
            </w:r>
            <w:r>
              <w:rPr>
                <w:rFonts w:hint="eastAsia"/>
                <w:color w:val="auto"/>
                <w:sz w:val="24"/>
                <w:szCs w:val="24"/>
                <w:vertAlign w:val="baseline"/>
                <w:lang w:eastAsia="zh-CN"/>
              </w:rPr>
              <w:t>、</w:t>
            </w:r>
          </w:p>
          <w:p w14:paraId="6927BAFC">
            <w:pPr>
              <w:wordWrap w:val="0"/>
              <w:adjustRightInd w:val="0"/>
              <w:snapToGrid w:val="0"/>
              <w:spacing w:line="273" w:lineRule="auto"/>
              <w:ind w:firstLine="0" w:firstLineChars="0"/>
              <w:jc w:val="center"/>
              <w:rPr>
                <w:rFonts w:hint="eastAsia" w:eastAsia="宋体"/>
                <w:color w:val="auto"/>
                <w:sz w:val="24"/>
                <w:szCs w:val="24"/>
                <w:lang w:eastAsia="zh-CN"/>
              </w:rPr>
            </w:pPr>
            <w:r>
              <w:rPr>
                <w:rFonts w:hint="eastAsia"/>
                <w:color w:val="auto"/>
                <w:sz w:val="24"/>
                <w:szCs w:val="24"/>
              </w:rPr>
              <w:t>NO</w:t>
            </w:r>
            <w:r>
              <w:rPr>
                <w:rFonts w:hint="eastAsia"/>
                <w:color w:val="auto"/>
                <w:sz w:val="24"/>
                <w:szCs w:val="24"/>
                <w:vertAlign w:val="subscript"/>
              </w:rPr>
              <w:t>X</w:t>
            </w:r>
            <w:r>
              <w:rPr>
                <w:rFonts w:hint="eastAsia"/>
                <w:color w:val="auto"/>
                <w:sz w:val="24"/>
                <w:szCs w:val="24"/>
                <w:vertAlign w:val="baseline"/>
                <w:lang w:eastAsia="zh-CN"/>
              </w:rPr>
              <w:t>、</w:t>
            </w:r>
          </w:p>
          <w:p w14:paraId="3EE74D18">
            <w:pPr>
              <w:wordWrap w:val="0"/>
              <w:adjustRightInd w:val="0"/>
              <w:snapToGrid w:val="0"/>
              <w:spacing w:line="273" w:lineRule="auto"/>
              <w:ind w:firstLine="0" w:firstLineChars="0"/>
              <w:jc w:val="center"/>
              <w:rPr>
                <w:rFonts w:hint="eastAsia"/>
                <w:color w:val="auto"/>
                <w:sz w:val="24"/>
                <w:szCs w:val="24"/>
              </w:rPr>
            </w:pPr>
            <w:r>
              <w:rPr>
                <w:rFonts w:hint="eastAsia"/>
                <w:color w:val="auto"/>
                <w:sz w:val="24"/>
                <w:szCs w:val="24"/>
              </w:rPr>
              <w:t>颗粒物</w:t>
            </w:r>
          </w:p>
        </w:tc>
        <w:tc>
          <w:tcPr>
            <w:tcW w:w="1223" w:type="pct"/>
            <w:tcBorders>
              <w:top w:val="single" w:color="auto" w:sz="6" w:space="0"/>
              <w:left w:val="single" w:color="auto" w:sz="6" w:space="0"/>
              <w:bottom w:val="single" w:color="auto" w:sz="6" w:space="0"/>
              <w:right w:val="single" w:color="auto" w:sz="6" w:space="0"/>
            </w:tcBorders>
            <w:vAlign w:val="center"/>
          </w:tcPr>
          <w:p w14:paraId="500D82D0">
            <w:pPr>
              <w:wordWrap w:val="0"/>
              <w:adjustRightInd w:val="0"/>
              <w:snapToGrid w:val="0"/>
              <w:spacing w:line="273" w:lineRule="auto"/>
              <w:ind w:firstLine="0" w:firstLineChars="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低氮燃烧</w:t>
            </w:r>
            <w:r>
              <w:rPr>
                <w:rFonts w:hint="eastAsia"/>
                <w:color w:val="auto"/>
                <w:sz w:val="24"/>
                <w:szCs w:val="24"/>
              </w:rPr>
              <w:t>+</w:t>
            </w:r>
            <w:r>
              <w:rPr>
                <w:rFonts w:hint="eastAsia"/>
                <w:color w:val="auto"/>
                <w:sz w:val="24"/>
                <w:szCs w:val="24"/>
                <w:lang w:val="en-US" w:eastAsia="zh-CN"/>
              </w:rPr>
              <w:t>湿式脱硫除尘设施+</w:t>
            </w:r>
            <w:r>
              <w:rPr>
                <w:rFonts w:hint="eastAsia"/>
                <w:color w:val="auto"/>
                <w:sz w:val="24"/>
                <w:szCs w:val="24"/>
              </w:rPr>
              <w:t>1</w:t>
            </w:r>
            <w:r>
              <w:rPr>
                <w:rFonts w:hint="eastAsia"/>
                <w:color w:val="auto"/>
                <w:sz w:val="24"/>
                <w:szCs w:val="24"/>
                <w:lang w:val="en-US" w:eastAsia="zh-CN"/>
              </w:rPr>
              <w:t>5</w:t>
            </w:r>
            <w:r>
              <w:rPr>
                <w:rFonts w:hint="eastAsia"/>
                <w:color w:val="auto"/>
                <w:sz w:val="24"/>
                <w:szCs w:val="24"/>
              </w:rPr>
              <w:t>m排气筒</w:t>
            </w:r>
          </w:p>
        </w:tc>
        <w:tc>
          <w:tcPr>
            <w:tcW w:w="1720" w:type="pct"/>
            <w:tcBorders>
              <w:top w:val="single" w:color="auto" w:sz="6" w:space="0"/>
              <w:left w:val="single" w:color="auto" w:sz="6" w:space="0"/>
              <w:bottom w:val="single" w:color="auto" w:sz="6" w:space="0"/>
              <w:right w:val="single" w:color="auto" w:sz="12" w:space="0"/>
            </w:tcBorders>
            <w:vAlign w:val="center"/>
          </w:tcPr>
          <w:p w14:paraId="6C333AAF">
            <w:pPr>
              <w:wordWrap w:val="0"/>
              <w:adjustRightInd w:val="0"/>
              <w:snapToGrid w:val="0"/>
              <w:spacing w:line="273" w:lineRule="auto"/>
              <w:ind w:firstLine="0" w:firstLineChars="0"/>
              <w:jc w:val="center"/>
              <w:rPr>
                <w:color w:val="auto"/>
                <w:spacing w:val="8"/>
                <w:sz w:val="24"/>
                <w:szCs w:val="24"/>
                <w:highlight w:val="none"/>
              </w:rPr>
            </w:pPr>
            <w:r>
              <w:rPr>
                <w:color w:val="auto"/>
                <w:spacing w:val="8"/>
                <w:sz w:val="24"/>
                <w:szCs w:val="24"/>
                <w:highlight w:val="none"/>
              </w:rPr>
              <w:t>《铸造工业大气污染物排</w:t>
            </w:r>
            <w:r>
              <w:rPr>
                <w:color w:val="auto"/>
                <w:spacing w:val="-2"/>
                <w:sz w:val="24"/>
                <w:szCs w:val="24"/>
                <w:highlight w:val="none"/>
              </w:rPr>
              <w:t>放标准》（</w:t>
            </w:r>
            <w:r>
              <w:rPr>
                <w:rFonts w:ascii="Times New Roman" w:hAnsi="Times New Roman" w:eastAsia="Times New Roman" w:cs="Times New Roman"/>
                <w:color w:val="auto"/>
                <w:spacing w:val="-2"/>
                <w:sz w:val="24"/>
                <w:szCs w:val="24"/>
                <w:highlight w:val="none"/>
              </w:rPr>
              <w:t>GB39726-2020</w:t>
            </w:r>
            <w:r>
              <w:rPr>
                <w:color w:val="auto"/>
                <w:spacing w:val="-2"/>
                <w:sz w:val="24"/>
                <w:szCs w:val="24"/>
                <w:highlight w:val="none"/>
              </w:rPr>
              <w:t>）</w:t>
            </w:r>
            <w:r>
              <w:rPr>
                <w:rFonts w:hint="eastAsia"/>
                <w:color w:val="auto"/>
                <w:sz w:val="24"/>
                <w:szCs w:val="24"/>
                <w:highlight w:val="none"/>
              </w:rPr>
              <w:t>表</w:t>
            </w:r>
            <w:r>
              <w:rPr>
                <w:rFonts w:hint="eastAsia"/>
                <w:color w:val="auto"/>
                <w:sz w:val="24"/>
                <w:szCs w:val="24"/>
                <w:highlight w:val="none"/>
                <w:lang w:val="en-US" w:eastAsia="zh-CN"/>
              </w:rPr>
              <w:t>1</w:t>
            </w:r>
          </w:p>
        </w:tc>
      </w:tr>
      <w:tr w14:paraId="1DEDED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5" w:hRule="atLeast"/>
        </w:trPr>
        <w:tc>
          <w:tcPr>
            <w:tcW w:w="791" w:type="pct"/>
            <w:vMerge w:val="continue"/>
            <w:tcBorders>
              <w:left w:val="single" w:color="auto" w:sz="12" w:space="0"/>
              <w:right w:val="single" w:color="auto" w:sz="6" w:space="0"/>
            </w:tcBorders>
            <w:vAlign w:val="center"/>
          </w:tcPr>
          <w:p w14:paraId="1E9B8222">
            <w:pPr>
              <w:wordWrap w:val="0"/>
              <w:adjustRightInd w:val="0"/>
              <w:snapToGrid w:val="0"/>
              <w:spacing w:line="273" w:lineRule="auto"/>
              <w:ind w:firstLine="0" w:firstLineChars="0"/>
              <w:jc w:val="center"/>
              <w:rPr>
                <w:rFonts w:ascii="宋体" w:hAnsi="宋体"/>
                <w:color w:val="auto"/>
              </w:rPr>
            </w:pPr>
          </w:p>
        </w:tc>
        <w:tc>
          <w:tcPr>
            <w:tcW w:w="744" w:type="pct"/>
            <w:tcBorders>
              <w:top w:val="single" w:color="auto" w:sz="6" w:space="0"/>
              <w:left w:val="single" w:color="auto" w:sz="6" w:space="0"/>
              <w:bottom w:val="single" w:color="auto" w:sz="6" w:space="0"/>
              <w:right w:val="single" w:color="auto" w:sz="6" w:space="0"/>
            </w:tcBorders>
            <w:shd w:val="clear" w:color="auto" w:fill="auto"/>
            <w:vAlign w:val="center"/>
          </w:tcPr>
          <w:p w14:paraId="2040B6EB">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lang w:val="en-US" w:eastAsia="en-US" w:bidi="ar-SA"/>
              </w:rPr>
            </w:pPr>
            <w:r>
              <w:rPr>
                <w:rFonts w:hint="default" w:ascii="Times New Roman" w:hAnsi="Times New Roman" w:cs="Times New Roman"/>
                <w:color w:val="auto"/>
                <w:spacing w:val="8"/>
                <w:sz w:val="24"/>
                <w:szCs w:val="24"/>
                <w:lang w:val="en-US" w:eastAsia="zh-CN"/>
              </w:rPr>
              <w:t>DA00</w:t>
            </w:r>
            <w:r>
              <w:rPr>
                <w:rFonts w:hint="eastAsia" w:ascii="Times New Roman" w:hAnsi="Times New Roman" w:cs="Times New Roman"/>
                <w:color w:val="auto"/>
                <w:spacing w:val="8"/>
                <w:sz w:val="24"/>
                <w:szCs w:val="24"/>
                <w:lang w:val="en-US" w:eastAsia="zh-CN"/>
              </w:rPr>
              <w:t>3</w:t>
            </w:r>
            <w:r>
              <w:rPr>
                <w:rFonts w:hint="default" w:ascii="Times New Roman" w:hAnsi="Times New Roman" w:cs="Times New Roman"/>
                <w:color w:val="auto"/>
                <w:spacing w:val="8"/>
                <w:sz w:val="24"/>
                <w:szCs w:val="24"/>
                <w:lang w:val="en-US" w:eastAsia="zh-CN"/>
              </w:rPr>
              <w:t>压铸</w:t>
            </w:r>
            <w:r>
              <w:rPr>
                <w:rFonts w:hint="eastAsia" w:ascii="Times New Roman" w:hAnsi="Times New Roman" w:cs="Times New Roman"/>
                <w:color w:val="auto"/>
                <w:spacing w:val="8"/>
                <w:sz w:val="24"/>
                <w:szCs w:val="24"/>
                <w:lang w:val="en-US" w:eastAsia="zh-CN"/>
              </w:rPr>
              <w:t>车间熔化</w:t>
            </w:r>
            <w:r>
              <w:rPr>
                <w:rFonts w:hint="default" w:ascii="Times New Roman" w:hAnsi="Times New Roman" w:cs="Times New Roman"/>
                <w:color w:val="auto"/>
                <w:spacing w:val="8"/>
                <w:sz w:val="24"/>
                <w:szCs w:val="24"/>
                <w:lang w:val="en-US" w:eastAsia="zh-CN"/>
              </w:rPr>
              <w:t>、</w:t>
            </w:r>
            <w:r>
              <w:rPr>
                <w:rFonts w:hint="eastAsia" w:ascii="Times New Roman" w:hAnsi="Times New Roman" w:cs="Times New Roman"/>
                <w:color w:val="auto"/>
                <w:spacing w:val="8"/>
                <w:sz w:val="24"/>
                <w:szCs w:val="24"/>
                <w:lang w:val="en-US" w:eastAsia="zh-CN"/>
              </w:rPr>
              <w:t>压铸废气</w:t>
            </w:r>
          </w:p>
        </w:tc>
        <w:tc>
          <w:tcPr>
            <w:tcW w:w="521" w:type="pct"/>
            <w:tcBorders>
              <w:top w:val="single" w:color="auto" w:sz="6" w:space="0"/>
              <w:left w:val="single" w:color="auto" w:sz="6" w:space="0"/>
              <w:bottom w:val="single" w:color="auto" w:sz="6" w:space="0"/>
              <w:right w:val="single" w:color="auto" w:sz="6" w:space="0"/>
            </w:tcBorders>
            <w:shd w:val="clear" w:color="auto" w:fill="auto"/>
            <w:vAlign w:val="center"/>
          </w:tcPr>
          <w:p w14:paraId="67CAA07F">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宋体" w:hAnsi="宋体" w:eastAsia="宋体" w:cs="宋体"/>
                <w:color w:val="auto"/>
                <w:kern w:val="2"/>
                <w:sz w:val="24"/>
                <w:szCs w:val="24"/>
                <w:lang w:val="en-US" w:eastAsia="zh-CN" w:bidi="ar-SA"/>
              </w:rPr>
            </w:pPr>
            <w:r>
              <w:rPr>
                <w:rFonts w:hint="eastAsia"/>
                <w:color w:val="auto"/>
                <w:sz w:val="24"/>
                <w:szCs w:val="24"/>
              </w:rPr>
              <w:t>颗粒</w:t>
            </w:r>
            <w:r>
              <w:rPr>
                <w:rFonts w:hint="default" w:ascii="Times New Roman" w:hAnsi="Times New Roman" w:cs="Times New Roman"/>
                <w:color w:val="auto"/>
                <w:sz w:val="24"/>
                <w:szCs w:val="24"/>
              </w:rPr>
              <w:t>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NMHC</w:t>
            </w:r>
          </w:p>
        </w:tc>
        <w:tc>
          <w:tcPr>
            <w:tcW w:w="2303" w:type="dxa"/>
            <w:tcBorders>
              <w:top w:val="single" w:color="auto" w:sz="6" w:space="0"/>
              <w:left w:val="single" w:color="auto" w:sz="6" w:space="0"/>
              <w:bottom w:val="single" w:color="auto" w:sz="6" w:space="0"/>
              <w:right w:val="single" w:color="auto" w:sz="6" w:space="0"/>
            </w:tcBorders>
            <w:vAlign w:val="center"/>
          </w:tcPr>
          <w:p w14:paraId="43BAB7C1">
            <w:pPr>
              <w:wordWrap w:val="0"/>
              <w:adjustRightInd w:val="0"/>
              <w:snapToGrid w:val="0"/>
              <w:spacing w:line="273" w:lineRule="auto"/>
              <w:ind w:firstLine="0" w:firstLineChars="0"/>
              <w:jc w:val="center"/>
              <w:rPr>
                <w:rFonts w:hint="eastAsia"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布袋除尘器</w:t>
            </w:r>
            <w:r>
              <w:rPr>
                <w:rFonts w:hint="eastAsia"/>
                <w:color w:val="auto"/>
                <w:sz w:val="24"/>
                <w:szCs w:val="24"/>
              </w:rPr>
              <w:t>+1</w:t>
            </w:r>
            <w:r>
              <w:rPr>
                <w:rFonts w:hint="eastAsia"/>
                <w:color w:val="auto"/>
                <w:sz w:val="24"/>
                <w:szCs w:val="24"/>
                <w:lang w:val="en-US" w:eastAsia="zh-CN"/>
              </w:rPr>
              <w:t>5</w:t>
            </w:r>
            <w:r>
              <w:rPr>
                <w:rFonts w:hint="eastAsia"/>
                <w:color w:val="auto"/>
                <w:sz w:val="24"/>
                <w:szCs w:val="24"/>
              </w:rPr>
              <w:t>m排气筒</w:t>
            </w:r>
          </w:p>
        </w:tc>
        <w:tc>
          <w:tcPr>
            <w:tcW w:w="3238" w:type="dxa"/>
            <w:tcBorders>
              <w:top w:val="single" w:color="auto" w:sz="6" w:space="0"/>
              <w:left w:val="single" w:color="auto" w:sz="6" w:space="0"/>
              <w:bottom w:val="single" w:color="auto" w:sz="6" w:space="0"/>
              <w:right w:val="single" w:color="auto" w:sz="12" w:space="0"/>
            </w:tcBorders>
            <w:vAlign w:val="center"/>
          </w:tcPr>
          <w:p w14:paraId="4F014BD5">
            <w:pPr>
              <w:wordWrap w:val="0"/>
              <w:adjustRightInd w:val="0"/>
              <w:snapToGrid w:val="0"/>
              <w:spacing w:line="273" w:lineRule="auto"/>
              <w:ind w:firstLine="0" w:firstLineChars="0"/>
              <w:jc w:val="center"/>
              <w:rPr>
                <w:color w:val="auto"/>
                <w:spacing w:val="8"/>
                <w:sz w:val="24"/>
                <w:szCs w:val="24"/>
                <w:highlight w:val="none"/>
              </w:rPr>
            </w:pPr>
            <w:r>
              <w:rPr>
                <w:color w:val="auto"/>
                <w:spacing w:val="8"/>
                <w:sz w:val="24"/>
                <w:szCs w:val="24"/>
                <w:highlight w:val="none"/>
              </w:rPr>
              <w:t>《铸造工业大气污染物排</w:t>
            </w:r>
            <w:r>
              <w:rPr>
                <w:color w:val="auto"/>
                <w:spacing w:val="-2"/>
                <w:sz w:val="24"/>
                <w:szCs w:val="24"/>
                <w:highlight w:val="none"/>
              </w:rPr>
              <w:t>放标准》（</w:t>
            </w:r>
            <w:r>
              <w:rPr>
                <w:rFonts w:ascii="Times New Roman" w:hAnsi="Times New Roman" w:eastAsia="Times New Roman" w:cs="Times New Roman"/>
                <w:color w:val="auto"/>
                <w:spacing w:val="-2"/>
                <w:sz w:val="24"/>
                <w:szCs w:val="24"/>
                <w:highlight w:val="none"/>
              </w:rPr>
              <w:t>GB39726-2020</w:t>
            </w:r>
            <w:r>
              <w:rPr>
                <w:color w:val="auto"/>
                <w:spacing w:val="-2"/>
                <w:sz w:val="24"/>
                <w:szCs w:val="24"/>
                <w:highlight w:val="none"/>
              </w:rPr>
              <w:t>）</w:t>
            </w:r>
            <w:r>
              <w:rPr>
                <w:rFonts w:hint="eastAsia"/>
                <w:color w:val="auto"/>
                <w:sz w:val="24"/>
                <w:szCs w:val="24"/>
                <w:highlight w:val="none"/>
              </w:rPr>
              <w:t>表</w:t>
            </w:r>
            <w:r>
              <w:rPr>
                <w:rFonts w:hint="eastAsia"/>
                <w:color w:val="auto"/>
                <w:sz w:val="24"/>
                <w:szCs w:val="24"/>
                <w:highlight w:val="none"/>
                <w:lang w:val="en-US" w:eastAsia="zh-CN"/>
              </w:rPr>
              <w:t>1</w:t>
            </w:r>
            <w:r>
              <w:rPr>
                <w:color w:val="auto"/>
                <w:spacing w:val="8"/>
                <w:sz w:val="24"/>
                <w:szCs w:val="24"/>
                <w:highlight w:val="none"/>
              </w:rPr>
              <w:t>《大气污染物综合排放标</w:t>
            </w:r>
            <w:r>
              <w:rPr>
                <w:color w:val="auto"/>
                <w:spacing w:val="5"/>
                <w:sz w:val="24"/>
                <w:szCs w:val="24"/>
                <w:highlight w:val="none"/>
              </w:rPr>
              <w:t>准》（</w:t>
            </w:r>
            <w:r>
              <w:rPr>
                <w:rFonts w:ascii="Times New Roman" w:hAnsi="Times New Roman" w:eastAsia="Times New Roman" w:cs="Times New Roman"/>
                <w:color w:val="auto"/>
                <w:sz w:val="24"/>
                <w:szCs w:val="24"/>
                <w:highlight w:val="none"/>
              </w:rPr>
              <w:t>GB</w:t>
            </w:r>
            <w:r>
              <w:rPr>
                <w:rFonts w:ascii="Times New Roman" w:hAnsi="Times New Roman" w:eastAsia="Times New Roman" w:cs="Times New Roman"/>
                <w:color w:val="auto"/>
                <w:spacing w:val="5"/>
                <w:sz w:val="24"/>
                <w:szCs w:val="24"/>
                <w:highlight w:val="none"/>
              </w:rPr>
              <w:t>16297-1996</w:t>
            </w:r>
            <w:r>
              <w:rPr>
                <w:color w:val="auto"/>
                <w:spacing w:val="5"/>
                <w:sz w:val="24"/>
                <w:szCs w:val="24"/>
                <w:highlight w:val="none"/>
              </w:rPr>
              <w:t>）</w:t>
            </w:r>
            <w:r>
              <w:rPr>
                <w:rFonts w:hint="eastAsia"/>
                <w:color w:val="auto"/>
                <w:spacing w:val="5"/>
                <w:sz w:val="24"/>
                <w:szCs w:val="24"/>
                <w:highlight w:val="none"/>
                <w:lang w:val="en-US" w:eastAsia="zh-CN"/>
              </w:rPr>
              <w:t>表2</w:t>
            </w:r>
          </w:p>
        </w:tc>
      </w:tr>
      <w:tr w14:paraId="5E241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183" w:hRule="atLeast"/>
        </w:trPr>
        <w:tc>
          <w:tcPr>
            <w:tcW w:w="791" w:type="pct"/>
            <w:vMerge w:val="continue"/>
            <w:tcBorders>
              <w:left w:val="single" w:color="auto" w:sz="12" w:space="0"/>
              <w:right w:val="single" w:color="auto" w:sz="6" w:space="0"/>
            </w:tcBorders>
            <w:vAlign w:val="center"/>
          </w:tcPr>
          <w:p w14:paraId="34E53FB8">
            <w:pPr>
              <w:wordWrap w:val="0"/>
              <w:adjustRightInd w:val="0"/>
              <w:snapToGrid w:val="0"/>
              <w:spacing w:line="273" w:lineRule="auto"/>
              <w:ind w:firstLine="0" w:firstLineChars="0"/>
              <w:jc w:val="center"/>
              <w:rPr>
                <w:rFonts w:ascii="宋体" w:hAnsi="宋体"/>
                <w:color w:val="auto"/>
              </w:rPr>
            </w:pPr>
          </w:p>
        </w:tc>
        <w:tc>
          <w:tcPr>
            <w:tcW w:w="744" w:type="pct"/>
            <w:tcBorders>
              <w:top w:val="single" w:color="auto" w:sz="6" w:space="0"/>
              <w:left w:val="single" w:color="auto" w:sz="6" w:space="0"/>
              <w:bottom w:val="single" w:color="auto" w:sz="6" w:space="0"/>
              <w:right w:val="single" w:color="auto" w:sz="6" w:space="0"/>
            </w:tcBorders>
            <w:vAlign w:val="center"/>
          </w:tcPr>
          <w:p w14:paraId="00709786">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pacing w:val="8"/>
                <w:sz w:val="24"/>
                <w:szCs w:val="24"/>
                <w:lang w:val="en-US" w:eastAsia="zh-CN"/>
              </w:rPr>
              <w:t>DA00</w:t>
            </w:r>
            <w:r>
              <w:rPr>
                <w:rFonts w:hint="eastAsia" w:ascii="Times New Roman" w:hAnsi="Times New Roman" w:cs="Times New Roman"/>
                <w:color w:val="auto"/>
                <w:spacing w:val="8"/>
                <w:sz w:val="24"/>
                <w:szCs w:val="24"/>
                <w:lang w:val="en-US" w:eastAsia="zh-CN"/>
              </w:rPr>
              <w:t>4</w:t>
            </w:r>
            <w:r>
              <w:rPr>
                <w:rFonts w:hint="default" w:ascii="Times New Roman" w:hAnsi="Times New Roman" w:cs="Times New Roman"/>
                <w:color w:val="auto"/>
                <w:spacing w:val="8"/>
                <w:sz w:val="24"/>
                <w:szCs w:val="24"/>
                <w:lang w:val="en-US" w:eastAsia="zh-CN"/>
              </w:rPr>
              <w:t>压铸</w:t>
            </w:r>
            <w:r>
              <w:rPr>
                <w:rFonts w:hint="eastAsia" w:ascii="Times New Roman" w:hAnsi="Times New Roman" w:cs="Times New Roman"/>
                <w:color w:val="auto"/>
                <w:spacing w:val="8"/>
                <w:sz w:val="24"/>
                <w:szCs w:val="24"/>
                <w:lang w:val="en-US" w:eastAsia="zh-CN"/>
              </w:rPr>
              <w:t>车间保温炉</w:t>
            </w:r>
            <w:r>
              <w:rPr>
                <w:rFonts w:hint="default" w:ascii="Times New Roman" w:hAnsi="Times New Roman" w:cs="Times New Roman"/>
                <w:color w:val="auto"/>
                <w:spacing w:val="8"/>
                <w:sz w:val="24"/>
                <w:szCs w:val="24"/>
                <w:lang w:val="en-US" w:eastAsia="zh-CN"/>
              </w:rPr>
              <w:t>燃烧废气</w:t>
            </w:r>
          </w:p>
        </w:tc>
        <w:tc>
          <w:tcPr>
            <w:tcW w:w="521" w:type="pct"/>
            <w:tcBorders>
              <w:top w:val="single" w:color="auto" w:sz="6" w:space="0"/>
              <w:left w:val="single" w:color="auto" w:sz="6" w:space="0"/>
              <w:bottom w:val="single" w:color="auto" w:sz="6" w:space="0"/>
              <w:right w:val="single" w:color="auto" w:sz="6" w:space="0"/>
            </w:tcBorders>
            <w:vAlign w:val="center"/>
          </w:tcPr>
          <w:p w14:paraId="36828E7F">
            <w:pPr>
              <w:wordWrap w:val="0"/>
              <w:adjustRightInd w:val="0"/>
              <w:snapToGrid w:val="0"/>
              <w:spacing w:line="273" w:lineRule="auto"/>
              <w:ind w:firstLine="0" w:firstLineChars="0"/>
              <w:jc w:val="center"/>
              <w:rPr>
                <w:rFonts w:hint="eastAsia" w:eastAsia="宋体"/>
                <w:color w:val="auto"/>
                <w:sz w:val="24"/>
                <w:szCs w:val="24"/>
                <w:lang w:eastAsia="zh-CN"/>
              </w:rPr>
            </w:pPr>
            <w:r>
              <w:rPr>
                <w:rFonts w:hint="eastAsia"/>
                <w:color w:val="auto"/>
                <w:sz w:val="24"/>
                <w:szCs w:val="24"/>
              </w:rPr>
              <w:t>SO</w:t>
            </w:r>
            <w:r>
              <w:rPr>
                <w:rFonts w:hint="eastAsia"/>
                <w:color w:val="auto"/>
                <w:sz w:val="24"/>
                <w:szCs w:val="24"/>
                <w:vertAlign w:val="subscript"/>
              </w:rPr>
              <w:t>2</w:t>
            </w:r>
            <w:r>
              <w:rPr>
                <w:rFonts w:hint="eastAsia"/>
                <w:color w:val="auto"/>
                <w:sz w:val="24"/>
                <w:szCs w:val="24"/>
                <w:vertAlign w:val="baseline"/>
                <w:lang w:eastAsia="zh-CN"/>
              </w:rPr>
              <w:t>、</w:t>
            </w:r>
          </w:p>
          <w:p w14:paraId="72546C45">
            <w:pPr>
              <w:wordWrap w:val="0"/>
              <w:adjustRightInd w:val="0"/>
              <w:snapToGrid w:val="0"/>
              <w:spacing w:line="273" w:lineRule="auto"/>
              <w:ind w:firstLine="0" w:firstLineChars="0"/>
              <w:jc w:val="center"/>
              <w:rPr>
                <w:rFonts w:hint="eastAsia" w:eastAsia="宋体"/>
                <w:color w:val="auto"/>
                <w:sz w:val="24"/>
                <w:szCs w:val="24"/>
                <w:lang w:eastAsia="zh-CN"/>
              </w:rPr>
            </w:pPr>
            <w:r>
              <w:rPr>
                <w:rFonts w:hint="eastAsia"/>
                <w:color w:val="auto"/>
                <w:sz w:val="24"/>
                <w:szCs w:val="24"/>
              </w:rPr>
              <w:t>NO</w:t>
            </w:r>
            <w:r>
              <w:rPr>
                <w:rFonts w:hint="eastAsia"/>
                <w:color w:val="auto"/>
                <w:sz w:val="24"/>
                <w:szCs w:val="24"/>
                <w:vertAlign w:val="subscript"/>
              </w:rPr>
              <w:t>X</w:t>
            </w:r>
            <w:r>
              <w:rPr>
                <w:rFonts w:hint="eastAsia"/>
                <w:color w:val="auto"/>
                <w:sz w:val="24"/>
                <w:szCs w:val="24"/>
                <w:vertAlign w:val="baseline"/>
                <w:lang w:eastAsia="zh-CN"/>
              </w:rPr>
              <w:t>、</w:t>
            </w:r>
          </w:p>
          <w:p w14:paraId="1FD76FBD">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eastAsia="宋体"/>
                <w:color w:val="auto"/>
                <w:sz w:val="24"/>
                <w:szCs w:val="24"/>
                <w:lang w:val="en-US" w:eastAsia="zh-CN"/>
              </w:rPr>
            </w:pPr>
            <w:r>
              <w:rPr>
                <w:rFonts w:hint="eastAsia"/>
                <w:color w:val="auto"/>
                <w:sz w:val="24"/>
                <w:szCs w:val="24"/>
              </w:rPr>
              <w:t>颗粒</w:t>
            </w:r>
            <w:r>
              <w:rPr>
                <w:rFonts w:hint="default" w:ascii="Times New Roman" w:hAnsi="Times New Roman" w:cs="Times New Roman"/>
                <w:color w:val="auto"/>
                <w:sz w:val="24"/>
                <w:szCs w:val="24"/>
              </w:rPr>
              <w:t>物</w:t>
            </w:r>
          </w:p>
        </w:tc>
        <w:tc>
          <w:tcPr>
            <w:tcW w:w="1223" w:type="pct"/>
            <w:tcBorders>
              <w:top w:val="single" w:color="auto" w:sz="6" w:space="0"/>
              <w:left w:val="single" w:color="auto" w:sz="6" w:space="0"/>
              <w:bottom w:val="single" w:color="auto" w:sz="6" w:space="0"/>
              <w:right w:val="single" w:color="auto" w:sz="6" w:space="0"/>
            </w:tcBorders>
            <w:vAlign w:val="center"/>
          </w:tcPr>
          <w:p w14:paraId="72405FC5">
            <w:pPr>
              <w:wordWrap w:val="0"/>
              <w:adjustRightInd w:val="0"/>
              <w:snapToGrid w:val="0"/>
              <w:spacing w:line="273" w:lineRule="auto"/>
              <w:ind w:firstLine="0" w:firstLineChars="0"/>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低氮燃烧</w:t>
            </w:r>
            <w:r>
              <w:rPr>
                <w:rFonts w:hint="eastAsia"/>
                <w:color w:val="auto"/>
                <w:sz w:val="24"/>
                <w:szCs w:val="24"/>
              </w:rPr>
              <w:t>+1</w:t>
            </w:r>
            <w:r>
              <w:rPr>
                <w:rFonts w:hint="eastAsia"/>
                <w:color w:val="auto"/>
                <w:sz w:val="24"/>
                <w:szCs w:val="24"/>
                <w:lang w:val="en-US" w:eastAsia="zh-CN"/>
              </w:rPr>
              <w:t>5</w:t>
            </w:r>
            <w:r>
              <w:rPr>
                <w:rFonts w:hint="eastAsia"/>
                <w:color w:val="auto"/>
                <w:sz w:val="24"/>
                <w:szCs w:val="24"/>
              </w:rPr>
              <w:t>m排气筒</w:t>
            </w:r>
          </w:p>
        </w:tc>
        <w:tc>
          <w:tcPr>
            <w:tcW w:w="1720" w:type="pct"/>
            <w:tcBorders>
              <w:top w:val="single" w:color="auto" w:sz="6" w:space="0"/>
              <w:left w:val="single" w:color="auto" w:sz="6" w:space="0"/>
              <w:bottom w:val="single" w:color="auto" w:sz="6" w:space="0"/>
              <w:right w:val="single" w:color="auto" w:sz="12" w:space="0"/>
            </w:tcBorders>
            <w:vAlign w:val="center"/>
          </w:tcPr>
          <w:p w14:paraId="30221E3B">
            <w:pPr>
              <w:wordWrap w:val="0"/>
              <w:adjustRightInd w:val="0"/>
              <w:snapToGrid w:val="0"/>
              <w:spacing w:line="273" w:lineRule="auto"/>
              <w:ind w:firstLine="0" w:firstLineChars="0"/>
              <w:jc w:val="center"/>
              <w:rPr>
                <w:color w:val="auto"/>
                <w:spacing w:val="8"/>
                <w:sz w:val="24"/>
                <w:szCs w:val="24"/>
                <w:highlight w:val="none"/>
              </w:rPr>
            </w:pPr>
            <w:r>
              <w:rPr>
                <w:color w:val="auto"/>
                <w:spacing w:val="8"/>
                <w:sz w:val="24"/>
                <w:szCs w:val="24"/>
                <w:highlight w:val="none"/>
              </w:rPr>
              <w:t>《铸造工业大气污染物排</w:t>
            </w:r>
            <w:r>
              <w:rPr>
                <w:color w:val="auto"/>
                <w:spacing w:val="-2"/>
                <w:sz w:val="24"/>
                <w:szCs w:val="24"/>
                <w:highlight w:val="none"/>
              </w:rPr>
              <w:t>放标准》（</w:t>
            </w:r>
            <w:r>
              <w:rPr>
                <w:rFonts w:ascii="Times New Roman" w:hAnsi="Times New Roman" w:eastAsia="Times New Roman" w:cs="Times New Roman"/>
                <w:color w:val="auto"/>
                <w:spacing w:val="-2"/>
                <w:sz w:val="24"/>
                <w:szCs w:val="24"/>
                <w:highlight w:val="none"/>
              </w:rPr>
              <w:t>GB39726-2020</w:t>
            </w:r>
            <w:r>
              <w:rPr>
                <w:color w:val="auto"/>
                <w:spacing w:val="-2"/>
                <w:sz w:val="24"/>
                <w:szCs w:val="24"/>
                <w:highlight w:val="none"/>
              </w:rPr>
              <w:t>）</w:t>
            </w:r>
            <w:r>
              <w:rPr>
                <w:rFonts w:hint="eastAsia"/>
                <w:color w:val="auto"/>
                <w:sz w:val="24"/>
                <w:szCs w:val="24"/>
                <w:highlight w:val="none"/>
              </w:rPr>
              <w:t>表</w:t>
            </w:r>
            <w:r>
              <w:rPr>
                <w:rFonts w:hint="eastAsia"/>
                <w:color w:val="auto"/>
                <w:sz w:val="24"/>
                <w:szCs w:val="24"/>
                <w:highlight w:val="none"/>
                <w:lang w:val="en-US" w:eastAsia="zh-CN"/>
              </w:rPr>
              <w:t>1</w:t>
            </w:r>
          </w:p>
        </w:tc>
      </w:tr>
      <w:tr w14:paraId="1B0D4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5" w:hRule="atLeast"/>
        </w:trPr>
        <w:tc>
          <w:tcPr>
            <w:tcW w:w="791" w:type="pct"/>
            <w:vMerge w:val="continue"/>
            <w:tcBorders>
              <w:left w:val="single" w:color="auto" w:sz="12" w:space="0"/>
              <w:right w:val="single" w:color="auto" w:sz="6" w:space="0"/>
            </w:tcBorders>
            <w:vAlign w:val="center"/>
          </w:tcPr>
          <w:p w14:paraId="2D544E26">
            <w:pPr>
              <w:wordWrap w:val="0"/>
              <w:adjustRightInd w:val="0"/>
              <w:snapToGrid w:val="0"/>
              <w:spacing w:line="273" w:lineRule="auto"/>
              <w:ind w:firstLine="0" w:firstLineChars="0"/>
              <w:jc w:val="center"/>
              <w:rPr>
                <w:rFonts w:ascii="宋体" w:hAnsi="宋体"/>
                <w:color w:val="auto"/>
              </w:rPr>
            </w:pPr>
          </w:p>
        </w:tc>
        <w:tc>
          <w:tcPr>
            <w:tcW w:w="744" w:type="pct"/>
            <w:tcBorders>
              <w:top w:val="single" w:color="auto" w:sz="6" w:space="0"/>
              <w:left w:val="single" w:color="auto" w:sz="6" w:space="0"/>
              <w:bottom w:val="single" w:color="auto" w:sz="6" w:space="0"/>
              <w:right w:val="single" w:color="auto" w:sz="6" w:space="0"/>
            </w:tcBorders>
            <w:shd w:val="clear" w:color="auto" w:fill="auto"/>
            <w:vAlign w:val="center"/>
          </w:tcPr>
          <w:p w14:paraId="35EE649A">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pacing w:val="7"/>
                <w:sz w:val="24"/>
                <w:szCs w:val="24"/>
                <w:lang w:val="en-US" w:eastAsia="zh-CN"/>
              </w:rPr>
              <w:t>DA0</w:t>
            </w:r>
            <w:r>
              <w:rPr>
                <w:rFonts w:hint="default" w:ascii="Times New Roman" w:hAnsi="Times New Roman" w:cs="Times New Roman"/>
                <w:color w:val="auto"/>
                <w:spacing w:val="7"/>
                <w:sz w:val="24"/>
                <w:szCs w:val="24"/>
                <w:lang w:val="en-US" w:eastAsia="zh-CN"/>
              </w:rPr>
              <w:t>0</w:t>
            </w:r>
            <w:r>
              <w:rPr>
                <w:rFonts w:hint="eastAsia" w:ascii="Times New Roman" w:hAnsi="Times New Roman" w:cs="Times New Roman"/>
                <w:color w:val="auto"/>
                <w:spacing w:val="7"/>
                <w:sz w:val="24"/>
                <w:szCs w:val="24"/>
                <w:lang w:val="en-US" w:eastAsia="zh-CN"/>
              </w:rPr>
              <w:t>5</w:t>
            </w:r>
            <w:r>
              <w:rPr>
                <w:rFonts w:hint="default" w:ascii="Times New Roman" w:hAnsi="Times New Roman" w:cs="Times New Roman"/>
                <w:color w:val="auto"/>
                <w:spacing w:val="7"/>
                <w:sz w:val="24"/>
                <w:szCs w:val="24"/>
                <w:lang w:val="en-US" w:eastAsia="zh-CN"/>
              </w:rPr>
              <w:t>铸锭打磨</w:t>
            </w:r>
            <w:r>
              <w:rPr>
                <w:rFonts w:hint="default" w:ascii="Times New Roman" w:hAnsi="Times New Roman" w:cs="Times New Roman"/>
                <w:color w:val="auto"/>
                <w:spacing w:val="7"/>
                <w:sz w:val="24"/>
                <w:szCs w:val="24"/>
              </w:rPr>
              <w:t>粉尘</w:t>
            </w:r>
          </w:p>
        </w:tc>
        <w:tc>
          <w:tcPr>
            <w:tcW w:w="521" w:type="pct"/>
            <w:tcBorders>
              <w:top w:val="single" w:color="auto" w:sz="6" w:space="0"/>
              <w:left w:val="single" w:color="auto" w:sz="6" w:space="0"/>
              <w:bottom w:val="single" w:color="auto" w:sz="6" w:space="0"/>
              <w:right w:val="single" w:color="auto" w:sz="6" w:space="0"/>
            </w:tcBorders>
            <w:shd w:val="clear" w:color="auto" w:fill="auto"/>
            <w:vAlign w:val="center"/>
          </w:tcPr>
          <w:p w14:paraId="6E24F3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color w:val="auto"/>
                <w:sz w:val="24"/>
                <w:szCs w:val="24"/>
              </w:rPr>
              <w:t>颗粒物</w:t>
            </w:r>
          </w:p>
        </w:tc>
        <w:tc>
          <w:tcPr>
            <w:tcW w:w="1223" w:type="pct"/>
            <w:tcBorders>
              <w:top w:val="single" w:color="auto" w:sz="6" w:space="0"/>
              <w:left w:val="single" w:color="auto" w:sz="6" w:space="0"/>
              <w:bottom w:val="single" w:color="auto" w:sz="6" w:space="0"/>
              <w:right w:val="single" w:color="auto" w:sz="6" w:space="0"/>
            </w:tcBorders>
            <w:shd w:val="clear" w:color="auto" w:fill="auto"/>
            <w:vAlign w:val="center"/>
          </w:tcPr>
          <w:p w14:paraId="35A77A6D">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color w:val="auto"/>
                <w:spacing w:val="7"/>
                <w:sz w:val="24"/>
                <w:szCs w:val="24"/>
                <w:lang w:val="en-US" w:eastAsia="zh-CN"/>
              </w:rPr>
              <w:t>水浴</w:t>
            </w:r>
            <w:r>
              <w:rPr>
                <w:color w:val="auto"/>
                <w:spacing w:val="7"/>
                <w:sz w:val="24"/>
                <w:szCs w:val="24"/>
              </w:rPr>
              <w:t>除尘设施</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m排气筒</w:t>
            </w:r>
          </w:p>
        </w:tc>
        <w:tc>
          <w:tcPr>
            <w:tcW w:w="1720" w:type="pct"/>
            <w:tcBorders>
              <w:top w:val="single" w:color="auto" w:sz="6" w:space="0"/>
              <w:left w:val="single" w:color="auto" w:sz="6" w:space="0"/>
              <w:bottom w:val="single" w:color="auto" w:sz="6" w:space="0"/>
              <w:right w:val="single" w:color="auto" w:sz="12" w:space="0"/>
            </w:tcBorders>
            <w:vAlign w:val="center"/>
          </w:tcPr>
          <w:p w14:paraId="1749A49D">
            <w:pPr>
              <w:wordWrap w:val="0"/>
              <w:adjustRightInd w:val="0"/>
              <w:snapToGrid w:val="0"/>
              <w:spacing w:line="273" w:lineRule="auto"/>
              <w:ind w:firstLine="0" w:firstLineChars="0"/>
              <w:jc w:val="center"/>
              <w:rPr>
                <w:color w:val="auto"/>
                <w:spacing w:val="8"/>
                <w:sz w:val="24"/>
                <w:szCs w:val="24"/>
                <w:highlight w:val="none"/>
              </w:rPr>
            </w:pPr>
            <w:r>
              <w:rPr>
                <w:color w:val="auto"/>
                <w:spacing w:val="8"/>
                <w:sz w:val="24"/>
                <w:szCs w:val="24"/>
                <w:highlight w:val="none"/>
              </w:rPr>
              <w:t>《铸造工业大气污染物排</w:t>
            </w:r>
            <w:r>
              <w:rPr>
                <w:color w:val="auto"/>
                <w:spacing w:val="-2"/>
                <w:sz w:val="24"/>
                <w:szCs w:val="24"/>
                <w:highlight w:val="none"/>
              </w:rPr>
              <w:t>放标准》（</w:t>
            </w:r>
            <w:r>
              <w:rPr>
                <w:rFonts w:ascii="Times New Roman" w:hAnsi="Times New Roman" w:eastAsia="Times New Roman" w:cs="Times New Roman"/>
                <w:color w:val="auto"/>
                <w:spacing w:val="-2"/>
                <w:sz w:val="24"/>
                <w:szCs w:val="24"/>
                <w:highlight w:val="none"/>
              </w:rPr>
              <w:t>GB39726-2020</w:t>
            </w:r>
            <w:r>
              <w:rPr>
                <w:color w:val="auto"/>
                <w:spacing w:val="-2"/>
                <w:sz w:val="24"/>
                <w:szCs w:val="24"/>
                <w:highlight w:val="none"/>
              </w:rPr>
              <w:t>）</w:t>
            </w:r>
            <w:r>
              <w:rPr>
                <w:rFonts w:hint="eastAsia"/>
                <w:color w:val="auto"/>
                <w:sz w:val="24"/>
                <w:szCs w:val="24"/>
                <w:highlight w:val="none"/>
              </w:rPr>
              <w:t>表</w:t>
            </w:r>
            <w:r>
              <w:rPr>
                <w:rFonts w:hint="eastAsia"/>
                <w:color w:val="auto"/>
                <w:sz w:val="24"/>
                <w:szCs w:val="24"/>
                <w:highlight w:val="none"/>
                <w:lang w:val="en-US" w:eastAsia="zh-CN"/>
              </w:rPr>
              <w:t>1</w:t>
            </w:r>
          </w:p>
        </w:tc>
      </w:tr>
      <w:tr w14:paraId="08594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5" w:hRule="atLeast"/>
        </w:trPr>
        <w:tc>
          <w:tcPr>
            <w:tcW w:w="791" w:type="pct"/>
            <w:vMerge w:val="continue"/>
            <w:tcBorders>
              <w:left w:val="single" w:color="auto" w:sz="12" w:space="0"/>
              <w:bottom w:val="single" w:color="auto" w:sz="6" w:space="0"/>
              <w:right w:val="single" w:color="auto" w:sz="6" w:space="0"/>
            </w:tcBorders>
            <w:vAlign w:val="center"/>
          </w:tcPr>
          <w:p w14:paraId="158D41F6">
            <w:pPr>
              <w:wordWrap w:val="0"/>
              <w:adjustRightInd w:val="0"/>
              <w:snapToGrid w:val="0"/>
              <w:spacing w:line="273" w:lineRule="auto"/>
              <w:ind w:firstLine="0" w:firstLineChars="0"/>
              <w:jc w:val="center"/>
              <w:rPr>
                <w:rFonts w:ascii="宋体" w:hAnsi="宋体"/>
                <w:color w:val="auto"/>
              </w:rPr>
            </w:pPr>
          </w:p>
        </w:tc>
        <w:tc>
          <w:tcPr>
            <w:tcW w:w="744" w:type="pct"/>
            <w:tcBorders>
              <w:top w:val="single" w:color="auto" w:sz="6" w:space="0"/>
              <w:left w:val="single" w:color="auto" w:sz="6" w:space="0"/>
              <w:bottom w:val="single" w:color="auto" w:sz="6" w:space="0"/>
              <w:right w:val="single" w:color="auto" w:sz="6" w:space="0"/>
            </w:tcBorders>
            <w:shd w:val="clear" w:color="auto" w:fill="auto"/>
            <w:vAlign w:val="center"/>
          </w:tcPr>
          <w:p w14:paraId="1AC20107">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color w:val="auto"/>
                <w:spacing w:val="8"/>
                <w:sz w:val="24"/>
                <w:szCs w:val="24"/>
                <w:lang w:val="en-US" w:eastAsia="zh-CN"/>
              </w:rPr>
              <w:t>合金颗粒切削产线</w:t>
            </w:r>
            <w:r>
              <w:rPr>
                <w:color w:val="auto"/>
                <w:spacing w:val="8"/>
                <w:sz w:val="24"/>
                <w:szCs w:val="24"/>
              </w:rPr>
              <w:t>粉尘</w:t>
            </w:r>
          </w:p>
        </w:tc>
        <w:tc>
          <w:tcPr>
            <w:tcW w:w="521" w:type="pct"/>
            <w:tcBorders>
              <w:top w:val="single" w:color="auto" w:sz="6" w:space="0"/>
              <w:left w:val="single" w:color="auto" w:sz="6" w:space="0"/>
              <w:bottom w:val="single" w:color="auto" w:sz="6" w:space="0"/>
              <w:right w:val="single" w:color="auto" w:sz="6" w:space="0"/>
            </w:tcBorders>
            <w:shd w:val="clear" w:color="auto" w:fill="auto"/>
            <w:vAlign w:val="center"/>
          </w:tcPr>
          <w:p w14:paraId="0EA647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color w:val="auto"/>
                <w:sz w:val="24"/>
                <w:szCs w:val="24"/>
              </w:rPr>
              <w:t>颗粒物</w:t>
            </w:r>
          </w:p>
        </w:tc>
        <w:tc>
          <w:tcPr>
            <w:tcW w:w="1223" w:type="pct"/>
            <w:tcBorders>
              <w:top w:val="single" w:color="auto" w:sz="6" w:space="0"/>
              <w:left w:val="single" w:color="auto" w:sz="6" w:space="0"/>
              <w:bottom w:val="single" w:color="auto" w:sz="6" w:space="0"/>
              <w:right w:val="single" w:color="auto" w:sz="6" w:space="0"/>
            </w:tcBorders>
            <w:shd w:val="clear" w:color="auto" w:fill="auto"/>
            <w:vAlign w:val="center"/>
          </w:tcPr>
          <w:p w14:paraId="0B0B0AA8">
            <w:pPr>
              <w:pStyle w:val="6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Times New Roman" w:hAnsi="Times New Roman" w:eastAsia="宋体" w:cs="Times New Roman"/>
                <w:color w:val="auto"/>
                <w:spacing w:val="7"/>
                <w:position w:val="1"/>
                <w:sz w:val="24"/>
                <w:szCs w:val="24"/>
                <w:lang w:val="en-US" w:eastAsia="zh-CN"/>
              </w:rPr>
              <w:t>旋风</w:t>
            </w:r>
            <w:r>
              <w:rPr>
                <w:rFonts w:hint="eastAsia" w:ascii="Times New Roman" w:hAnsi="Times New Roman" w:cs="Times New Roman"/>
                <w:color w:val="auto"/>
                <w:spacing w:val="7"/>
                <w:position w:val="1"/>
                <w:sz w:val="24"/>
                <w:szCs w:val="24"/>
                <w:lang w:val="en-US" w:eastAsia="zh-CN"/>
              </w:rPr>
              <w:t>除尘</w:t>
            </w:r>
            <w:r>
              <w:rPr>
                <w:rFonts w:hint="eastAsia" w:ascii="Times New Roman" w:hAnsi="Times New Roman" w:eastAsia="宋体" w:cs="Times New Roman"/>
                <w:color w:val="auto"/>
                <w:spacing w:val="7"/>
                <w:position w:val="1"/>
                <w:sz w:val="24"/>
                <w:szCs w:val="24"/>
                <w:lang w:val="en-US" w:eastAsia="zh-CN"/>
              </w:rPr>
              <w:t>+水浴</w:t>
            </w:r>
            <w:r>
              <w:rPr>
                <w:color w:val="auto"/>
                <w:spacing w:val="7"/>
                <w:position w:val="1"/>
                <w:sz w:val="24"/>
                <w:szCs w:val="24"/>
              </w:rPr>
              <w:t>除尘</w:t>
            </w:r>
          </w:p>
        </w:tc>
        <w:tc>
          <w:tcPr>
            <w:tcW w:w="1720" w:type="pct"/>
            <w:tcBorders>
              <w:top w:val="single" w:color="auto" w:sz="6" w:space="0"/>
              <w:left w:val="single" w:color="auto" w:sz="6" w:space="0"/>
              <w:bottom w:val="single" w:color="auto" w:sz="6" w:space="0"/>
              <w:right w:val="single" w:color="auto" w:sz="12" w:space="0"/>
            </w:tcBorders>
            <w:vAlign w:val="center"/>
          </w:tcPr>
          <w:p w14:paraId="46C40290">
            <w:pPr>
              <w:wordWrap w:val="0"/>
              <w:adjustRightInd w:val="0"/>
              <w:snapToGrid w:val="0"/>
              <w:spacing w:line="273" w:lineRule="auto"/>
              <w:ind w:firstLine="0" w:firstLineChars="0"/>
              <w:jc w:val="center"/>
              <w:rPr>
                <w:color w:val="auto"/>
                <w:spacing w:val="8"/>
                <w:sz w:val="24"/>
                <w:szCs w:val="24"/>
                <w:highlight w:val="none"/>
              </w:rPr>
            </w:pPr>
            <w:r>
              <w:rPr>
                <w:color w:val="auto"/>
                <w:spacing w:val="8"/>
                <w:sz w:val="24"/>
                <w:szCs w:val="24"/>
                <w:highlight w:val="none"/>
              </w:rPr>
              <w:t>《大气污染物综合排放标</w:t>
            </w:r>
            <w:r>
              <w:rPr>
                <w:color w:val="auto"/>
                <w:spacing w:val="5"/>
                <w:sz w:val="24"/>
                <w:szCs w:val="24"/>
                <w:highlight w:val="none"/>
              </w:rPr>
              <w:t>准》（</w:t>
            </w:r>
            <w:r>
              <w:rPr>
                <w:rFonts w:ascii="Times New Roman" w:hAnsi="Times New Roman" w:eastAsia="Times New Roman" w:cs="Times New Roman"/>
                <w:color w:val="auto"/>
                <w:sz w:val="24"/>
                <w:szCs w:val="24"/>
                <w:highlight w:val="none"/>
              </w:rPr>
              <w:t>GB</w:t>
            </w:r>
            <w:r>
              <w:rPr>
                <w:rFonts w:ascii="Times New Roman" w:hAnsi="Times New Roman" w:eastAsia="Times New Roman" w:cs="Times New Roman"/>
                <w:color w:val="auto"/>
                <w:spacing w:val="5"/>
                <w:sz w:val="24"/>
                <w:szCs w:val="24"/>
                <w:highlight w:val="none"/>
              </w:rPr>
              <w:t>16297-1996</w:t>
            </w:r>
            <w:r>
              <w:rPr>
                <w:color w:val="auto"/>
                <w:spacing w:val="5"/>
                <w:sz w:val="24"/>
                <w:szCs w:val="24"/>
                <w:highlight w:val="none"/>
              </w:rPr>
              <w:t>）</w:t>
            </w:r>
            <w:r>
              <w:rPr>
                <w:rFonts w:hint="eastAsia"/>
                <w:color w:val="auto"/>
                <w:spacing w:val="5"/>
                <w:sz w:val="24"/>
                <w:szCs w:val="24"/>
                <w:highlight w:val="none"/>
                <w:lang w:val="en-US" w:eastAsia="zh-CN"/>
              </w:rPr>
              <w:t>表2</w:t>
            </w:r>
          </w:p>
        </w:tc>
      </w:tr>
      <w:tr w14:paraId="757A0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43" w:hRule="atLeast"/>
        </w:trPr>
        <w:tc>
          <w:tcPr>
            <w:tcW w:w="791" w:type="pct"/>
            <w:vMerge w:val="restart"/>
            <w:tcBorders>
              <w:top w:val="single" w:color="auto" w:sz="6" w:space="0"/>
              <w:left w:val="single" w:color="auto" w:sz="12" w:space="0"/>
              <w:right w:val="single" w:color="auto" w:sz="6" w:space="0"/>
            </w:tcBorders>
            <w:vAlign w:val="center"/>
          </w:tcPr>
          <w:p w14:paraId="1DA18AEA">
            <w:pPr>
              <w:wordWrap w:val="0"/>
              <w:adjustRightInd w:val="0"/>
              <w:snapToGrid w:val="0"/>
              <w:spacing w:line="273" w:lineRule="auto"/>
              <w:ind w:firstLine="0" w:firstLineChars="0"/>
              <w:jc w:val="center"/>
              <w:rPr>
                <w:color w:val="auto"/>
              </w:rPr>
            </w:pPr>
            <w:r>
              <w:rPr>
                <w:rFonts w:ascii="宋体" w:hAnsi="宋体"/>
                <w:color w:val="auto"/>
              </w:rPr>
              <w:t>地表水环境</w:t>
            </w:r>
          </w:p>
        </w:tc>
        <w:tc>
          <w:tcPr>
            <w:tcW w:w="744" w:type="pct"/>
            <w:tcBorders>
              <w:top w:val="single" w:color="auto" w:sz="6" w:space="0"/>
              <w:left w:val="single" w:color="auto" w:sz="6" w:space="0"/>
              <w:bottom w:val="single" w:color="auto" w:sz="6" w:space="0"/>
              <w:right w:val="single" w:color="auto" w:sz="6" w:space="0"/>
            </w:tcBorders>
            <w:vAlign w:val="center"/>
          </w:tcPr>
          <w:p w14:paraId="7B0D8D38">
            <w:pPr>
              <w:wordWrap w:val="0"/>
              <w:adjustRightInd w:val="0"/>
              <w:snapToGrid w:val="0"/>
              <w:spacing w:line="273" w:lineRule="auto"/>
              <w:ind w:firstLine="0" w:firstLineChars="0"/>
              <w:jc w:val="center"/>
              <w:rPr>
                <w:rFonts w:hint="eastAsia" w:eastAsia="宋体"/>
                <w:color w:val="auto"/>
                <w:sz w:val="24"/>
                <w:szCs w:val="24"/>
                <w:lang w:eastAsia="zh-CN"/>
              </w:rPr>
            </w:pPr>
            <w:r>
              <w:rPr>
                <w:rFonts w:hint="eastAsia"/>
                <w:color w:val="auto"/>
                <w:sz w:val="24"/>
                <w:szCs w:val="24"/>
                <w:lang w:val="en-US" w:eastAsia="zh-CN"/>
              </w:rPr>
              <w:t>冷却系统</w:t>
            </w:r>
            <w:r>
              <w:rPr>
                <w:rFonts w:hint="eastAsia"/>
                <w:color w:val="auto"/>
                <w:sz w:val="24"/>
                <w:szCs w:val="24"/>
                <w:lang w:eastAsia="zh-CN"/>
              </w:rPr>
              <w:t>排水</w:t>
            </w:r>
          </w:p>
        </w:tc>
        <w:tc>
          <w:tcPr>
            <w:tcW w:w="521" w:type="pct"/>
            <w:tcBorders>
              <w:top w:val="single" w:color="auto" w:sz="6" w:space="0"/>
              <w:left w:val="single" w:color="auto" w:sz="6" w:space="0"/>
              <w:bottom w:val="single" w:color="auto" w:sz="6" w:space="0"/>
              <w:right w:val="single" w:color="auto" w:sz="6" w:space="0"/>
            </w:tcBorders>
            <w:vAlign w:val="center"/>
          </w:tcPr>
          <w:p w14:paraId="67C56A9E">
            <w:pPr>
              <w:wordWrap w:val="0"/>
              <w:adjustRightInd w:val="0"/>
              <w:snapToGrid w:val="0"/>
              <w:spacing w:line="273" w:lineRule="auto"/>
              <w:ind w:firstLine="0" w:firstLineChars="0"/>
              <w:jc w:val="center"/>
              <w:rPr>
                <w:color w:val="auto"/>
                <w:sz w:val="24"/>
                <w:szCs w:val="24"/>
              </w:rPr>
            </w:pPr>
            <w:r>
              <w:rPr>
                <w:rFonts w:hint="eastAsia"/>
                <w:color w:val="auto"/>
                <w:sz w:val="24"/>
                <w:szCs w:val="24"/>
              </w:rPr>
              <w:t>SS</w:t>
            </w:r>
          </w:p>
        </w:tc>
        <w:tc>
          <w:tcPr>
            <w:tcW w:w="1223" w:type="pct"/>
            <w:tcBorders>
              <w:top w:val="single" w:color="auto" w:sz="6" w:space="0"/>
              <w:left w:val="single" w:color="auto" w:sz="6" w:space="0"/>
              <w:bottom w:val="single" w:color="auto" w:sz="6" w:space="0"/>
              <w:right w:val="single" w:color="auto" w:sz="6" w:space="0"/>
            </w:tcBorders>
            <w:vAlign w:val="center"/>
          </w:tcPr>
          <w:p w14:paraId="1FF797BD">
            <w:pPr>
              <w:widowControl w:val="0"/>
              <w:numPr>
                <w:ilvl w:val="0"/>
                <w:numId w:val="0"/>
              </w:numPr>
              <w:ind w:left="0" w:leftChars="0" w:firstLine="0" w:firstLineChars="0"/>
              <w:jc w:val="center"/>
              <w:rPr>
                <w:color w:val="auto"/>
                <w:sz w:val="24"/>
                <w:szCs w:val="24"/>
              </w:rPr>
            </w:pPr>
            <w:r>
              <w:rPr>
                <w:rFonts w:hint="default" w:ascii="Times New Roman" w:hAnsi="Times New Roman" w:eastAsia="宋体" w:cs="Times New Roman"/>
                <w:color w:val="auto"/>
                <w:sz w:val="24"/>
                <w:szCs w:val="24"/>
                <w:highlight w:val="none"/>
              </w:rPr>
              <w:t xml:space="preserve">清净下水，用于厂区道路洒水抑尘 </w:t>
            </w:r>
          </w:p>
        </w:tc>
        <w:tc>
          <w:tcPr>
            <w:tcW w:w="1720" w:type="pct"/>
            <w:tcBorders>
              <w:top w:val="single" w:color="auto" w:sz="6" w:space="0"/>
              <w:left w:val="single" w:color="auto" w:sz="6" w:space="0"/>
              <w:bottom w:val="single" w:color="auto" w:sz="6" w:space="0"/>
              <w:right w:val="single" w:color="auto" w:sz="12" w:space="0"/>
            </w:tcBorders>
            <w:vAlign w:val="center"/>
          </w:tcPr>
          <w:p w14:paraId="7EE82830">
            <w:pPr>
              <w:wordWrap w:val="0"/>
              <w:adjustRightInd w:val="0"/>
              <w:snapToGrid w:val="0"/>
              <w:spacing w:line="273" w:lineRule="auto"/>
              <w:ind w:firstLine="0" w:firstLineChars="0"/>
              <w:jc w:val="center"/>
              <w:rPr>
                <w:color w:val="auto"/>
                <w:sz w:val="24"/>
                <w:szCs w:val="24"/>
              </w:rPr>
            </w:pPr>
            <w:r>
              <w:rPr>
                <w:rFonts w:hint="default" w:ascii="Times New Roman" w:hAnsi="Times New Roman" w:eastAsia="宋体" w:cs="Times New Roman"/>
                <w:color w:val="auto"/>
                <w:sz w:val="24"/>
                <w:szCs w:val="24"/>
                <w:highlight w:val="none"/>
              </w:rPr>
              <w:t>不外排</w:t>
            </w:r>
          </w:p>
        </w:tc>
      </w:tr>
      <w:tr w14:paraId="04487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43" w:hRule="atLeast"/>
        </w:trPr>
        <w:tc>
          <w:tcPr>
            <w:tcW w:w="791" w:type="pct"/>
            <w:vMerge w:val="continue"/>
            <w:tcBorders>
              <w:left w:val="single" w:color="auto" w:sz="12" w:space="0"/>
              <w:right w:val="single" w:color="auto" w:sz="6" w:space="0"/>
            </w:tcBorders>
            <w:vAlign w:val="center"/>
          </w:tcPr>
          <w:p w14:paraId="4EA24CF4">
            <w:pPr>
              <w:wordWrap w:val="0"/>
              <w:adjustRightInd w:val="0"/>
              <w:snapToGrid w:val="0"/>
              <w:spacing w:line="273" w:lineRule="auto"/>
              <w:ind w:firstLine="0" w:firstLineChars="0"/>
              <w:jc w:val="center"/>
              <w:rPr>
                <w:rFonts w:ascii="宋体" w:hAnsi="宋体"/>
                <w:color w:val="auto"/>
              </w:rPr>
            </w:pPr>
          </w:p>
        </w:tc>
        <w:tc>
          <w:tcPr>
            <w:tcW w:w="1401" w:type="dxa"/>
            <w:tcBorders>
              <w:top w:val="single" w:color="auto" w:sz="6" w:space="0"/>
              <w:left w:val="single" w:color="auto" w:sz="6" w:space="0"/>
              <w:bottom w:val="single" w:color="auto" w:sz="6" w:space="0"/>
              <w:right w:val="single" w:color="auto" w:sz="6" w:space="0"/>
            </w:tcBorders>
            <w:vAlign w:val="center"/>
          </w:tcPr>
          <w:p w14:paraId="5DEA27F9">
            <w:pPr>
              <w:wordWrap w:val="0"/>
              <w:adjustRightInd w:val="0"/>
              <w:snapToGrid w:val="0"/>
              <w:spacing w:line="273" w:lineRule="auto"/>
              <w:ind w:firstLine="0" w:firstLineChars="0"/>
              <w:jc w:val="center"/>
              <w:rPr>
                <w:rFonts w:hint="eastAsia"/>
                <w:color w:val="auto"/>
                <w:sz w:val="24"/>
                <w:szCs w:val="24"/>
                <w:lang w:val="en-US" w:eastAsia="zh-CN"/>
              </w:rPr>
            </w:pPr>
            <w:r>
              <w:rPr>
                <w:rFonts w:hint="eastAsia"/>
                <w:color w:val="auto"/>
                <w:sz w:val="24"/>
                <w:szCs w:val="24"/>
                <w:lang w:val="en-US" w:eastAsia="zh-CN"/>
              </w:rPr>
              <w:t>脱硫废水</w:t>
            </w:r>
          </w:p>
        </w:tc>
        <w:tc>
          <w:tcPr>
            <w:tcW w:w="981" w:type="dxa"/>
            <w:tcBorders>
              <w:top w:val="single" w:color="auto" w:sz="6" w:space="0"/>
              <w:left w:val="single" w:color="auto" w:sz="6" w:space="0"/>
              <w:bottom w:val="single" w:color="auto" w:sz="6" w:space="0"/>
              <w:right w:val="single" w:color="auto" w:sz="6" w:space="0"/>
            </w:tcBorders>
            <w:vAlign w:val="center"/>
          </w:tcPr>
          <w:p w14:paraId="45F4A1FA">
            <w:pPr>
              <w:wordWrap w:val="0"/>
              <w:adjustRightInd w:val="0"/>
              <w:snapToGrid w:val="0"/>
              <w:spacing w:line="273" w:lineRule="auto"/>
              <w:ind w:firstLine="0" w:firstLineChars="0"/>
              <w:jc w:val="center"/>
              <w:rPr>
                <w:rFonts w:hint="eastAsia"/>
                <w:color w:val="auto"/>
                <w:sz w:val="24"/>
                <w:szCs w:val="24"/>
              </w:rPr>
            </w:pPr>
            <w:r>
              <w:rPr>
                <w:rFonts w:hint="eastAsia"/>
                <w:color w:val="auto"/>
                <w:sz w:val="24"/>
                <w:szCs w:val="24"/>
                <w:lang w:val="en-US" w:eastAsia="zh-CN"/>
              </w:rPr>
              <w:t>SS</w:t>
            </w:r>
          </w:p>
        </w:tc>
        <w:tc>
          <w:tcPr>
            <w:tcW w:w="2303" w:type="dxa"/>
            <w:tcBorders>
              <w:top w:val="single" w:color="auto" w:sz="6" w:space="0"/>
              <w:left w:val="single" w:color="auto" w:sz="6" w:space="0"/>
              <w:bottom w:val="single" w:color="auto" w:sz="6" w:space="0"/>
              <w:right w:val="single" w:color="auto" w:sz="6" w:space="0"/>
            </w:tcBorders>
            <w:vAlign w:val="center"/>
          </w:tcPr>
          <w:p w14:paraId="1C06D43C">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废水经沉淀</w:t>
            </w:r>
            <w:r>
              <w:rPr>
                <w:rFonts w:hint="eastAsia" w:ascii="Times New Roman" w:hAnsi="Times New Roman" w:cs="Times New Roman"/>
                <w:color w:val="auto"/>
                <w:sz w:val="24"/>
                <w:szCs w:val="24"/>
                <w:highlight w:val="none"/>
                <w:lang w:val="en-US" w:eastAsia="zh-CN"/>
              </w:rPr>
              <w:t>捞渣</w:t>
            </w:r>
            <w:r>
              <w:rPr>
                <w:rFonts w:hint="default" w:ascii="Times New Roman" w:hAnsi="Times New Roman" w:eastAsia="宋体" w:cs="Times New Roman"/>
                <w:color w:val="auto"/>
                <w:sz w:val="24"/>
                <w:szCs w:val="24"/>
                <w:highlight w:val="none"/>
              </w:rPr>
              <w:t>后</w:t>
            </w:r>
            <w:r>
              <w:rPr>
                <w:rFonts w:hint="eastAsia" w:ascii="Times New Roman" w:hAnsi="Times New Roman" w:cs="Times New Roman"/>
                <w:color w:val="auto"/>
                <w:sz w:val="24"/>
                <w:szCs w:val="24"/>
                <w:highlight w:val="none"/>
                <w:lang w:val="en-US" w:eastAsia="zh-CN"/>
              </w:rPr>
              <w:t>清液</w:t>
            </w:r>
            <w:r>
              <w:rPr>
                <w:rFonts w:hint="default" w:ascii="Times New Roman" w:hAnsi="Times New Roman" w:eastAsia="宋体" w:cs="Times New Roman"/>
                <w:color w:val="auto"/>
                <w:sz w:val="24"/>
                <w:szCs w:val="24"/>
                <w:highlight w:val="none"/>
              </w:rPr>
              <w:t>循环利用</w:t>
            </w:r>
          </w:p>
        </w:tc>
        <w:tc>
          <w:tcPr>
            <w:tcW w:w="3238" w:type="dxa"/>
            <w:tcBorders>
              <w:top w:val="single" w:color="auto" w:sz="6" w:space="0"/>
              <w:left w:val="single" w:color="auto" w:sz="6" w:space="0"/>
              <w:bottom w:val="single" w:color="auto" w:sz="6" w:space="0"/>
              <w:right w:val="single" w:color="auto" w:sz="12" w:space="0"/>
            </w:tcBorders>
            <w:vAlign w:val="center"/>
          </w:tcPr>
          <w:p w14:paraId="4209BCE7">
            <w:pPr>
              <w:wordWrap w:val="0"/>
              <w:adjustRightInd w:val="0"/>
              <w:snapToGrid w:val="0"/>
              <w:spacing w:line="273"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不外排</w:t>
            </w:r>
          </w:p>
        </w:tc>
      </w:tr>
      <w:tr w14:paraId="3C141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53" w:hRule="atLeast"/>
        </w:trPr>
        <w:tc>
          <w:tcPr>
            <w:tcW w:w="791" w:type="pct"/>
            <w:vMerge w:val="continue"/>
            <w:tcBorders>
              <w:left w:val="single" w:color="auto" w:sz="12" w:space="0"/>
              <w:right w:val="single" w:color="auto" w:sz="6" w:space="0"/>
            </w:tcBorders>
            <w:vAlign w:val="center"/>
          </w:tcPr>
          <w:p w14:paraId="0A7458DE">
            <w:pPr>
              <w:wordWrap w:val="0"/>
              <w:adjustRightInd w:val="0"/>
              <w:snapToGrid w:val="0"/>
              <w:spacing w:line="273" w:lineRule="auto"/>
              <w:ind w:firstLine="0" w:firstLineChars="0"/>
              <w:jc w:val="center"/>
              <w:rPr>
                <w:rFonts w:ascii="宋体" w:hAnsi="宋体"/>
                <w:color w:val="auto"/>
              </w:rPr>
            </w:pPr>
          </w:p>
        </w:tc>
        <w:tc>
          <w:tcPr>
            <w:tcW w:w="744" w:type="pct"/>
            <w:tcBorders>
              <w:top w:val="single" w:color="auto" w:sz="6" w:space="0"/>
              <w:left w:val="single" w:color="auto" w:sz="6" w:space="0"/>
              <w:bottom w:val="single" w:color="auto" w:sz="6" w:space="0"/>
              <w:right w:val="single" w:color="auto" w:sz="6" w:space="0"/>
            </w:tcBorders>
            <w:vAlign w:val="center"/>
          </w:tcPr>
          <w:p w14:paraId="3393E7DF">
            <w:pPr>
              <w:wordWrap w:val="0"/>
              <w:adjustRightInd w:val="0"/>
              <w:snapToGrid w:val="0"/>
              <w:spacing w:line="273"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水浴除尘废水</w:t>
            </w:r>
          </w:p>
        </w:tc>
        <w:tc>
          <w:tcPr>
            <w:tcW w:w="521" w:type="pct"/>
            <w:tcBorders>
              <w:top w:val="single" w:color="auto" w:sz="6" w:space="0"/>
              <w:left w:val="single" w:color="auto" w:sz="6" w:space="0"/>
              <w:bottom w:val="single" w:color="auto" w:sz="6" w:space="0"/>
              <w:right w:val="single" w:color="auto" w:sz="6" w:space="0"/>
            </w:tcBorders>
            <w:vAlign w:val="center"/>
          </w:tcPr>
          <w:p w14:paraId="6E30A252">
            <w:pPr>
              <w:wordWrap w:val="0"/>
              <w:adjustRightInd w:val="0"/>
              <w:snapToGrid w:val="0"/>
              <w:spacing w:line="273" w:lineRule="auto"/>
              <w:ind w:firstLine="0" w:firstLineChars="0"/>
              <w:jc w:val="center"/>
              <w:rPr>
                <w:rFonts w:hint="eastAsia" w:eastAsia="宋体"/>
                <w:color w:val="auto"/>
                <w:sz w:val="24"/>
                <w:szCs w:val="24"/>
                <w:lang w:val="en-US" w:eastAsia="zh-CN"/>
              </w:rPr>
            </w:pPr>
            <w:r>
              <w:rPr>
                <w:rFonts w:hint="eastAsia"/>
                <w:color w:val="auto"/>
                <w:sz w:val="24"/>
                <w:szCs w:val="24"/>
                <w:lang w:val="en-US" w:eastAsia="zh-CN"/>
              </w:rPr>
              <w:t>SS</w:t>
            </w:r>
          </w:p>
        </w:tc>
        <w:tc>
          <w:tcPr>
            <w:tcW w:w="1223" w:type="pct"/>
            <w:tcBorders>
              <w:top w:val="single" w:color="auto" w:sz="6" w:space="0"/>
              <w:left w:val="single" w:color="auto" w:sz="6" w:space="0"/>
              <w:bottom w:val="single" w:color="auto" w:sz="6" w:space="0"/>
              <w:right w:val="single" w:color="auto" w:sz="6" w:space="0"/>
            </w:tcBorders>
            <w:vAlign w:val="center"/>
          </w:tcPr>
          <w:p w14:paraId="4CA99C38">
            <w:pPr>
              <w:widowControl w:val="0"/>
              <w:numPr>
                <w:ilvl w:val="0"/>
                <w:numId w:val="0"/>
              </w:numPr>
              <w:ind w:left="0" w:leftChars="0" w:firstLine="0" w:firstLineChars="0"/>
              <w:jc w:val="center"/>
              <w:rPr>
                <w:rFonts w:hint="eastAsia"/>
                <w:color w:val="auto"/>
                <w:sz w:val="24"/>
                <w:szCs w:val="24"/>
              </w:rPr>
            </w:pPr>
            <w:r>
              <w:rPr>
                <w:rFonts w:hint="default" w:ascii="Times New Roman" w:hAnsi="Times New Roman" w:eastAsia="宋体" w:cs="Times New Roman"/>
                <w:color w:val="auto"/>
                <w:sz w:val="24"/>
                <w:szCs w:val="24"/>
                <w:highlight w:val="none"/>
              </w:rPr>
              <w:t>废水经沉淀</w:t>
            </w:r>
            <w:r>
              <w:rPr>
                <w:rFonts w:hint="eastAsia" w:ascii="Times New Roman" w:hAnsi="Times New Roman" w:cs="Times New Roman"/>
                <w:color w:val="auto"/>
                <w:sz w:val="24"/>
                <w:szCs w:val="24"/>
                <w:highlight w:val="none"/>
                <w:lang w:val="en-US" w:eastAsia="zh-CN"/>
              </w:rPr>
              <w:t>捞渣</w:t>
            </w:r>
            <w:r>
              <w:rPr>
                <w:rFonts w:hint="default" w:ascii="Times New Roman" w:hAnsi="Times New Roman" w:eastAsia="宋体" w:cs="Times New Roman"/>
                <w:color w:val="auto"/>
                <w:sz w:val="24"/>
                <w:szCs w:val="24"/>
                <w:highlight w:val="none"/>
              </w:rPr>
              <w:t>后</w:t>
            </w:r>
            <w:r>
              <w:rPr>
                <w:rFonts w:hint="eastAsia" w:ascii="Times New Roman" w:hAnsi="Times New Roman" w:cs="Times New Roman"/>
                <w:color w:val="auto"/>
                <w:sz w:val="24"/>
                <w:szCs w:val="24"/>
                <w:highlight w:val="none"/>
                <w:lang w:val="en-US" w:eastAsia="zh-CN"/>
              </w:rPr>
              <w:t>清液</w:t>
            </w:r>
            <w:r>
              <w:rPr>
                <w:rFonts w:hint="default" w:ascii="Times New Roman" w:hAnsi="Times New Roman" w:eastAsia="宋体" w:cs="Times New Roman"/>
                <w:color w:val="auto"/>
                <w:sz w:val="24"/>
                <w:szCs w:val="24"/>
                <w:highlight w:val="none"/>
              </w:rPr>
              <w:t>循环利用</w:t>
            </w:r>
          </w:p>
        </w:tc>
        <w:tc>
          <w:tcPr>
            <w:tcW w:w="1720" w:type="pct"/>
            <w:tcBorders>
              <w:top w:val="single" w:color="auto" w:sz="6" w:space="0"/>
              <w:left w:val="single" w:color="auto" w:sz="6" w:space="0"/>
              <w:bottom w:val="single" w:color="auto" w:sz="6" w:space="0"/>
              <w:right w:val="single" w:color="auto" w:sz="12" w:space="0"/>
            </w:tcBorders>
            <w:vAlign w:val="center"/>
          </w:tcPr>
          <w:p w14:paraId="3C3C0F44">
            <w:pPr>
              <w:wordWrap w:val="0"/>
              <w:adjustRightInd w:val="0"/>
              <w:snapToGrid w:val="0"/>
              <w:spacing w:line="273" w:lineRule="auto"/>
              <w:ind w:firstLine="0" w:firstLineChars="0"/>
              <w:jc w:val="center"/>
              <w:rPr>
                <w:rFonts w:hint="eastAsia"/>
                <w:color w:val="auto"/>
                <w:sz w:val="24"/>
                <w:szCs w:val="24"/>
              </w:rPr>
            </w:pPr>
            <w:r>
              <w:rPr>
                <w:rFonts w:hint="default" w:ascii="Times New Roman" w:hAnsi="Times New Roman" w:eastAsia="宋体" w:cs="Times New Roman"/>
                <w:color w:val="auto"/>
                <w:sz w:val="24"/>
                <w:szCs w:val="24"/>
                <w:highlight w:val="none"/>
              </w:rPr>
              <w:t>不外排</w:t>
            </w:r>
          </w:p>
        </w:tc>
      </w:tr>
      <w:tr w14:paraId="0F7C3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20" w:hRule="atLeast"/>
        </w:trPr>
        <w:tc>
          <w:tcPr>
            <w:tcW w:w="791" w:type="pct"/>
            <w:vMerge w:val="continue"/>
            <w:tcBorders>
              <w:left w:val="single" w:color="auto" w:sz="12" w:space="0"/>
              <w:bottom w:val="single" w:color="auto" w:sz="6" w:space="0"/>
              <w:right w:val="single" w:color="auto" w:sz="6" w:space="0"/>
            </w:tcBorders>
            <w:vAlign w:val="center"/>
          </w:tcPr>
          <w:p w14:paraId="6D75886E">
            <w:pPr>
              <w:wordWrap w:val="0"/>
              <w:adjustRightInd w:val="0"/>
              <w:snapToGrid w:val="0"/>
              <w:spacing w:line="273" w:lineRule="auto"/>
              <w:ind w:firstLine="0" w:firstLineChars="0"/>
              <w:jc w:val="center"/>
              <w:rPr>
                <w:rFonts w:ascii="宋体" w:hAnsi="宋体"/>
                <w:color w:val="auto"/>
              </w:rPr>
            </w:pPr>
          </w:p>
        </w:tc>
        <w:tc>
          <w:tcPr>
            <w:tcW w:w="744" w:type="pct"/>
            <w:tcBorders>
              <w:top w:val="single" w:color="auto" w:sz="6" w:space="0"/>
              <w:left w:val="single" w:color="auto" w:sz="6" w:space="0"/>
              <w:bottom w:val="single" w:color="auto" w:sz="6" w:space="0"/>
              <w:right w:val="single" w:color="auto" w:sz="6" w:space="0"/>
            </w:tcBorders>
            <w:vAlign w:val="center"/>
          </w:tcPr>
          <w:p w14:paraId="3F5A68CD">
            <w:pPr>
              <w:wordWrap w:val="0"/>
              <w:adjustRightInd w:val="0"/>
              <w:snapToGrid w:val="0"/>
              <w:spacing w:line="360" w:lineRule="auto"/>
              <w:ind w:firstLine="0" w:firstLineChars="0"/>
              <w:jc w:val="center"/>
              <w:rPr>
                <w:rFonts w:hint="eastAsia" w:eastAsia="宋体"/>
                <w:color w:val="auto"/>
                <w:lang w:val="en-US" w:eastAsia="zh-CN"/>
              </w:rPr>
            </w:pPr>
            <w:r>
              <w:rPr>
                <w:rFonts w:hint="eastAsia"/>
                <w:color w:val="auto"/>
                <w:lang w:val="en-US" w:eastAsia="zh-CN"/>
              </w:rPr>
              <w:t>生活污水</w:t>
            </w:r>
          </w:p>
        </w:tc>
        <w:tc>
          <w:tcPr>
            <w:tcW w:w="521" w:type="pct"/>
            <w:tcBorders>
              <w:top w:val="single" w:color="auto" w:sz="6" w:space="0"/>
              <w:left w:val="single" w:color="auto" w:sz="6" w:space="0"/>
              <w:bottom w:val="single" w:color="auto" w:sz="6" w:space="0"/>
              <w:right w:val="single" w:color="auto" w:sz="6" w:space="0"/>
            </w:tcBorders>
            <w:vAlign w:val="center"/>
          </w:tcPr>
          <w:p w14:paraId="3556F4A9">
            <w:pPr>
              <w:wordWrap w:val="0"/>
              <w:adjustRightInd w:val="0"/>
              <w:snapToGrid w:val="0"/>
              <w:spacing w:line="360" w:lineRule="auto"/>
              <w:ind w:firstLine="0" w:firstLineChars="0"/>
              <w:jc w:val="center"/>
              <w:rPr>
                <w:rFonts w:hint="default" w:eastAsia="宋体"/>
                <w:color w:val="auto"/>
                <w:lang w:val="en-US" w:eastAsia="zh-CN"/>
              </w:rPr>
            </w:pPr>
            <w:r>
              <w:rPr>
                <w:rFonts w:hint="eastAsia"/>
                <w:color w:val="auto"/>
                <w:lang w:val="en-US" w:eastAsia="zh-CN"/>
              </w:rPr>
              <w:t>COD、SS、氨氮</w:t>
            </w:r>
          </w:p>
        </w:tc>
        <w:tc>
          <w:tcPr>
            <w:tcW w:w="1223" w:type="pct"/>
            <w:tcBorders>
              <w:top w:val="single" w:color="auto" w:sz="6" w:space="0"/>
              <w:left w:val="single" w:color="auto" w:sz="6" w:space="0"/>
              <w:bottom w:val="single" w:color="auto" w:sz="6" w:space="0"/>
              <w:right w:val="single" w:color="auto" w:sz="6" w:space="0"/>
            </w:tcBorders>
            <w:vAlign w:val="center"/>
          </w:tcPr>
          <w:p w14:paraId="636D87A1">
            <w:pPr>
              <w:wordWrap w:val="0"/>
              <w:adjustRightInd w:val="0"/>
              <w:snapToGrid w:val="0"/>
              <w:spacing w:line="360" w:lineRule="auto"/>
              <w:ind w:firstLine="0" w:firstLineChars="0"/>
              <w:jc w:val="center"/>
              <w:rPr>
                <w:rFonts w:hint="eastAsia"/>
                <w:color w:val="auto"/>
              </w:rPr>
            </w:pPr>
            <w:r>
              <w:rPr>
                <w:rFonts w:hint="eastAsia"/>
                <w:color w:val="auto"/>
              </w:rPr>
              <w:t>经</w:t>
            </w:r>
            <w:r>
              <w:rPr>
                <w:rFonts w:hint="eastAsia"/>
                <w:color w:val="auto"/>
                <w:lang w:val="en-US" w:eastAsia="zh-CN"/>
              </w:rPr>
              <w:t>厂区化粪池</w:t>
            </w:r>
            <w:r>
              <w:rPr>
                <w:rFonts w:hint="eastAsia"/>
                <w:color w:val="auto"/>
              </w:rPr>
              <w:t>处理后排入</w:t>
            </w:r>
            <w:r>
              <w:rPr>
                <w:rFonts w:hint="eastAsia"/>
                <w:color w:val="auto"/>
                <w:lang w:val="en-US" w:eastAsia="zh-CN"/>
              </w:rPr>
              <w:t>园区</w:t>
            </w:r>
            <w:r>
              <w:rPr>
                <w:rFonts w:hint="eastAsia"/>
                <w:color w:val="auto"/>
              </w:rPr>
              <w:t>污水处理厂</w:t>
            </w:r>
          </w:p>
        </w:tc>
        <w:tc>
          <w:tcPr>
            <w:tcW w:w="1720" w:type="pct"/>
            <w:tcBorders>
              <w:top w:val="single" w:color="auto" w:sz="6" w:space="0"/>
              <w:left w:val="single" w:color="auto" w:sz="6" w:space="0"/>
              <w:bottom w:val="single" w:color="auto" w:sz="6" w:space="0"/>
              <w:right w:val="single" w:color="auto" w:sz="12" w:space="0"/>
            </w:tcBorders>
            <w:vAlign w:val="center"/>
          </w:tcPr>
          <w:p w14:paraId="70B0D2DA">
            <w:pPr>
              <w:wordWrap w:val="0"/>
              <w:adjustRightInd w:val="0"/>
              <w:snapToGrid w:val="0"/>
              <w:spacing w:line="360" w:lineRule="auto"/>
              <w:ind w:firstLine="0" w:firstLineChars="0"/>
              <w:jc w:val="center"/>
              <w:rPr>
                <w:rFonts w:hint="eastAsia"/>
                <w:color w:val="auto"/>
              </w:rPr>
            </w:pPr>
            <w:r>
              <w:rPr>
                <w:rFonts w:hint="eastAsia"/>
                <w:color w:val="auto"/>
              </w:rPr>
              <w:t>《污水综合排放标准》（GB8978-1996）三级标准</w:t>
            </w:r>
          </w:p>
        </w:tc>
      </w:tr>
      <w:tr w14:paraId="2947C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674" w:hRule="atLeast"/>
        </w:trPr>
        <w:tc>
          <w:tcPr>
            <w:tcW w:w="791" w:type="pct"/>
            <w:tcBorders>
              <w:top w:val="single" w:color="auto" w:sz="6" w:space="0"/>
              <w:left w:val="single" w:color="auto" w:sz="12" w:space="0"/>
              <w:bottom w:val="single" w:color="auto" w:sz="6" w:space="0"/>
              <w:right w:val="single" w:color="auto" w:sz="6" w:space="0"/>
            </w:tcBorders>
            <w:vAlign w:val="center"/>
          </w:tcPr>
          <w:p w14:paraId="472898AD">
            <w:pPr>
              <w:wordWrap w:val="0"/>
              <w:adjustRightInd w:val="0"/>
              <w:snapToGrid w:val="0"/>
              <w:spacing w:line="273" w:lineRule="auto"/>
              <w:ind w:firstLine="0" w:firstLineChars="0"/>
              <w:jc w:val="center"/>
              <w:rPr>
                <w:color w:val="auto"/>
              </w:rPr>
            </w:pPr>
            <w:r>
              <w:rPr>
                <w:rFonts w:ascii="宋体" w:hAnsi="宋体"/>
                <w:color w:val="auto"/>
              </w:rPr>
              <w:t>声环境</w:t>
            </w:r>
          </w:p>
        </w:tc>
        <w:tc>
          <w:tcPr>
            <w:tcW w:w="744" w:type="pct"/>
            <w:tcBorders>
              <w:top w:val="single" w:color="auto" w:sz="6" w:space="0"/>
              <w:left w:val="single" w:color="auto" w:sz="6" w:space="0"/>
              <w:bottom w:val="single" w:color="auto" w:sz="6" w:space="0"/>
              <w:right w:val="single" w:color="auto" w:sz="6" w:space="0"/>
            </w:tcBorders>
            <w:vAlign w:val="center"/>
          </w:tcPr>
          <w:p w14:paraId="0D58E0CE">
            <w:pPr>
              <w:wordWrap w:val="0"/>
              <w:adjustRightInd w:val="0"/>
              <w:snapToGrid w:val="0"/>
              <w:spacing w:line="273" w:lineRule="auto"/>
              <w:ind w:firstLine="0" w:firstLineChars="0"/>
              <w:jc w:val="center"/>
              <w:rPr>
                <w:color w:val="auto"/>
              </w:rPr>
            </w:pPr>
            <w:r>
              <w:rPr>
                <w:rFonts w:hint="eastAsia"/>
                <w:color w:val="auto"/>
              </w:rPr>
              <w:t>/</w:t>
            </w:r>
          </w:p>
        </w:tc>
        <w:tc>
          <w:tcPr>
            <w:tcW w:w="521" w:type="pct"/>
            <w:tcBorders>
              <w:top w:val="single" w:color="auto" w:sz="6" w:space="0"/>
              <w:left w:val="single" w:color="auto" w:sz="6" w:space="0"/>
              <w:bottom w:val="single" w:color="auto" w:sz="6" w:space="0"/>
              <w:right w:val="single" w:color="auto" w:sz="6" w:space="0"/>
            </w:tcBorders>
            <w:vAlign w:val="center"/>
          </w:tcPr>
          <w:p w14:paraId="1DA0693F">
            <w:pPr>
              <w:wordWrap w:val="0"/>
              <w:adjustRightInd w:val="0"/>
              <w:snapToGrid w:val="0"/>
              <w:spacing w:line="273" w:lineRule="auto"/>
              <w:ind w:firstLine="0" w:firstLineChars="0"/>
              <w:jc w:val="center"/>
              <w:rPr>
                <w:bCs/>
                <w:color w:val="auto"/>
              </w:rPr>
            </w:pPr>
            <w:r>
              <w:rPr>
                <w:rFonts w:hint="eastAsia"/>
                <w:bCs/>
                <w:color w:val="auto"/>
              </w:rPr>
              <w:t>设备</w:t>
            </w:r>
          </w:p>
          <w:p w14:paraId="5A5E9207">
            <w:pPr>
              <w:wordWrap w:val="0"/>
              <w:adjustRightInd w:val="0"/>
              <w:snapToGrid w:val="0"/>
              <w:spacing w:line="273" w:lineRule="auto"/>
              <w:ind w:firstLine="0" w:firstLineChars="0"/>
              <w:jc w:val="center"/>
              <w:rPr>
                <w:bCs/>
                <w:color w:val="auto"/>
              </w:rPr>
            </w:pPr>
            <w:r>
              <w:rPr>
                <w:rFonts w:hint="eastAsia"/>
                <w:bCs/>
                <w:color w:val="auto"/>
              </w:rPr>
              <w:t>噪声</w:t>
            </w:r>
          </w:p>
        </w:tc>
        <w:tc>
          <w:tcPr>
            <w:tcW w:w="1223" w:type="pct"/>
            <w:tcBorders>
              <w:top w:val="single" w:color="auto" w:sz="6" w:space="0"/>
              <w:left w:val="single" w:color="auto" w:sz="6" w:space="0"/>
              <w:bottom w:val="single" w:color="auto" w:sz="6" w:space="0"/>
              <w:right w:val="single" w:color="auto" w:sz="6" w:space="0"/>
            </w:tcBorders>
            <w:vAlign w:val="center"/>
          </w:tcPr>
          <w:p w14:paraId="53F6C196">
            <w:pPr>
              <w:wordWrap w:val="0"/>
              <w:adjustRightInd w:val="0"/>
              <w:snapToGrid w:val="0"/>
              <w:spacing w:line="273" w:lineRule="auto"/>
              <w:ind w:firstLine="0" w:firstLineChars="0"/>
              <w:jc w:val="center"/>
              <w:rPr>
                <w:rFonts w:ascii="宋体" w:hAnsi="宋体"/>
                <w:bCs/>
                <w:color w:val="auto"/>
              </w:rPr>
            </w:pPr>
            <w:r>
              <w:rPr>
                <w:rFonts w:hint="eastAsia" w:ascii="宋体" w:hAnsi="宋体"/>
                <w:bCs/>
                <w:color w:val="auto"/>
              </w:rPr>
              <w:t>选择低噪设备，设备基础减振，使用软性连接、隔声等</w:t>
            </w:r>
          </w:p>
        </w:tc>
        <w:tc>
          <w:tcPr>
            <w:tcW w:w="1720" w:type="pct"/>
            <w:tcBorders>
              <w:top w:val="single" w:color="auto" w:sz="6" w:space="0"/>
              <w:left w:val="single" w:color="auto" w:sz="6" w:space="0"/>
              <w:bottom w:val="single" w:color="auto" w:sz="6" w:space="0"/>
              <w:right w:val="single" w:color="auto" w:sz="12" w:space="0"/>
            </w:tcBorders>
            <w:vAlign w:val="center"/>
          </w:tcPr>
          <w:p w14:paraId="554222B9">
            <w:pPr>
              <w:wordWrap w:val="0"/>
              <w:adjustRightInd w:val="0"/>
              <w:snapToGrid w:val="0"/>
              <w:spacing w:line="273" w:lineRule="auto"/>
              <w:ind w:firstLine="0" w:firstLineChars="0"/>
              <w:jc w:val="center"/>
              <w:rPr>
                <w:color w:val="auto"/>
              </w:rPr>
            </w:pPr>
            <w:r>
              <w:rPr>
                <w:rFonts w:hint="eastAsia"/>
                <w:color w:val="auto"/>
              </w:rPr>
              <w:t>《工业企业厂界环境噪声排放标准》（GB12348-2008）3类标准</w:t>
            </w:r>
          </w:p>
        </w:tc>
      </w:tr>
      <w:tr w14:paraId="7DBE8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55" w:hRule="atLeast"/>
        </w:trPr>
        <w:tc>
          <w:tcPr>
            <w:tcW w:w="791" w:type="pct"/>
            <w:tcBorders>
              <w:top w:val="single" w:color="auto" w:sz="6" w:space="0"/>
              <w:left w:val="single" w:color="auto" w:sz="12" w:space="0"/>
              <w:bottom w:val="single" w:color="auto" w:sz="6" w:space="0"/>
              <w:right w:val="single" w:color="auto" w:sz="6" w:space="0"/>
            </w:tcBorders>
            <w:vAlign w:val="center"/>
          </w:tcPr>
          <w:p w14:paraId="18FA2D97">
            <w:pPr>
              <w:wordWrap w:val="0"/>
              <w:adjustRightInd w:val="0"/>
              <w:snapToGrid w:val="0"/>
              <w:spacing w:line="273" w:lineRule="auto"/>
              <w:ind w:firstLine="0" w:firstLineChars="0"/>
              <w:jc w:val="center"/>
              <w:rPr>
                <w:color w:val="auto"/>
              </w:rPr>
            </w:pPr>
            <w:r>
              <w:rPr>
                <w:rFonts w:ascii="宋体" w:hAnsi="宋体"/>
                <w:color w:val="auto"/>
              </w:rPr>
              <w:t>固体废物</w:t>
            </w:r>
          </w:p>
        </w:tc>
        <w:tc>
          <w:tcPr>
            <w:tcW w:w="4208" w:type="pct"/>
            <w:gridSpan w:val="4"/>
            <w:tcBorders>
              <w:top w:val="single" w:color="auto" w:sz="6" w:space="0"/>
              <w:left w:val="single" w:color="auto" w:sz="6" w:space="0"/>
              <w:bottom w:val="single" w:color="auto" w:sz="6" w:space="0"/>
              <w:right w:val="single" w:color="auto" w:sz="12" w:space="0"/>
            </w:tcBorders>
            <w:vAlign w:val="center"/>
          </w:tcPr>
          <w:p w14:paraId="7FE93A84">
            <w:pPr>
              <w:wordWrap w:val="0"/>
              <w:ind w:firstLine="480"/>
              <w:rPr>
                <w:rFonts w:ascii="宋体" w:hAnsi="宋体"/>
                <w:color w:val="auto"/>
              </w:rPr>
            </w:pPr>
            <w:r>
              <w:rPr>
                <w:rFonts w:hint="eastAsia" w:ascii="宋体" w:hAnsi="宋体"/>
                <w:color w:val="auto"/>
              </w:rPr>
              <w:t>生活垃圾：集中收集，</w:t>
            </w:r>
            <w:r>
              <w:rPr>
                <w:rFonts w:hint="eastAsia" w:ascii="宋体" w:hAnsi="宋体"/>
                <w:color w:val="auto"/>
                <w:lang w:val="en-US" w:eastAsia="zh-CN"/>
              </w:rPr>
              <w:t>送垃圾填埋场处置</w:t>
            </w:r>
            <w:r>
              <w:rPr>
                <w:rFonts w:hint="eastAsia" w:ascii="宋体" w:hAnsi="宋体"/>
                <w:color w:val="auto"/>
              </w:rPr>
              <w:t>。</w:t>
            </w:r>
          </w:p>
          <w:p w14:paraId="0CF65491">
            <w:pPr>
              <w:ind w:firstLine="480"/>
              <w:rPr>
                <w:rFonts w:hint="eastAsia"/>
                <w:color w:val="auto"/>
              </w:rPr>
            </w:pPr>
            <w:r>
              <w:rPr>
                <w:rFonts w:hint="eastAsia"/>
                <w:color w:val="auto"/>
                <w:lang w:val="en-US" w:eastAsia="zh-CN"/>
              </w:rPr>
              <w:t>一般工业固废</w:t>
            </w:r>
            <w:r>
              <w:rPr>
                <w:rFonts w:hint="eastAsia"/>
                <w:color w:val="auto"/>
              </w:rPr>
              <w:t>：</w:t>
            </w:r>
            <w:r>
              <w:rPr>
                <w:rFonts w:hint="eastAsia"/>
                <w:color w:val="auto"/>
                <w:lang w:val="en-US" w:eastAsia="zh-CN"/>
              </w:rPr>
              <w:t>全部综合利用</w:t>
            </w:r>
            <w:r>
              <w:rPr>
                <w:rFonts w:hint="eastAsia"/>
                <w:color w:val="auto"/>
              </w:rPr>
              <w:t>。</w:t>
            </w:r>
          </w:p>
          <w:p w14:paraId="31A31F3B">
            <w:pPr>
              <w:ind w:firstLine="480"/>
              <w:rPr>
                <w:rFonts w:hint="default" w:eastAsia="宋体"/>
                <w:color w:val="auto"/>
                <w:lang w:val="en-US" w:eastAsia="zh-CN"/>
              </w:rPr>
            </w:pPr>
            <w:r>
              <w:rPr>
                <w:rFonts w:hint="eastAsia"/>
                <w:color w:val="auto"/>
                <w:lang w:val="en-US" w:eastAsia="zh-CN"/>
              </w:rPr>
              <w:t>危险废物：设危废贮存库，交有资质单位处置。</w:t>
            </w:r>
          </w:p>
        </w:tc>
      </w:tr>
      <w:tr w14:paraId="7D6E6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44" w:hRule="atLeast"/>
        </w:trPr>
        <w:tc>
          <w:tcPr>
            <w:tcW w:w="791" w:type="pct"/>
            <w:tcBorders>
              <w:top w:val="single" w:color="auto" w:sz="6" w:space="0"/>
              <w:left w:val="single" w:color="auto" w:sz="12" w:space="0"/>
              <w:bottom w:val="single" w:color="auto" w:sz="6" w:space="0"/>
              <w:right w:val="single" w:color="auto" w:sz="6" w:space="0"/>
            </w:tcBorders>
            <w:vAlign w:val="center"/>
          </w:tcPr>
          <w:p w14:paraId="423ABED9">
            <w:pPr>
              <w:wordWrap w:val="0"/>
              <w:adjustRightInd w:val="0"/>
              <w:snapToGrid w:val="0"/>
              <w:spacing w:line="273" w:lineRule="auto"/>
              <w:ind w:firstLine="0" w:firstLineChars="0"/>
              <w:jc w:val="center"/>
              <w:rPr>
                <w:color w:val="auto"/>
              </w:rPr>
            </w:pPr>
            <w:r>
              <w:rPr>
                <w:rFonts w:ascii="宋体" w:hAnsi="宋体"/>
                <w:color w:val="auto"/>
              </w:rPr>
              <w:t>土壤及地下水污染防治措施</w:t>
            </w:r>
          </w:p>
        </w:tc>
        <w:tc>
          <w:tcPr>
            <w:tcW w:w="4208" w:type="pct"/>
            <w:gridSpan w:val="4"/>
            <w:tcBorders>
              <w:top w:val="single" w:color="auto" w:sz="6" w:space="0"/>
              <w:left w:val="single" w:color="auto" w:sz="6" w:space="0"/>
              <w:bottom w:val="single" w:color="auto" w:sz="6" w:space="0"/>
              <w:right w:val="single" w:color="auto" w:sz="12" w:space="0"/>
            </w:tcBorders>
            <w:vAlign w:val="center"/>
          </w:tcPr>
          <w:p w14:paraId="12A63A24">
            <w:pPr>
              <w:ind w:firstLine="480"/>
              <w:rPr>
                <w:color w:val="auto"/>
              </w:rPr>
            </w:pPr>
            <w:r>
              <w:rPr>
                <w:rFonts w:hint="eastAsia"/>
                <w:color w:val="auto"/>
                <w:lang w:val="en-US" w:eastAsia="zh-CN"/>
              </w:rPr>
              <w:t>危废贮存库、各厂房、废水管道及个废水池采取分区防渗措施，</w:t>
            </w:r>
            <w:r>
              <w:rPr>
                <w:rFonts w:hint="eastAsia"/>
                <w:color w:val="auto"/>
              </w:rPr>
              <w:t>定期检查，</w:t>
            </w:r>
            <w:r>
              <w:rPr>
                <w:rFonts w:hint="eastAsia"/>
                <w:color w:val="auto"/>
                <w:lang w:val="en-US" w:eastAsia="zh-CN"/>
              </w:rPr>
              <w:t>防范污染物</w:t>
            </w:r>
            <w:r>
              <w:rPr>
                <w:rFonts w:hint="eastAsia"/>
                <w:color w:val="auto"/>
              </w:rPr>
              <w:t>泄漏进入土壤和地下水。</w:t>
            </w:r>
          </w:p>
        </w:tc>
      </w:tr>
      <w:tr w14:paraId="60F53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55" w:hRule="atLeast"/>
        </w:trPr>
        <w:tc>
          <w:tcPr>
            <w:tcW w:w="791" w:type="pct"/>
            <w:tcBorders>
              <w:top w:val="single" w:color="auto" w:sz="6" w:space="0"/>
              <w:left w:val="single" w:color="auto" w:sz="12" w:space="0"/>
              <w:bottom w:val="single" w:color="auto" w:sz="6" w:space="0"/>
              <w:right w:val="single" w:color="auto" w:sz="6" w:space="0"/>
            </w:tcBorders>
            <w:vAlign w:val="center"/>
          </w:tcPr>
          <w:p w14:paraId="390D3616">
            <w:pPr>
              <w:wordWrap w:val="0"/>
              <w:adjustRightInd w:val="0"/>
              <w:snapToGrid w:val="0"/>
              <w:spacing w:line="273" w:lineRule="auto"/>
              <w:ind w:firstLine="0" w:firstLineChars="0"/>
              <w:jc w:val="center"/>
              <w:rPr>
                <w:rFonts w:ascii="宋体" w:hAnsi="宋体"/>
                <w:color w:val="auto"/>
              </w:rPr>
            </w:pPr>
            <w:r>
              <w:rPr>
                <w:rFonts w:hint="eastAsia" w:ascii="宋体" w:hAnsi="宋体"/>
                <w:color w:val="auto"/>
              </w:rPr>
              <w:t>生态保护措施</w:t>
            </w:r>
          </w:p>
        </w:tc>
        <w:tc>
          <w:tcPr>
            <w:tcW w:w="4208" w:type="pct"/>
            <w:gridSpan w:val="4"/>
            <w:tcBorders>
              <w:top w:val="single" w:color="auto" w:sz="6" w:space="0"/>
              <w:left w:val="single" w:color="auto" w:sz="6" w:space="0"/>
              <w:bottom w:val="single" w:color="auto" w:sz="6" w:space="0"/>
              <w:right w:val="single" w:color="auto" w:sz="12" w:space="0"/>
            </w:tcBorders>
            <w:vAlign w:val="center"/>
          </w:tcPr>
          <w:p w14:paraId="080CB34E">
            <w:pPr>
              <w:ind w:firstLine="480"/>
              <w:rPr>
                <w:color w:val="auto"/>
              </w:rPr>
            </w:pPr>
            <w:r>
              <w:rPr>
                <w:rFonts w:hint="eastAsia"/>
                <w:color w:val="auto"/>
              </w:rPr>
              <w:t>本项目位于已建好的</w:t>
            </w:r>
            <w:r>
              <w:rPr>
                <w:rFonts w:hint="eastAsia"/>
                <w:color w:val="auto"/>
                <w:lang w:val="en-US" w:eastAsia="zh-CN"/>
              </w:rPr>
              <w:t>厂</w:t>
            </w:r>
            <w:r>
              <w:rPr>
                <w:rFonts w:hint="eastAsia"/>
                <w:color w:val="auto"/>
              </w:rPr>
              <w:t>房内，只进行设备</w:t>
            </w:r>
            <w:r>
              <w:rPr>
                <w:rFonts w:hint="eastAsia"/>
                <w:color w:val="auto"/>
                <w:lang w:val="en-US" w:eastAsia="zh-CN"/>
              </w:rPr>
              <w:t>安装</w:t>
            </w:r>
            <w:r>
              <w:rPr>
                <w:rFonts w:hint="eastAsia"/>
                <w:color w:val="auto"/>
              </w:rPr>
              <w:t>，对周围生态环境基本无影响。</w:t>
            </w:r>
          </w:p>
        </w:tc>
      </w:tr>
      <w:tr w14:paraId="79AFF0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156" w:hRule="atLeast"/>
        </w:trPr>
        <w:tc>
          <w:tcPr>
            <w:tcW w:w="791" w:type="pct"/>
            <w:tcBorders>
              <w:top w:val="single" w:color="auto" w:sz="6" w:space="0"/>
              <w:left w:val="single" w:color="auto" w:sz="12" w:space="0"/>
              <w:bottom w:val="single" w:color="auto" w:sz="6" w:space="0"/>
              <w:right w:val="single" w:color="auto" w:sz="6" w:space="0"/>
            </w:tcBorders>
            <w:vAlign w:val="center"/>
          </w:tcPr>
          <w:p w14:paraId="53F183CE">
            <w:pPr>
              <w:wordWrap w:val="0"/>
              <w:adjustRightInd w:val="0"/>
              <w:snapToGrid w:val="0"/>
              <w:spacing w:line="273" w:lineRule="auto"/>
              <w:ind w:firstLine="0" w:firstLineChars="0"/>
              <w:jc w:val="center"/>
              <w:rPr>
                <w:rFonts w:ascii="宋体" w:hAnsi="宋体"/>
                <w:color w:val="auto"/>
              </w:rPr>
            </w:pPr>
            <w:r>
              <w:rPr>
                <w:rFonts w:hint="eastAsia" w:ascii="宋体" w:hAnsi="宋体"/>
                <w:color w:val="auto"/>
              </w:rPr>
              <w:t>环境风险</w:t>
            </w:r>
          </w:p>
          <w:p w14:paraId="180608CD">
            <w:pPr>
              <w:wordWrap w:val="0"/>
              <w:adjustRightInd w:val="0"/>
              <w:snapToGrid w:val="0"/>
              <w:spacing w:line="273" w:lineRule="auto"/>
              <w:ind w:firstLine="0" w:firstLineChars="0"/>
              <w:jc w:val="center"/>
              <w:rPr>
                <w:rFonts w:ascii="宋体" w:hAnsi="宋体"/>
                <w:color w:val="auto"/>
              </w:rPr>
            </w:pPr>
            <w:r>
              <w:rPr>
                <w:rFonts w:hint="eastAsia" w:ascii="宋体" w:hAnsi="宋体"/>
                <w:color w:val="auto"/>
              </w:rPr>
              <w:t>防范措施</w:t>
            </w:r>
          </w:p>
        </w:tc>
        <w:tc>
          <w:tcPr>
            <w:tcW w:w="4208" w:type="pct"/>
            <w:gridSpan w:val="4"/>
            <w:tcBorders>
              <w:top w:val="single" w:color="auto" w:sz="6" w:space="0"/>
              <w:left w:val="single" w:color="auto" w:sz="6" w:space="0"/>
              <w:bottom w:val="single" w:color="auto" w:sz="6" w:space="0"/>
              <w:right w:val="single" w:color="auto" w:sz="12" w:space="0"/>
            </w:tcBorders>
            <w:vAlign w:val="center"/>
          </w:tcPr>
          <w:p w14:paraId="6AC375C0">
            <w:pPr>
              <w:ind w:firstLine="480"/>
              <w:rPr>
                <w:color w:val="auto"/>
              </w:rPr>
            </w:pPr>
            <w:r>
              <w:rPr>
                <w:rFonts w:hint="eastAsia"/>
                <w:color w:val="auto"/>
              </w:rPr>
              <w:t>设消防系统、可燃气体泄漏报警装置。加</w:t>
            </w:r>
            <w:r>
              <w:rPr>
                <w:color w:val="auto"/>
              </w:rPr>
              <w:t>强管理，</w:t>
            </w:r>
            <w:r>
              <w:rPr>
                <w:rFonts w:hint="eastAsia"/>
                <w:color w:val="auto"/>
                <w:lang w:val="en-US" w:eastAsia="zh-CN"/>
              </w:rPr>
              <w:t>各场所严禁烟火（生产、安全需要的除外），</w:t>
            </w:r>
            <w:r>
              <w:rPr>
                <w:color w:val="auto"/>
              </w:rPr>
              <w:t>加强</w:t>
            </w:r>
            <w:r>
              <w:rPr>
                <w:rFonts w:hint="eastAsia"/>
                <w:color w:val="auto"/>
                <w:lang w:val="en-US" w:eastAsia="zh-CN"/>
              </w:rPr>
              <w:t>风险防范</w:t>
            </w:r>
            <w:r>
              <w:rPr>
                <w:rFonts w:hint="eastAsia"/>
                <w:color w:val="auto"/>
              </w:rPr>
              <w:t>设施设备</w:t>
            </w:r>
            <w:r>
              <w:rPr>
                <w:color w:val="auto"/>
              </w:rPr>
              <w:t>检查，定期</w:t>
            </w:r>
            <w:r>
              <w:rPr>
                <w:rFonts w:hint="eastAsia"/>
                <w:color w:val="auto"/>
              </w:rPr>
              <w:t>维修保养</w:t>
            </w:r>
            <w:r>
              <w:rPr>
                <w:color w:val="auto"/>
              </w:rPr>
              <w:t>，按</w:t>
            </w:r>
            <w:r>
              <w:rPr>
                <w:rFonts w:hint="eastAsia"/>
                <w:color w:val="auto"/>
              </w:rPr>
              <w:t>规程</w:t>
            </w:r>
            <w:r>
              <w:rPr>
                <w:color w:val="auto"/>
              </w:rPr>
              <w:t>操作</w:t>
            </w:r>
            <w:r>
              <w:rPr>
                <w:rFonts w:hint="eastAsia"/>
                <w:color w:val="auto"/>
              </w:rPr>
              <w:t>。</w:t>
            </w:r>
          </w:p>
        </w:tc>
      </w:tr>
      <w:tr w14:paraId="0C2AC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717" w:hRule="atLeast"/>
        </w:trPr>
        <w:tc>
          <w:tcPr>
            <w:tcW w:w="791" w:type="pct"/>
            <w:tcBorders>
              <w:top w:val="single" w:color="auto" w:sz="6" w:space="0"/>
              <w:left w:val="single" w:color="auto" w:sz="12" w:space="0"/>
              <w:bottom w:val="single" w:color="auto" w:sz="12" w:space="0"/>
              <w:right w:val="single" w:color="auto" w:sz="6" w:space="0"/>
            </w:tcBorders>
            <w:vAlign w:val="center"/>
          </w:tcPr>
          <w:p w14:paraId="467F7AE0">
            <w:pPr>
              <w:wordWrap w:val="0"/>
              <w:adjustRightInd w:val="0"/>
              <w:snapToGrid w:val="0"/>
              <w:spacing w:line="273" w:lineRule="auto"/>
              <w:ind w:firstLine="0" w:firstLineChars="0"/>
              <w:jc w:val="center"/>
              <w:rPr>
                <w:color w:val="auto"/>
                <w:spacing w:val="-8"/>
              </w:rPr>
            </w:pPr>
            <w:r>
              <w:rPr>
                <w:rFonts w:ascii="宋体" w:hAnsi="宋体"/>
                <w:color w:val="auto"/>
                <w:spacing w:val="-8"/>
              </w:rPr>
              <w:t>其他环境</w:t>
            </w:r>
          </w:p>
          <w:p w14:paraId="31CFE0B7">
            <w:pPr>
              <w:wordWrap w:val="0"/>
              <w:adjustRightInd w:val="0"/>
              <w:snapToGrid w:val="0"/>
              <w:spacing w:line="273" w:lineRule="auto"/>
              <w:ind w:firstLine="0" w:firstLineChars="0"/>
              <w:jc w:val="center"/>
              <w:rPr>
                <w:color w:val="auto"/>
                <w:spacing w:val="-8"/>
              </w:rPr>
            </w:pPr>
            <w:r>
              <w:rPr>
                <w:rFonts w:ascii="宋体" w:hAnsi="宋体"/>
                <w:color w:val="auto"/>
                <w:spacing w:val="-8"/>
              </w:rPr>
              <w:t>管理要求</w:t>
            </w:r>
          </w:p>
        </w:tc>
        <w:tc>
          <w:tcPr>
            <w:tcW w:w="4208" w:type="pct"/>
            <w:gridSpan w:val="4"/>
            <w:tcBorders>
              <w:top w:val="single" w:color="auto" w:sz="6" w:space="0"/>
              <w:left w:val="single" w:color="auto" w:sz="6" w:space="0"/>
              <w:bottom w:val="single" w:color="auto" w:sz="12" w:space="0"/>
              <w:right w:val="single" w:color="auto" w:sz="12" w:space="0"/>
            </w:tcBorders>
            <w:vAlign w:val="center"/>
          </w:tcPr>
          <w:p w14:paraId="0E19A6BE">
            <w:pPr>
              <w:numPr>
                <w:ilvl w:val="0"/>
                <w:numId w:val="9"/>
              </w:numPr>
              <w:wordWrap w:val="0"/>
              <w:ind w:left="0" w:firstLine="480"/>
              <w:rPr>
                <w:color w:val="auto"/>
              </w:rPr>
            </w:pPr>
            <w:r>
              <w:rPr>
                <w:color w:val="auto"/>
              </w:rPr>
              <w:t>项目建成后</w:t>
            </w:r>
            <w:r>
              <w:rPr>
                <w:rFonts w:hint="eastAsia"/>
                <w:color w:val="auto"/>
                <w:lang w:eastAsia="zh-CN"/>
              </w:rPr>
              <w:t>，</w:t>
            </w:r>
            <w:r>
              <w:rPr>
                <w:color w:val="auto"/>
              </w:rPr>
              <w:t>及时进行竣工环保验收，验收合格后方可正式生产</w:t>
            </w:r>
            <w:r>
              <w:rPr>
                <w:rFonts w:hint="eastAsia"/>
                <w:color w:val="auto"/>
              </w:rPr>
              <w:t>。</w:t>
            </w:r>
          </w:p>
          <w:p w14:paraId="3D4DFF9C">
            <w:pPr>
              <w:numPr>
                <w:ilvl w:val="0"/>
                <w:numId w:val="9"/>
              </w:numPr>
              <w:wordWrap w:val="0"/>
              <w:ind w:left="0" w:firstLine="480"/>
              <w:rPr>
                <w:color w:val="auto"/>
              </w:rPr>
            </w:pPr>
            <w:r>
              <w:rPr>
                <w:color w:val="auto"/>
              </w:rPr>
              <w:t>项目建成投产前</w:t>
            </w:r>
            <w:r>
              <w:rPr>
                <w:rFonts w:hint="eastAsia"/>
                <w:color w:val="auto"/>
                <w:lang w:eastAsia="zh-CN"/>
              </w:rPr>
              <w:t>，</w:t>
            </w:r>
            <w:r>
              <w:rPr>
                <w:color w:val="auto"/>
              </w:rPr>
              <w:t>应</w:t>
            </w:r>
            <w:r>
              <w:rPr>
                <w:rFonts w:hint="eastAsia"/>
                <w:color w:val="auto"/>
                <w:lang w:val="en-US" w:eastAsia="zh-CN"/>
              </w:rPr>
              <w:t>申请领取</w:t>
            </w:r>
            <w:r>
              <w:rPr>
                <w:color w:val="auto"/>
              </w:rPr>
              <w:t>排污许可证。</w:t>
            </w:r>
          </w:p>
          <w:p w14:paraId="6FA485AB">
            <w:pPr>
              <w:numPr>
                <w:ilvl w:val="0"/>
                <w:numId w:val="9"/>
              </w:numPr>
              <w:wordWrap w:val="0"/>
              <w:ind w:left="0" w:firstLine="480"/>
              <w:rPr>
                <w:color w:val="auto"/>
              </w:rPr>
            </w:pPr>
            <w:r>
              <w:rPr>
                <w:rFonts w:hint="eastAsia"/>
                <w:color w:val="auto"/>
                <w:lang w:eastAsia="zh-CN"/>
              </w:rPr>
              <w:t>项目投产前，</w:t>
            </w:r>
            <w:r>
              <w:rPr>
                <w:rFonts w:hint="eastAsia"/>
                <w:color w:val="auto"/>
                <w:lang w:val="en-US" w:eastAsia="zh-CN"/>
              </w:rPr>
              <w:t>编制</w:t>
            </w:r>
            <w:r>
              <w:rPr>
                <w:rFonts w:hint="eastAsia"/>
                <w:color w:val="auto"/>
                <w:lang w:eastAsia="zh-CN"/>
              </w:rPr>
              <w:t>突发环境事件应急预案</w:t>
            </w:r>
            <w:r>
              <w:rPr>
                <w:rFonts w:hint="eastAsia"/>
                <w:color w:val="auto"/>
                <w:lang w:val="en-US" w:eastAsia="zh-CN"/>
              </w:rPr>
              <w:t>并报当地生态环境主管部门备案</w:t>
            </w:r>
            <w:r>
              <w:rPr>
                <w:rFonts w:hint="eastAsia"/>
                <w:color w:val="auto"/>
                <w:lang w:eastAsia="zh-CN"/>
              </w:rPr>
              <w:t>。</w:t>
            </w:r>
          </w:p>
          <w:p w14:paraId="5C7419E3">
            <w:pPr>
              <w:ind w:firstLine="480"/>
              <w:rPr>
                <w:color w:val="auto"/>
              </w:rPr>
            </w:pPr>
          </w:p>
          <w:p w14:paraId="76B041A3">
            <w:pPr>
              <w:ind w:firstLine="480"/>
              <w:rPr>
                <w:color w:val="auto"/>
              </w:rPr>
            </w:pPr>
          </w:p>
          <w:p w14:paraId="3AEBA587">
            <w:pPr>
              <w:ind w:firstLine="480"/>
              <w:rPr>
                <w:color w:val="auto"/>
              </w:rPr>
            </w:pPr>
          </w:p>
          <w:p w14:paraId="40C17A83">
            <w:pPr>
              <w:ind w:firstLine="480"/>
              <w:rPr>
                <w:color w:val="auto"/>
              </w:rPr>
            </w:pPr>
          </w:p>
          <w:p w14:paraId="3D48C6EE">
            <w:pPr>
              <w:ind w:firstLine="480"/>
              <w:rPr>
                <w:color w:val="auto"/>
              </w:rPr>
            </w:pPr>
          </w:p>
          <w:p w14:paraId="11BE691B">
            <w:pPr>
              <w:ind w:firstLine="480"/>
              <w:rPr>
                <w:color w:val="auto"/>
              </w:rPr>
            </w:pPr>
          </w:p>
          <w:p w14:paraId="3D80FBA4">
            <w:pPr>
              <w:ind w:firstLine="480"/>
              <w:rPr>
                <w:color w:val="auto"/>
              </w:rPr>
            </w:pPr>
          </w:p>
          <w:p w14:paraId="18CFD91C">
            <w:pPr>
              <w:ind w:firstLine="480"/>
              <w:rPr>
                <w:color w:val="auto"/>
              </w:rPr>
            </w:pPr>
          </w:p>
          <w:p w14:paraId="2E16E11F">
            <w:pPr>
              <w:ind w:firstLine="480"/>
              <w:rPr>
                <w:color w:val="auto"/>
              </w:rPr>
            </w:pPr>
          </w:p>
          <w:p w14:paraId="60E78823">
            <w:pPr>
              <w:ind w:left="0" w:leftChars="0" w:firstLine="0" w:firstLineChars="0"/>
              <w:rPr>
                <w:color w:val="auto"/>
              </w:rPr>
            </w:pPr>
          </w:p>
        </w:tc>
      </w:tr>
    </w:tbl>
    <w:p w14:paraId="3233DD8C">
      <w:pPr>
        <w:ind w:firstLine="0" w:firstLineChars="0"/>
        <w:rPr>
          <w:color w:val="auto"/>
        </w:rPr>
        <w:sectPr>
          <w:pgSz w:w="11906" w:h="16838"/>
          <w:pgMar w:top="1531" w:right="1304" w:bottom="1531" w:left="1304" w:header="851" w:footer="851" w:gutter="0"/>
          <w:pgBorders>
            <w:top w:val="none" w:sz="0" w:space="0"/>
            <w:left w:val="none" w:sz="0" w:space="0"/>
            <w:bottom w:val="none" w:sz="0" w:space="0"/>
            <w:right w:val="none" w:sz="0" w:space="0"/>
          </w:pgBorders>
          <w:cols w:space="720" w:num="1"/>
          <w:docGrid w:linePitch="312" w:charSpace="0"/>
        </w:sectPr>
      </w:pPr>
    </w:p>
    <w:p w14:paraId="524AF41D">
      <w:pPr>
        <w:pStyle w:val="7"/>
        <w:numPr>
          <w:ilvl w:val="0"/>
          <w:numId w:val="0"/>
        </w:numPr>
        <w:ind w:left="425" w:leftChars="0" w:firstLine="0" w:firstLineChars="0"/>
        <w:rPr>
          <w:color w:val="auto"/>
        </w:rPr>
      </w:pPr>
      <w:r>
        <w:rPr>
          <w:rFonts w:hint="eastAsia" w:ascii="Times New Roman" w:hAnsi="Times New Roman" w:eastAsia="黑体"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6</w:t>
      </w:r>
      <w:r>
        <w:rPr>
          <w:rFonts w:hint="eastAsia"/>
          <w:color w:val="auto"/>
        </w:rPr>
        <w:t>六、结论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14:paraId="21D6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atLeast"/>
        </w:trPr>
        <w:tc>
          <w:tcPr>
            <w:tcW w:w="9514" w:type="dxa"/>
            <w:vAlign w:val="center"/>
          </w:tcPr>
          <w:p w14:paraId="0617307A">
            <w:pPr>
              <w:ind w:firstLine="480"/>
              <w:rPr>
                <w:color w:val="auto"/>
              </w:rPr>
            </w:pPr>
            <w:r>
              <w:rPr>
                <w:rFonts w:hint="eastAsia"/>
                <w:color w:val="auto"/>
              </w:rPr>
              <w:t>本项目符合国家产业政策、符合相关规划、选址可行。项目建成运行后，在落实项目环评报告提出的各项污染防治措施情况下，各项污染物可达标排放；从环境保护角度分析，本项目环境影响可行。</w:t>
            </w:r>
          </w:p>
        </w:tc>
      </w:tr>
    </w:tbl>
    <w:p w14:paraId="05A931EE">
      <w:pPr>
        <w:ind w:firstLine="0" w:firstLineChars="0"/>
        <w:rPr>
          <w:color w:val="auto"/>
        </w:rPr>
        <w:sectPr>
          <w:pgSz w:w="11906" w:h="16838"/>
          <w:pgMar w:top="1531" w:right="1304" w:bottom="1531" w:left="1304" w:header="851" w:footer="851" w:gutter="0"/>
          <w:pgBorders>
            <w:top w:val="none" w:sz="0" w:space="0"/>
            <w:left w:val="none" w:sz="0" w:space="0"/>
            <w:bottom w:val="none" w:sz="0" w:space="0"/>
            <w:right w:val="none" w:sz="0" w:space="0"/>
          </w:pgBorders>
          <w:cols w:space="720" w:num="1"/>
          <w:docGrid w:linePitch="312" w:charSpace="0"/>
        </w:sectPr>
      </w:pPr>
    </w:p>
    <w:p w14:paraId="77A0652D">
      <w:pPr>
        <w:spacing w:line="240" w:lineRule="auto"/>
        <w:ind w:firstLine="480"/>
        <w:rPr>
          <w:color w:val="auto"/>
        </w:rPr>
      </w:pPr>
      <w:bookmarkStart w:id="3" w:name="_Toc13230"/>
      <w:bookmarkEnd w:id="3"/>
      <w:bookmarkStart w:id="4" w:name="_Toc22714"/>
      <w:r>
        <w:rPr>
          <w:rFonts w:hint="eastAsia" w:ascii="黑体" w:hAnsi="黑体" w:eastAsia="黑体" w:cs="黑体"/>
          <w:color w:val="auto"/>
        </w:rPr>
        <w:t>附表</w:t>
      </w:r>
      <w:bookmarkEnd w:id="4"/>
    </w:p>
    <w:p w14:paraId="280A2AD0">
      <w:pPr>
        <w:pStyle w:val="14"/>
        <w:spacing w:line="240" w:lineRule="auto"/>
        <w:ind w:firstLine="482"/>
        <w:jc w:val="center"/>
        <w:rPr>
          <w:b/>
          <w:bCs/>
          <w:color w:val="auto"/>
          <w:highlight w:val="none"/>
        </w:rPr>
      </w:pPr>
      <w:r>
        <w:rPr>
          <w:rFonts w:hint="eastAsia" w:hAnsi="宋体"/>
          <w:b/>
          <w:bCs/>
          <w:color w:val="auto"/>
          <w:highlight w:val="none"/>
        </w:rPr>
        <w:t>建设项目污染物排放量汇总表</w:t>
      </w:r>
    </w:p>
    <w:tbl>
      <w:tblPr>
        <w:tblStyle w:val="24"/>
        <w:tblW w:w="5000" w:type="pct"/>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916"/>
        <w:gridCol w:w="1432"/>
        <w:gridCol w:w="1232"/>
        <w:gridCol w:w="1465"/>
        <w:gridCol w:w="1548"/>
        <w:gridCol w:w="1443"/>
        <w:gridCol w:w="1911"/>
        <w:gridCol w:w="1338"/>
      </w:tblGrid>
      <w:tr w14:paraId="78D9A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tcBorders>
              <w:top w:val="single" w:color="auto" w:sz="8" w:space="0"/>
              <w:left w:val="single" w:color="auto" w:sz="8" w:space="0"/>
              <w:bottom w:val="single" w:color="auto" w:sz="8" w:space="0"/>
              <w:right w:val="single" w:color="auto" w:sz="4" w:space="0"/>
              <w:tl2br w:val="single" w:color="auto" w:sz="4" w:space="0"/>
            </w:tcBorders>
            <w:tcMar>
              <w:top w:w="0" w:type="dxa"/>
              <w:left w:w="28" w:type="dxa"/>
              <w:bottom w:w="0" w:type="dxa"/>
              <w:right w:w="28" w:type="dxa"/>
            </w:tcMar>
            <w:vAlign w:val="center"/>
          </w:tcPr>
          <w:p w14:paraId="324F1331">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jc w:val="right"/>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项目</w:t>
            </w:r>
          </w:p>
          <w:p w14:paraId="21ACA790">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jc w:val="left"/>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分类</w:t>
            </w: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B1720A9">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污染物名称</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9D6E58D">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现有工程</w:t>
            </w:r>
          </w:p>
          <w:p w14:paraId="0D33AD83">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排放量（固体废物产生量）</w:t>
            </w:r>
            <w:r>
              <w:rPr>
                <w:rFonts w:hint="eastAsia"/>
                <w:color w:val="auto"/>
                <w:spacing w:val="-6"/>
                <w:kern w:val="21"/>
              </w:rPr>
              <w:t>①</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DB69308">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现有工程</w:t>
            </w:r>
          </w:p>
          <w:p w14:paraId="739DD8F7">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许可排放量</w:t>
            </w:r>
          </w:p>
          <w:p w14:paraId="6467D4B0">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hint="eastAsia"/>
                <w:color w:val="auto"/>
                <w:spacing w:val="-6"/>
                <w:kern w:val="21"/>
              </w:rPr>
              <w:t>②</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774347F">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在建工程</w:t>
            </w:r>
          </w:p>
          <w:p w14:paraId="483E8594">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排放量（固体废物产生量）</w:t>
            </w:r>
            <w:r>
              <w:rPr>
                <w:rFonts w:hint="eastAsia"/>
                <w:color w:val="auto"/>
                <w:spacing w:val="-6"/>
                <w:kern w:val="21"/>
              </w:rPr>
              <w:t>③</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0DD2F67">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本项目</w:t>
            </w:r>
          </w:p>
          <w:p w14:paraId="2D883E41">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排放量（固体废物产生量）</w:t>
            </w:r>
            <w:r>
              <w:rPr>
                <w:rFonts w:hint="eastAsia"/>
                <w:color w:val="auto"/>
                <w:spacing w:val="-6"/>
                <w:kern w:val="21"/>
              </w:rPr>
              <w:t>④</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B18EC95">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16"/>
                <w:kern w:val="21"/>
              </w:rPr>
            </w:pPr>
            <w:r>
              <w:rPr>
                <w:rFonts w:ascii="黑体" w:hAnsi="黑体" w:eastAsia="黑体" w:cs="Times New Roman"/>
                <w:color w:val="auto"/>
                <w:spacing w:val="-16"/>
                <w:kern w:val="21"/>
              </w:rPr>
              <w:t>以新带老削减量</w:t>
            </w:r>
          </w:p>
          <w:p w14:paraId="0C89EC4C">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16"/>
                <w:kern w:val="21"/>
              </w:rPr>
            </w:pPr>
            <w:r>
              <w:rPr>
                <w:rFonts w:ascii="黑体" w:hAnsi="黑体" w:eastAsia="黑体" w:cs="Times New Roman"/>
                <w:color w:val="auto"/>
                <w:spacing w:val="-16"/>
                <w:kern w:val="21"/>
              </w:rPr>
              <w:t>（新建项目不填）</w:t>
            </w:r>
            <w:r>
              <w:rPr>
                <w:rFonts w:hint="eastAsia"/>
                <w:color w:val="auto"/>
                <w:spacing w:val="-16"/>
                <w:kern w:val="21"/>
              </w:rPr>
              <w:t>⑤</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D0C6B07">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16"/>
                <w:kern w:val="21"/>
              </w:rPr>
            </w:pPr>
            <w:r>
              <w:rPr>
                <w:rFonts w:ascii="黑体" w:hAnsi="黑体" w:eastAsia="黑体" w:cs="Times New Roman"/>
                <w:color w:val="auto"/>
                <w:spacing w:val="-16"/>
                <w:kern w:val="21"/>
              </w:rPr>
              <w:t>本项目建成后</w:t>
            </w:r>
          </w:p>
          <w:p w14:paraId="56C0A926">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16"/>
                <w:kern w:val="21"/>
              </w:rPr>
            </w:pPr>
            <w:r>
              <w:rPr>
                <w:rFonts w:ascii="黑体" w:hAnsi="黑体" w:eastAsia="黑体" w:cs="Times New Roman"/>
                <w:color w:val="auto"/>
                <w:spacing w:val="-16"/>
                <w:kern w:val="21"/>
              </w:rPr>
              <w:t>全厂排放量（固体废物产生量）</w:t>
            </w:r>
            <w:r>
              <w:rPr>
                <w:rFonts w:hint="eastAsia"/>
                <w:color w:val="auto"/>
                <w:spacing w:val="-16"/>
                <w:kern w:val="21"/>
              </w:rPr>
              <w:t>⑥</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3962B1C1">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ascii="黑体" w:hAnsi="黑体" w:eastAsia="黑体" w:cs="Times New Roman"/>
                <w:color w:val="auto"/>
                <w:spacing w:val="-6"/>
                <w:kern w:val="21"/>
              </w:rPr>
              <w:t>变化量</w:t>
            </w:r>
          </w:p>
          <w:p w14:paraId="2A98EE44">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Times New Roman" w:hAnsi="Times New Roman" w:eastAsia="黑体" w:cs="Times New Roman"/>
                <w:color w:val="auto"/>
                <w:spacing w:val="-6"/>
                <w:kern w:val="21"/>
              </w:rPr>
            </w:pPr>
            <w:r>
              <w:rPr>
                <w:rFonts w:hint="eastAsia"/>
                <w:color w:val="auto"/>
                <w:spacing w:val="-6"/>
                <w:kern w:val="21"/>
              </w:rPr>
              <w:t>⑦</w:t>
            </w:r>
          </w:p>
        </w:tc>
      </w:tr>
      <w:tr w14:paraId="45543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tcBorders>
              <w:top w:val="single" w:color="auto" w:sz="8" w:space="0"/>
              <w:left w:val="single" w:color="auto" w:sz="8" w:space="0"/>
              <w:right w:val="single" w:color="auto" w:sz="4" w:space="0"/>
            </w:tcBorders>
            <w:tcMar>
              <w:top w:w="0" w:type="dxa"/>
              <w:left w:w="28" w:type="dxa"/>
              <w:bottom w:w="0" w:type="dxa"/>
              <w:right w:w="28" w:type="dxa"/>
            </w:tcMar>
            <w:vAlign w:val="center"/>
          </w:tcPr>
          <w:p w14:paraId="3421B321">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ascii="黑体" w:hAnsi="黑体" w:eastAsia="黑体" w:cs="Times New Roman"/>
                <w:color w:val="auto"/>
                <w:spacing w:val="-6"/>
                <w:kern w:val="21"/>
              </w:rPr>
            </w:pPr>
            <w:r>
              <w:rPr>
                <w:rFonts w:hint="eastAsia" w:cs="Times New Roman"/>
                <w:color w:val="auto"/>
                <w:kern w:val="21"/>
              </w:rPr>
              <w:t>废气</w:t>
            </w: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7B36A4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SO</w:t>
            </w:r>
            <w:r>
              <w:rPr>
                <w:rFonts w:hint="eastAsia" w:hAnsi="宋体"/>
                <w:color w:val="auto"/>
                <w:kern w:val="21"/>
                <w:sz w:val="21"/>
                <w:szCs w:val="21"/>
                <w:vertAlign w:val="subscript"/>
              </w:rPr>
              <w:t>2</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08D46CA">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8EB469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8C14644">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1B51EAE">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highlight w:val="yellow"/>
              </w:rPr>
            </w:pPr>
            <w:r>
              <w:rPr>
                <w:rFonts w:hint="eastAsia" w:hAnsi="宋体"/>
                <w:color w:val="auto"/>
                <w:kern w:val="21"/>
                <w:sz w:val="21"/>
                <w:szCs w:val="21"/>
                <w:highlight w:val="none"/>
                <w:lang w:val="en-US" w:eastAsia="zh-CN"/>
              </w:rPr>
              <w:t>2.94</w:t>
            </w:r>
            <w:r>
              <w:rPr>
                <w:rFonts w:hint="eastAsia" w:hAnsi="宋体"/>
                <w:color w:val="auto"/>
                <w:kern w:val="21"/>
                <w:sz w:val="21"/>
                <w:szCs w:val="21"/>
                <w:highlight w:val="none"/>
              </w:rPr>
              <w:t>t/a</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2D8D933">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highlight w:val="none"/>
              </w:rPr>
            </w:pPr>
            <w:r>
              <w:rPr>
                <w:rFonts w:hint="eastAsia" w:hAnsi="宋体"/>
                <w:color w:val="auto"/>
                <w:kern w:val="21"/>
                <w:sz w:val="21"/>
                <w:szCs w:val="21"/>
                <w:highlight w:val="none"/>
              </w:rPr>
              <w:t>/</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773DF89">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center"/>
              <w:textAlignment w:val="auto"/>
              <w:rPr>
                <w:rFonts w:hAnsi="宋体"/>
                <w:color w:val="auto"/>
                <w:kern w:val="21"/>
                <w:sz w:val="21"/>
                <w:szCs w:val="21"/>
                <w:highlight w:val="yellow"/>
              </w:rPr>
            </w:pPr>
            <w:r>
              <w:rPr>
                <w:rFonts w:hint="eastAsia" w:hAnsi="宋体"/>
                <w:color w:val="auto"/>
                <w:kern w:val="21"/>
                <w:sz w:val="21"/>
                <w:szCs w:val="21"/>
                <w:highlight w:val="none"/>
                <w:lang w:val="en-US" w:eastAsia="zh-CN"/>
              </w:rPr>
              <w:t>2.94</w:t>
            </w:r>
            <w:r>
              <w:rPr>
                <w:rFonts w:hint="eastAsia" w:hAnsi="宋体"/>
                <w:color w:val="auto"/>
                <w:kern w:val="21"/>
                <w:sz w:val="21"/>
                <w:szCs w:val="21"/>
                <w:highlight w:val="none"/>
              </w:rPr>
              <w:t>t/a</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7999E773">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center"/>
              <w:textAlignment w:val="auto"/>
              <w:rPr>
                <w:rFonts w:hAnsi="宋体"/>
                <w:color w:val="auto"/>
                <w:kern w:val="21"/>
                <w:sz w:val="21"/>
                <w:szCs w:val="21"/>
                <w:highlight w:val="yellow"/>
              </w:rPr>
            </w:pPr>
            <w:r>
              <w:rPr>
                <w:rFonts w:hint="eastAsia" w:hAnsi="宋体"/>
                <w:color w:val="auto"/>
                <w:kern w:val="21"/>
                <w:sz w:val="21"/>
                <w:szCs w:val="21"/>
                <w:highlight w:val="none"/>
                <w:lang w:val="en-US" w:eastAsia="zh-CN"/>
              </w:rPr>
              <w:t>+2.94</w:t>
            </w:r>
            <w:r>
              <w:rPr>
                <w:rFonts w:hint="eastAsia" w:hAnsi="宋体"/>
                <w:color w:val="auto"/>
                <w:kern w:val="21"/>
                <w:sz w:val="21"/>
                <w:szCs w:val="21"/>
                <w:highlight w:val="none"/>
              </w:rPr>
              <w:t>t/a</w:t>
            </w:r>
          </w:p>
        </w:tc>
      </w:tr>
      <w:tr w14:paraId="1A929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tcMar>
              <w:top w:w="0" w:type="dxa"/>
              <w:left w:w="28" w:type="dxa"/>
              <w:bottom w:w="0" w:type="dxa"/>
              <w:right w:w="28" w:type="dxa"/>
            </w:tcMar>
            <w:vAlign w:val="center"/>
          </w:tcPr>
          <w:p w14:paraId="7085E2C4">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cs="Times New Roman"/>
                <w:color w:val="auto"/>
                <w:kern w:val="21"/>
              </w:rPr>
            </w:pP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359663E">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NO</w:t>
            </w:r>
            <w:r>
              <w:rPr>
                <w:rFonts w:hint="eastAsia" w:hAnsi="宋体"/>
                <w:color w:val="auto"/>
                <w:kern w:val="21"/>
                <w:sz w:val="21"/>
                <w:szCs w:val="21"/>
                <w:vertAlign w:val="subscript"/>
              </w:rPr>
              <w:t>X</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4E93D13">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9F85DDE">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8FC01EE">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BD7C397">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5.66</w:t>
            </w:r>
            <w:r>
              <w:rPr>
                <w:rFonts w:hint="eastAsia" w:hAnsi="宋体"/>
                <w:color w:val="auto"/>
                <w:kern w:val="21"/>
                <w:sz w:val="21"/>
                <w:szCs w:val="21"/>
              </w:rPr>
              <w:t>t/a</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308C61F">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0F57438">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5.66</w:t>
            </w:r>
            <w:r>
              <w:rPr>
                <w:rFonts w:hint="eastAsia" w:hAnsi="宋体"/>
                <w:color w:val="auto"/>
                <w:kern w:val="21"/>
                <w:sz w:val="21"/>
                <w:szCs w:val="21"/>
              </w:rPr>
              <w:t>t/a</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0EAE3F66">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+5.66</w:t>
            </w:r>
            <w:r>
              <w:rPr>
                <w:rFonts w:hint="eastAsia" w:hAnsi="宋体"/>
                <w:color w:val="auto"/>
                <w:kern w:val="21"/>
                <w:sz w:val="21"/>
                <w:szCs w:val="21"/>
              </w:rPr>
              <w:t>t/a</w:t>
            </w:r>
          </w:p>
        </w:tc>
      </w:tr>
      <w:tr w14:paraId="0A0E4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tcMar>
              <w:top w:w="0" w:type="dxa"/>
              <w:left w:w="28" w:type="dxa"/>
              <w:bottom w:w="0" w:type="dxa"/>
              <w:right w:w="28" w:type="dxa"/>
            </w:tcMar>
            <w:vAlign w:val="center"/>
          </w:tcPr>
          <w:p w14:paraId="24DC34A4">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cs="Times New Roman"/>
                <w:color w:val="auto"/>
                <w:kern w:val="21"/>
              </w:rPr>
            </w:pP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8D5842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颗粒物</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6FF6ED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220EB91">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DB47BEA">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9501FE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31.44</w:t>
            </w:r>
            <w:r>
              <w:rPr>
                <w:rFonts w:hint="eastAsia" w:hAnsi="宋体"/>
                <w:color w:val="auto"/>
                <w:kern w:val="21"/>
                <w:sz w:val="21"/>
                <w:szCs w:val="21"/>
              </w:rPr>
              <w:t>t/a</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000681C">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15D7E7A">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31.44</w:t>
            </w:r>
            <w:r>
              <w:rPr>
                <w:rFonts w:hint="eastAsia" w:hAnsi="宋体"/>
                <w:color w:val="auto"/>
                <w:kern w:val="21"/>
                <w:sz w:val="21"/>
                <w:szCs w:val="21"/>
              </w:rPr>
              <w:t>t/a</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50224747">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+31.44</w:t>
            </w:r>
            <w:r>
              <w:rPr>
                <w:rFonts w:hint="eastAsia" w:hAnsi="宋体"/>
                <w:color w:val="auto"/>
                <w:kern w:val="21"/>
                <w:sz w:val="21"/>
                <w:szCs w:val="21"/>
              </w:rPr>
              <w:t>t/a</w:t>
            </w:r>
          </w:p>
        </w:tc>
      </w:tr>
      <w:tr w14:paraId="19498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bottom w:val="single" w:color="auto" w:sz="4" w:space="0"/>
              <w:right w:val="single" w:color="auto" w:sz="4" w:space="0"/>
            </w:tcBorders>
            <w:tcMar>
              <w:top w:w="0" w:type="dxa"/>
              <w:left w:w="28" w:type="dxa"/>
              <w:bottom w:w="0" w:type="dxa"/>
              <w:right w:w="28" w:type="dxa"/>
            </w:tcMar>
            <w:vAlign w:val="center"/>
          </w:tcPr>
          <w:p w14:paraId="2B2E21BE">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cs="Times New Roman"/>
                <w:color w:val="auto"/>
                <w:kern w:val="21"/>
              </w:rPr>
            </w:pP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661EFBA">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eastAsia="宋体"/>
                <w:color w:val="auto"/>
                <w:kern w:val="21"/>
                <w:sz w:val="21"/>
                <w:szCs w:val="21"/>
                <w:lang w:val="en-US" w:eastAsia="zh-CN"/>
              </w:rPr>
            </w:pPr>
            <w:r>
              <w:rPr>
                <w:rFonts w:hint="eastAsia" w:hAnsi="宋体"/>
                <w:color w:val="auto"/>
                <w:kern w:val="21"/>
                <w:sz w:val="21"/>
                <w:szCs w:val="21"/>
                <w:lang w:val="en-US" w:eastAsia="zh-CN"/>
              </w:rPr>
              <w:t>非甲烷总烃</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3BE18A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B5AA8D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031201B">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DD5A854">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eastAsia="宋体"/>
                <w:color w:val="auto"/>
                <w:kern w:val="21"/>
                <w:sz w:val="21"/>
                <w:szCs w:val="21"/>
                <w:lang w:val="en-US" w:eastAsia="zh-CN"/>
              </w:rPr>
            </w:pPr>
            <w:r>
              <w:rPr>
                <w:rFonts w:hint="eastAsia" w:hAnsi="宋体"/>
                <w:color w:val="auto"/>
                <w:kern w:val="21"/>
                <w:sz w:val="21"/>
                <w:szCs w:val="21"/>
                <w:lang w:val="en-US" w:eastAsia="zh-CN"/>
              </w:rPr>
              <w:t>0.24t/a</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D872EA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A9748F6">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rPr>
            </w:pPr>
            <w:r>
              <w:rPr>
                <w:rFonts w:hint="eastAsia" w:hAnsi="宋体"/>
                <w:color w:val="auto"/>
                <w:kern w:val="21"/>
                <w:sz w:val="21"/>
                <w:szCs w:val="21"/>
                <w:lang w:val="en-US" w:eastAsia="zh-CN"/>
              </w:rPr>
              <w:t>0.24t/a</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76A4FC12">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rPr>
            </w:pPr>
            <w:r>
              <w:rPr>
                <w:rFonts w:hint="eastAsia" w:hAnsi="宋体"/>
                <w:color w:val="auto"/>
                <w:kern w:val="21"/>
                <w:sz w:val="21"/>
                <w:szCs w:val="21"/>
                <w:lang w:val="en-US" w:eastAsia="zh-CN"/>
              </w:rPr>
              <w:t>+0.24t/a</w:t>
            </w:r>
          </w:p>
        </w:tc>
      </w:tr>
      <w:tr w14:paraId="6B6CF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tcBorders>
              <w:left w:val="single" w:color="auto" w:sz="8" w:space="0"/>
              <w:right w:val="single" w:color="auto" w:sz="4" w:space="0"/>
            </w:tcBorders>
            <w:tcMar>
              <w:top w:w="0" w:type="dxa"/>
              <w:left w:w="28" w:type="dxa"/>
              <w:bottom w:w="0" w:type="dxa"/>
              <w:right w:w="28" w:type="dxa"/>
            </w:tcMar>
            <w:vAlign w:val="center"/>
          </w:tcPr>
          <w:p w14:paraId="19DF7CE8">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cs="Times New Roman"/>
                <w:color w:val="auto"/>
                <w:kern w:val="21"/>
              </w:rPr>
            </w:pPr>
            <w:r>
              <w:rPr>
                <w:rFonts w:hint="eastAsia" w:cs="Times New Roman"/>
                <w:color w:val="auto"/>
                <w:kern w:val="21"/>
              </w:rPr>
              <w:t>废水</w:t>
            </w: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A04D70C">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COD</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FFCDD1E">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A5970E5">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02C255E">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EE9B878">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0.</w:t>
            </w:r>
            <w:r>
              <w:rPr>
                <w:rFonts w:hint="eastAsia" w:hAnsi="宋体"/>
                <w:color w:val="auto"/>
                <w:kern w:val="21"/>
                <w:sz w:val="21"/>
                <w:szCs w:val="21"/>
                <w:lang w:val="en-US" w:eastAsia="zh-CN"/>
              </w:rPr>
              <w:t>667</w:t>
            </w:r>
            <w:r>
              <w:rPr>
                <w:rFonts w:hint="eastAsia" w:hAnsi="宋体"/>
                <w:color w:val="auto"/>
                <w:kern w:val="21"/>
                <w:sz w:val="21"/>
                <w:szCs w:val="21"/>
              </w:rPr>
              <w:t>t/a</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D0EAB36">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6610AE0">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center"/>
              <w:textAlignment w:val="auto"/>
              <w:rPr>
                <w:rFonts w:hAnsi="宋体"/>
                <w:color w:val="auto"/>
                <w:kern w:val="21"/>
                <w:sz w:val="21"/>
                <w:szCs w:val="21"/>
              </w:rPr>
            </w:pPr>
            <w:r>
              <w:rPr>
                <w:rFonts w:hint="eastAsia" w:hAnsi="宋体"/>
                <w:color w:val="auto"/>
                <w:kern w:val="21"/>
                <w:sz w:val="21"/>
                <w:szCs w:val="21"/>
              </w:rPr>
              <w:t>0.</w:t>
            </w:r>
            <w:r>
              <w:rPr>
                <w:rFonts w:hint="eastAsia" w:hAnsi="宋体"/>
                <w:color w:val="auto"/>
                <w:kern w:val="21"/>
                <w:sz w:val="21"/>
                <w:szCs w:val="21"/>
                <w:lang w:val="en-US" w:eastAsia="zh-CN"/>
              </w:rPr>
              <w:t>667</w:t>
            </w:r>
            <w:r>
              <w:rPr>
                <w:rFonts w:hint="eastAsia" w:hAnsi="宋体"/>
                <w:color w:val="auto"/>
                <w:kern w:val="21"/>
                <w:sz w:val="21"/>
                <w:szCs w:val="21"/>
              </w:rPr>
              <w:t>t/a</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235C30F6">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w:t>
            </w:r>
            <w:r>
              <w:rPr>
                <w:rFonts w:hint="eastAsia" w:hAnsi="宋体"/>
                <w:color w:val="auto"/>
                <w:kern w:val="21"/>
                <w:sz w:val="21"/>
                <w:szCs w:val="21"/>
              </w:rPr>
              <w:t>0.</w:t>
            </w:r>
            <w:r>
              <w:rPr>
                <w:rFonts w:hint="eastAsia" w:hAnsi="宋体"/>
                <w:color w:val="auto"/>
                <w:kern w:val="21"/>
                <w:sz w:val="21"/>
                <w:szCs w:val="21"/>
                <w:lang w:val="en-US" w:eastAsia="zh-CN"/>
              </w:rPr>
              <w:t>667</w:t>
            </w:r>
            <w:r>
              <w:rPr>
                <w:rFonts w:hint="eastAsia" w:hAnsi="宋体"/>
                <w:color w:val="auto"/>
                <w:kern w:val="21"/>
                <w:sz w:val="21"/>
                <w:szCs w:val="21"/>
              </w:rPr>
              <w:t>t/a</w:t>
            </w:r>
          </w:p>
        </w:tc>
      </w:tr>
      <w:tr w14:paraId="38E0B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tcMar>
              <w:top w:w="0" w:type="dxa"/>
              <w:left w:w="28" w:type="dxa"/>
              <w:bottom w:w="0" w:type="dxa"/>
              <w:right w:w="28" w:type="dxa"/>
            </w:tcMar>
            <w:vAlign w:val="center"/>
          </w:tcPr>
          <w:p w14:paraId="604D0A69">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DA2360D">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eastAsia="宋体"/>
                <w:color w:val="auto"/>
                <w:kern w:val="21"/>
                <w:sz w:val="21"/>
                <w:szCs w:val="21"/>
                <w:lang w:eastAsia="zh-CN"/>
              </w:rPr>
            </w:pPr>
            <w:r>
              <w:rPr>
                <w:rFonts w:hint="eastAsia" w:hAnsi="宋体"/>
                <w:color w:val="auto"/>
                <w:kern w:val="21"/>
                <w:sz w:val="21"/>
                <w:szCs w:val="21"/>
                <w:lang w:eastAsia="zh-CN"/>
              </w:rPr>
              <w:t>氨氮</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B85A863">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eastAsia="宋体"/>
                <w:color w:val="auto"/>
                <w:kern w:val="21"/>
                <w:sz w:val="21"/>
                <w:szCs w:val="21"/>
                <w:lang w:val="en-US" w:eastAsia="zh-CN"/>
              </w:rPr>
            </w:pPr>
            <w:r>
              <w:rPr>
                <w:rFonts w:hint="eastAsia" w:hAnsi="宋体"/>
                <w:color w:val="auto"/>
                <w:kern w:val="21"/>
                <w:sz w:val="21"/>
                <w:szCs w:val="21"/>
              </w:rPr>
              <w:t>/</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F6BFEF5">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DD25E23">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1D1B21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eastAsia="宋体"/>
                <w:color w:val="auto"/>
                <w:kern w:val="21"/>
                <w:sz w:val="21"/>
                <w:szCs w:val="21"/>
                <w:lang w:val="en-US" w:eastAsia="zh-CN"/>
              </w:rPr>
            </w:pPr>
            <w:r>
              <w:rPr>
                <w:rFonts w:hint="eastAsia" w:hAnsi="宋体"/>
                <w:color w:val="auto"/>
                <w:kern w:val="21"/>
                <w:sz w:val="21"/>
                <w:szCs w:val="21"/>
                <w:lang w:val="en-US" w:eastAsia="zh-CN"/>
              </w:rPr>
              <w:t>0.051t/a</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27A8B7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eastAsia="宋体"/>
                <w:color w:val="auto"/>
                <w:kern w:val="21"/>
                <w:sz w:val="21"/>
                <w:szCs w:val="21"/>
                <w:lang w:val="en-US" w:eastAsia="zh-CN"/>
              </w:rPr>
            </w:pPr>
            <w:r>
              <w:rPr>
                <w:rFonts w:hint="eastAsia" w:hAnsi="宋体"/>
                <w:color w:val="auto"/>
                <w:kern w:val="21"/>
                <w:sz w:val="21"/>
                <w:szCs w:val="21"/>
              </w:rPr>
              <w:t>/</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13A290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0.051t/a</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44633A0F">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lang w:val="en-US" w:eastAsia="zh-CN"/>
              </w:rPr>
              <w:t>+0.051t/a</w:t>
            </w:r>
          </w:p>
        </w:tc>
      </w:tr>
      <w:tr w14:paraId="5EABF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tcMar>
              <w:top w:w="0" w:type="dxa"/>
              <w:left w:w="28" w:type="dxa"/>
              <w:bottom w:w="0" w:type="dxa"/>
              <w:right w:w="28" w:type="dxa"/>
            </w:tcMar>
            <w:vAlign w:val="center"/>
          </w:tcPr>
          <w:p w14:paraId="48D49C3B">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1705E6D">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eastAsia="宋体"/>
                <w:color w:val="auto"/>
                <w:kern w:val="21"/>
                <w:sz w:val="21"/>
                <w:szCs w:val="21"/>
                <w:lang w:eastAsia="zh-CN"/>
              </w:rPr>
            </w:pPr>
            <w:r>
              <w:rPr>
                <w:rFonts w:hint="eastAsia" w:hAnsi="宋体"/>
                <w:color w:val="auto"/>
                <w:kern w:val="21"/>
                <w:sz w:val="21"/>
                <w:szCs w:val="21"/>
                <w:lang w:val="en-US" w:eastAsia="zh-CN"/>
              </w:rPr>
              <w:t>SS</w:t>
            </w:r>
          </w:p>
        </w:tc>
        <w:tc>
          <w:tcPr>
            <w:tcW w:w="517"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E280D3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eastAsia="宋体"/>
                <w:color w:val="auto"/>
                <w:kern w:val="21"/>
                <w:sz w:val="21"/>
                <w:szCs w:val="21"/>
                <w:lang w:val="en-US" w:eastAsia="zh-CN"/>
              </w:rPr>
            </w:pPr>
            <w:r>
              <w:rPr>
                <w:rFonts w:hint="eastAsia" w:hAnsi="宋体"/>
                <w:color w:val="auto"/>
                <w:kern w:val="21"/>
                <w:sz w:val="21"/>
                <w:szCs w:val="21"/>
              </w:rPr>
              <w:t>/</w:t>
            </w:r>
          </w:p>
        </w:tc>
        <w:tc>
          <w:tcPr>
            <w:tcW w:w="4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E38DD1B">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3A76BE3">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A492F6A">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eastAsia="宋体"/>
                <w:color w:val="auto"/>
                <w:kern w:val="21"/>
                <w:sz w:val="21"/>
                <w:szCs w:val="21"/>
                <w:lang w:val="en-US" w:eastAsia="zh-CN"/>
              </w:rPr>
            </w:pPr>
            <w:r>
              <w:rPr>
                <w:rFonts w:hint="eastAsia" w:hAnsi="宋体"/>
                <w:color w:val="auto"/>
                <w:kern w:val="21"/>
                <w:sz w:val="21"/>
                <w:szCs w:val="21"/>
                <w:lang w:val="en-US" w:eastAsia="zh-CN"/>
              </w:rPr>
              <w:t>0.255t/a</w:t>
            </w:r>
          </w:p>
        </w:tc>
        <w:tc>
          <w:tcPr>
            <w:tcW w:w="521"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617E06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eastAsia="宋体"/>
                <w:color w:val="auto"/>
                <w:kern w:val="21"/>
                <w:sz w:val="21"/>
                <w:szCs w:val="21"/>
                <w:lang w:val="en-US" w:eastAsia="zh-CN"/>
              </w:rPr>
            </w:pPr>
            <w:r>
              <w:rPr>
                <w:rFonts w:hint="eastAsia" w:hAnsi="宋体"/>
                <w:color w:val="auto"/>
                <w:kern w:val="21"/>
                <w:sz w:val="21"/>
                <w:szCs w:val="21"/>
              </w:rPr>
              <w:t>/</w:t>
            </w:r>
          </w:p>
        </w:tc>
        <w:tc>
          <w:tcPr>
            <w:tcW w:w="69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B619A4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lang w:val="en-US" w:eastAsia="zh-CN"/>
              </w:rPr>
              <w:t>0.255t/a</w:t>
            </w:r>
          </w:p>
        </w:tc>
        <w:tc>
          <w:tcPr>
            <w:tcW w:w="483"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1000B014">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lang w:val="en-US" w:eastAsia="zh-CN"/>
              </w:rPr>
              <w:t>+0.255t/a</w:t>
            </w:r>
          </w:p>
        </w:tc>
      </w:tr>
      <w:tr w14:paraId="6F15C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tcBorders>
              <w:top w:val="single" w:color="auto" w:sz="4" w:space="0"/>
              <w:left w:val="single" w:color="auto" w:sz="8" w:space="0"/>
              <w:right w:val="single" w:color="auto" w:sz="4" w:space="0"/>
            </w:tcBorders>
            <w:vAlign w:val="center"/>
          </w:tcPr>
          <w:p w14:paraId="726E53D6">
            <w:pPr>
              <w:pStyle w:val="47"/>
              <w:keepNext w:val="0"/>
              <w:keepLines w:val="0"/>
              <w:pageBreakBefore w:val="0"/>
              <w:kinsoku/>
              <w:wordWrap/>
              <w:overflowPunct/>
              <w:topLinePunct w:val="0"/>
              <w:autoSpaceDE/>
              <w:autoSpaceDN/>
              <w:bidi w:val="0"/>
              <w:adjustRightInd w:val="0"/>
              <w:snapToGrid w:val="0"/>
              <w:spacing w:before="24" w:after="24" w:line="288" w:lineRule="auto"/>
              <w:ind w:firstLine="0" w:firstLineChars="0"/>
              <w:textAlignment w:val="auto"/>
              <w:rPr>
                <w:rFonts w:cs="Times New Roman"/>
                <w:color w:val="auto"/>
                <w:kern w:val="21"/>
              </w:rPr>
            </w:pPr>
            <w:r>
              <w:rPr>
                <w:rFonts w:hint="eastAsia" w:cs="Times New Roman"/>
                <w:color w:val="auto"/>
                <w:kern w:val="21"/>
              </w:rPr>
              <w:t>一般工业</w:t>
            </w:r>
          </w:p>
          <w:p w14:paraId="34FDC69B">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cs="Times New Roman"/>
                <w:color w:val="auto"/>
                <w:kern w:val="21"/>
              </w:rPr>
            </w:pPr>
            <w:r>
              <w:rPr>
                <w:rFonts w:hint="eastAsia" w:cs="Times New Roman"/>
                <w:color w:val="auto"/>
                <w:kern w:val="21"/>
              </w:rPr>
              <w:t>固体废物</w:t>
            </w:r>
          </w:p>
        </w:tc>
        <w:tc>
          <w:tcPr>
            <w:tcW w:w="692" w:type="pct"/>
            <w:tcBorders>
              <w:top w:val="single" w:color="auto" w:sz="4" w:space="0"/>
              <w:left w:val="single" w:color="auto" w:sz="4" w:space="0"/>
              <w:bottom w:val="single" w:color="auto" w:sz="4" w:space="0"/>
              <w:right w:val="single" w:color="auto" w:sz="4" w:space="0"/>
            </w:tcBorders>
            <w:vAlign w:val="center"/>
          </w:tcPr>
          <w:p w14:paraId="38774C27">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color w:val="auto"/>
                <w:sz w:val="21"/>
                <w:szCs w:val="21"/>
                <w:vertAlign w:val="baseline"/>
                <w:lang w:val="en-US" w:eastAsia="zh-CN"/>
              </w:rPr>
              <w:t>熔炼渣</w:t>
            </w:r>
          </w:p>
        </w:tc>
        <w:tc>
          <w:tcPr>
            <w:tcW w:w="517" w:type="pct"/>
            <w:tcBorders>
              <w:top w:val="single" w:color="auto" w:sz="4" w:space="0"/>
              <w:left w:val="single" w:color="auto" w:sz="4" w:space="0"/>
              <w:bottom w:val="single" w:color="auto" w:sz="4" w:space="0"/>
              <w:right w:val="single" w:color="auto" w:sz="4" w:space="0"/>
            </w:tcBorders>
            <w:vAlign w:val="center"/>
          </w:tcPr>
          <w:p w14:paraId="2ACD8F4C">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34715474">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6499580F">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1D441EC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highlight w:val="yellow"/>
              </w:rPr>
            </w:pPr>
            <w:r>
              <w:rPr>
                <w:rFonts w:hint="eastAsia" w:cs="Times New Roman"/>
                <w:color w:val="auto"/>
                <w:sz w:val="21"/>
                <w:szCs w:val="21"/>
                <w:highlight w:val="none"/>
                <w:lang w:val="en-US" w:eastAsia="zh-CN"/>
              </w:rPr>
              <w:t>46.4</w:t>
            </w:r>
            <w:r>
              <w:rPr>
                <w:rFonts w:hint="eastAsia" w:hAnsi="宋体"/>
                <w:color w:val="auto"/>
                <w:kern w:val="21"/>
                <w:sz w:val="21"/>
                <w:szCs w:val="21"/>
                <w:highlight w:val="none"/>
                <w:lang w:val="en-US" w:eastAsia="zh-CN"/>
              </w:rPr>
              <w:t>t/a</w:t>
            </w:r>
          </w:p>
        </w:tc>
        <w:tc>
          <w:tcPr>
            <w:tcW w:w="521" w:type="pct"/>
            <w:tcBorders>
              <w:top w:val="single" w:color="auto" w:sz="4" w:space="0"/>
              <w:left w:val="single" w:color="auto" w:sz="4" w:space="0"/>
              <w:bottom w:val="single" w:color="auto" w:sz="4" w:space="0"/>
              <w:right w:val="single" w:color="auto" w:sz="4" w:space="0"/>
            </w:tcBorders>
            <w:vAlign w:val="center"/>
          </w:tcPr>
          <w:p w14:paraId="20BE6F06">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Ansi="宋体"/>
                <w:color w:val="auto"/>
                <w:kern w:val="21"/>
                <w:sz w:val="21"/>
                <w:szCs w:val="21"/>
                <w:highlight w:val="yellow"/>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vAlign w:val="center"/>
          </w:tcPr>
          <w:p w14:paraId="095982C2">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center"/>
              <w:textAlignment w:val="auto"/>
              <w:rPr>
                <w:rFonts w:hAnsi="宋体"/>
                <w:color w:val="auto"/>
                <w:kern w:val="21"/>
                <w:sz w:val="21"/>
                <w:szCs w:val="21"/>
                <w:highlight w:val="yellow"/>
              </w:rPr>
            </w:pPr>
            <w:r>
              <w:rPr>
                <w:rFonts w:hint="eastAsia" w:cs="Times New Roman"/>
                <w:color w:val="auto"/>
                <w:sz w:val="21"/>
                <w:szCs w:val="21"/>
                <w:highlight w:val="none"/>
                <w:lang w:val="en-US" w:eastAsia="zh-CN"/>
              </w:rPr>
              <w:t>46.4</w:t>
            </w:r>
            <w:r>
              <w:rPr>
                <w:rFonts w:hint="eastAsia" w:hAnsi="宋体"/>
                <w:color w:val="auto"/>
                <w:kern w:val="21"/>
                <w:sz w:val="21"/>
                <w:szCs w:val="21"/>
                <w:highlight w:val="none"/>
                <w:lang w:val="en-US" w:eastAsia="zh-CN"/>
              </w:rPr>
              <w:t>t/a</w:t>
            </w:r>
          </w:p>
        </w:tc>
        <w:tc>
          <w:tcPr>
            <w:tcW w:w="483" w:type="pct"/>
            <w:tcBorders>
              <w:top w:val="single" w:color="auto" w:sz="4" w:space="0"/>
              <w:left w:val="single" w:color="auto" w:sz="4" w:space="0"/>
              <w:bottom w:val="single" w:color="auto" w:sz="4" w:space="0"/>
              <w:right w:val="single" w:color="auto" w:sz="8" w:space="0"/>
            </w:tcBorders>
            <w:vAlign w:val="center"/>
          </w:tcPr>
          <w:p w14:paraId="3A86D89C">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center"/>
              <w:textAlignment w:val="auto"/>
              <w:rPr>
                <w:rFonts w:hAnsi="宋体"/>
                <w:color w:val="auto"/>
                <w:kern w:val="21"/>
                <w:sz w:val="21"/>
                <w:szCs w:val="21"/>
                <w:highlight w:val="yellow"/>
              </w:rPr>
            </w:pPr>
            <w:r>
              <w:rPr>
                <w:rFonts w:hint="eastAsia" w:cs="Times New Roman"/>
                <w:color w:val="auto"/>
                <w:sz w:val="21"/>
                <w:szCs w:val="21"/>
                <w:highlight w:val="none"/>
                <w:lang w:val="en-US" w:eastAsia="zh-CN"/>
              </w:rPr>
              <w:t>+46.4</w:t>
            </w:r>
            <w:r>
              <w:rPr>
                <w:rFonts w:hint="eastAsia" w:hAnsi="宋体"/>
                <w:color w:val="auto"/>
                <w:kern w:val="21"/>
                <w:sz w:val="21"/>
                <w:szCs w:val="21"/>
                <w:highlight w:val="none"/>
                <w:lang w:val="en-US" w:eastAsia="zh-CN"/>
              </w:rPr>
              <w:t>t/a</w:t>
            </w:r>
          </w:p>
        </w:tc>
      </w:tr>
      <w:tr w14:paraId="10A8F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vAlign w:val="center"/>
          </w:tcPr>
          <w:p w14:paraId="3395FE72">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0519D637">
            <w:pPr>
              <w:keepNext w:val="0"/>
              <w:keepLines w:val="0"/>
              <w:pageBreakBefore w:val="0"/>
              <w:kinsoku/>
              <w:wordWrap/>
              <w:overflowPunct/>
              <w:topLinePunct w:val="0"/>
              <w:autoSpaceDE/>
              <w:autoSpaceDN/>
              <w:bidi w:val="0"/>
              <w:adjustRightInd w:val="0"/>
              <w:snapToGrid w:val="0"/>
              <w:spacing w:line="288" w:lineRule="auto"/>
              <w:ind w:left="0" w:leftChars="0" w:firstLine="0" w:firstLineChars="0"/>
              <w:jc w:val="left"/>
              <w:textAlignment w:val="auto"/>
              <w:rPr>
                <w:rFonts w:hint="eastAsia" w:hAnsi="宋体" w:eastAsia="宋体"/>
                <w:color w:val="auto"/>
                <w:kern w:val="21"/>
                <w:sz w:val="21"/>
                <w:szCs w:val="21"/>
                <w:lang w:eastAsia="zh-CN"/>
              </w:rPr>
            </w:pPr>
            <w:r>
              <w:rPr>
                <w:rFonts w:hint="default" w:ascii="Times New Roman" w:hAnsi="Times New Roman" w:eastAsia="宋体" w:cs="Times New Roman"/>
                <w:color w:val="auto"/>
                <w:sz w:val="21"/>
                <w:szCs w:val="21"/>
              </w:rPr>
              <w:t>废压铸件、边角料等</w:t>
            </w:r>
            <w:r>
              <w:rPr>
                <w:rFonts w:hint="eastAsia" w:cs="Times New Roman"/>
                <w:color w:val="auto"/>
                <w:sz w:val="21"/>
                <w:szCs w:val="21"/>
                <w:lang w:val="en-US" w:eastAsia="zh-CN"/>
              </w:rPr>
              <w:t>镁合金废料</w:t>
            </w:r>
          </w:p>
        </w:tc>
        <w:tc>
          <w:tcPr>
            <w:tcW w:w="517" w:type="pct"/>
            <w:tcBorders>
              <w:top w:val="single" w:color="auto" w:sz="4" w:space="0"/>
              <w:left w:val="single" w:color="auto" w:sz="4" w:space="0"/>
              <w:bottom w:val="single" w:color="auto" w:sz="4" w:space="0"/>
              <w:right w:val="single" w:color="auto" w:sz="4" w:space="0"/>
            </w:tcBorders>
            <w:vAlign w:val="center"/>
          </w:tcPr>
          <w:p w14:paraId="35ABD4AD">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eastAsia="宋体"/>
                <w:color w:val="auto"/>
                <w:kern w:val="21"/>
                <w:sz w:val="21"/>
                <w:szCs w:val="21"/>
                <w:lang w:val="en-US" w:eastAsia="zh-CN"/>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47B60DB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1B7C043F">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6A57EEA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color w:val="auto"/>
                <w:sz w:val="21"/>
                <w:szCs w:val="21"/>
                <w:vertAlign w:val="baseline"/>
                <w:lang w:val="en-US" w:eastAsia="zh-CN"/>
              </w:rPr>
              <w:t>460</w:t>
            </w:r>
            <w:r>
              <w:rPr>
                <w:rFonts w:hint="eastAsia" w:hAnsi="宋体"/>
                <w:color w:val="auto"/>
                <w:kern w:val="21"/>
                <w:sz w:val="21"/>
                <w:szCs w:val="21"/>
                <w:lang w:val="en-US" w:eastAsia="zh-CN"/>
              </w:rPr>
              <w:t>t/a</w:t>
            </w:r>
          </w:p>
        </w:tc>
        <w:tc>
          <w:tcPr>
            <w:tcW w:w="521" w:type="pct"/>
            <w:tcBorders>
              <w:top w:val="single" w:color="auto" w:sz="4" w:space="0"/>
              <w:left w:val="single" w:color="auto" w:sz="4" w:space="0"/>
              <w:bottom w:val="single" w:color="auto" w:sz="4" w:space="0"/>
              <w:right w:val="single" w:color="auto" w:sz="4" w:space="0"/>
            </w:tcBorders>
            <w:vAlign w:val="center"/>
          </w:tcPr>
          <w:p w14:paraId="6094A60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743B40D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宋体" w:eastAsia="宋体" w:cs="Times New Roman"/>
                <w:color w:val="auto"/>
                <w:kern w:val="21"/>
                <w:sz w:val="21"/>
                <w:szCs w:val="21"/>
                <w:lang w:val="en-US" w:eastAsia="zh-CN" w:bidi="ar-SA"/>
              </w:rPr>
            </w:pPr>
            <w:r>
              <w:rPr>
                <w:rFonts w:hint="eastAsia"/>
                <w:color w:val="auto"/>
                <w:kern w:val="0"/>
                <w:sz w:val="21"/>
                <w:szCs w:val="21"/>
                <w:vertAlign w:val="baseline"/>
                <w:lang w:val="en-US" w:eastAsia="zh-CN"/>
              </w:rPr>
              <w:t>460</w:t>
            </w:r>
            <w:r>
              <w:rPr>
                <w:rFonts w:hint="eastAsia" w:hAnsi="宋体"/>
                <w:color w:val="auto"/>
                <w:kern w:val="0"/>
                <w:sz w:val="21"/>
                <w:szCs w:val="21"/>
                <w:lang w:val="en-US" w:eastAsia="zh-CN"/>
              </w:rPr>
              <w:t>t/a</w:t>
            </w:r>
          </w:p>
        </w:tc>
        <w:tc>
          <w:tcPr>
            <w:tcW w:w="483" w:type="pct"/>
            <w:tcBorders>
              <w:top w:val="single" w:color="auto" w:sz="4" w:space="0"/>
              <w:left w:val="single" w:color="auto" w:sz="4" w:space="0"/>
              <w:bottom w:val="single" w:color="auto" w:sz="4" w:space="0"/>
              <w:right w:val="single" w:color="auto" w:sz="8" w:space="0"/>
            </w:tcBorders>
            <w:vAlign w:val="center"/>
          </w:tcPr>
          <w:p w14:paraId="66FC3D93">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lang w:val="en-US" w:eastAsia="zh-CN"/>
              </w:rPr>
              <w:t>+</w:t>
            </w:r>
            <w:r>
              <w:rPr>
                <w:rFonts w:hint="eastAsia"/>
                <w:color w:val="auto"/>
                <w:sz w:val="21"/>
                <w:szCs w:val="21"/>
                <w:vertAlign w:val="baseline"/>
                <w:lang w:val="en-US" w:eastAsia="zh-CN"/>
              </w:rPr>
              <w:t>460</w:t>
            </w:r>
            <w:r>
              <w:rPr>
                <w:rFonts w:hint="eastAsia" w:hAnsi="宋体"/>
                <w:color w:val="auto"/>
                <w:kern w:val="21"/>
                <w:sz w:val="21"/>
                <w:szCs w:val="21"/>
                <w:lang w:val="en-US" w:eastAsia="zh-CN"/>
              </w:rPr>
              <w:t>t/a</w:t>
            </w:r>
          </w:p>
        </w:tc>
      </w:tr>
      <w:tr w14:paraId="64CCD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vAlign w:val="center"/>
          </w:tcPr>
          <w:p w14:paraId="1D1EC48E">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78A566EF">
            <w:pPr>
              <w:keepNext w:val="0"/>
              <w:keepLines w:val="0"/>
              <w:pageBreakBefore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color w:val="auto"/>
                <w:sz w:val="21"/>
                <w:szCs w:val="21"/>
                <w:vertAlign w:val="baseline"/>
                <w:lang w:val="en-US" w:eastAsia="zh-CN"/>
              </w:rPr>
              <w:t>废模具</w:t>
            </w:r>
          </w:p>
        </w:tc>
        <w:tc>
          <w:tcPr>
            <w:tcW w:w="517" w:type="pct"/>
            <w:tcBorders>
              <w:top w:val="single" w:color="auto" w:sz="4" w:space="0"/>
              <w:left w:val="single" w:color="auto" w:sz="4" w:space="0"/>
              <w:bottom w:val="single" w:color="auto" w:sz="4" w:space="0"/>
              <w:right w:val="single" w:color="auto" w:sz="4" w:space="0"/>
            </w:tcBorders>
            <w:vAlign w:val="center"/>
          </w:tcPr>
          <w:p w14:paraId="79D65C68">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eastAsia="宋体"/>
                <w:color w:val="auto"/>
                <w:kern w:val="21"/>
                <w:sz w:val="21"/>
                <w:szCs w:val="21"/>
                <w:lang w:val="en-US" w:eastAsia="zh-CN"/>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53046975">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752B148A">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0B5CE69A">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rPr>
            </w:pPr>
            <w:r>
              <w:rPr>
                <w:rFonts w:hint="eastAsia"/>
                <w:color w:val="auto"/>
                <w:sz w:val="21"/>
                <w:szCs w:val="21"/>
                <w:vertAlign w:val="baseline"/>
                <w:lang w:val="en-US" w:eastAsia="zh-CN"/>
              </w:rPr>
              <w:t>3</w:t>
            </w:r>
            <w:r>
              <w:rPr>
                <w:rFonts w:hint="eastAsia" w:hAnsi="宋体"/>
                <w:color w:val="auto"/>
                <w:kern w:val="21"/>
                <w:sz w:val="21"/>
                <w:szCs w:val="21"/>
                <w:lang w:val="en-US" w:eastAsia="zh-CN"/>
              </w:rPr>
              <w:t>t/a</w:t>
            </w:r>
          </w:p>
        </w:tc>
        <w:tc>
          <w:tcPr>
            <w:tcW w:w="521" w:type="pct"/>
            <w:tcBorders>
              <w:top w:val="single" w:color="auto" w:sz="4" w:space="0"/>
              <w:left w:val="single" w:color="auto" w:sz="4" w:space="0"/>
              <w:bottom w:val="single" w:color="auto" w:sz="4" w:space="0"/>
              <w:right w:val="single" w:color="auto" w:sz="4" w:space="0"/>
            </w:tcBorders>
            <w:vAlign w:val="center"/>
          </w:tcPr>
          <w:p w14:paraId="46B5FDEF">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25B78DB7">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ascii="Times New Roman" w:hAnsi="宋体" w:eastAsia="宋体" w:cs="Times New Roman"/>
                <w:color w:val="auto"/>
                <w:kern w:val="21"/>
                <w:sz w:val="21"/>
                <w:szCs w:val="21"/>
                <w:lang w:val="en-US" w:eastAsia="zh-CN" w:bidi="ar-SA"/>
              </w:rPr>
            </w:pPr>
            <w:r>
              <w:rPr>
                <w:rFonts w:hint="eastAsia"/>
                <w:color w:val="auto"/>
                <w:sz w:val="21"/>
                <w:szCs w:val="21"/>
                <w:vertAlign w:val="baseline"/>
                <w:lang w:val="en-US" w:eastAsia="zh-CN"/>
              </w:rPr>
              <w:t>3</w:t>
            </w:r>
            <w:r>
              <w:rPr>
                <w:rFonts w:hint="eastAsia" w:hAnsi="宋体"/>
                <w:color w:val="auto"/>
                <w:kern w:val="21"/>
                <w:sz w:val="21"/>
                <w:szCs w:val="21"/>
                <w:lang w:val="en-US" w:eastAsia="zh-CN"/>
              </w:rPr>
              <w:t>t/a</w:t>
            </w:r>
          </w:p>
        </w:tc>
        <w:tc>
          <w:tcPr>
            <w:tcW w:w="483" w:type="pct"/>
            <w:tcBorders>
              <w:top w:val="single" w:color="auto" w:sz="4" w:space="0"/>
              <w:left w:val="single" w:color="auto" w:sz="4" w:space="0"/>
              <w:bottom w:val="single" w:color="auto" w:sz="4" w:space="0"/>
              <w:right w:val="single" w:color="auto" w:sz="8" w:space="0"/>
            </w:tcBorders>
            <w:vAlign w:val="center"/>
          </w:tcPr>
          <w:p w14:paraId="6A59AF83">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rPr>
            </w:pPr>
            <w:r>
              <w:rPr>
                <w:rFonts w:hint="eastAsia"/>
                <w:color w:val="auto"/>
                <w:sz w:val="21"/>
                <w:szCs w:val="21"/>
                <w:vertAlign w:val="baseline"/>
                <w:lang w:val="en-US" w:eastAsia="zh-CN"/>
              </w:rPr>
              <w:t>+3</w:t>
            </w:r>
            <w:r>
              <w:rPr>
                <w:rFonts w:hint="eastAsia" w:hAnsi="宋体"/>
                <w:color w:val="auto"/>
                <w:kern w:val="21"/>
                <w:sz w:val="21"/>
                <w:szCs w:val="21"/>
                <w:lang w:val="en-US" w:eastAsia="zh-CN"/>
              </w:rPr>
              <w:t>t/a</w:t>
            </w:r>
          </w:p>
        </w:tc>
      </w:tr>
      <w:tr w14:paraId="73FEF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vAlign w:val="center"/>
          </w:tcPr>
          <w:p w14:paraId="4682F26A">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12424BF7">
            <w:pPr>
              <w:keepNext w:val="0"/>
              <w:keepLines w:val="0"/>
              <w:pageBreakBefore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lang w:eastAsia="zh-CN"/>
              </w:rPr>
            </w:pPr>
            <w:r>
              <w:rPr>
                <w:rFonts w:hint="eastAsia"/>
                <w:color w:val="auto"/>
                <w:sz w:val="21"/>
                <w:szCs w:val="21"/>
                <w:vertAlign w:val="baseline"/>
                <w:lang w:val="en-US" w:eastAsia="zh-CN"/>
              </w:rPr>
              <w:t>水浴除尘渣</w:t>
            </w:r>
          </w:p>
        </w:tc>
        <w:tc>
          <w:tcPr>
            <w:tcW w:w="517" w:type="pct"/>
            <w:tcBorders>
              <w:top w:val="single" w:color="auto" w:sz="4" w:space="0"/>
              <w:left w:val="single" w:color="auto" w:sz="4" w:space="0"/>
              <w:bottom w:val="single" w:color="auto" w:sz="4" w:space="0"/>
              <w:right w:val="single" w:color="auto" w:sz="4" w:space="0"/>
            </w:tcBorders>
            <w:vAlign w:val="center"/>
          </w:tcPr>
          <w:p w14:paraId="1B4E9BE9">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03B5F63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5B3AFA4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5625728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highlight w:val="yellow"/>
              </w:rPr>
            </w:pPr>
            <w:r>
              <w:rPr>
                <w:rFonts w:hint="eastAsia"/>
                <w:color w:val="auto"/>
                <w:sz w:val="21"/>
                <w:szCs w:val="21"/>
                <w:highlight w:val="none"/>
                <w:vertAlign w:val="baseline"/>
                <w:lang w:val="en-US" w:eastAsia="zh-CN"/>
              </w:rPr>
              <w:t>24.87</w:t>
            </w:r>
            <w:r>
              <w:rPr>
                <w:rFonts w:hint="eastAsia" w:hAnsi="宋体"/>
                <w:color w:val="auto"/>
                <w:kern w:val="21"/>
                <w:sz w:val="21"/>
                <w:szCs w:val="21"/>
                <w:highlight w:val="none"/>
                <w:lang w:val="en-US" w:eastAsia="zh-CN"/>
              </w:rPr>
              <w:t>t/a</w:t>
            </w:r>
          </w:p>
        </w:tc>
        <w:tc>
          <w:tcPr>
            <w:tcW w:w="521" w:type="pct"/>
            <w:tcBorders>
              <w:top w:val="single" w:color="auto" w:sz="4" w:space="0"/>
              <w:left w:val="single" w:color="auto" w:sz="4" w:space="0"/>
              <w:bottom w:val="single" w:color="auto" w:sz="4" w:space="0"/>
              <w:right w:val="single" w:color="auto" w:sz="4" w:space="0"/>
            </w:tcBorders>
            <w:vAlign w:val="center"/>
          </w:tcPr>
          <w:p w14:paraId="05665F36">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09D5EBD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宋体" w:eastAsia="宋体" w:cs="Times New Roman"/>
                <w:color w:val="auto"/>
                <w:kern w:val="21"/>
                <w:sz w:val="21"/>
                <w:szCs w:val="21"/>
                <w:lang w:val="en-US" w:eastAsia="zh-CN" w:bidi="ar-SA"/>
              </w:rPr>
            </w:pPr>
            <w:r>
              <w:rPr>
                <w:rFonts w:hint="eastAsia"/>
                <w:color w:val="auto"/>
                <w:sz w:val="21"/>
                <w:szCs w:val="21"/>
                <w:highlight w:val="none"/>
                <w:vertAlign w:val="baseline"/>
                <w:lang w:val="en-US" w:eastAsia="zh-CN"/>
              </w:rPr>
              <w:t>24.87</w:t>
            </w:r>
            <w:r>
              <w:rPr>
                <w:rFonts w:hint="eastAsia" w:hAnsi="宋体"/>
                <w:color w:val="auto"/>
                <w:kern w:val="21"/>
                <w:sz w:val="21"/>
                <w:szCs w:val="21"/>
                <w:highlight w:val="none"/>
                <w:lang w:val="en-US" w:eastAsia="zh-CN"/>
              </w:rPr>
              <w:t>t/a</w:t>
            </w:r>
          </w:p>
        </w:tc>
        <w:tc>
          <w:tcPr>
            <w:tcW w:w="483" w:type="pct"/>
            <w:tcBorders>
              <w:top w:val="single" w:color="auto" w:sz="4" w:space="0"/>
              <w:left w:val="single" w:color="auto" w:sz="4" w:space="0"/>
              <w:bottom w:val="single" w:color="auto" w:sz="4" w:space="0"/>
              <w:right w:val="single" w:color="auto" w:sz="8" w:space="0"/>
            </w:tcBorders>
            <w:vAlign w:val="center"/>
          </w:tcPr>
          <w:p w14:paraId="1519253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color w:val="auto"/>
                <w:sz w:val="21"/>
                <w:szCs w:val="21"/>
                <w:vertAlign w:val="baseline"/>
                <w:lang w:val="en-US" w:eastAsia="zh-CN"/>
              </w:rPr>
              <w:t>+</w:t>
            </w:r>
            <w:r>
              <w:rPr>
                <w:rFonts w:hint="eastAsia"/>
                <w:color w:val="auto"/>
                <w:sz w:val="21"/>
                <w:szCs w:val="21"/>
                <w:highlight w:val="none"/>
                <w:vertAlign w:val="baseline"/>
                <w:lang w:val="en-US" w:eastAsia="zh-CN"/>
              </w:rPr>
              <w:t>24.87</w:t>
            </w:r>
            <w:r>
              <w:rPr>
                <w:rFonts w:hint="eastAsia" w:hAnsi="宋体"/>
                <w:color w:val="auto"/>
                <w:kern w:val="21"/>
                <w:sz w:val="21"/>
                <w:szCs w:val="21"/>
                <w:highlight w:val="none"/>
                <w:lang w:val="en-US" w:eastAsia="zh-CN"/>
              </w:rPr>
              <w:t>t/a</w:t>
            </w:r>
          </w:p>
        </w:tc>
      </w:tr>
      <w:tr w14:paraId="7D811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vAlign w:val="center"/>
          </w:tcPr>
          <w:p w14:paraId="034B82CB">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21112C74">
            <w:pPr>
              <w:keepNext w:val="0"/>
              <w:keepLines w:val="0"/>
              <w:pageBreakBefore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lang w:eastAsia="zh-CN"/>
              </w:rPr>
            </w:pPr>
            <w:r>
              <w:rPr>
                <w:rFonts w:hint="eastAsia"/>
                <w:color w:val="auto"/>
                <w:sz w:val="21"/>
                <w:szCs w:val="21"/>
                <w:vertAlign w:val="baseline"/>
                <w:lang w:val="en-US" w:eastAsia="zh-CN"/>
              </w:rPr>
              <w:t>旋风收尘</w:t>
            </w:r>
          </w:p>
        </w:tc>
        <w:tc>
          <w:tcPr>
            <w:tcW w:w="517" w:type="pct"/>
            <w:tcBorders>
              <w:top w:val="single" w:color="auto" w:sz="4" w:space="0"/>
              <w:left w:val="single" w:color="auto" w:sz="4" w:space="0"/>
              <w:bottom w:val="single" w:color="auto" w:sz="4" w:space="0"/>
              <w:right w:val="single" w:color="auto" w:sz="4" w:space="0"/>
            </w:tcBorders>
            <w:vAlign w:val="center"/>
          </w:tcPr>
          <w:p w14:paraId="67026A1E">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52494E9A">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1216452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77D0DB5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highlight w:val="yellow"/>
              </w:rPr>
            </w:pPr>
            <w:r>
              <w:rPr>
                <w:rFonts w:hint="eastAsia"/>
                <w:color w:val="auto"/>
                <w:sz w:val="21"/>
                <w:szCs w:val="21"/>
                <w:highlight w:val="none"/>
                <w:vertAlign w:val="baseline"/>
                <w:lang w:val="en-US" w:eastAsia="zh-CN"/>
              </w:rPr>
              <w:t>13.99</w:t>
            </w:r>
            <w:r>
              <w:rPr>
                <w:rFonts w:hint="eastAsia" w:hAnsi="宋体"/>
                <w:color w:val="auto"/>
                <w:kern w:val="21"/>
                <w:sz w:val="21"/>
                <w:szCs w:val="21"/>
                <w:highlight w:val="none"/>
                <w:lang w:val="en-US" w:eastAsia="zh-CN"/>
              </w:rPr>
              <w:t>t/a</w:t>
            </w:r>
          </w:p>
        </w:tc>
        <w:tc>
          <w:tcPr>
            <w:tcW w:w="521" w:type="pct"/>
            <w:tcBorders>
              <w:top w:val="single" w:color="auto" w:sz="4" w:space="0"/>
              <w:left w:val="single" w:color="auto" w:sz="4" w:space="0"/>
              <w:bottom w:val="single" w:color="auto" w:sz="4" w:space="0"/>
              <w:right w:val="single" w:color="auto" w:sz="4" w:space="0"/>
            </w:tcBorders>
            <w:vAlign w:val="center"/>
          </w:tcPr>
          <w:p w14:paraId="7684E984">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3BDA7C5E">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宋体" w:eastAsia="宋体" w:cs="Times New Roman"/>
                <w:color w:val="auto"/>
                <w:kern w:val="21"/>
                <w:sz w:val="21"/>
                <w:szCs w:val="21"/>
                <w:lang w:val="en-US" w:eastAsia="zh-CN" w:bidi="ar-SA"/>
              </w:rPr>
            </w:pPr>
            <w:r>
              <w:rPr>
                <w:rFonts w:hint="eastAsia"/>
                <w:color w:val="auto"/>
                <w:sz w:val="21"/>
                <w:szCs w:val="21"/>
                <w:highlight w:val="none"/>
                <w:vertAlign w:val="baseline"/>
                <w:lang w:val="en-US" w:eastAsia="zh-CN"/>
              </w:rPr>
              <w:t>13.99</w:t>
            </w:r>
            <w:r>
              <w:rPr>
                <w:rFonts w:hint="eastAsia" w:hAnsi="宋体"/>
                <w:color w:val="auto"/>
                <w:kern w:val="21"/>
                <w:sz w:val="21"/>
                <w:szCs w:val="21"/>
                <w:highlight w:val="none"/>
                <w:lang w:val="en-US" w:eastAsia="zh-CN"/>
              </w:rPr>
              <w:t>t/a</w:t>
            </w:r>
          </w:p>
        </w:tc>
        <w:tc>
          <w:tcPr>
            <w:tcW w:w="483" w:type="pct"/>
            <w:tcBorders>
              <w:top w:val="single" w:color="auto" w:sz="4" w:space="0"/>
              <w:left w:val="single" w:color="auto" w:sz="4" w:space="0"/>
              <w:bottom w:val="single" w:color="auto" w:sz="4" w:space="0"/>
              <w:right w:val="single" w:color="auto" w:sz="8" w:space="0"/>
            </w:tcBorders>
            <w:vAlign w:val="center"/>
          </w:tcPr>
          <w:p w14:paraId="6949A85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color w:val="auto"/>
                <w:sz w:val="21"/>
                <w:szCs w:val="21"/>
                <w:vertAlign w:val="baseline"/>
                <w:lang w:val="en-US" w:eastAsia="zh-CN"/>
              </w:rPr>
              <w:t>+</w:t>
            </w:r>
            <w:r>
              <w:rPr>
                <w:rFonts w:hint="eastAsia"/>
                <w:color w:val="auto"/>
                <w:sz w:val="21"/>
                <w:szCs w:val="21"/>
                <w:highlight w:val="none"/>
                <w:vertAlign w:val="baseline"/>
                <w:lang w:val="en-US" w:eastAsia="zh-CN"/>
              </w:rPr>
              <w:t>13.99</w:t>
            </w:r>
            <w:r>
              <w:rPr>
                <w:rFonts w:hint="eastAsia" w:hAnsi="宋体"/>
                <w:color w:val="auto"/>
                <w:kern w:val="21"/>
                <w:sz w:val="21"/>
                <w:szCs w:val="21"/>
                <w:highlight w:val="none"/>
                <w:lang w:val="en-US" w:eastAsia="zh-CN"/>
              </w:rPr>
              <w:t>t/a</w:t>
            </w:r>
          </w:p>
        </w:tc>
      </w:tr>
      <w:tr w14:paraId="277AD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vAlign w:val="center"/>
          </w:tcPr>
          <w:p w14:paraId="27D1B368">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53529342">
            <w:pPr>
              <w:keepNext w:val="0"/>
              <w:keepLines w:val="0"/>
              <w:pageBreakBefore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布袋收尘</w:t>
            </w:r>
          </w:p>
        </w:tc>
        <w:tc>
          <w:tcPr>
            <w:tcW w:w="517" w:type="pct"/>
            <w:tcBorders>
              <w:top w:val="single" w:color="auto" w:sz="4" w:space="0"/>
              <w:left w:val="single" w:color="auto" w:sz="4" w:space="0"/>
              <w:bottom w:val="single" w:color="auto" w:sz="4" w:space="0"/>
              <w:right w:val="single" w:color="auto" w:sz="4" w:space="0"/>
            </w:tcBorders>
            <w:vAlign w:val="center"/>
          </w:tcPr>
          <w:p w14:paraId="0265E9C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72BBF07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205212D1">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3052C0C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color w:val="auto"/>
                <w:sz w:val="21"/>
                <w:szCs w:val="21"/>
                <w:highlight w:val="yellow"/>
                <w:vertAlign w:val="baseline"/>
                <w:lang w:val="en-US" w:eastAsia="zh-CN"/>
              </w:rPr>
            </w:pPr>
            <w:r>
              <w:rPr>
                <w:rFonts w:hint="eastAsia"/>
                <w:color w:val="auto"/>
                <w:sz w:val="21"/>
                <w:szCs w:val="21"/>
                <w:highlight w:val="none"/>
                <w:vertAlign w:val="baseline"/>
                <w:lang w:val="en-US" w:eastAsia="zh-CN"/>
              </w:rPr>
              <w:t>91.41</w:t>
            </w:r>
            <w:r>
              <w:rPr>
                <w:rFonts w:hint="eastAsia" w:hAnsi="宋体"/>
                <w:color w:val="auto"/>
                <w:kern w:val="21"/>
                <w:sz w:val="21"/>
                <w:szCs w:val="21"/>
                <w:highlight w:val="none"/>
                <w:lang w:val="en-US" w:eastAsia="zh-CN"/>
              </w:rPr>
              <w:t>t/</w:t>
            </w:r>
            <w:r>
              <w:rPr>
                <w:rFonts w:hint="eastAsia" w:hAnsi="宋体"/>
                <w:color w:val="auto"/>
                <w:kern w:val="21"/>
                <w:sz w:val="21"/>
                <w:szCs w:val="21"/>
                <w:highlight w:val="none"/>
                <w:lang w:val="en-US" w:eastAsia="zh-CN"/>
              </w:rPr>
              <w:t>a</w:t>
            </w:r>
          </w:p>
        </w:tc>
        <w:tc>
          <w:tcPr>
            <w:tcW w:w="521" w:type="pct"/>
            <w:tcBorders>
              <w:top w:val="single" w:color="auto" w:sz="4" w:space="0"/>
              <w:left w:val="single" w:color="auto" w:sz="4" w:space="0"/>
              <w:bottom w:val="single" w:color="auto" w:sz="4" w:space="0"/>
              <w:right w:val="single" w:color="auto" w:sz="4" w:space="0"/>
            </w:tcBorders>
            <w:vAlign w:val="center"/>
          </w:tcPr>
          <w:p w14:paraId="0C008E71">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52CCBE70">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highlight w:val="none"/>
                <w:vertAlign w:val="baseline"/>
                <w:lang w:val="en-US" w:eastAsia="zh-CN"/>
              </w:rPr>
              <w:t>91.41</w:t>
            </w:r>
            <w:r>
              <w:rPr>
                <w:rFonts w:hint="eastAsia" w:hAnsi="宋体"/>
                <w:color w:val="auto"/>
                <w:kern w:val="21"/>
                <w:sz w:val="21"/>
                <w:szCs w:val="21"/>
                <w:highlight w:val="none"/>
                <w:lang w:val="en-US" w:eastAsia="zh-CN"/>
              </w:rPr>
              <w:t>t/</w:t>
            </w:r>
            <w:r>
              <w:rPr>
                <w:rFonts w:hint="eastAsia" w:hAnsi="宋体"/>
                <w:color w:val="auto"/>
                <w:kern w:val="21"/>
                <w:sz w:val="21"/>
                <w:szCs w:val="21"/>
                <w:highlight w:val="none"/>
                <w:lang w:val="en-US" w:eastAsia="zh-CN"/>
              </w:rPr>
              <w:t>a</w:t>
            </w:r>
          </w:p>
        </w:tc>
        <w:tc>
          <w:tcPr>
            <w:tcW w:w="483" w:type="pct"/>
            <w:tcBorders>
              <w:top w:val="single" w:color="auto" w:sz="4" w:space="0"/>
              <w:left w:val="single" w:color="auto" w:sz="4" w:space="0"/>
              <w:bottom w:val="single" w:color="auto" w:sz="4" w:space="0"/>
              <w:right w:val="single" w:color="auto" w:sz="8" w:space="0"/>
            </w:tcBorders>
            <w:vAlign w:val="center"/>
          </w:tcPr>
          <w:p w14:paraId="35372F54">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highlight w:val="none"/>
                <w:vertAlign w:val="baseline"/>
                <w:lang w:val="en-US" w:eastAsia="zh-CN"/>
              </w:rPr>
              <w:t>+91.41</w:t>
            </w:r>
            <w:r>
              <w:rPr>
                <w:rFonts w:hint="eastAsia" w:hAnsi="宋体"/>
                <w:color w:val="auto"/>
                <w:kern w:val="21"/>
                <w:sz w:val="21"/>
                <w:szCs w:val="21"/>
                <w:highlight w:val="none"/>
                <w:lang w:val="en-US" w:eastAsia="zh-CN"/>
              </w:rPr>
              <w:t>t/</w:t>
            </w:r>
            <w:r>
              <w:rPr>
                <w:rFonts w:hint="eastAsia" w:hAnsi="宋体"/>
                <w:color w:val="auto"/>
                <w:kern w:val="21"/>
                <w:sz w:val="21"/>
                <w:szCs w:val="21"/>
                <w:highlight w:val="none"/>
                <w:lang w:val="en-US" w:eastAsia="zh-CN"/>
              </w:rPr>
              <w:t>a</w:t>
            </w:r>
          </w:p>
        </w:tc>
      </w:tr>
      <w:tr w14:paraId="18E06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vAlign w:val="center"/>
          </w:tcPr>
          <w:p w14:paraId="654D96C2">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06DD92FB">
            <w:pPr>
              <w:keepNext w:val="0"/>
              <w:keepLines w:val="0"/>
              <w:pageBreakBefore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lang w:eastAsia="zh-CN"/>
              </w:rPr>
            </w:pPr>
            <w:r>
              <w:rPr>
                <w:rFonts w:hint="eastAsia"/>
                <w:color w:val="auto"/>
                <w:sz w:val="21"/>
                <w:szCs w:val="21"/>
                <w:vertAlign w:val="baseline"/>
                <w:lang w:val="en-US" w:eastAsia="zh-CN"/>
              </w:rPr>
              <w:t>脱硫渣</w:t>
            </w:r>
          </w:p>
        </w:tc>
        <w:tc>
          <w:tcPr>
            <w:tcW w:w="517" w:type="pct"/>
            <w:tcBorders>
              <w:top w:val="single" w:color="auto" w:sz="4" w:space="0"/>
              <w:left w:val="single" w:color="auto" w:sz="4" w:space="0"/>
              <w:bottom w:val="single" w:color="auto" w:sz="4" w:space="0"/>
              <w:right w:val="single" w:color="auto" w:sz="4" w:space="0"/>
            </w:tcBorders>
            <w:vAlign w:val="center"/>
          </w:tcPr>
          <w:p w14:paraId="30BCF70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6A4B85AB">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0D41505B">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1DA15C45">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highlight w:val="yellow"/>
              </w:rPr>
            </w:pPr>
            <w:r>
              <w:rPr>
                <w:rFonts w:hint="eastAsia"/>
                <w:color w:val="auto"/>
                <w:sz w:val="21"/>
                <w:szCs w:val="21"/>
                <w:highlight w:val="none"/>
                <w:vertAlign w:val="baseline"/>
                <w:lang w:val="en-US" w:eastAsia="zh-CN"/>
              </w:rPr>
              <w:t>167</w:t>
            </w:r>
            <w:r>
              <w:rPr>
                <w:rFonts w:hint="eastAsia" w:hAnsi="宋体"/>
                <w:color w:val="auto"/>
                <w:kern w:val="21"/>
                <w:sz w:val="21"/>
                <w:szCs w:val="21"/>
                <w:highlight w:val="none"/>
                <w:lang w:val="en-US" w:eastAsia="zh-CN"/>
              </w:rPr>
              <w:t>t/a</w:t>
            </w:r>
          </w:p>
        </w:tc>
        <w:tc>
          <w:tcPr>
            <w:tcW w:w="521" w:type="pct"/>
            <w:tcBorders>
              <w:top w:val="single" w:color="auto" w:sz="4" w:space="0"/>
              <w:left w:val="single" w:color="auto" w:sz="4" w:space="0"/>
              <w:bottom w:val="single" w:color="auto" w:sz="4" w:space="0"/>
              <w:right w:val="single" w:color="auto" w:sz="4" w:space="0"/>
            </w:tcBorders>
            <w:vAlign w:val="center"/>
          </w:tcPr>
          <w:p w14:paraId="086C9ACF">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20A2CB5F">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宋体" w:eastAsia="宋体" w:cs="Times New Roman"/>
                <w:color w:val="auto"/>
                <w:kern w:val="21"/>
                <w:sz w:val="21"/>
                <w:szCs w:val="21"/>
                <w:lang w:val="en-US" w:eastAsia="zh-CN" w:bidi="ar-SA"/>
              </w:rPr>
            </w:pPr>
            <w:r>
              <w:rPr>
                <w:rFonts w:hint="eastAsia" w:hAnsi="宋体"/>
                <w:color w:val="auto"/>
                <w:kern w:val="21"/>
                <w:sz w:val="21"/>
                <w:szCs w:val="21"/>
                <w:highlight w:val="none"/>
                <w:lang w:val="en-US" w:eastAsia="zh-CN"/>
              </w:rPr>
              <w:t>167t/a</w:t>
            </w:r>
          </w:p>
        </w:tc>
        <w:tc>
          <w:tcPr>
            <w:tcW w:w="483" w:type="pct"/>
            <w:tcBorders>
              <w:top w:val="single" w:color="auto" w:sz="4" w:space="0"/>
              <w:left w:val="single" w:color="auto" w:sz="4" w:space="0"/>
              <w:bottom w:val="single" w:color="auto" w:sz="4" w:space="0"/>
              <w:right w:val="single" w:color="auto" w:sz="8" w:space="0"/>
            </w:tcBorders>
            <w:vAlign w:val="center"/>
          </w:tcPr>
          <w:p w14:paraId="6FE9E37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color w:val="auto"/>
                <w:sz w:val="21"/>
                <w:szCs w:val="21"/>
                <w:highlight w:val="none"/>
                <w:vertAlign w:val="baseline"/>
                <w:lang w:val="en-US" w:eastAsia="zh-CN"/>
              </w:rPr>
              <w:t>+167</w:t>
            </w:r>
            <w:r>
              <w:rPr>
                <w:rFonts w:hint="eastAsia" w:hAnsi="宋体"/>
                <w:color w:val="auto"/>
                <w:kern w:val="21"/>
                <w:sz w:val="21"/>
                <w:szCs w:val="21"/>
                <w:highlight w:val="none"/>
                <w:lang w:val="en-US" w:eastAsia="zh-CN"/>
              </w:rPr>
              <w:t>t/a</w:t>
            </w:r>
          </w:p>
        </w:tc>
      </w:tr>
      <w:tr w14:paraId="5B930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restart"/>
            <w:tcBorders>
              <w:left w:val="single" w:color="auto" w:sz="8" w:space="0"/>
              <w:right w:val="single" w:color="auto" w:sz="4" w:space="0"/>
            </w:tcBorders>
            <w:vAlign w:val="center"/>
          </w:tcPr>
          <w:p w14:paraId="2739C49F">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eastAsia="宋体" w:cs="Times New Roman"/>
                <w:color w:val="auto"/>
                <w:kern w:val="21"/>
                <w:lang w:eastAsia="zh-CN"/>
              </w:rPr>
            </w:pPr>
            <w:r>
              <w:rPr>
                <w:rFonts w:hint="eastAsia" w:cs="Times New Roman"/>
                <w:color w:val="auto"/>
                <w:kern w:val="21"/>
                <w:lang w:eastAsia="zh-CN"/>
              </w:rPr>
              <w:t>危险废物</w:t>
            </w:r>
          </w:p>
        </w:tc>
        <w:tc>
          <w:tcPr>
            <w:tcW w:w="692" w:type="pct"/>
            <w:tcBorders>
              <w:top w:val="single" w:color="auto" w:sz="4" w:space="0"/>
              <w:left w:val="single" w:color="auto" w:sz="4" w:space="0"/>
              <w:bottom w:val="single" w:color="auto" w:sz="4" w:space="0"/>
              <w:right w:val="single" w:color="auto" w:sz="4" w:space="0"/>
            </w:tcBorders>
            <w:vAlign w:val="center"/>
          </w:tcPr>
          <w:p w14:paraId="05F18EDA">
            <w:pPr>
              <w:keepNext w:val="0"/>
              <w:keepLines w:val="0"/>
              <w:pageBreakBefore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hAnsi="宋体"/>
                <w:color w:val="auto"/>
                <w:kern w:val="21"/>
                <w:sz w:val="21"/>
                <w:szCs w:val="21"/>
                <w:lang w:eastAsia="zh-CN"/>
              </w:rPr>
            </w:pPr>
            <w:r>
              <w:rPr>
                <w:rFonts w:hint="eastAsia"/>
                <w:color w:val="auto"/>
                <w:sz w:val="21"/>
                <w:szCs w:val="21"/>
                <w:vertAlign w:val="baseline"/>
                <w:lang w:val="en-US" w:eastAsia="zh-CN"/>
              </w:rPr>
              <w:t>废机油</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587EA19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0C6B5F0C">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227A5D1D">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6CCECDB8">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color w:val="auto"/>
                <w:kern w:val="21"/>
                <w:sz w:val="21"/>
                <w:szCs w:val="21"/>
                <w:lang w:val="en-US" w:eastAsia="zh-CN"/>
              </w:rPr>
            </w:pPr>
            <w:r>
              <w:rPr>
                <w:rFonts w:hint="eastAsia" w:hAnsi="宋体"/>
                <w:color w:val="auto"/>
                <w:kern w:val="21"/>
                <w:sz w:val="21"/>
                <w:szCs w:val="21"/>
                <w:lang w:val="en-US" w:eastAsia="zh-CN"/>
              </w:rPr>
              <w:t>5t/a</w:t>
            </w:r>
          </w:p>
        </w:tc>
        <w:tc>
          <w:tcPr>
            <w:tcW w:w="521" w:type="pct"/>
            <w:tcBorders>
              <w:top w:val="single" w:color="auto" w:sz="4" w:space="0"/>
              <w:left w:val="single" w:color="auto" w:sz="4" w:space="0"/>
              <w:bottom w:val="single" w:color="auto" w:sz="4" w:space="0"/>
              <w:right w:val="single" w:color="auto" w:sz="4" w:space="0"/>
            </w:tcBorders>
            <w:vAlign w:val="center"/>
          </w:tcPr>
          <w:p w14:paraId="5EF12508">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lang w:val="en-US" w:eastAsia="zh-CN"/>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6E90F9A5">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lang w:val="en-US" w:eastAsia="zh-CN"/>
              </w:rPr>
            </w:pPr>
            <w:r>
              <w:rPr>
                <w:rFonts w:hint="eastAsia" w:hAnsi="宋体"/>
                <w:color w:val="auto"/>
                <w:kern w:val="21"/>
                <w:sz w:val="21"/>
                <w:szCs w:val="21"/>
                <w:lang w:val="en-US" w:eastAsia="zh-CN"/>
              </w:rPr>
              <w:t>5t/a</w:t>
            </w:r>
          </w:p>
        </w:tc>
        <w:tc>
          <w:tcPr>
            <w:tcW w:w="483" w:type="pct"/>
            <w:tcBorders>
              <w:top w:val="single" w:color="auto" w:sz="4" w:space="0"/>
              <w:left w:val="single" w:color="auto" w:sz="4" w:space="0"/>
              <w:bottom w:val="single" w:color="auto" w:sz="4" w:space="0"/>
              <w:right w:val="single" w:color="auto" w:sz="8" w:space="0"/>
            </w:tcBorders>
            <w:vAlign w:val="center"/>
          </w:tcPr>
          <w:p w14:paraId="385D2FEF">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lang w:val="en-US" w:eastAsia="zh-CN"/>
              </w:rPr>
            </w:pPr>
            <w:r>
              <w:rPr>
                <w:rFonts w:hint="eastAsia" w:hAnsi="宋体"/>
                <w:color w:val="auto"/>
                <w:kern w:val="21"/>
                <w:sz w:val="21"/>
                <w:szCs w:val="21"/>
                <w:lang w:val="en-US" w:eastAsia="zh-CN"/>
              </w:rPr>
              <w:t>+5t/a</w:t>
            </w:r>
          </w:p>
        </w:tc>
      </w:tr>
      <w:tr w14:paraId="279C1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Merge w:val="continue"/>
            <w:tcBorders>
              <w:left w:val="single" w:color="auto" w:sz="8" w:space="0"/>
              <w:right w:val="single" w:color="auto" w:sz="4" w:space="0"/>
            </w:tcBorders>
            <w:vAlign w:val="center"/>
          </w:tcPr>
          <w:p w14:paraId="52E83D89">
            <w:pPr>
              <w:pStyle w:val="47"/>
              <w:keepNext w:val="0"/>
              <w:keepLines w:val="0"/>
              <w:pageBreakBefore w:val="0"/>
              <w:kinsoku/>
              <w:wordWrap/>
              <w:overflowPunct/>
              <w:topLinePunct w:val="0"/>
              <w:autoSpaceDE/>
              <w:autoSpaceDN/>
              <w:bidi w:val="0"/>
              <w:adjustRightInd w:val="0"/>
              <w:snapToGrid w:val="0"/>
              <w:spacing w:beforeLines="0" w:afterLines="0" w:line="288" w:lineRule="auto"/>
              <w:ind w:firstLine="0" w:firstLineChars="0"/>
              <w:textAlignment w:val="auto"/>
              <w:rPr>
                <w:rFonts w:hint="eastAsia" w:cs="Times New Roman"/>
                <w:color w:val="auto"/>
                <w:kern w:val="21"/>
              </w:rPr>
            </w:pPr>
          </w:p>
        </w:tc>
        <w:tc>
          <w:tcPr>
            <w:tcW w:w="692" w:type="pct"/>
            <w:tcBorders>
              <w:top w:val="single" w:color="auto" w:sz="4" w:space="0"/>
              <w:left w:val="single" w:color="auto" w:sz="4" w:space="0"/>
              <w:bottom w:val="single" w:color="auto" w:sz="4" w:space="0"/>
              <w:right w:val="single" w:color="auto" w:sz="4" w:space="0"/>
            </w:tcBorders>
            <w:shd w:val="clear" w:color="auto" w:fill="auto"/>
            <w:vAlign w:val="center"/>
          </w:tcPr>
          <w:p w14:paraId="7D32D06C">
            <w:pPr>
              <w:keepNext w:val="0"/>
              <w:keepLines w:val="0"/>
              <w:pageBreakBefore w:val="0"/>
              <w:kinsoku/>
              <w:wordWrap/>
              <w:overflowPunct/>
              <w:topLinePunct w:val="0"/>
              <w:autoSpaceDE/>
              <w:autoSpaceDN/>
              <w:bidi w:val="0"/>
              <w:adjustRightInd w:val="0"/>
              <w:snapToGrid w:val="0"/>
              <w:spacing w:line="288" w:lineRule="auto"/>
              <w:ind w:left="0" w:leftChars="0" w:firstLine="0" w:firstLineChars="0"/>
              <w:jc w:val="center"/>
              <w:textAlignment w:val="auto"/>
              <w:rPr>
                <w:rFonts w:hint="eastAsia" w:ascii="Times New Roman" w:hAnsi="宋体" w:eastAsia="宋体" w:cs="Times New Roman"/>
                <w:color w:val="auto"/>
                <w:kern w:val="21"/>
                <w:sz w:val="21"/>
                <w:szCs w:val="21"/>
                <w:lang w:val="en-US" w:eastAsia="zh-CN" w:bidi="ar-SA"/>
              </w:rPr>
            </w:pPr>
            <w:r>
              <w:rPr>
                <w:rFonts w:hint="eastAsia"/>
                <w:color w:val="auto"/>
                <w:sz w:val="21"/>
                <w:szCs w:val="21"/>
                <w:vertAlign w:val="baseline"/>
                <w:lang w:val="en-US" w:eastAsia="zh-CN"/>
              </w:rPr>
              <w:t>废切削液</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A26964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hAnsi="宋体"/>
                <w:color w:val="auto"/>
                <w:kern w:val="21"/>
                <w:sz w:val="21"/>
                <w:szCs w:val="21"/>
              </w:rPr>
              <w:t>/</w:t>
            </w:r>
          </w:p>
        </w:tc>
        <w:tc>
          <w:tcPr>
            <w:tcW w:w="445" w:type="pct"/>
            <w:tcBorders>
              <w:top w:val="single" w:color="auto" w:sz="4" w:space="0"/>
              <w:left w:val="single" w:color="auto" w:sz="4" w:space="0"/>
              <w:bottom w:val="single" w:color="auto" w:sz="4" w:space="0"/>
              <w:right w:val="single" w:color="auto" w:sz="4" w:space="0"/>
            </w:tcBorders>
            <w:vAlign w:val="center"/>
          </w:tcPr>
          <w:p w14:paraId="66936910">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29" w:type="pct"/>
            <w:tcBorders>
              <w:top w:val="single" w:color="auto" w:sz="4" w:space="0"/>
              <w:left w:val="single" w:color="auto" w:sz="4" w:space="0"/>
              <w:bottom w:val="single" w:color="auto" w:sz="4" w:space="0"/>
              <w:right w:val="single" w:color="auto" w:sz="4" w:space="0"/>
            </w:tcBorders>
            <w:vAlign w:val="center"/>
          </w:tcPr>
          <w:p w14:paraId="3403D598">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rPr>
            </w:pPr>
            <w:r>
              <w:rPr>
                <w:rFonts w:hint="eastAsia" w:hAnsi="宋体"/>
                <w:color w:val="auto"/>
                <w:kern w:val="2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14:paraId="4793AC71">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hAnsi="宋体"/>
                <w:color w:val="auto"/>
                <w:kern w:val="21"/>
                <w:sz w:val="21"/>
                <w:szCs w:val="21"/>
                <w:lang w:val="en-US" w:eastAsia="zh-CN"/>
              </w:rPr>
            </w:pPr>
            <w:r>
              <w:rPr>
                <w:rFonts w:hint="eastAsia" w:hAnsi="宋体"/>
                <w:color w:val="auto"/>
                <w:kern w:val="21"/>
                <w:sz w:val="21"/>
                <w:szCs w:val="21"/>
                <w:lang w:val="en-US" w:eastAsia="zh-CN"/>
              </w:rPr>
              <w:t>0.5t/a</w:t>
            </w:r>
          </w:p>
        </w:tc>
        <w:tc>
          <w:tcPr>
            <w:tcW w:w="521" w:type="pct"/>
            <w:tcBorders>
              <w:top w:val="single" w:color="auto" w:sz="4" w:space="0"/>
              <w:left w:val="single" w:color="auto" w:sz="4" w:space="0"/>
              <w:bottom w:val="single" w:color="auto" w:sz="4" w:space="0"/>
              <w:right w:val="single" w:color="auto" w:sz="4" w:space="0"/>
            </w:tcBorders>
            <w:vAlign w:val="center"/>
          </w:tcPr>
          <w:p w14:paraId="45348C5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lang w:val="en-US" w:eastAsia="zh-CN"/>
              </w:rPr>
            </w:pPr>
            <w:r>
              <w:rPr>
                <w:rFonts w:hint="eastAsia" w:hAnsi="宋体"/>
                <w:color w:val="auto"/>
                <w:kern w:val="21"/>
                <w:sz w:val="21"/>
                <w:szCs w:val="21"/>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6296E13C">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lang w:val="en-US" w:eastAsia="zh-CN"/>
              </w:rPr>
            </w:pPr>
            <w:r>
              <w:rPr>
                <w:rFonts w:hint="eastAsia" w:hAnsi="宋体"/>
                <w:color w:val="auto"/>
                <w:kern w:val="21"/>
                <w:sz w:val="21"/>
                <w:szCs w:val="21"/>
                <w:lang w:val="en-US" w:eastAsia="zh-CN"/>
              </w:rPr>
              <w:t>0.5t/a</w:t>
            </w:r>
          </w:p>
        </w:tc>
        <w:tc>
          <w:tcPr>
            <w:tcW w:w="483" w:type="pct"/>
            <w:tcBorders>
              <w:top w:val="single" w:color="auto" w:sz="4" w:space="0"/>
              <w:left w:val="single" w:color="auto" w:sz="4" w:space="0"/>
              <w:bottom w:val="single" w:color="auto" w:sz="4" w:space="0"/>
              <w:right w:val="single" w:color="auto" w:sz="8" w:space="0"/>
            </w:tcBorders>
            <w:vAlign w:val="center"/>
          </w:tcPr>
          <w:p w14:paraId="1F4712A3">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hAnsi="宋体"/>
                <w:color w:val="auto"/>
                <w:kern w:val="21"/>
                <w:sz w:val="21"/>
                <w:szCs w:val="21"/>
                <w:lang w:val="en-US" w:eastAsia="zh-CN"/>
              </w:rPr>
            </w:pPr>
            <w:r>
              <w:rPr>
                <w:rFonts w:hint="eastAsia" w:hAnsi="宋体"/>
                <w:color w:val="auto"/>
                <w:kern w:val="21"/>
                <w:sz w:val="21"/>
                <w:szCs w:val="21"/>
                <w:lang w:val="en-US" w:eastAsia="zh-CN"/>
              </w:rPr>
              <w:t>+0.5t/a</w:t>
            </w:r>
          </w:p>
        </w:tc>
      </w:tr>
    </w:tbl>
    <w:p w14:paraId="328D6DBF">
      <w:pPr>
        <w:pStyle w:val="47"/>
        <w:spacing w:before="192" w:beforeLines="80" w:after="24"/>
        <w:jc w:val="left"/>
        <w:rPr>
          <w:color w:val="auto"/>
        </w:rPr>
      </w:pPr>
      <w:r>
        <w:rPr>
          <w:rFonts w:hint="eastAsia"/>
          <w:color w:val="auto"/>
          <w:kern w:val="21"/>
        </w:rPr>
        <w:t>注：</w:t>
      </w:r>
      <w:r>
        <w:rPr>
          <w:rFonts w:hint="eastAsia"/>
          <w:color w:val="auto"/>
        </w:rPr>
        <w:t>⑥</w:t>
      </w:r>
      <w:r>
        <w:rPr>
          <w:rFonts w:hint="eastAsia"/>
          <w:color w:val="auto"/>
          <w:spacing w:val="-16"/>
          <w:kern w:val="21"/>
        </w:rPr>
        <w:t>=</w:t>
      </w:r>
      <w:r>
        <w:rPr>
          <w:rFonts w:hint="eastAsia"/>
          <w:color w:val="auto"/>
        </w:rPr>
        <w:t>①</w:t>
      </w:r>
      <w:r>
        <w:rPr>
          <w:rFonts w:hint="eastAsia"/>
          <w:color w:val="auto"/>
          <w:spacing w:val="-6"/>
          <w:kern w:val="21"/>
        </w:rPr>
        <w:t>+</w:t>
      </w:r>
      <w:r>
        <w:rPr>
          <w:rFonts w:hint="eastAsia"/>
          <w:color w:val="auto"/>
        </w:rPr>
        <w:t>③</w:t>
      </w:r>
      <w:r>
        <w:rPr>
          <w:rFonts w:hint="eastAsia"/>
          <w:color w:val="auto"/>
          <w:spacing w:val="-6"/>
          <w:kern w:val="21"/>
        </w:rPr>
        <w:t>+</w:t>
      </w:r>
      <w:r>
        <w:rPr>
          <w:rFonts w:hint="eastAsia"/>
          <w:color w:val="auto"/>
        </w:rPr>
        <w:t>④</w:t>
      </w:r>
      <w:r>
        <w:rPr>
          <w:rFonts w:hint="eastAsia"/>
          <w:color w:val="auto"/>
          <w:spacing w:val="-6"/>
          <w:kern w:val="21"/>
        </w:rPr>
        <w:t>-</w:t>
      </w:r>
      <w:r>
        <w:rPr>
          <w:rFonts w:hint="eastAsia"/>
          <w:color w:val="auto"/>
        </w:rPr>
        <w:t>⑤</w:t>
      </w:r>
      <w:r>
        <w:rPr>
          <w:rFonts w:hint="eastAsia"/>
          <w:color w:val="auto"/>
          <w:spacing w:val="-16"/>
          <w:kern w:val="21"/>
        </w:rPr>
        <w:t>；</w:t>
      </w:r>
      <w:r>
        <w:rPr>
          <w:rFonts w:hint="eastAsia"/>
          <w:color w:val="auto"/>
        </w:rPr>
        <w:t>⑦</w:t>
      </w:r>
      <w:r>
        <w:rPr>
          <w:rFonts w:hint="eastAsia"/>
          <w:color w:val="auto"/>
          <w:spacing w:val="-6"/>
          <w:kern w:val="21"/>
        </w:rPr>
        <w:t>=</w:t>
      </w:r>
      <w:r>
        <w:rPr>
          <w:rFonts w:hint="eastAsia"/>
          <w:color w:val="auto"/>
        </w:rPr>
        <w:t>⑥</w:t>
      </w:r>
      <w:r>
        <w:rPr>
          <w:rFonts w:hint="eastAsia"/>
          <w:color w:val="auto"/>
          <w:spacing w:val="-16"/>
          <w:kern w:val="21"/>
        </w:rPr>
        <w:t>-</w:t>
      </w:r>
      <w:r>
        <w:rPr>
          <w:rFonts w:hint="eastAsia"/>
          <w:color w:val="auto"/>
        </w:rPr>
        <w:t>①</w:t>
      </w:r>
    </w:p>
    <w:bookmarkEnd w:id="5"/>
    <w:sectPr>
      <w:pgSz w:w="16838" w:h="11906" w:orient="landscape"/>
      <w:pgMar w:top="1304" w:right="1531" w:bottom="1304" w:left="1531" w:header="851" w:footer="851"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19FEBE-7E5D-456A-BC21-0C7F869A6F7D}"/>
  </w:font>
  <w:font w:name="黑体">
    <w:panose1 w:val="02010609060101010101"/>
    <w:charset w:val="86"/>
    <w:family w:val="auto"/>
    <w:pitch w:val="default"/>
    <w:sig w:usb0="800002BF" w:usb1="38CF7CFA" w:usb2="00000016" w:usb3="00000000" w:csb0="00040001" w:csb1="00000000"/>
    <w:embedRegular r:id="rId2" w:fontKey="{FA62D0A2-B0EB-40CA-A7BC-7D93C0832E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723F3FA-F8B7-4C8E-9152-5C8382A58EA7}"/>
  </w:font>
  <w:font w:name="宋体`.....">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DB84098-3346-4012-869C-9DC5748A4643}"/>
  </w:font>
  <w:font w:name="仿宋">
    <w:panose1 w:val="02010609060101010101"/>
    <w:charset w:val="86"/>
    <w:family w:val="modern"/>
    <w:pitch w:val="default"/>
    <w:sig w:usb0="800002BF" w:usb1="38CF7CFA" w:usb2="00000016" w:usb3="00000000" w:csb0="00040001" w:csb1="00000000"/>
    <w:embedRegular r:id="rId5" w:fontKey="{A3A05ACF-AD8D-4B32-AF5A-27A7001CA8D2}"/>
  </w:font>
  <w:font w:name="方正小标宋_GBK">
    <w:panose1 w:val="02000000000000000000"/>
    <w:charset w:val="86"/>
    <w:family w:val="script"/>
    <w:pitch w:val="default"/>
    <w:sig w:usb0="A00002BF" w:usb1="38CF7CFA" w:usb2="00082016" w:usb3="00000000" w:csb0="00040001" w:csb1="00000000"/>
    <w:embedRegular r:id="rId6" w:fontKey="{9E4B5CF5-A0C9-4E30-BF5E-3DFC37A0C8C6}"/>
  </w:font>
  <w:font w:name="楷体_GB2312">
    <w:panose1 w:val="02010609030101010101"/>
    <w:charset w:val="86"/>
    <w:family w:val="modern"/>
    <w:pitch w:val="default"/>
    <w:sig w:usb0="00000001" w:usb1="080E0000" w:usb2="00000000" w:usb3="00000000" w:csb0="00040000" w:csb1="00000000"/>
    <w:embedRegular r:id="rId7" w:fontKey="{4BE6D030-6CC3-4E95-A06F-39E61B6E793D}"/>
  </w:font>
  <w:font w:name="Wingdings 2">
    <w:panose1 w:val="05020102010507070707"/>
    <w:charset w:val="02"/>
    <w:family w:val="roman"/>
    <w:pitch w:val="default"/>
    <w:sig w:usb0="00000000" w:usb1="00000000" w:usb2="00000000" w:usb3="00000000" w:csb0="80000000" w:csb1="00000000"/>
    <w:embedRegular r:id="rId8" w:fontKey="{27C565DE-1626-4BA7-B63A-519E1173F95B}"/>
  </w:font>
  <w:font w:name="PMingLiU">
    <w:altName w:val="PMingLiU-ExtB"/>
    <w:panose1 w:val="02020500000000000000"/>
    <w:charset w:val="88"/>
    <w:family w:val="roman"/>
    <w:pitch w:val="default"/>
    <w:sig w:usb0="00000000" w:usb1="00000000" w:usb2="00000016" w:usb3="00000000" w:csb0="00100001" w:csb1="00000000"/>
    <w:embedRegular r:id="rId9" w:fontKey="{E0E6546D-87D7-4B4B-A719-319602706B84}"/>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DAAAF">
    <w:pPr>
      <w:tabs>
        <w:tab w:val="center" w:pos="4153"/>
        <w:tab w:val="right" w:pos="8306"/>
      </w:tabs>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8E37C">
    <w:pPr>
      <w:framePr w:wrap="around" w:vAnchor="text" w:hAnchor="margin" w:xAlign="center" w:y="1"/>
      <w:tabs>
        <w:tab w:val="center" w:pos="4153"/>
        <w:tab w:val="right" w:pos="8306"/>
      </w:tabs>
      <w:ind w:firstLine="480"/>
      <w:rPr>
        <w:rStyle w:val="28"/>
      </w:rPr>
    </w:pPr>
    <w:r>
      <w:fldChar w:fldCharType="begin"/>
    </w:r>
    <w:r>
      <w:rPr>
        <w:rStyle w:val="28"/>
      </w:rPr>
      <w:instrText xml:space="preserve">PAGE  </w:instrText>
    </w:r>
    <w:r>
      <w:fldChar w:fldCharType="separate"/>
    </w:r>
    <w:r>
      <w:rPr>
        <w:rStyle w:val="28"/>
      </w:rPr>
      <w:t>5</w:t>
    </w:r>
    <w:r>
      <w:fldChar w:fldCharType="end"/>
    </w:r>
  </w:p>
  <w:p w14:paraId="3DDA9F58">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908D4">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EFF86">
    <w:pPr>
      <w:tabs>
        <w:tab w:val="center" w:pos="4153"/>
        <w:tab w:val="right" w:pos="8306"/>
      </w:tabs>
      <w:ind w:firstLine="0" w:firstLineChars="0"/>
      <w:jc w:val="center"/>
      <w:rPr>
        <w:sz w:val="21"/>
      </w:rPr>
    </w:pPr>
    <w:r>
      <w:rPr>
        <w:rFonts w:hint="eastAsia"/>
        <w:sz w:val="21"/>
      </w:rPr>
      <w:t xml:space="preserve">第 </w:t>
    </w:r>
    <w:r>
      <w:rPr>
        <w:sz w:val="21"/>
      </w:rPr>
      <w:fldChar w:fldCharType="begin"/>
    </w:r>
    <w:r>
      <w:rPr>
        <w:sz w:val="21"/>
      </w:rPr>
      <w:instrText xml:space="preserve">PAGE   \* MERGEFORMAT</w:instrText>
    </w:r>
    <w:r>
      <w:rPr>
        <w:sz w:val="21"/>
      </w:rPr>
      <w:fldChar w:fldCharType="separate"/>
    </w:r>
    <w:r>
      <w:rPr>
        <w:sz w:val="21"/>
        <w:lang w:val="zh-CN"/>
      </w:rPr>
      <w:t>45</w:t>
    </w:r>
    <w:r>
      <w:rPr>
        <w:sz w:val="21"/>
      </w:rPr>
      <w:fldChar w:fldCharType="end"/>
    </w:r>
    <w:r>
      <w:rPr>
        <w:sz w:val="21"/>
      </w:rPr>
      <w:t xml:space="preserve"> </w:t>
    </w:r>
    <w:r>
      <w:rPr>
        <w:rFonts w:hint="eastAsia"/>
        <w:sz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4BE53">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71F89">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C1022">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D8E02"/>
    <w:multiLevelType w:val="multilevel"/>
    <w:tmpl w:val="8CBD8E02"/>
    <w:lvl w:ilvl="0" w:tentative="0">
      <w:start w:val="1"/>
      <w:numFmt w:val="decimal"/>
      <w:pStyle w:val="7"/>
      <w:suff w:val="space"/>
      <w:lvlText w:val="%1"/>
      <w:lvlJc w:val="left"/>
      <w:pPr>
        <w:ind w:left="425" w:hanging="425"/>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Restart w:val="1"/>
      <w:pStyle w:val="42"/>
      <w:suff w:val="space"/>
      <w:lvlText w:val="表%1-%4 "/>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E090FDAC"/>
    <w:multiLevelType w:val="singleLevel"/>
    <w:tmpl w:val="E090FDAC"/>
    <w:lvl w:ilvl="0" w:tentative="0">
      <w:start w:val="1"/>
      <w:numFmt w:val="decimal"/>
      <w:lvlText w:val="(%1)"/>
      <w:lvlJc w:val="left"/>
      <w:pPr>
        <w:tabs>
          <w:tab w:val="left" w:pos="397"/>
        </w:tabs>
        <w:ind w:left="420" w:leftChars="0" w:hanging="420" w:firstLineChars="0"/>
      </w:pPr>
      <w:rPr>
        <w:rFonts w:hint="default"/>
      </w:rPr>
    </w:lvl>
  </w:abstractNum>
  <w:abstractNum w:abstractNumId="2">
    <w:nsid w:val="F8D0C892"/>
    <w:multiLevelType w:val="singleLevel"/>
    <w:tmpl w:val="F8D0C892"/>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3">
    <w:nsid w:val="29026A1B"/>
    <w:multiLevelType w:val="multilevel"/>
    <w:tmpl w:val="29026A1B"/>
    <w:lvl w:ilvl="0" w:tentative="0">
      <w:start w:val="1"/>
      <w:numFmt w:val="decimal"/>
      <w:lvlText w:val="（%1）"/>
      <w:lvlJc w:val="left"/>
      <w:pPr>
        <w:ind w:left="900" w:hanging="42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suff w:val="nothing"/>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4">
    <w:nsid w:val="3E36CCC0"/>
    <w:multiLevelType w:val="singleLevel"/>
    <w:tmpl w:val="3E36CCC0"/>
    <w:lvl w:ilvl="0" w:tentative="0">
      <w:start w:val="3"/>
      <w:numFmt w:val="decimal"/>
      <w:suff w:val="nothing"/>
      <w:lvlText w:val="%1、"/>
      <w:lvlJc w:val="left"/>
    </w:lvl>
  </w:abstractNum>
  <w:abstractNum w:abstractNumId="5">
    <w:nsid w:val="501EBAFE"/>
    <w:multiLevelType w:val="singleLevel"/>
    <w:tmpl w:val="501EBAFE"/>
    <w:lvl w:ilvl="0" w:tentative="0">
      <w:start w:val="8"/>
      <w:numFmt w:val="chineseCounting"/>
      <w:suff w:val="nothing"/>
      <w:lvlText w:val="%1、"/>
      <w:lvlJc w:val="left"/>
      <w:rPr>
        <w:rFonts w:hint="eastAsia"/>
      </w:rPr>
    </w:lvl>
  </w:abstractNum>
  <w:abstractNum w:abstractNumId="6">
    <w:nsid w:val="65B51F38"/>
    <w:multiLevelType w:val="multilevel"/>
    <w:tmpl w:val="65B51F38"/>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suff w:val="nothing"/>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75F73BA0"/>
    <w:multiLevelType w:val="singleLevel"/>
    <w:tmpl w:val="75F73BA0"/>
    <w:lvl w:ilvl="0" w:tentative="0">
      <w:start w:val="1"/>
      <w:numFmt w:val="decimal"/>
      <w:suff w:val="nothing"/>
      <w:lvlText w:val="（%1）"/>
      <w:lvlJc w:val="left"/>
      <w:rPr>
        <w:rFonts w:hint="default"/>
        <w:b w:val="0"/>
        <w:bCs w:val="0"/>
      </w:rPr>
    </w:lvl>
  </w:abstractNum>
  <w:abstractNum w:abstractNumId="8">
    <w:nsid w:val="7D573C66"/>
    <w:multiLevelType w:val="multilevel"/>
    <w:tmpl w:val="7D573C66"/>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 w:numId="2">
    <w:abstractNumId w:val="2"/>
  </w:num>
  <w:num w:numId="3">
    <w:abstractNumId w:val="1"/>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YmQ2NzdlNGQxMWEyZDUxMGY5NTQzMTU0OTU0NWUifQ=="/>
  </w:docVars>
  <w:rsids>
    <w:rsidRoot w:val="00A14947"/>
    <w:rsid w:val="000003D8"/>
    <w:rsid w:val="000012B1"/>
    <w:rsid w:val="00001324"/>
    <w:rsid w:val="0000169C"/>
    <w:rsid w:val="0000182E"/>
    <w:rsid w:val="000027D3"/>
    <w:rsid w:val="00003532"/>
    <w:rsid w:val="000060B3"/>
    <w:rsid w:val="000061E2"/>
    <w:rsid w:val="00011359"/>
    <w:rsid w:val="00014646"/>
    <w:rsid w:val="000150D5"/>
    <w:rsid w:val="00016CCD"/>
    <w:rsid w:val="00020BA4"/>
    <w:rsid w:val="00021E79"/>
    <w:rsid w:val="00022880"/>
    <w:rsid w:val="0002366B"/>
    <w:rsid w:val="0002688B"/>
    <w:rsid w:val="0002708E"/>
    <w:rsid w:val="00032B46"/>
    <w:rsid w:val="00032F28"/>
    <w:rsid w:val="00033064"/>
    <w:rsid w:val="000338A4"/>
    <w:rsid w:val="0003438E"/>
    <w:rsid w:val="00034BE7"/>
    <w:rsid w:val="000357CE"/>
    <w:rsid w:val="00036C0D"/>
    <w:rsid w:val="00036E11"/>
    <w:rsid w:val="00037811"/>
    <w:rsid w:val="0004014A"/>
    <w:rsid w:val="00040575"/>
    <w:rsid w:val="00041A27"/>
    <w:rsid w:val="00041FB5"/>
    <w:rsid w:val="00042EB3"/>
    <w:rsid w:val="0004364B"/>
    <w:rsid w:val="000456AA"/>
    <w:rsid w:val="0004670F"/>
    <w:rsid w:val="000471D0"/>
    <w:rsid w:val="000473C1"/>
    <w:rsid w:val="00054BD0"/>
    <w:rsid w:val="00056340"/>
    <w:rsid w:val="00057469"/>
    <w:rsid w:val="00057F48"/>
    <w:rsid w:val="000609F0"/>
    <w:rsid w:val="0006126E"/>
    <w:rsid w:val="00061B1F"/>
    <w:rsid w:val="00061EE1"/>
    <w:rsid w:val="000625B8"/>
    <w:rsid w:val="00064CE4"/>
    <w:rsid w:val="00065194"/>
    <w:rsid w:val="00067FB0"/>
    <w:rsid w:val="0007083C"/>
    <w:rsid w:val="0007200B"/>
    <w:rsid w:val="000733C4"/>
    <w:rsid w:val="00073A34"/>
    <w:rsid w:val="00074783"/>
    <w:rsid w:val="00074A36"/>
    <w:rsid w:val="00074FD8"/>
    <w:rsid w:val="00075FD3"/>
    <w:rsid w:val="00077803"/>
    <w:rsid w:val="00080483"/>
    <w:rsid w:val="0008070B"/>
    <w:rsid w:val="000810AC"/>
    <w:rsid w:val="00081A02"/>
    <w:rsid w:val="00082231"/>
    <w:rsid w:val="00082A3B"/>
    <w:rsid w:val="000846DE"/>
    <w:rsid w:val="00084C17"/>
    <w:rsid w:val="000879CF"/>
    <w:rsid w:val="000901A7"/>
    <w:rsid w:val="000928D7"/>
    <w:rsid w:val="00092D38"/>
    <w:rsid w:val="00092D76"/>
    <w:rsid w:val="0009377B"/>
    <w:rsid w:val="00093C47"/>
    <w:rsid w:val="000954C2"/>
    <w:rsid w:val="000959B3"/>
    <w:rsid w:val="000A0DC1"/>
    <w:rsid w:val="000A19AB"/>
    <w:rsid w:val="000A20C9"/>
    <w:rsid w:val="000A4587"/>
    <w:rsid w:val="000A53EC"/>
    <w:rsid w:val="000A704C"/>
    <w:rsid w:val="000B058F"/>
    <w:rsid w:val="000B06BA"/>
    <w:rsid w:val="000B1A90"/>
    <w:rsid w:val="000B23CB"/>
    <w:rsid w:val="000B3509"/>
    <w:rsid w:val="000B3B12"/>
    <w:rsid w:val="000B4467"/>
    <w:rsid w:val="000B4DB9"/>
    <w:rsid w:val="000B5D11"/>
    <w:rsid w:val="000B5F97"/>
    <w:rsid w:val="000B77D4"/>
    <w:rsid w:val="000C09AC"/>
    <w:rsid w:val="000C139E"/>
    <w:rsid w:val="000C1405"/>
    <w:rsid w:val="000C2779"/>
    <w:rsid w:val="000C3C99"/>
    <w:rsid w:val="000C55DD"/>
    <w:rsid w:val="000C5CE9"/>
    <w:rsid w:val="000C767F"/>
    <w:rsid w:val="000D005A"/>
    <w:rsid w:val="000D5A44"/>
    <w:rsid w:val="000D6498"/>
    <w:rsid w:val="000D7E60"/>
    <w:rsid w:val="000E01DF"/>
    <w:rsid w:val="000E151B"/>
    <w:rsid w:val="000E17B8"/>
    <w:rsid w:val="000E20C8"/>
    <w:rsid w:val="000E3ED2"/>
    <w:rsid w:val="000E42A4"/>
    <w:rsid w:val="000E42DC"/>
    <w:rsid w:val="000E437D"/>
    <w:rsid w:val="000E526F"/>
    <w:rsid w:val="000E7520"/>
    <w:rsid w:val="000F0562"/>
    <w:rsid w:val="000F0FF1"/>
    <w:rsid w:val="000F1B6B"/>
    <w:rsid w:val="000F4BA5"/>
    <w:rsid w:val="000F5D10"/>
    <w:rsid w:val="0010196B"/>
    <w:rsid w:val="00102532"/>
    <w:rsid w:val="00103430"/>
    <w:rsid w:val="00104EB5"/>
    <w:rsid w:val="00105351"/>
    <w:rsid w:val="0010623A"/>
    <w:rsid w:val="001107EB"/>
    <w:rsid w:val="001135BF"/>
    <w:rsid w:val="00114169"/>
    <w:rsid w:val="00114381"/>
    <w:rsid w:val="00114842"/>
    <w:rsid w:val="00114988"/>
    <w:rsid w:val="001149F9"/>
    <w:rsid w:val="001158E4"/>
    <w:rsid w:val="00116753"/>
    <w:rsid w:val="00117629"/>
    <w:rsid w:val="00117D84"/>
    <w:rsid w:val="00120591"/>
    <w:rsid w:val="00124962"/>
    <w:rsid w:val="00125637"/>
    <w:rsid w:val="00131CFE"/>
    <w:rsid w:val="00131F42"/>
    <w:rsid w:val="001336DD"/>
    <w:rsid w:val="00133C7E"/>
    <w:rsid w:val="001351BE"/>
    <w:rsid w:val="001357F1"/>
    <w:rsid w:val="001364EA"/>
    <w:rsid w:val="0013791A"/>
    <w:rsid w:val="00140FA8"/>
    <w:rsid w:val="00142FEB"/>
    <w:rsid w:val="001434D2"/>
    <w:rsid w:val="00143A2D"/>
    <w:rsid w:val="00144264"/>
    <w:rsid w:val="00145A41"/>
    <w:rsid w:val="00150EAD"/>
    <w:rsid w:val="00150FD2"/>
    <w:rsid w:val="00151675"/>
    <w:rsid w:val="00152E8A"/>
    <w:rsid w:val="0015357C"/>
    <w:rsid w:val="00154186"/>
    <w:rsid w:val="00157435"/>
    <w:rsid w:val="001629DF"/>
    <w:rsid w:val="00163033"/>
    <w:rsid w:val="001631A8"/>
    <w:rsid w:val="00164F06"/>
    <w:rsid w:val="00166E3B"/>
    <w:rsid w:val="00170E85"/>
    <w:rsid w:val="00171807"/>
    <w:rsid w:val="00172D34"/>
    <w:rsid w:val="00173C64"/>
    <w:rsid w:val="00174288"/>
    <w:rsid w:val="0017451C"/>
    <w:rsid w:val="0017504D"/>
    <w:rsid w:val="0017671A"/>
    <w:rsid w:val="00177422"/>
    <w:rsid w:val="00177BD4"/>
    <w:rsid w:val="00181BE0"/>
    <w:rsid w:val="00184590"/>
    <w:rsid w:val="00184C8A"/>
    <w:rsid w:val="0018637A"/>
    <w:rsid w:val="001870D1"/>
    <w:rsid w:val="00187563"/>
    <w:rsid w:val="0018781E"/>
    <w:rsid w:val="0019262D"/>
    <w:rsid w:val="00193C9C"/>
    <w:rsid w:val="001946DB"/>
    <w:rsid w:val="00195A7C"/>
    <w:rsid w:val="001973FB"/>
    <w:rsid w:val="001A1B35"/>
    <w:rsid w:val="001A48A2"/>
    <w:rsid w:val="001A689A"/>
    <w:rsid w:val="001A6F61"/>
    <w:rsid w:val="001B1940"/>
    <w:rsid w:val="001B1D74"/>
    <w:rsid w:val="001B38B1"/>
    <w:rsid w:val="001B55C9"/>
    <w:rsid w:val="001B5A8F"/>
    <w:rsid w:val="001B5BB6"/>
    <w:rsid w:val="001B72B8"/>
    <w:rsid w:val="001B75B4"/>
    <w:rsid w:val="001C0F27"/>
    <w:rsid w:val="001C1D6B"/>
    <w:rsid w:val="001C3F13"/>
    <w:rsid w:val="001C6745"/>
    <w:rsid w:val="001C69B3"/>
    <w:rsid w:val="001C6BB2"/>
    <w:rsid w:val="001D252A"/>
    <w:rsid w:val="001D2FE0"/>
    <w:rsid w:val="001D3073"/>
    <w:rsid w:val="001D31DF"/>
    <w:rsid w:val="001D4A7F"/>
    <w:rsid w:val="001D4F73"/>
    <w:rsid w:val="001D5595"/>
    <w:rsid w:val="001D6A4F"/>
    <w:rsid w:val="001D6E05"/>
    <w:rsid w:val="001D7874"/>
    <w:rsid w:val="001D7F22"/>
    <w:rsid w:val="001E0FF5"/>
    <w:rsid w:val="001E2E90"/>
    <w:rsid w:val="001E2F10"/>
    <w:rsid w:val="001E2F21"/>
    <w:rsid w:val="001E38EE"/>
    <w:rsid w:val="001E39CC"/>
    <w:rsid w:val="001E41BE"/>
    <w:rsid w:val="001E64BD"/>
    <w:rsid w:val="001E6B89"/>
    <w:rsid w:val="001F0F17"/>
    <w:rsid w:val="001F1EC1"/>
    <w:rsid w:val="001F2AEA"/>
    <w:rsid w:val="001F3347"/>
    <w:rsid w:val="001F490E"/>
    <w:rsid w:val="001F49EE"/>
    <w:rsid w:val="001F508B"/>
    <w:rsid w:val="001F5564"/>
    <w:rsid w:val="001F69E4"/>
    <w:rsid w:val="001F6CEF"/>
    <w:rsid w:val="0020217E"/>
    <w:rsid w:val="00202678"/>
    <w:rsid w:val="0020597D"/>
    <w:rsid w:val="002079D1"/>
    <w:rsid w:val="00211E39"/>
    <w:rsid w:val="002125B4"/>
    <w:rsid w:val="00212704"/>
    <w:rsid w:val="0021334F"/>
    <w:rsid w:val="00213431"/>
    <w:rsid w:val="00214E39"/>
    <w:rsid w:val="00214EC2"/>
    <w:rsid w:val="002155B8"/>
    <w:rsid w:val="00217AFD"/>
    <w:rsid w:val="00224839"/>
    <w:rsid w:val="002249B2"/>
    <w:rsid w:val="002259DA"/>
    <w:rsid w:val="0022602B"/>
    <w:rsid w:val="00226042"/>
    <w:rsid w:val="00226574"/>
    <w:rsid w:val="002272B3"/>
    <w:rsid w:val="002278EC"/>
    <w:rsid w:val="0023280E"/>
    <w:rsid w:val="002339B0"/>
    <w:rsid w:val="0023480C"/>
    <w:rsid w:val="00235170"/>
    <w:rsid w:val="00235E4E"/>
    <w:rsid w:val="00236F04"/>
    <w:rsid w:val="0023729E"/>
    <w:rsid w:val="002377D1"/>
    <w:rsid w:val="0024132A"/>
    <w:rsid w:val="00242047"/>
    <w:rsid w:val="002425EE"/>
    <w:rsid w:val="002434A0"/>
    <w:rsid w:val="002445C5"/>
    <w:rsid w:val="002457FF"/>
    <w:rsid w:val="00246DFF"/>
    <w:rsid w:val="002506BC"/>
    <w:rsid w:val="00250E7F"/>
    <w:rsid w:val="00254345"/>
    <w:rsid w:val="00257EF2"/>
    <w:rsid w:val="002634CE"/>
    <w:rsid w:val="00263A2A"/>
    <w:rsid w:val="00264557"/>
    <w:rsid w:val="002657A7"/>
    <w:rsid w:val="00267497"/>
    <w:rsid w:val="00267FE5"/>
    <w:rsid w:val="00270C13"/>
    <w:rsid w:val="0027434B"/>
    <w:rsid w:val="00275E27"/>
    <w:rsid w:val="00276B50"/>
    <w:rsid w:val="00277616"/>
    <w:rsid w:val="00277C89"/>
    <w:rsid w:val="002805AB"/>
    <w:rsid w:val="002810B6"/>
    <w:rsid w:val="0028327A"/>
    <w:rsid w:val="00283688"/>
    <w:rsid w:val="00284204"/>
    <w:rsid w:val="0028652B"/>
    <w:rsid w:val="00286703"/>
    <w:rsid w:val="00286856"/>
    <w:rsid w:val="0028693E"/>
    <w:rsid w:val="00290240"/>
    <w:rsid w:val="00291773"/>
    <w:rsid w:val="00291AF2"/>
    <w:rsid w:val="002926F5"/>
    <w:rsid w:val="00292A7F"/>
    <w:rsid w:val="002936E4"/>
    <w:rsid w:val="00295699"/>
    <w:rsid w:val="0029649C"/>
    <w:rsid w:val="00296D3E"/>
    <w:rsid w:val="0029711A"/>
    <w:rsid w:val="002976B6"/>
    <w:rsid w:val="002A168C"/>
    <w:rsid w:val="002A3DC7"/>
    <w:rsid w:val="002B1355"/>
    <w:rsid w:val="002B1FCD"/>
    <w:rsid w:val="002B2964"/>
    <w:rsid w:val="002B2E98"/>
    <w:rsid w:val="002B2F73"/>
    <w:rsid w:val="002B3AD0"/>
    <w:rsid w:val="002B49E2"/>
    <w:rsid w:val="002B53CE"/>
    <w:rsid w:val="002B56D1"/>
    <w:rsid w:val="002B6DCE"/>
    <w:rsid w:val="002B7B00"/>
    <w:rsid w:val="002B7C44"/>
    <w:rsid w:val="002C07D8"/>
    <w:rsid w:val="002C10AA"/>
    <w:rsid w:val="002C1329"/>
    <w:rsid w:val="002C1740"/>
    <w:rsid w:val="002C2261"/>
    <w:rsid w:val="002C2B17"/>
    <w:rsid w:val="002C3543"/>
    <w:rsid w:val="002C4CA1"/>
    <w:rsid w:val="002C544C"/>
    <w:rsid w:val="002C5F97"/>
    <w:rsid w:val="002C639B"/>
    <w:rsid w:val="002C6821"/>
    <w:rsid w:val="002C6EA6"/>
    <w:rsid w:val="002D1128"/>
    <w:rsid w:val="002D369F"/>
    <w:rsid w:val="002D3DD0"/>
    <w:rsid w:val="002D5D41"/>
    <w:rsid w:val="002D772F"/>
    <w:rsid w:val="002E1A59"/>
    <w:rsid w:val="002E1F3A"/>
    <w:rsid w:val="002E298A"/>
    <w:rsid w:val="002E2D4B"/>
    <w:rsid w:val="002E3B43"/>
    <w:rsid w:val="002E47B3"/>
    <w:rsid w:val="002E53A3"/>
    <w:rsid w:val="002E7575"/>
    <w:rsid w:val="002F0631"/>
    <w:rsid w:val="002F10D9"/>
    <w:rsid w:val="002F11B7"/>
    <w:rsid w:val="002F24B3"/>
    <w:rsid w:val="002F2C4E"/>
    <w:rsid w:val="002F3F17"/>
    <w:rsid w:val="002F4BB1"/>
    <w:rsid w:val="002F535A"/>
    <w:rsid w:val="00301978"/>
    <w:rsid w:val="00302952"/>
    <w:rsid w:val="0030332C"/>
    <w:rsid w:val="003051C2"/>
    <w:rsid w:val="00305C42"/>
    <w:rsid w:val="00305D34"/>
    <w:rsid w:val="00306EC6"/>
    <w:rsid w:val="0030795C"/>
    <w:rsid w:val="00312296"/>
    <w:rsid w:val="00314F0E"/>
    <w:rsid w:val="00316CB6"/>
    <w:rsid w:val="00321D8E"/>
    <w:rsid w:val="00323282"/>
    <w:rsid w:val="003256CB"/>
    <w:rsid w:val="0032570A"/>
    <w:rsid w:val="00325928"/>
    <w:rsid w:val="00326A18"/>
    <w:rsid w:val="00327016"/>
    <w:rsid w:val="0032717C"/>
    <w:rsid w:val="00330E71"/>
    <w:rsid w:val="00332535"/>
    <w:rsid w:val="00332863"/>
    <w:rsid w:val="0033393D"/>
    <w:rsid w:val="00333B3E"/>
    <w:rsid w:val="00336145"/>
    <w:rsid w:val="0033684D"/>
    <w:rsid w:val="00337B42"/>
    <w:rsid w:val="00337C45"/>
    <w:rsid w:val="00341B42"/>
    <w:rsid w:val="0034348F"/>
    <w:rsid w:val="0034568F"/>
    <w:rsid w:val="00345C42"/>
    <w:rsid w:val="00346BF5"/>
    <w:rsid w:val="00347DBE"/>
    <w:rsid w:val="00353569"/>
    <w:rsid w:val="003552F3"/>
    <w:rsid w:val="00355543"/>
    <w:rsid w:val="00356653"/>
    <w:rsid w:val="003571F0"/>
    <w:rsid w:val="0035743F"/>
    <w:rsid w:val="0035770E"/>
    <w:rsid w:val="00357BE2"/>
    <w:rsid w:val="0036170C"/>
    <w:rsid w:val="00361966"/>
    <w:rsid w:val="00361E08"/>
    <w:rsid w:val="00366E0F"/>
    <w:rsid w:val="00367513"/>
    <w:rsid w:val="00370B3E"/>
    <w:rsid w:val="0037478E"/>
    <w:rsid w:val="00375096"/>
    <w:rsid w:val="00376BE8"/>
    <w:rsid w:val="00376DD7"/>
    <w:rsid w:val="00381A72"/>
    <w:rsid w:val="00384398"/>
    <w:rsid w:val="00384676"/>
    <w:rsid w:val="00386913"/>
    <w:rsid w:val="00387732"/>
    <w:rsid w:val="00390857"/>
    <w:rsid w:val="00391F0C"/>
    <w:rsid w:val="0039318B"/>
    <w:rsid w:val="003949EF"/>
    <w:rsid w:val="003965E4"/>
    <w:rsid w:val="003A01A5"/>
    <w:rsid w:val="003A1D0B"/>
    <w:rsid w:val="003A1DF6"/>
    <w:rsid w:val="003A4BF3"/>
    <w:rsid w:val="003A58F9"/>
    <w:rsid w:val="003A6087"/>
    <w:rsid w:val="003A6A5D"/>
    <w:rsid w:val="003A706C"/>
    <w:rsid w:val="003B2F62"/>
    <w:rsid w:val="003B3133"/>
    <w:rsid w:val="003B420D"/>
    <w:rsid w:val="003B4FE9"/>
    <w:rsid w:val="003B5E2C"/>
    <w:rsid w:val="003B5FDE"/>
    <w:rsid w:val="003B63C2"/>
    <w:rsid w:val="003B76CB"/>
    <w:rsid w:val="003C0A50"/>
    <w:rsid w:val="003C0AD4"/>
    <w:rsid w:val="003C1E49"/>
    <w:rsid w:val="003C4A89"/>
    <w:rsid w:val="003C6C16"/>
    <w:rsid w:val="003D0273"/>
    <w:rsid w:val="003D0920"/>
    <w:rsid w:val="003D0C11"/>
    <w:rsid w:val="003D250F"/>
    <w:rsid w:val="003D2E47"/>
    <w:rsid w:val="003D57E4"/>
    <w:rsid w:val="003D5DE1"/>
    <w:rsid w:val="003D7397"/>
    <w:rsid w:val="003D794D"/>
    <w:rsid w:val="003E00A8"/>
    <w:rsid w:val="003E0DF8"/>
    <w:rsid w:val="003E13A9"/>
    <w:rsid w:val="003E1435"/>
    <w:rsid w:val="003E3058"/>
    <w:rsid w:val="003E33E2"/>
    <w:rsid w:val="003E3CE3"/>
    <w:rsid w:val="003E4715"/>
    <w:rsid w:val="003E5C1C"/>
    <w:rsid w:val="003E76A9"/>
    <w:rsid w:val="003E7CE0"/>
    <w:rsid w:val="003E7EEC"/>
    <w:rsid w:val="003F0075"/>
    <w:rsid w:val="003F0809"/>
    <w:rsid w:val="003F1079"/>
    <w:rsid w:val="003F18AE"/>
    <w:rsid w:val="003F50DE"/>
    <w:rsid w:val="003F5173"/>
    <w:rsid w:val="003F5FB5"/>
    <w:rsid w:val="003F6A8C"/>
    <w:rsid w:val="003F755C"/>
    <w:rsid w:val="00401375"/>
    <w:rsid w:val="004017C2"/>
    <w:rsid w:val="00402091"/>
    <w:rsid w:val="00405346"/>
    <w:rsid w:val="004062BD"/>
    <w:rsid w:val="00406F01"/>
    <w:rsid w:val="00410849"/>
    <w:rsid w:val="00411115"/>
    <w:rsid w:val="0041367A"/>
    <w:rsid w:val="00415B16"/>
    <w:rsid w:val="00416D50"/>
    <w:rsid w:val="00416F82"/>
    <w:rsid w:val="00416FCA"/>
    <w:rsid w:val="00416FD5"/>
    <w:rsid w:val="00417772"/>
    <w:rsid w:val="00420E6A"/>
    <w:rsid w:val="00421770"/>
    <w:rsid w:val="00422517"/>
    <w:rsid w:val="00423F9F"/>
    <w:rsid w:val="00424825"/>
    <w:rsid w:val="00425A9E"/>
    <w:rsid w:val="00426D6B"/>
    <w:rsid w:val="00426E2D"/>
    <w:rsid w:val="004307B4"/>
    <w:rsid w:val="00430873"/>
    <w:rsid w:val="00430B90"/>
    <w:rsid w:val="00430DFB"/>
    <w:rsid w:val="00430FDC"/>
    <w:rsid w:val="00431027"/>
    <w:rsid w:val="0043147E"/>
    <w:rsid w:val="00431E6C"/>
    <w:rsid w:val="00433CE7"/>
    <w:rsid w:val="004404AB"/>
    <w:rsid w:val="00442633"/>
    <w:rsid w:val="00444EB5"/>
    <w:rsid w:val="00446904"/>
    <w:rsid w:val="004469BF"/>
    <w:rsid w:val="00447646"/>
    <w:rsid w:val="00450160"/>
    <w:rsid w:val="00451031"/>
    <w:rsid w:val="00451766"/>
    <w:rsid w:val="00452738"/>
    <w:rsid w:val="004530B8"/>
    <w:rsid w:val="004539EC"/>
    <w:rsid w:val="00454AAA"/>
    <w:rsid w:val="00456091"/>
    <w:rsid w:val="00461D1E"/>
    <w:rsid w:val="0046206C"/>
    <w:rsid w:val="0046550B"/>
    <w:rsid w:val="00466321"/>
    <w:rsid w:val="00466B1E"/>
    <w:rsid w:val="00467ED4"/>
    <w:rsid w:val="00470150"/>
    <w:rsid w:val="004702EB"/>
    <w:rsid w:val="00470B1A"/>
    <w:rsid w:val="00476371"/>
    <w:rsid w:val="004772D0"/>
    <w:rsid w:val="0048105F"/>
    <w:rsid w:val="004811DA"/>
    <w:rsid w:val="00481DEF"/>
    <w:rsid w:val="00484B9B"/>
    <w:rsid w:val="004855F6"/>
    <w:rsid w:val="004858CA"/>
    <w:rsid w:val="0048661E"/>
    <w:rsid w:val="0049162A"/>
    <w:rsid w:val="00493557"/>
    <w:rsid w:val="00494670"/>
    <w:rsid w:val="00494FFB"/>
    <w:rsid w:val="00495133"/>
    <w:rsid w:val="004957F7"/>
    <w:rsid w:val="00495945"/>
    <w:rsid w:val="00495C95"/>
    <w:rsid w:val="004968AC"/>
    <w:rsid w:val="004A075E"/>
    <w:rsid w:val="004A0776"/>
    <w:rsid w:val="004A1675"/>
    <w:rsid w:val="004A1EA8"/>
    <w:rsid w:val="004A3823"/>
    <w:rsid w:val="004A457B"/>
    <w:rsid w:val="004A6256"/>
    <w:rsid w:val="004B0E4B"/>
    <w:rsid w:val="004B3001"/>
    <w:rsid w:val="004B5A80"/>
    <w:rsid w:val="004B5B95"/>
    <w:rsid w:val="004C0589"/>
    <w:rsid w:val="004C2F04"/>
    <w:rsid w:val="004C7D3C"/>
    <w:rsid w:val="004D0B81"/>
    <w:rsid w:val="004D0DB5"/>
    <w:rsid w:val="004D178C"/>
    <w:rsid w:val="004D215F"/>
    <w:rsid w:val="004D59BD"/>
    <w:rsid w:val="004D5BD8"/>
    <w:rsid w:val="004D6899"/>
    <w:rsid w:val="004D696D"/>
    <w:rsid w:val="004D7F89"/>
    <w:rsid w:val="004E0D97"/>
    <w:rsid w:val="004E6946"/>
    <w:rsid w:val="004E6C5C"/>
    <w:rsid w:val="004E6E99"/>
    <w:rsid w:val="004E70B4"/>
    <w:rsid w:val="004F056B"/>
    <w:rsid w:val="004F0F40"/>
    <w:rsid w:val="004F1657"/>
    <w:rsid w:val="004F1AD8"/>
    <w:rsid w:val="004F4F17"/>
    <w:rsid w:val="004F53E6"/>
    <w:rsid w:val="004F5860"/>
    <w:rsid w:val="004F6074"/>
    <w:rsid w:val="004F7534"/>
    <w:rsid w:val="0050150A"/>
    <w:rsid w:val="005039CB"/>
    <w:rsid w:val="00504167"/>
    <w:rsid w:val="00504B19"/>
    <w:rsid w:val="0050558F"/>
    <w:rsid w:val="00506286"/>
    <w:rsid w:val="00507AC7"/>
    <w:rsid w:val="00507D73"/>
    <w:rsid w:val="00510813"/>
    <w:rsid w:val="00511990"/>
    <w:rsid w:val="00511DE0"/>
    <w:rsid w:val="00512C1D"/>
    <w:rsid w:val="005136D4"/>
    <w:rsid w:val="005138EE"/>
    <w:rsid w:val="00514870"/>
    <w:rsid w:val="00514B9B"/>
    <w:rsid w:val="00514D90"/>
    <w:rsid w:val="00515B83"/>
    <w:rsid w:val="00516B2B"/>
    <w:rsid w:val="00517F02"/>
    <w:rsid w:val="00520576"/>
    <w:rsid w:val="00522FFD"/>
    <w:rsid w:val="00523C0A"/>
    <w:rsid w:val="00523C44"/>
    <w:rsid w:val="00524303"/>
    <w:rsid w:val="00524EF5"/>
    <w:rsid w:val="005258A2"/>
    <w:rsid w:val="005263F8"/>
    <w:rsid w:val="00526B63"/>
    <w:rsid w:val="00531A7E"/>
    <w:rsid w:val="005335EF"/>
    <w:rsid w:val="00536145"/>
    <w:rsid w:val="005369F1"/>
    <w:rsid w:val="00537CD7"/>
    <w:rsid w:val="005401AE"/>
    <w:rsid w:val="0054216F"/>
    <w:rsid w:val="00542E07"/>
    <w:rsid w:val="00542F14"/>
    <w:rsid w:val="0054526F"/>
    <w:rsid w:val="00545424"/>
    <w:rsid w:val="005500E2"/>
    <w:rsid w:val="0055024F"/>
    <w:rsid w:val="00550F0F"/>
    <w:rsid w:val="0055117C"/>
    <w:rsid w:val="00551828"/>
    <w:rsid w:val="00554A7B"/>
    <w:rsid w:val="005554E7"/>
    <w:rsid w:val="0055572C"/>
    <w:rsid w:val="00555965"/>
    <w:rsid w:val="0055793D"/>
    <w:rsid w:val="0056106A"/>
    <w:rsid w:val="005616EF"/>
    <w:rsid w:val="00562BF5"/>
    <w:rsid w:val="005631FD"/>
    <w:rsid w:val="00563274"/>
    <w:rsid w:val="00565724"/>
    <w:rsid w:val="0057163A"/>
    <w:rsid w:val="005720AE"/>
    <w:rsid w:val="00572C7C"/>
    <w:rsid w:val="00573BF1"/>
    <w:rsid w:val="00575F80"/>
    <w:rsid w:val="0057658F"/>
    <w:rsid w:val="0058052C"/>
    <w:rsid w:val="005815AE"/>
    <w:rsid w:val="005821C5"/>
    <w:rsid w:val="0058317A"/>
    <w:rsid w:val="0058334D"/>
    <w:rsid w:val="00583D0D"/>
    <w:rsid w:val="00584037"/>
    <w:rsid w:val="00584F55"/>
    <w:rsid w:val="00585187"/>
    <w:rsid w:val="005856B3"/>
    <w:rsid w:val="0058619E"/>
    <w:rsid w:val="00586E9E"/>
    <w:rsid w:val="00587093"/>
    <w:rsid w:val="00587103"/>
    <w:rsid w:val="00587790"/>
    <w:rsid w:val="00587AE8"/>
    <w:rsid w:val="005911E5"/>
    <w:rsid w:val="00591E4B"/>
    <w:rsid w:val="00592097"/>
    <w:rsid w:val="00593490"/>
    <w:rsid w:val="00593727"/>
    <w:rsid w:val="00593FBC"/>
    <w:rsid w:val="00594D77"/>
    <w:rsid w:val="005951F8"/>
    <w:rsid w:val="00596332"/>
    <w:rsid w:val="005969E4"/>
    <w:rsid w:val="00596E95"/>
    <w:rsid w:val="005A06B7"/>
    <w:rsid w:val="005A0731"/>
    <w:rsid w:val="005A0ED8"/>
    <w:rsid w:val="005A1759"/>
    <w:rsid w:val="005A193A"/>
    <w:rsid w:val="005A68A7"/>
    <w:rsid w:val="005A7DC8"/>
    <w:rsid w:val="005A7F0F"/>
    <w:rsid w:val="005B0331"/>
    <w:rsid w:val="005B0679"/>
    <w:rsid w:val="005B15B2"/>
    <w:rsid w:val="005B19F2"/>
    <w:rsid w:val="005B2AC9"/>
    <w:rsid w:val="005B2CB1"/>
    <w:rsid w:val="005B2D04"/>
    <w:rsid w:val="005B4532"/>
    <w:rsid w:val="005B777E"/>
    <w:rsid w:val="005C3ACF"/>
    <w:rsid w:val="005C3C45"/>
    <w:rsid w:val="005C4B01"/>
    <w:rsid w:val="005C578A"/>
    <w:rsid w:val="005C653A"/>
    <w:rsid w:val="005C6B0E"/>
    <w:rsid w:val="005D113E"/>
    <w:rsid w:val="005D1417"/>
    <w:rsid w:val="005D1C96"/>
    <w:rsid w:val="005D3039"/>
    <w:rsid w:val="005D36AB"/>
    <w:rsid w:val="005D42EE"/>
    <w:rsid w:val="005D571B"/>
    <w:rsid w:val="005D6170"/>
    <w:rsid w:val="005D638D"/>
    <w:rsid w:val="005E4878"/>
    <w:rsid w:val="005E5D0A"/>
    <w:rsid w:val="005F0374"/>
    <w:rsid w:val="005F4A96"/>
    <w:rsid w:val="005F52BF"/>
    <w:rsid w:val="005F56B0"/>
    <w:rsid w:val="00602802"/>
    <w:rsid w:val="0060395B"/>
    <w:rsid w:val="00603E3C"/>
    <w:rsid w:val="00605304"/>
    <w:rsid w:val="0060581A"/>
    <w:rsid w:val="00606130"/>
    <w:rsid w:val="00606785"/>
    <w:rsid w:val="00610441"/>
    <w:rsid w:val="00610481"/>
    <w:rsid w:val="00610D45"/>
    <w:rsid w:val="006129EE"/>
    <w:rsid w:val="00614779"/>
    <w:rsid w:val="00615985"/>
    <w:rsid w:val="006165E2"/>
    <w:rsid w:val="00617CC3"/>
    <w:rsid w:val="00622C22"/>
    <w:rsid w:val="00625B2B"/>
    <w:rsid w:val="00625FD0"/>
    <w:rsid w:val="0062674D"/>
    <w:rsid w:val="00630AD0"/>
    <w:rsid w:val="00630BF7"/>
    <w:rsid w:val="00630C10"/>
    <w:rsid w:val="0063297E"/>
    <w:rsid w:val="00634597"/>
    <w:rsid w:val="00635820"/>
    <w:rsid w:val="0063609A"/>
    <w:rsid w:val="0063662F"/>
    <w:rsid w:val="00636B6B"/>
    <w:rsid w:val="006374DF"/>
    <w:rsid w:val="006377A6"/>
    <w:rsid w:val="00637A3D"/>
    <w:rsid w:val="006411EF"/>
    <w:rsid w:val="00643C18"/>
    <w:rsid w:val="00644253"/>
    <w:rsid w:val="00646E68"/>
    <w:rsid w:val="00646F77"/>
    <w:rsid w:val="0064714A"/>
    <w:rsid w:val="0064729C"/>
    <w:rsid w:val="0064762B"/>
    <w:rsid w:val="006523CD"/>
    <w:rsid w:val="00655C64"/>
    <w:rsid w:val="00662939"/>
    <w:rsid w:val="0066345E"/>
    <w:rsid w:val="006642F4"/>
    <w:rsid w:val="00667376"/>
    <w:rsid w:val="006701CA"/>
    <w:rsid w:val="006710F3"/>
    <w:rsid w:val="00673314"/>
    <w:rsid w:val="00673ED2"/>
    <w:rsid w:val="00673F8C"/>
    <w:rsid w:val="0067439E"/>
    <w:rsid w:val="006748B8"/>
    <w:rsid w:val="0067535A"/>
    <w:rsid w:val="00676626"/>
    <w:rsid w:val="00676E23"/>
    <w:rsid w:val="006775C3"/>
    <w:rsid w:val="0068078A"/>
    <w:rsid w:val="00681E86"/>
    <w:rsid w:val="00682D24"/>
    <w:rsid w:val="00683AE5"/>
    <w:rsid w:val="00684319"/>
    <w:rsid w:val="00684ED0"/>
    <w:rsid w:val="006859F6"/>
    <w:rsid w:val="0068641C"/>
    <w:rsid w:val="0068653C"/>
    <w:rsid w:val="00686C89"/>
    <w:rsid w:val="0068760D"/>
    <w:rsid w:val="0069290A"/>
    <w:rsid w:val="006939D8"/>
    <w:rsid w:val="00694B7D"/>
    <w:rsid w:val="00695CC9"/>
    <w:rsid w:val="0069775A"/>
    <w:rsid w:val="00697813"/>
    <w:rsid w:val="006A3234"/>
    <w:rsid w:val="006A3EE8"/>
    <w:rsid w:val="006A406B"/>
    <w:rsid w:val="006A6127"/>
    <w:rsid w:val="006A70D9"/>
    <w:rsid w:val="006A72BF"/>
    <w:rsid w:val="006B03F2"/>
    <w:rsid w:val="006B0BCA"/>
    <w:rsid w:val="006B37DC"/>
    <w:rsid w:val="006B4F68"/>
    <w:rsid w:val="006B5811"/>
    <w:rsid w:val="006C0592"/>
    <w:rsid w:val="006C1458"/>
    <w:rsid w:val="006C209A"/>
    <w:rsid w:val="006C272E"/>
    <w:rsid w:val="006C341F"/>
    <w:rsid w:val="006C3AB3"/>
    <w:rsid w:val="006C3C3B"/>
    <w:rsid w:val="006C4E8C"/>
    <w:rsid w:val="006C5479"/>
    <w:rsid w:val="006C7E18"/>
    <w:rsid w:val="006D13B5"/>
    <w:rsid w:val="006D19EC"/>
    <w:rsid w:val="006D1E82"/>
    <w:rsid w:val="006D44B8"/>
    <w:rsid w:val="006D67BA"/>
    <w:rsid w:val="006D6F3A"/>
    <w:rsid w:val="006D7403"/>
    <w:rsid w:val="006D7D2B"/>
    <w:rsid w:val="006E05BE"/>
    <w:rsid w:val="006E12FF"/>
    <w:rsid w:val="006E3226"/>
    <w:rsid w:val="006E41FF"/>
    <w:rsid w:val="006E4BF2"/>
    <w:rsid w:val="006E585E"/>
    <w:rsid w:val="006E607E"/>
    <w:rsid w:val="006E68EE"/>
    <w:rsid w:val="006E6D02"/>
    <w:rsid w:val="006F3BBA"/>
    <w:rsid w:val="006F3C88"/>
    <w:rsid w:val="006F3D7B"/>
    <w:rsid w:val="006F5654"/>
    <w:rsid w:val="006F57D4"/>
    <w:rsid w:val="006F6D6E"/>
    <w:rsid w:val="006F70D0"/>
    <w:rsid w:val="006F73A9"/>
    <w:rsid w:val="007006C2"/>
    <w:rsid w:val="0070102B"/>
    <w:rsid w:val="007026A1"/>
    <w:rsid w:val="00702BB1"/>
    <w:rsid w:val="00703D18"/>
    <w:rsid w:val="007051FE"/>
    <w:rsid w:val="00705B75"/>
    <w:rsid w:val="00706BEB"/>
    <w:rsid w:val="00706C5D"/>
    <w:rsid w:val="007070C2"/>
    <w:rsid w:val="00711912"/>
    <w:rsid w:val="007150D1"/>
    <w:rsid w:val="00715E7A"/>
    <w:rsid w:val="007164BE"/>
    <w:rsid w:val="00716940"/>
    <w:rsid w:val="00720B3F"/>
    <w:rsid w:val="00721013"/>
    <w:rsid w:val="0072162B"/>
    <w:rsid w:val="007216AA"/>
    <w:rsid w:val="00721D32"/>
    <w:rsid w:val="0072222C"/>
    <w:rsid w:val="0072225C"/>
    <w:rsid w:val="00722F43"/>
    <w:rsid w:val="0072501F"/>
    <w:rsid w:val="00731432"/>
    <w:rsid w:val="007314A1"/>
    <w:rsid w:val="0073256B"/>
    <w:rsid w:val="00732922"/>
    <w:rsid w:val="00733266"/>
    <w:rsid w:val="0073516C"/>
    <w:rsid w:val="00736683"/>
    <w:rsid w:val="00736ADF"/>
    <w:rsid w:val="0073703F"/>
    <w:rsid w:val="00740DBF"/>
    <w:rsid w:val="00741EEA"/>
    <w:rsid w:val="00742583"/>
    <w:rsid w:val="00742848"/>
    <w:rsid w:val="0074334F"/>
    <w:rsid w:val="007439DA"/>
    <w:rsid w:val="00743A53"/>
    <w:rsid w:val="0074516E"/>
    <w:rsid w:val="00745BE0"/>
    <w:rsid w:val="0075018A"/>
    <w:rsid w:val="007507A3"/>
    <w:rsid w:val="00751464"/>
    <w:rsid w:val="0075162E"/>
    <w:rsid w:val="00751AB9"/>
    <w:rsid w:val="0075314B"/>
    <w:rsid w:val="00754034"/>
    <w:rsid w:val="007540DA"/>
    <w:rsid w:val="00754A19"/>
    <w:rsid w:val="007551A8"/>
    <w:rsid w:val="00756556"/>
    <w:rsid w:val="00760CC6"/>
    <w:rsid w:val="00761745"/>
    <w:rsid w:val="007618C4"/>
    <w:rsid w:val="00762F9D"/>
    <w:rsid w:val="00763CEC"/>
    <w:rsid w:val="00763E05"/>
    <w:rsid w:val="00764129"/>
    <w:rsid w:val="007673B2"/>
    <w:rsid w:val="00767980"/>
    <w:rsid w:val="00770B19"/>
    <w:rsid w:val="00771563"/>
    <w:rsid w:val="00773ABD"/>
    <w:rsid w:val="0077463F"/>
    <w:rsid w:val="00774B37"/>
    <w:rsid w:val="00774F0F"/>
    <w:rsid w:val="00780063"/>
    <w:rsid w:val="0078176E"/>
    <w:rsid w:val="0078188D"/>
    <w:rsid w:val="00782F55"/>
    <w:rsid w:val="007830FA"/>
    <w:rsid w:val="007836EA"/>
    <w:rsid w:val="007843BB"/>
    <w:rsid w:val="00784CDA"/>
    <w:rsid w:val="00785D91"/>
    <w:rsid w:val="007868E2"/>
    <w:rsid w:val="007877EA"/>
    <w:rsid w:val="007901C3"/>
    <w:rsid w:val="007906C4"/>
    <w:rsid w:val="007916AF"/>
    <w:rsid w:val="00793716"/>
    <w:rsid w:val="007940EA"/>
    <w:rsid w:val="00795BE6"/>
    <w:rsid w:val="00795DF2"/>
    <w:rsid w:val="007967E8"/>
    <w:rsid w:val="0079708D"/>
    <w:rsid w:val="007975E0"/>
    <w:rsid w:val="007A00AA"/>
    <w:rsid w:val="007A04E6"/>
    <w:rsid w:val="007A0B7F"/>
    <w:rsid w:val="007A103A"/>
    <w:rsid w:val="007A1C4D"/>
    <w:rsid w:val="007A2170"/>
    <w:rsid w:val="007A22BF"/>
    <w:rsid w:val="007A3323"/>
    <w:rsid w:val="007A4033"/>
    <w:rsid w:val="007A71D1"/>
    <w:rsid w:val="007A7DCD"/>
    <w:rsid w:val="007B0EC7"/>
    <w:rsid w:val="007B2500"/>
    <w:rsid w:val="007B347F"/>
    <w:rsid w:val="007B63CA"/>
    <w:rsid w:val="007B6531"/>
    <w:rsid w:val="007B6EE9"/>
    <w:rsid w:val="007B72B8"/>
    <w:rsid w:val="007B752C"/>
    <w:rsid w:val="007B7A58"/>
    <w:rsid w:val="007B7F09"/>
    <w:rsid w:val="007C19DD"/>
    <w:rsid w:val="007C1B58"/>
    <w:rsid w:val="007C21B5"/>
    <w:rsid w:val="007C2DDE"/>
    <w:rsid w:val="007C34B2"/>
    <w:rsid w:val="007C36F6"/>
    <w:rsid w:val="007C381C"/>
    <w:rsid w:val="007C44D3"/>
    <w:rsid w:val="007C51F4"/>
    <w:rsid w:val="007C53CF"/>
    <w:rsid w:val="007C547F"/>
    <w:rsid w:val="007C5860"/>
    <w:rsid w:val="007C6AF7"/>
    <w:rsid w:val="007D0C81"/>
    <w:rsid w:val="007D0E5D"/>
    <w:rsid w:val="007D240C"/>
    <w:rsid w:val="007D3D0B"/>
    <w:rsid w:val="007D470B"/>
    <w:rsid w:val="007D798C"/>
    <w:rsid w:val="007E2121"/>
    <w:rsid w:val="007E41EE"/>
    <w:rsid w:val="007E44DF"/>
    <w:rsid w:val="007E473A"/>
    <w:rsid w:val="007E4BD2"/>
    <w:rsid w:val="007E5353"/>
    <w:rsid w:val="007E6C06"/>
    <w:rsid w:val="007E7DBD"/>
    <w:rsid w:val="007F1178"/>
    <w:rsid w:val="007F1324"/>
    <w:rsid w:val="007F4103"/>
    <w:rsid w:val="007F68D6"/>
    <w:rsid w:val="007F6DB6"/>
    <w:rsid w:val="007F7F22"/>
    <w:rsid w:val="00800216"/>
    <w:rsid w:val="00800FD6"/>
    <w:rsid w:val="00801215"/>
    <w:rsid w:val="00801393"/>
    <w:rsid w:val="00802F88"/>
    <w:rsid w:val="00803650"/>
    <w:rsid w:val="00803E6D"/>
    <w:rsid w:val="008062FF"/>
    <w:rsid w:val="00807B3B"/>
    <w:rsid w:val="00807EB8"/>
    <w:rsid w:val="0081293E"/>
    <w:rsid w:val="00814762"/>
    <w:rsid w:val="008151C1"/>
    <w:rsid w:val="00815465"/>
    <w:rsid w:val="00815BFD"/>
    <w:rsid w:val="00816A81"/>
    <w:rsid w:val="00817E9A"/>
    <w:rsid w:val="0082057E"/>
    <w:rsid w:val="00820930"/>
    <w:rsid w:val="0082143E"/>
    <w:rsid w:val="008222D5"/>
    <w:rsid w:val="00822CD8"/>
    <w:rsid w:val="00824284"/>
    <w:rsid w:val="008263CD"/>
    <w:rsid w:val="00826A41"/>
    <w:rsid w:val="008306BD"/>
    <w:rsid w:val="008308E3"/>
    <w:rsid w:val="00831A80"/>
    <w:rsid w:val="00832317"/>
    <w:rsid w:val="00833743"/>
    <w:rsid w:val="008340A4"/>
    <w:rsid w:val="00834538"/>
    <w:rsid w:val="00834598"/>
    <w:rsid w:val="008350F0"/>
    <w:rsid w:val="0083530C"/>
    <w:rsid w:val="00836188"/>
    <w:rsid w:val="00837FAA"/>
    <w:rsid w:val="00840E56"/>
    <w:rsid w:val="0084276A"/>
    <w:rsid w:val="00842B83"/>
    <w:rsid w:val="00844285"/>
    <w:rsid w:val="00844809"/>
    <w:rsid w:val="00845594"/>
    <w:rsid w:val="008458D9"/>
    <w:rsid w:val="0085041D"/>
    <w:rsid w:val="00850E38"/>
    <w:rsid w:val="008511BF"/>
    <w:rsid w:val="00853A2D"/>
    <w:rsid w:val="008540E3"/>
    <w:rsid w:val="00855D55"/>
    <w:rsid w:val="008577C9"/>
    <w:rsid w:val="00857AB2"/>
    <w:rsid w:val="00860381"/>
    <w:rsid w:val="00861384"/>
    <w:rsid w:val="00861A74"/>
    <w:rsid w:val="008707B5"/>
    <w:rsid w:val="00870FD2"/>
    <w:rsid w:val="0087135F"/>
    <w:rsid w:val="00872D94"/>
    <w:rsid w:val="00875254"/>
    <w:rsid w:val="00880364"/>
    <w:rsid w:val="0088111A"/>
    <w:rsid w:val="00881DD0"/>
    <w:rsid w:val="008848F6"/>
    <w:rsid w:val="00885B23"/>
    <w:rsid w:val="00885D53"/>
    <w:rsid w:val="00891592"/>
    <w:rsid w:val="00891E9E"/>
    <w:rsid w:val="00892BBE"/>
    <w:rsid w:val="00893ABE"/>
    <w:rsid w:val="008940B7"/>
    <w:rsid w:val="00895204"/>
    <w:rsid w:val="00896036"/>
    <w:rsid w:val="0089691F"/>
    <w:rsid w:val="00896F2D"/>
    <w:rsid w:val="0089777C"/>
    <w:rsid w:val="008A1A86"/>
    <w:rsid w:val="008A2F68"/>
    <w:rsid w:val="008A3F7D"/>
    <w:rsid w:val="008A4568"/>
    <w:rsid w:val="008A6483"/>
    <w:rsid w:val="008A6FF7"/>
    <w:rsid w:val="008A7D62"/>
    <w:rsid w:val="008B13DA"/>
    <w:rsid w:val="008B2E59"/>
    <w:rsid w:val="008B4FA6"/>
    <w:rsid w:val="008B5282"/>
    <w:rsid w:val="008B64A8"/>
    <w:rsid w:val="008B7C17"/>
    <w:rsid w:val="008B7F84"/>
    <w:rsid w:val="008C2816"/>
    <w:rsid w:val="008C2D01"/>
    <w:rsid w:val="008C3752"/>
    <w:rsid w:val="008C40E6"/>
    <w:rsid w:val="008C5085"/>
    <w:rsid w:val="008C6B1A"/>
    <w:rsid w:val="008C6C96"/>
    <w:rsid w:val="008D0569"/>
    <w:rsid w:val="008D0F7A"/>
    <w:rsid w:val="008D20C1"/>
    <w:rsid w:val="008D2591"/>
    <w:rsid w:val="008D2C00"/>
    <w:rsid w:val="008D30EE"/>
    <w:rsid w:val="008D3E5A"/>
    <w:rsid w:val="008D405F"/>
    <w:rsid w:val="008D5649"/>
    <w:rsid w:val="008D68E4"/>
    <w:rsid w:val="008D7416"/>
    <w:rsid w:val="008E0506"/>
    <w:rsid w:val="008E0CFF"/>
    <w:rsid w:val="008E116C"/>
    <w:rsid w:val="008E18DC"/>
    <w:rsid w:val="008E1B53"/>
    <w:rsid w:val="008E3B28"/>
    <w:rsid w:val="008E553C"/>
    <w:rsid w:val="008E5979"/>
    <w:rsid w:val="008E5D6B"/>
    <w:rsid w:val="008E5FBE"/>
    <w:rsid w:val="008E76F0"/>
    <w:rsid w:val="008F15FE"/>
    <w:rsid w:val="008F2D29"/>
    <w:rsid w:val="008F2E4F"/>
    <w:rsid w:val="008F4C3E"/>
    <w:rsid w:val="008F4ED8"/>
    <w:rsid w:val="008F5187"/>
    <w:rsid w:val="008F60D8"/>
    <w:rsid w:val="008F756A"/>
    <w:rsid w:val="00902727"/>
    <w:rsid w:val="0090312B"/>
    <w:rsid w:val="00903463"/>
    <w:rsid w:val="00903F45"/>
    <w:rsid w:val="00906DA9"/>
    <w:rsid w:val="00910D89"/>
    <w:rsid w:val="00912406"/>
    <w:rsid w:val="009138CA"/>
    <w:rsid w:val="00913B46"/>
    <w:rsid w:val="00914562"/>
    <w:rsid w:val="00914806"/>
    <w:rsid w:val="009153F1"/>
    <w:rsid w:val="009154F9"/>
    <w:rsid w:val="009161E2"/>
    <w:rsid w:val="00916A62"/>
    <w:rsid w:val="00917144"/>
    <w:rsid w:val="0091736D"/>
    <w:rsid w:val="0092167A"/>
    <w:rsid w:val="009224FE"/>
    <w:rsid w:val="00922953"/>
    <w:rsid w:val="0092557A"/>
    <w:rsid w:val="00925757"/>
    <w:rsid w:val="009259C9"/>
    <w:rsid w:val="0093037A"/>
    <w:rsid w:val="009358C1"/>
    <w:rsid w:val="00936415"/>
    <w:rsid w:val="00940E75"/>
    <w:rsid w:val="0094154D"/>
    <w:rsid w:val="00941A27"/>
    <w:rsid w:val="00942935"/>
    <w:rsid w:val="00942D2F"/>
    <w:rsid w:val="00944BA7"/>
    <w:rsid w:val="00944BDE"/>
    <w:rsid w:val="00945C03"/>
    <w:rsid w:val="009468C1"/>
    <w:rsid w:val="00946FC3"/>
    <w:rsid w:val="0094740D"/>
    <w:rsid w:val="009479DA"/>
    <w:rsid w:val="00947C55"/>
    <w:rsid w:val="00950A71"/>
    <w:rsid w:val="0095155F"/>
    <w:rsid w:val="0095272D"/>
    <w:rsid w:val="00952B9E"/>
    <w:rsid w:val="00953D9C"/>
    <w:rsid w:val="00954429"/>
    <w:rsid w:val="0095444C"/>
    <w:rsid w:val="00954FA0"/>
    <w:rsid w:val="00955783"/>
    <w:rsid w:val="009563CE"/>
    <w:rsid w:val="00956C70"/>
    <w:rsid w:val="009570B1"/>
    <w:rsid w:val="0096566D"/>
    <w:rsid w:val="00965A28"/>
    <w:rsid w:val="009706E7"/>
    <w:rsid w:val="0097334A"/>
    <w:rsid w:val="00974266"/>
    <w:rsid w:val="00975234"/>
    <w:rsid w:val="00975B97"/>
    <w:rsid w:val="00976328"/>
    <w:rsid w:val="0097680D"/>
    <w:rsid w:val="00982438"/>
    <w:rsid w:val="009830C7"/>
    <w:rsid w:val="0098404C"/>
    <w:rsid w:val="0098443F"/>
    <w:rsid w:val="00984B4B"/>
    <w:rsid w:val="00984D03"/>
    <w:rsid w:val="00985283"/>
    <w:rsid w:val="009854CD"/>
    <w:rsid w:val="00985D68"/>
    <w:rsid w:val="0098715F"/>
    <w:rsid w:val="009877C1"/>
    <w:rsid w:val="00995992"/>
    <w:rsid w:val="00995AE4"/>
    <w:rsid w:val="00995EA6"/>
    <w:rsid w:val="0099627B"/>
    <w:rsid w:val="00996CCE"/>
    <w:rsid w:val="00997B6B"/>
    <w:rsid w:val="00997ED3"/>
    <w:rsid w:val="009A03E5"/>
    <w:rsid w:val="009A0F3B"/>
    <w:rsid w:val="009A18A8"/>
    <w:rsid w:val="009A1BB4"/>
    <w:rsid w:val="009A1D6B"/>
    <w:rsid w:val="009A2007"/>
    <w:rsid w:val="009A2628"/>
    <w:rsid w:val="009A3200"/>
    <w:rsid w:val="009A4FC8"/>
    <w:rsid w:val="009A6F6B"/>
    <w:rsid w:val="009B0497"/>
    <w:rsid w:val="009B0897"/>
    <w:rsid w:val="009B09C1"/>
    <w:rsid w:val="009B1F5C"/>
    <w:rsid w:val="009B3343"/>
    <w:rsid w:val="009B5E13"/>
    <w:rsid w:val="009B6152"/>
    <w:rsid w:val="009B6E9B"/>
    <w:rsid w:val="009B7BD9"/>
    <w:rsid w:val="009B7D0B"/>
    <w:rsid w:val="009C0DDD"/>
    <w:rsid w:val="009C1677"/>
    <w:rsid w:val="009C211D"/>
    <w:rsid w:val="009C2293"/>
    <w:rsid w:val="009C4B25"/>
    <w:rsid w:val="009C5310"/>
    <w:rsid w:val="009C7492"/>
    <w:rsid w:val="009C7DD5"/>
    <w:rsid w:val="009D00FD"/>
    <w:rsid w:val="009D0618"/>
    <w:rsid w:val="009D1769"/>
    <w:rsid w:val="009D1DD9"/>
    <w:rsid w:val="009D3268"/>
    <w:rsid w:val="009D3C9E"/>
    <w:rsid w:val="009D5299"/>
    <w:rsid w:val="009D558B"/>
    <w:rsid w:val="009D6795"/>
    <w:rsid w:val="009D7030"/>
    <w:rsid w:val="009D7FB7"/>
    <w:rsid w:val="009E01E4"/>
    <w:rsid w:val="009E12DC"/>
    <w:rsid w:val="009E1345"/>
    <w:rsid w:val="009E1727"/>
    <w:rsid w:val="009E227D"/>
    <w:rsid w:val="009E341F"/>
    <w:rsid w:val="009E35E5"/>
    <w:rsid w:val="009E3EC3"/>
    <w:rsid w:val="009E5019"/>
    <w:rsid w:val="009E5B99"/>
    <w:rsid w:val="009E78E6"/>
    <w:rsid w:val="009F1957"/>
    <w:rsid w:val="009F2983"/>
    <w:rsid w:val="009F3C03"/>
    <w:rsid w:val="009F3D7B"/>
    <w:rsid w:val="009F5BE3"/>
    <w:rsid w:val="009F6003"/>
    <w:rsid w:val="00A00526"/>
    <w:rsid w:val="00A02C1C"/>
    <w:rsid w:val="00A04F19"/>
    <w:rsid w:val="00A04F1B"/>
    <w:rsid w:val="00A0501B"/>
    <w:rsid w:val="00A053DD"/>
    <w:rsid w:val="00A11382"/>
    <w:rsid w:val="00A117A5"/>
    <w:rsid w:val="00A118DB"/>
    <w:rsid w:val="00A11DBD"/>
    <w:rsid w:val="00A1251D"/>
    <w:rsid w:val="00A13ADA"/>
    <w:rsid w:val="00A14947"/>
    <w:rsid w:val="00A154AC"/>
    <w:rsid w:val="00A1576E"/>
    <w:rsid w:val="00A16BE5"/>
    <w:rsid w:val="00A23A59"/>
    <w:rsid w:val="00A24050"/>
    <w:rsid w:val="00A26156"/>
    <w:rsid w:val="00A267FE"/>
    <w:rsid w:val="00A30794"/>
    <w:rsid w:val="00A32A83"/>
    <w:rsid w:val="00A33C96"/>
    <w:rsid w:val="00A343CA"/>
    <w:rsid w:val="00A3683E"/>
    <w:rsid w:val="00A368DB"/>
    <w:rsid w:val="00A423AA"/>
    <w:rsid w:val="00A460ED"/>
    <w:rsid w:val="00A4757B"/>
    <w:rsid w:val="00A47651"/>
    <w:rsid w:val="00A50365"/>
    <w:rsid w:val="00A50C64"/>
    <w:rsid w:val="00A513FF"/>
    <w:rsid w:val="00A53EC6"/>
    <w:rsid w:val="00A545D9"/>
    <w:rsid w:val="00A55C0F"/>
    <w:rsid w:val="00A56444"/>
    <w:rsid w:val="00A56D74"/>
    <w:rsid w:val="00A56D9B"/>
    <w:rsid w:val="00A575D3"/>
    <w:rsid w:val="00A67B8E"/>
    <w:rsid w:val="00A7222D"/>
    <w:rsid w:val="00A7469C"/>
    <w:rsid w:val="00A74755"/>
    <w:rsid w:val="00A75BCE"/>
    <w:rsid w:val="00A76891"/>
    <w:rsid w:val="00A77D11"/>
    <w:rsid w:val="00A83D07"/>
    <w:rsid w:val="00A86EB1"/>
    <w:rsid w:val="00A8713F"/>
    <w:rsid w:val="00A87F74"/>
    <w:rsid w:val="00A903F2"/>
    <w:rsid w:val="00A90BA1"/>
    <w:rsid w:val="00A915E8"/>
    <w:rsid w:val="00A91E73"/>
    <w:rsid w:val="00A922F5"/>
    <w:rsid w:val="00A92798"/>
    <w:rsid w:val="00A92919"/>
    <w:rsid w:val="00A92A62"/>
    <w:rsid w:val="00A9394A"/>
    <w:rsid w:val="00A94043"/>
    <w:rsid w:val="00A94D78"/>
    <w:rsid w:val="00A95185"/>
    <w:rsid w:val="00A955FA"/>
    <w:rsid w:val="00A97A9A"/>
    <w:rsid w:val="00AA0671"/>
    <w:rsid w:val="00AA2531"/>
    <w:rsid w:val="00AA254F"/>
    <w:rsid w:val="00AA2B4A"/>
    <w:rsid w:val="00AA2FF1"/>
    <w:rsid w:val="00AA3C1C"/>
    <w:rsid w:val="00AA4258"/>
    <w:rsid w:val="00AA4C05"/>
    <w:rsid w:val="00AA4F58"/>
    <w:rsid w:val="00AA728A"/>
    <w:rsid w:val="00AA77DF"/>
    <w:rsid w:val="00AA7D2C"/>
    <w:rsid w:val="00AB0FEA"/>
    <w:rsid w:val="00AB12B5"/>
    <w:rsid w:val="00AB1AD3"/>
    <w:rsid w:val="00AB1C11"/>
    <w:rsid w:val="00AB1E09"/>
    <w:rsid w:val="00AB1F68"/>
    <w:rsid w:val="00AB2877"/>
    <w:rsid w:val="00AB352F"/>
    <w:rsid w:val="00AB51C8"/>
    <w:rsid w:val="00AB531C"/>
    <w:rsid w:val="00AB5330"/>
    <w:rsid w:val="00AB5E97"/>
    <w:rsid w:val="00AB7747"/>
    <w:rsid w:val="00AC044E"/>
    <w:rsid w:val="00AC0FA2"/>
    <w:rsid w:val="00AC1183"/>
    <w:rsid w:val="00AC14CE"/>
    <w:rsid w:val="00AC1885"/>
    <w:rsid w:val="00AC1BDB"/>
    <w:rsid w:val="00AC210B"/>
    <w:rsid w:val="00AC2628"/>
    <w:rsid w:val="00AC2A56"/>
    <w:rsid w:val="00AC3725"/>
    <w:rsid w:val="00AC4164"/>
    <w:rsid w:val="00AC5E1B"/>
    <w:rsid w:val="00AC6C07"/>
    <w:rsid w:val="00AD055E"/>
    <w:rsid w:val="00AD0DA4"/>
    <w:rsid w:val="00AD47A7"/>
    <w:rsid w:val="00AD732C"/>
    <w:rsid w:val="00AD7471"/>
    <w:rsid w:val="00AE2EE7"/>
    <w:rsid w:val="00AE2FD7"/>
    <w:rsid w:val="00AE30C4"/>
    <w:rsid w:val="00AE386F"/>
    <w:rsid w:val="00AE69A2"/>
    <w:rsid w:val="00AE6B49"/>
    <w:rsid w:val="00AE76AC"/>
    <w:rsid w:val="00AF0CBF"/>
    <w:rsid w:val="00AF105E"/>
    <w:rsid w:val="00AF1440"/>
    <w:rsid w:val="00AF23C4"/>
    <w:rsid w:val="00AF257F"/>
    <w:rsid w:val="00AF33CF"/>
    <w:rsid w:val="00AF4D50"/>
    <w:rsid w:val="00AF4E23"/>
    <w:rsid w:val="00AF6179"/>
    <w:rsid w:val="00AF6921"/>
    <w:rsid w:val="00B002AD"/>
    <w:rsid w:val="00B01722"/>
    <w:rsid w:val="00B04D09"/>
    <w:rsid w:val="00B05B6B"/>
    <w:rsid w:val="00B05E3C"/>
    <w:rsid w:val="00B078ED"/>
    <w:rsid w:val="00B07915"/>
    <w:rsid w:val="00B1119F"/>
    <w:rsid w:val="00B11BBA"/>
    <w:rsid w:val="00B1295A"/>
    <w:rsid w:val="00B13E2C"/>
    <w:rsid w:val="00B152CF"/>
    <w:rsid w:val="00B174B4"/>
    <w:rsid w:val="00B17879"/>
    <w:rsid w:val="00B20A45"/>
    <w:rsid w:val="00B22C2D"/>
    <w:rsid w:val="00B22C5C"/>
    <w:rsid w:val="00B24F30"/>
    <w:rsid w:val="00B2676F"/>
    <w:rsid w:val="00B27D2F"/>
    <w:rsid w:val="00B3007E"/>
    <w:rsid w:val="00B309B5"/>
    <w:rsid w:val="00B31118"/>
    <w:rsid w:val="00B31ABF"/>
    <w:rsid w:val="00B32F2F"/>
    <w:rsid w:val="00B3352E"/>
    <w:rsid w:val="00B338FE"/>
    <w:rsid w:val="00B33BE3"/>
    <w:rsid w:val="00B34A10"/>
    <w:rsid w:val="00B34ABD"/>
    <w:rsid w:val="00B35FAB"/>
    <w:rsid w:val="00B36D7E"/>
    <w:rsid w:val="00B401BF"/>
    <w:rsid w:val="00B413EF"/>
    <w:rsid w:val="00B44F75"/>
    <w:rsid w:val="00B46F88"/>
    <w:rsid w:val="00B5130C"/>
    <w:rsid w:val="00B53B5D"/>
    <w:rsid w:val="00B5587E"/>
    <w:rsid w:val="00B55BDB"/>
    <w:rsid w:val="00B565E4"/>
    <w:rsid w:val="00B6055E"/>
    <w:rsid w:val="00B6220A"/>
    <w:rsid w:val="00B62B41"/>
    <w:rsid w:val="00B6317D"/>
    <w:rsid w:val="00B661D9"/>
    <w:rsid w:val="00B6664D"/>
    <w:rsid w:val="00B67F89"/>
    <w:rsid w:val="00B70ACD"/>
    <w:rsid w:val="00B70C77"/>
    <w:rsid w:val="00B7174C"/>
    <w:rsid w:val="00B72B44"/>
    <w:rsid w:val="00B72FD9"/>
    <w:rsid w:val="00B73676"/>
    <w:rsid w:val="00B73EC1"/>
    <w:rsid w:val="00B7448B"/>
    <w:rsid w:val="00B75B87"/>
    <w:rsid w:val="00B7656D"/>
    <w:rsid w:val="00B76F49"/>
    <w:rsid w:val="00B7723F"/>
    <w:rsid w:val="00B77CE6"/>
    <w:rsid w:val="00B80534"/>
    <w:rsid w:val="00B8164C"/>
    <w:rsid w:val="00B82C74"/>
    <w:rsid w:val="00B8433C"/>
    <w:rsid w:val="00B850F3"/>
    <w:rsid w:val="00B87491"/>
    <w:rsid w:val="00B87AFF"/>
    <w:rsid w:val="00B90C4B"/>
    <w:rsid w:val="00B91114"/>
    <w:rsid w:val="00B91C92"/>
    <w:rsid w:val="00B92DE1"/>
    <w:rsid w:val="00B94D67"/>
    <w:rsid w:val="00B96E58"/>
    <w:rsid w:val="00BA253F"/>
    <w:rsid w:val="00BA2841"/>
    <w:rsid w:val="00BA29E9"/>
    <w:rsid w:val="00BA6C97"/>
    <w:rsid w:val="00BA7142"/>
    <w:rsid w:val="00BA7C6C"/>
    <w:rsid w:val="00BB010F"/>
    <w:rsid w:val="00BB0629"/>
    <w:rsid w:val="00BB109A"/>
    <w:rsid w:val="00BB2060"/>
    <w:rsid w:val="00BB237C"/>
    <w:rsid w:val="00BB2B10"/>
    <w:rsid w:val="00BB395F"/>
    <w:rsid w:val="00BB41A3"/>
    <w:rsid w:val="00BB6341"/>
    <w:rsid w:val="00BC3110"/>
    <w:rsid w:val="00BC32DC"/>
    <w:rsid w:val="00BC35B6"/>
    <w:rsid w:val="00BC5BD3"/>
    <w:rsid w:val="00BD0739"/>
    <w:rsid w:val="00BD0DC3"/>
    <w:rsid w:val="00BD1B51"/>
    <w:rsid w:val="00BD205D"/>
    <w:rsid w:val="00BD4336"/>
    <w:rsid w:val="00BD43A7"/>
    <w:rsid w:val="00BD4596"/>
    <w:rsid w:val="00BD50F6"/>
    <w:rsid w:val="00BD5288"/>
    <w:rsid w:val="00BD58E7"/>
    <w:rsid w:val="00BD6924"/>
    <w:rsid w:val="00BD733D"/>
    <w:rsid w:val="00BE1405"/>
    <w:rsid w:val="00BE1754"/>
    <w:rsid w:val="00BE1803"/>
    <w:rsid w:val="00BE312D"/>
    <w:rsid w:val="00BE4809"/>
    <w:rsid w:val="00BE785B"/>
    <w:rsid w:val="00BF10E7"/>
    <w:rsid w:val="00BF17A2"/>
    <w:rsid w:val="00BF1884"/>
    <w:rsid w:val="00BF1C20"/>
    <w:rsid w:val="00BF3CD8"/>
    <w:rsid w:val="00BF5E8F"/>
    <w:rsid w:val="00C01055"/>
    <w:rsid w:val="00C0261E"/>
    <w:rsid w:val="00C0425D"/>
    <w:rsid w:val="00C043C1"/>
    <w:rsid w:val="00C066D8"/>
    <w:rsid w:val="00C06C8B"/>
    <w:rsid w:val="00C10578"/>
    <w:rsid w:val="00C135BC"/>
    <w:rsid w:val="00C14C94"/>
    <w:rsid w:val="00C155E5"/>
    <w:rsid w:val="00C15C95"/>
    <w:rsid w:val="00C200FC"/>
    <w:rsid w:val="00C21BCF"/>
    <w:rsid w:val="00C21ED8"/>
    <w:rsid w:val="00C22C9B"/>
    <w:rsid w:val="00C22EB6"/>
    <w:rsid w:val="00C230B9"/>
    <w:rsid w:val="00C2396B"/>
    <w:rsid w:val="00C23B4A"/>
    <w:rsid w:val="00C2596A"/>
    <w:rsid w:val="00C25BDF"/>
    <w:rsid w:val="00C2712A"/>
    <w:rsid w:val="00C27537"/>
    <w:rsid w:val="00C275B3"/>
    <w:rsid w:val="00C31016"/>
    <w:rsid w:val="00C328FE"/>
    <w:rsid w:val="00C33507"/>
    <w:rsid w:val="00C3454A"/>
    <w:rsid w:val="00C36FAA"/>
    <w:rsid w:val="00C37EDC"/>
    <w:rsid w:val="00C4146C"/>
    <w:rsid w:val="00C42BB2"/>
    <w:rsid w:val="00C4409D"/>
    <w:rsid w:val="00C44279"/>
    <w:rsid w:val="00C44BDB"/>
    <w:rsid w:val="00C44E72"/>
    <w:rsid w:val="00C45A06"/>
    <w:rsid w:val="00C45D48"/>
    <w:rsid w:val="00C460DB"/>
    <w:rsid w:val="00C47E5B"/>
    <w:rsid w:val="00C50121"/>
    <w:rsid w:val="00C50158"/>
    <w:rsid w:val="00C51E1B"/>
    <w:rsid w:val="00C52BC9"/>
    <w:rsid w:val="00C56DC5"/>
    <w:rsid w:val="00C6046E"/>
    <w:rsid w:val="00C609C9"/>
    <w:rsid w:val="00C61E4B"/>
    <w:rsid w:val="00C62C74"/>
    <w:rsid w:val="00C63402"/>
    <w:rsid w:val="00C63F22"/>
    <w:rsid w:val="00C6453B"/>
    <w:rsid w:val="00C64BFF"/>
    <w:rsid w:val="00C65D60"/>
    <w:rsid w:val="00C66381"/>
    <w:rsid w:val="00C667BC"/>
    <w:rsid w:val="00C704E9"/>
    <w:rsid w:val="00C70DF4"/>
    <w:rsid w:val="00C71066"/>
    <w:rsid w:val="00C757E2"/>
    <w:rsid w:val="00C75C3F"/>
    <w:rsid w:val="00C763C9"/>
    <w:rsid w:val="00C77803"/>
    <w:rsid w:val="00C77BD5"/>
    <w:rsid w:val="00C80057"/>
    <w:rsid w:val="00C82232"/>
    <w:rsid w:val="00C82913"/>
    <w:rsid w:val="00C83AF6"/>
    <w:rsid w:val="00C83F61"/>
    <w:rsid w:val="00C844FE"/>
    <w:rsid w:val="00C846FB"/>
    <w:rsid w:val="00C84FA6"/>
    <w:rsid w:val="00C87232"/>
    <w:rsid w:val="00C92094"/>
    <w:rsid w:val="00C94284"/>
    <w:rsid w:val="00C9536C"/>
    <w:rsid w:val="00C972B1"/>
    <w:rsid w:val="00CA0345"/>
    <w:rsid w:val="00CA1238"/>
    <w:rsid w:val="00CA215B"/>
    <w:rsid w:val="00CA2254"/>
    <w:rsid w:val="00CA2CCE"/>
    <w:rsid w:val="00CA2D33"/>
    <w:rsid w:val="00CA3BCF"/>
    <w:rsid w:val="00CA43FD"/>
    <w:rsid w:val="00CA7EF8"/>
    <w:rsid w:val="00CB0072"/>
    <w:rsid w:val="00CB0D8E"/>
    <w:rsid w:val="00CB2C7D"/>
    <w:rsid w:val="00CB7408"/>
    <w:rsid w:val="00CC0069"/>
    <w:rsid w:val="00CC45E7"/>
    <w:rsid w:val="00CC489B"/>
    <w:rsid w:val="00CD08FA"/>
    <w:rsid w:val="00CD262D"/>
    <w:rsid w:val="00CD2BCD"/>
    <w:rsid w:val="00CD30FA"/>
    <w:rsid w:val="00CD3148"/>
    <w:rsid w:val="00CD3A4C"/>
    <w:rsid w:val="00CD48FC"/>
    <w:rsid w:val="00CD7C9E"/>
    <w:rsid w:val="00CE10E9"/>
    <w:rsid w:val="00CE2910"/>
    <w:rsid w:val="00CE486A"/>
    <w:rsid w:val="00CE5393"/>
    <w:rsid w:val="00CE7FE9"/>
    <w:rsid w:val="00CF046F"/>
    <w:rsid w:val="00CF06E7"/>
    <w:rsid w:val="00CF07A3"/>
    <w:rsid w:val="00CF19B2"/>
    <w:rsid w:val="00CF2210"/>
    <w:rsid w:val="00CF3630"/>
    <w:rsid w:val="00CF36BE"/>
    <w:rsid w:val="00CF4A99"/>
    <w:rsid w:val="00CF5570"/>
    <w:rsid w:val="00CF55D5"/>
    <w:rsid w:val="00CF6000"/>
    <w:rsid w:val="00D003F3"/>
    <w:rsid w:val="00D00FC6"/>
    <w:rsid w:val="00D0137C"/>
    <w:rsid w:val="00D0364F"/>
    <w:rsid w:val="00D03723"/>
    <w:rsid w:val="00D038E6"/>
    <w:rsid w:val="00D042F2"/>
    <w:rsid w:val="00D05A82"/>
    <w:rsid w:val="00D06834"/>
    <w:rsid w:val="00D1017D"/>
    <w:rsid w:val="00D1041E"/>
    <w:rsid w:val="00D13840"/>
    <w:rsid w:val="00D13C9C"/>
    <w:rsid w:val="00D14160"/>
    <w:rsid w:val="00D14E86"/>
    <w:rsid w:val="00D22245"/>
    <w:rsid w:val="00D258DF"/>
    <w:rsid w:val="00D308ED"/>
    <w:rsid w:val="00D32D31"/>
    <w:rsid w:val="00D335AB"/>
    <w:rsid w:val="00D36560"/>
    <w:rsid w:val="00D36D86"/>
    <w:rsid w:val="00D400C1"/>
    <w:rsid w:val="00D404FC"/>
    <w:rsid w:val="00D405C3"/>
    <w:rsid w:val="00D41EC5"/>
    <w:rsid w:val="00D4266A"/>
    <w:rsid w:val="00D428AA"/>
    <w:rsid w:val="00D42A8B"/>
    <w:rsid w:val="00D42EAD"/>
    <w:rsid w:val="00D432EF"/>
    <w:rsid w:val="00D435D9"/>
    <w:rsid w:val="00D43C6B"/>
    <w:rsid w:val="00D43C92"/>
    <w:rsid w:val="00D46480"/>
    <w:rsid w:val="00D50622"/>
    <w:rsid w:val="00D509DC"/>
    <w:rsid w:val="00D50A34"/>
    <w:rsid w:val="00D538DB"/>
    <w:rsid w:val="00D53EFA"/>
    <w:rsid w:val="00D54E61"/>
    <w:rsid w:val="00D56880"/>
    <w:rsid w:val="00D57368"/>
    <w:rsid w:val="00D613C2"/>
    <w:rsid w:val="00D625B9"/>
    <w:rsid w:val="00D648F1"/>
    <w:rsid w:val="00D64A5B"/>
    <w:rsid w:val="00D64C64"/>
    <w:rsid w:val="00D67074"/>
    <w:rsid w:val="00D71099"/>
    <w:rsid w:val="00D714E5"/>
    <w:rsid w:val="00D72135"/>
    <w:rsid w:val="00D7238C"/>
    <w:rsid w:val="00D73E80"/>
    <w:rsid w:val="00D74743"/>
    <w:rsid w:val="00D75261"/>
    <w:rsid w:val="00D77586"/>
    <w:rsid w:val="00D777DC"/>
    <w:rsid w:val="00D80A9D"/>
    <w:rsid w:val="00D81697"/>
    <w:rsid w:val="00D81BDB"/>
    <w:rsid w:val="00D82F3E"/>
    <w:rsid w:val="00D856AD"/>
    <w:rsid w:val="00D86F03"/>
    <w:rsid w:val="00D91B29"/>
    <w:rsid w:val="00D91CCD"/>
    <w:rsid w:val="00D91E56"/>
    <w:rsid w:val="00D94A7C"/>
    <w:rsid w:val="00D95896"/>
    <w:rsid w:val="00D96EE7"/>
    <w:rsid w:val="00DA3EA5"/>
    <w:rsid w:val="00DA44D6"/>
    <w:rsid w:val="00DA5A99"/>
    <w:rsid w:val="00DA7D8A"/>
    <w:rsid w:val="00DB1870"/>
    <w:rsid w:val="00DB2983"/>
    <w:rsid w:val="00DB2D37"/>
    <w:rsid w:val="00DB3DEA"/>
    <w:rsid w:val="00DB4B3F"/>
    <w:rsid w:val="00DB635A"/>
    <w:rsid w:val="00DB7329"/>
    <w:rsid w:val="00DB7601"/>
    <w:rsid w:val="00DB7BDD"/>
    <w:rsid w:val="00DC1257"/>
    <w:rsid w:val="00DC1635"/>
    <w:rsid w:val="00DC19B9"/>
    <w:rsid w:val="00DC1DD2"/>
    <w:rsid w:val="00DC1FAF"/>
    <w:rsid w:val="00DC2F13"/>
    <w:rsid w:val="00DC3DC0"/>
    <w:rsid w:val="00DC5B2B"/>
    <w:rsid w:val="00DC6AF8"/>
    <w:rsid w:val="00DC6B74"/>
    <w:rsid w:val="00DC7464"/>
    <w:rsid w:val="00DC7E1C"/>
    <w:rsid w:val="00DD318D"/>
    <w:rsid w:val="00DD52D2"/>
    <w:rsid w:val="00DD5D10"/>
    <w:rsid w:val="00DD6A74"/>
    <w:rsid w:val="00DD78C7"/>
    <w:rsid w:val="00DE11A1"/>
    <w:rsid w:val="00DE1792"/>
    <w:rsid w:val="00DE4811"/>
    <w:rsid w:val="00DE4B52"/>
    <w:rsid w:val="00DE60D2"/>
    <w:rsid w:val="00DE68BB"/>
    <w:rsid w:val="00DF0355"/>
    <w:rsid w:val="00DF1247"/>
    <w:rsid w:val="00DF14B6"/>
    <w:rsid w:val="00DF2CC8"/>
    <w:rsid w:val="00DF2E12"/>
    <w:rsid w:val="00DF31F2"/>
    <w:rsid w:val="00DF3FB5"/>
    <w:rsid w:val="00DF514A"/>
    <w:rsid w:val="00DF6614"/>
    <w:rsid w:val="00DF6690"/>
    <w:rsid w:val="00DF6804"/>
    <w:rsid w:val="00DF6D82"/>
    <w:rsid w:val="00E0113C"/>
    <w:rsid w:val="00E0358D"/>
    <w:rsid w:val="00E04323"/>
    <w:rsid w:val="00E0506D"/>
    <w:rsid w:val="00E050C3"/>
    <w:rsid w:val="00E051E1"/>
    <w:rsid w:val="00E05C85"/>
    <w:rsid w:val="00E066F9"/>
    <w:rsid w:val="00E0691D"/>
    <w:rsid w:val="00E070A2"/>
    <w:rsid w:val="00E07F25"/>
    <w:rsid w:val="00E10EE4"/>
    <w:rsid w:val="00E10EF9"/>
    <w:rsid w:val="00E13107"/>
    <w:rsid w:val="00E13DEC"/>
    <w:rsid w:val="00E145DA"/>
    <w:rsid w:val="00E152B1"/>
    <w:rsid w:val="00E16391"/>
    <w:rsid w:val="00E16FC7"/>
    <w:rsid w:val="00E17675"/>
    <w:rsid w:val="00E21C90"/>
    <w:rsid w:val="00E22C97"/>
    <w:rsid w:val="00E26411"/>
    <w:rsid w:val="00E2656A"/>
    <w:rsid w:val="00E26C32"/>
    <w:rsid w:val="00E26DDA"/>
    <w:rsid w:val="00E2739C"/>
    <w:rsid w:val="00E27685"/>
    <w:rsid w:val="00E3012D"/>
    <w:rsid w:val="00E32CBD"/>
    <w:rsid w:val="00E331BA"/>
    <w:rsid w:val="00E34E20"/>
    <w:rsid w:val="00E37A70"/>
    <w:rsid w:val="00E412D0"/>
    <w:rsid w:val="00E41464"/>
    <w:rsid w:val="00E4290E"/>
    <w:rsid w:val="00E4435B"/>
    <w:rsid w:val="00E47DFC"/>
    <w:rsid w:val="00E50F30"/>
    <w:rsid w:val="00E51FC1"/>
    <w:rsid w:val="00E52AE5"/>
    <w:rsid w:val="00E55ABF"/>
    <w:rsid w:val="00E56322"/>
    <w:rsid w:val="00E5702A"/>
    <w:rsid w:val="00E57B8F"/>
    <w:rsid w:val="00E60982"/>
    <w:rsid w:val="00E612C3"/>
    <w:rsid w:val="00E62C62"/>
    <w:rsid w:val="00E62F27"/>
    <w:rsid w:val="00E63263"/>
    <w:rsid w:val="00E63A04"/>
    <w:rsid w:val="00E63DE3"/>
    <w:rsid w:val="00E64012"/>
    <w:rsid w:val="00E64385"/>
    <w:rsid w:val="00E64972"/>
    <w:rsid w:val="00E654C1"/>
    <w:rsid w:val="00E65C6A"/>
    <w:rsid w:val="00E65D97"/>
    <w:rsid w:val="00E6606E"/>
    <w:rsid w:val="00E66AB9"/>
    <w:rsid w:val="00E66FA0"/>
    <w:rsid w:val="00E72A5A"/>
    <w:rsid w:val="00E73354"/>
    <w:rsid w:val="00E73DE3"/>
    <w:rsid w:val="00E74E54"/>
    <w:rsid w:val="00E767EF"/>
    <w:rsid w:val="00E76E0A"/>
    <w:rsid w:val="00E77C3D"/>
    <w:rsid w:val="00E80BBB"/>
    <w:rsid w:val="00E81B70"/>
    <w:rsid w:val="00E837FB"/>
    <w:rsid w:val="00E85E76"/>
    <w:rsid w:val="00E865C2"/>
    <w:rsid w:val="00E86790"/>
    <w:rsid w:val="00E90BAD"/>
    <w:rsid w:val="00E91190"/>
    <w:rsid w:val="00E9242D"/>
    <w:rsid w:val="00E94AE9"/>
    <w:rsid w:val="00E958ED"/>
    <w:rsid w:val="00EA1B46"/>
    <w:rsid w:val="00EA30AD"/>
    <w:rsid w:val="00EA4640"/>
    <w:rsid w:val="00EA65F7"/>
    <w:rsid w:val="00EA7388"/>
    <w:rsid w:val="00EB07F2"/>
    <w:rsid w:val="00EB363C"/>
    <w:rsid w:val="00EB3827"/>
    <w:rsid w:val="00EB3F5A"/>
    <w:rsid w:val="00EB50FD"/>
    <w:rsid w:val="00EB5255"/>
    <w:rsid w:val="00EB5C47"/>
    <w:rsid w:val="00EB5E72"/>
    <w:rsid w:val="00EB6CBB"/>
    <w:rsid w:val="00EB7DFA"/>
    <w:rsid w:val="00EC486A"/>
    <w:rsid w:val="00EC5A45"/>
    <w:rsid w:val="00EC5CDC"/>
    <w:rsid w:val="00ED0639"/>
    <w:rsid w:val="00ED1D51"/>
    <w:rsid w:val="00ED2132"/>
    <w:rsid w:val="00ED290C"/>
    <w:rsid w:val="00ED3B09"/>
    <w:rsid w:val="00ED4337"/>
    <w:rsid w:val="00ED49AB"/>
    <w:rsid w:val="00EE0264"/>
    <w:rsid w:val="00EE0996"/>
    <w:rsid w:val="00EE0AC5"/>
    <w:rsid w:val="00EE2100"/>
    <w:rsid w:val="00EE23B8"/>
    <w:rsid w:val="00EE64C0"/>
    <w:rsid w:val="00EE6C5F"/>
    <w:rsid w:val="00EE7F90"/>
    <w:rsid w:val="00EF0209"/>
    <w:rsid w:val="00EF1D8C"/>
    <w:rsid w:val="00EF30C1"/>
    <w:rsid w:val="00EF3967"/>
    <w:rsid w:val="00EF4755"/>
    <w:rsid w:val="00EF6E3E"/>
    <w:rsid w:val="00EF7135"/>
    <w:rsid w:val="00EF7BAC"/>
    <w:rsid w:val="00F00F72"/>
    <w:rsid w:val="00F027DB"/>
    <w:rsid w:val="00F0375B"/>
    <w:rsid w:val="00F03918"/>
    <w:rsid w:val="00F04564"/>
    <w:rsid w:val="00F052FD"/>
    <w:rsid w:val="00F06365"/>
    <w:rsid w:val="00F06655"/>
    <w:rsid w:val="00F10A04"/>
    <w:rsid w:val="00F10F2D"/>
    <w:rsid w:val="00F11D3A"/>
    <w:rsid w:val="00F11E25"/>
    <w:rsid w:val="00F12185"/>
    <w:rsid w:val="00F13ED8"/>
    <w:rsid w:val="00F14108"/>
    <w:rsid w:val="00F14A7A"/>
    <w:rsid w:val="00F1560F"/>
    <w:rsid w:val="00F15707"/>
    <w:rsid w:val="00F16146"/>
    <w:rsid w:val="00F1637B"/>
    <w:rsid w:val="00F16426"/>
    <w:rsid w:val="00F20C75"/>
    <w:rsid w:val="00F22985"/>
    <w:rsid w:val="00F255E2"/>
    <w:rsid w:val="00F261E4"/>
    <w:rsid w:val="00F262A8"/>
    <w:rsid w:val="00F2692D"/>
    <w:rsid w:val="00F2697F"/>
    <w:rsid w:val="00F2719B"/>
    <w:rsid w:val="00F27B29"/>
    <w:rsid w:val="00F27B58"/>
    <w:rsid w:val="00F301DD"/>
    <w:rsid w:val="00F30B90"/>
    <w:rsid w:val="00F3383E"/>
    <w:rsid w:val="00F4075B"/>
    <w:rsid w:val="00F40B2E"/>
    <w:rsid w:val="00F417E2"/>
    <w:rsid w:val="00F43ACE"/>
    <w:rsid w:val="00F43D31"/>
    <w:rsid w:val="00F44553"/>
    <w:rsid w:val="00F448AF"/>
    <w:rsid w:val="00F44E45"/>
    <w:rsid w:val="00F4579A"/>
    <w:rsid w:val="00F465A7"/>
    <w:rsid w:val="00F46C8C"/>
    <w:rsid w:val="00F50B7C"/>
    <w:rsid w:val="00F550E6"/>
    <w:rsid w:val="00F5690F"/>
    <w:rsid w:val="00F60F29"/>
    <w:rsid w:val="00F6148E"/>
    <w:rsid w:val="00F664E1"/>
    <w:rsid w:val="00F66CA4"/>
    <w:rsid w:val="00F67FD7"/>
    <w:rsid w:val="00F72B84"/>
    <w:rsid w:val="00F72ECC"/>
    <w:rsid w:val="00F74345"/>
    <w:rsid w:val="00F743A6"/>
    <w:rsid w:val="00F76D9F"/>
    <w:rsid w:val="00F80A0A"/>
    <w:rsid w:val="00F82B19"/>
    <w:rsid w:val="00F84E40"/>
    <w:rsid w:val="00F85977"/>
    <w:rsid w:val="00F85B66"/>
    <w:rsid w:val="00F87E2D"/>
    <w:rsid w:val="00F9212D"/>
    <w:rsid w:val="00F92E5F"/>
    <w:rsid w:val="00F95837"/>
    <w:rsid w:val="00F95E30"/>
    <w:rsid w:val="00F965DA"/>
    <w:rsid w:val="00F96FF5"/>
    <w:rsid w:val="00FA0594"/>
    <w:rsid w:val="00FA1348"/>
    <w:rsid w:val="00FA2D56"/>
    <w:rsid w:val="00FA2E11"/>
    <w:rsid w:val="00FA406A"/>
    <w:rsid w:val="00FA6885"/>
    <w:rsid w:val="00FB0AAE"/>
    <w:rsid w:val="00FB2BEF"/>
    <w:rsid w:val="00FB2C03"/>
    <w:rsid w:val="00FB36BD"/>
    <w:rsid w:val="00FB416B"/>
    <w:rsid w:val="00FB503A"/>
    <w:rsid w:val="00FB50C4"/>
    <w:rsid w:val="00FB516C"/>
    <w:rsid w:val="00FC0E71"/>
    <w:rsid w:val="00FC0F37"/>
    <w:rsid w:val="00FC14E3"/>
    <w:rsid w:val="00FC2171"/>
    <w:rsid w:val="00FC35B4"/>
    <w:rsid w:val="00FC3E76"/>
    <w:rsid w:val="00FC4A8B"/>
    <w:rsid w:val="00FC6155"/>
    <w:rsid w:val="00FC6311"/>
    <w:rsid w:val="00FC6BA0"/>
    <w:rsid w:val="00FD0236"/>
    <w:rsid w:val="00FD18F4"/>
    <w:rsid w:val="00FD1DE7"/>
    <w:rsid w:val="00FD1FE6"/>
    <w:rsid w:val="00FD2916"/>
    <w:rsid w:val="00FD382B"/>
    <w:rsid w:val="00FD4021"/>
    <w:rsid w:val="00FD468D"/>
    <w:rsid w:val="00FD4D19"/>
    <w:rsid w:val="00FD54DB"/>
    <w:rsid w:val="00FD619F"/>
    <w:rsid w:val="00FD703F"/>
    <w:rsid w:val="00FD7C78"/>
    <w:rsid w:val="00FE2E62"/>
    <w:rsid w:val="00FE3A77"/>
    <w:rsid w:val="00FE3CB8"/>
    <w:rsid w:val="00FE4C21"/>
    <w:rsid w:val="00FE50D8"/>
    <w:rsid w:val="00FE5387"/>
    <w:rsid w:val="00FE53CC"/>
    <w:rsid w:val="00FE5782"/>
    <w:rsid w:val="00FE66B5"/>
    <w:rsid w:val="00FE7DDF"/>
    <w:rsid w:val="00FF04E6"/>
    <w:rsid w:val="00FF17F2"/>
    <w:rsid w:val="00FF56BA"/>
    <w:rsid w:val="0100390C"/>
    <w:rsid w:val="01161381"/>
    <w:rsid w:val="011C62C9"/>
    <w:rsid w:val="01223932"/>
    <w:rsid w:val="01250638"/>
    <w:rsid w:val="012612A2"/>
    <w:rsid w:val="01265791"/>
    <w:rsid w:val="01290F7E"/>
    <w:rsid w:val="012B049B"/>
    <w:rsid w:val="013237F7"/>
    <w:rsid w:val="01350AD8"/>
    <w:rsid w:val="01372215"/>
    <w:rsid w:val="01407AB6"/>
    <w:rsid w:val="01516D31"/>
    <w:rsid w:val="015D1E09"/>
    <w:rsid w:val="01933441"/>
    <w:rsid w:val="019978BC"/>
    <w:rsid w:val="01A94E05"/>
    <w:rsid w:val="01A95B07"/>
    <w:rsid w:val="01AF0E8E"/>
    <w:rsid w:val="01B70B0C"/>
    <w:rsid w:val="01C71284"/>
    <w:rsid w:val="01CA3F1A"/>
    <w:rsid w:val="01D32DCE"/>
    <w:rsid w:val="01D547F9"/>
    <w:rsid w:val="01D6466C"/>
    <w:rsid w:val="01DB732C"/>
    <w:rsid w:val="01E557E7"/>
    <w:rsid w:val="01EA0118"/>
    <w:rsid w:val="01EC5C3E"/>
    <w:rsid w:val="01EE1507"/>
    <w:rsid w:val="01F617DB"/>
    <w:rsid w:val="01F87771"/>
    <w:rsid w:val="01FF4EDD"/>
    <w:rsid w:val="02012F8A"/>
    <w:rsid w:val="020B1F4E"/>
    <w:rsid w:val="021803BF"/>
    <w:rsid w:val="021D0D94"/>
    <w:rsid w:val="021E3757"/>
    <w:rsid w:val="022950E4"/>
    <w:rsid w:val="022D1862"/>
    <w:rsid w:val="022F5F50"/>
    <w:rsid w:val="02343E4F"/>
    <w:rsid w:val="023F4471"/>
    <w:rsid w:val="024504DC"/>
    <w:rsid w:val="02497E55"/>
    <w:rsid w:val="0256090D"/>
    <w:rsid w:val="025A704C"/>
    <w:rsid w:val="025E6F92"/>
    <w:rsid w:val="02697903"/>
    <w:rsid w:val="027108F1"/>
    <w:rsid w:val="0273010D"/>
    <w:rsid w:val="027433E3"/>
    <w:rsid w:val="027C5214"/>
    <w:rsid w:val="028247F4"/>
    <w:rsid w:val="029526DE"/>
    <w:rsid w:val="0296094D"/>
    <w:rsid w:val="029702A0"/>
    <w:rsid w:val="02A15075"/>
    <w:rsid w:val="02A76009"/>
    <w:rsid w:val="02AF690D"/>
    <w:rsid w:val="02B04EBD"/>
    <w:rsid w:val="02B155C1"/>
    <w:rsid w:val="02BD75DA"/>
    <w:rsid w:val="02C32E43"/>
    <w:rsid w:val="02CA2696"/>
    <w:rsid w:val="02CD1F13"/>
    <w:rsid w:val="02CD5A6F"/>
    <w:rsid w:val="02D17E3E"/>
    <w:rsid w:val="02D212D8"/>
    <w:rsid w:val="02F70D3E"/>
    <w:rsid w:val="02F96569"/>
    <w:rsid w:val="02FB3FF2"/>
    <w:rsid w:val="03084030"/>
    <w:rsid w:val="03086AA8"/>
    <w:rsid w:val="030D40BE"/>
    <w:rsid w:val="031C2553"/>
    <w:rsid w:val="032327D8"/>
    <w:rsid w:val="032A0A86"/>
    <w:rsid w:val="032A1043"/>
    <w:rsid w:val="032A2EC2"/>
    <w:rsid w:val="032A41CE"/>
    <w:rsid w:val="033F6241"/>
    <w:rsid w:val="035148F2"/>
    <w:rsid w:val="03546191"/>
    <w:rsid w:val="035F0179"/>
    <w:rsid w:val="03681C3C"/>
    <w:rsid w:val="036C5AA6"/>
    <w:rsid w:val="03725F44"/>
    <w:rsid w:val="03767EB5"/>
    <w:rsid w:val="0380719B"/>
    <w:rsid w:val="03810CCF"/>
    <w:rsid w:val="038F541B"/>
    <w:rsid w:val="03957E4F"/>
    <w:rsid w:val="039A4537"/>
    <w:rsid w:val="039B4242"/>
    <w:rsid w:val="03A827CD"/>
    <w:rsid w:val="03AF1619"/>
    <w:rsid w:val="03B41E8C"/>
    <w:rsid w:val="03B76F0E"/>
    <w:rsid w:val="03C4339C"/>
    <w:rsid w:val="03CF27DA"/>
    <w:rsid w:val="03D1158F"/>
    <w:rsid w:val="03D34DCC"/>
    <w:rsid w:val="03DB0081"/>
    <w:rsid w:val="03DB6CEA"/>
    <w:rsid w:val="03E0038E"/>
    <w:rsid w:val="03E3061A"/>
    <w:rsid w:val="03EA7B21"/>
    <w:rsid w:val="03EC7C9F"/>
    <w:rsid w:val="04021749"/>
    <w:rsid w:val="040C75CD"/>
    <w:rsid w:val="041B1368"/>
    <w:rsid w:val="041F3888"/>
    <w:rsid w:val="04264D77"/>
    <w:rsid w:val="04267302"/>
    <w:rsid w:val="042F62B6"/>
    <w:rsid w:val="0435331D"/>
    <w:rsid w:val="0437063F"/>
    <w:rsid w:val="043833BC"/>
    <w:rsid w:val="04394CEA"/>
    <w:rsid w:val="045A1585"/>
    <w:rsid w:val="045B52FD"/>
    <w:rsid w:val="04720883"/>
    <w:rsid w:val="04813592"/>
    <w:rsid w:val="04874344"/>
    <w:rsid w:val="048C54B6"/>
    <w:rsid w:val="04943389"/>
    <w:rsid w:val="04956A61"/>
    <w:rsid w:val="049802FF"/>
    <w:rsid w:val="049A7F93"/>
    <w:rsid w:val="049F57FE"/>
    <w:rsid w:val="04A12D32"/>
    <w:rsid w:val="04A4119D"/>
    <w:rsid w:val="04B75458"/>
    <w:rsid w:val="04BA3C3B"/>
    <w:rsid w:val="04C035DB"/>
    <w:rsid w:val="04C81921"/>
    <w:rsid w:val="04CC1D57"/>
    <w:rsid w:val="04D44159"/>
    <w:rsid w:val="04D96B7B"/>
    <w:rsid w:val="04E316B5"/>
    <w:rsid w:val="05087233"/>
    <w:rsid w:val="050D470B"/>
    <w:rsid w:val="050E4002"/>
    <w:rsid w:val="05171224"/>
    <w:rsid w:val="051756C8"/>
    <w:rsid w:val="051E549C"/>
    <w:rsid w:val="051F632A"/>
    <w:rsid w:val="052102F4"/>
    <w:rsid w:val="05234E03"/>
    <w:rsid w:val="052971A9"/>
    <w:rsid w:val="052E6BC2"/>
    <w:rsid w:val="05483AD3"/>
    <w:rsid w:val="05494F18"/>
    <w:rsid w:val="05544226"/>
    <w:rsid w:val="058663AA"/>
    <w:rsid w:val="058A4858"/>
    <w:rsid w:val="05965117"/>
    <w:rsid w:val="05983E9F"/>
    <w:rsid w:val="059E7B97"/>
    <w:rsid w:val="05A36F5B"/>
    <w:rsid w:val="05A47E39"/>
    <w:rsid w:val="05B16FE4"/>
    <w:rsid w:val="05C97F33"/>
    <w:rsid w:val="05CD5D86"/>
    <w:rsid w:val="05D14557"/>
    <w:rsid w:val="05D37841"/>
    <w:rsid w:val="05DA2222"/>
    <w:rsid w:val="05DD246D"/>
    <w:rsid w:val="05E16FD1"/>
    <w:rsid w:val="05E24C49"/>
    <w:rsid w:val="05E52387"/>
    <w:rsid w:val="05E76E48"/>
    <w:rsid w:val="05EF315A"/>
    <w:rsid w:val="05F05868"/>
    <w:rsid w:val="05F81055"/>
    <w:rsid w:val="05F83EAE"/>
    <w:rsid w:val="0616675E"/>
    <w:rsid w:val="061834A6"/>
    <w:rsid w:val="06274119"/>
    <w:rsid w:val="06293905"/>
    <w:rsid w:val="06380A36"/>
    <w:rsid w:val="063E3D6F"/>
    <w:rsid w:val="063E7D85"/>
    <w:rsid w:val="064C47B9"/>
    <w:rsid w:val="064D7BB5"/>
    <w:rsid w:val="06530982"/>
    <w:rsid w:val="06540256"/>
    <w:rsid w:val="065E3587"/>
    <w:rsid w:val="066E57BB"/>
    <w:rsid w:val="0676641E"/>
    <w:rsid w:val="067C41BA"/>
    <w:rsid w:val="0683788A"/>
    <w:rsid w:val="068942CF"/>
    <w:rsid w:val="068D48C2"/>
    <w:rsid w:val="068D4F99"/>
    <w:rsid w:val="068E795F"/>
    <w:rsid w:val="06B74C51"/>
    <w:rsid w:val="06C31409"/>
    <w:rsid w:val="06C75FAB"/>
    <w:rsid w:val="06D00631"/>
    <w:rsid w:val="06DE2BA7"/>
    <w:rsid w:val="06F53E3D"/>
    <w:rsid w:val="06FD08ED"/>
    <w:rsid w:val="06FF01C2"/>
    <w:rsid w:val="06FF11EC"/>
    <w:rsid w:val="070313B0"/>
    <w:rsid w:val="07035F04"/>
    <w:rsid w:val="0708176C"/>
    <w:rsid w:val="07093881"/>
    <w:rsid w:val="0721282E"/>
    <w:rsid w:val="07287718"/>
    <w:rsid w:val="072916E2"/>
    <w:rsid w:val="07293586"/>
    <w:rsid w:val="07295285"/>
    <w:rsid w:val="07303E80"/>
    <w:rsid w:val="07480299"/>
    <w:rsid w:val="074A3BEC"/>
    <w:rsid w:val="07591FC8"/>
    <w:rsid w:val="075C5614"/>
    <w:rsid w:val="07636392"/>
    <w:rsid w:val="076C68D0"/>
    <w:rsid w:val="076D5A73"/>
    <w:rsid w:val="07770C56"/>
    <w:rsid w:val="077B1CE0"/>
    <w:rsid w:val="07886409"/>
    <w:rsid w:val="078A1921"/>
    <w:rsid w:val="07904C67"/>
    <w:rsid w:val="07911761"/>
    <w:rsid w:val="079254DA"/>
    <w:rsid w:val="07A019A5"/>
    <w:rsid w:val="07A1571D"/>
    <w:rsid w:val="07A64AE1"/>
    <w:rsid w:val="07AC659B"/>
    <w:rsid w:val="07AD5E6F"/>
    <w:rsid w:val="07AF3996"/>
    <w:rsid w:val="07CD206E"/>
    <w:rsid w:val="07CD7839"/>
    <w:rsid w:val="07D01B5E"/>
    <w:rsid w:val="07DB2C0D"/>
    <w:rsid w:val="07ED2710"/>
    <w:rsid w:val="07F046C2"/>
    <w:rsid w:val="0808754A"/>
    <w:rsid w:val="0809228B"/>
    <w:rsid w:val="080A06A7"/>
    <w:rsid w:val="08106216"/>
    <w:rsid w:val="08144141"/>
    <w:rsid w:val="082A5712"/>
    <w:rsid w:val="084637B0"/>
    <w:rsid w:val="084644D4"/>
    <w:rsid w:val="08470072"/>
    <w:rsid w:val="084E5160"/>
    <w:rsid w:val="0850455A"/>
    <w:rsid w:val="0869448C"/>
    <w:rsid w:val="086F1957"/>
    <w:rsid w:val="08732C15"/>
    <w:rsid w:val="087C66C6"/>
    <w:rsid w:val="088F37C7"/>
    <w:rsid w:val="08971DC4"/>
    <w:rsid w:val="089963F4"/>
    <w:rsid w:val="08A41020"/>
    <w:rsid w:val="08AA0601"/>
    <w:rsid w:val="08AC0788"/>
    <w:rsid w:val="08CB1295"/>
    <w:rsid w:val="08CE2796"/>
    <w:rsid w:val="08D21CBE"/>
    <w:rsid w:val="08EC0C19"/>
    <w:rsid w:val="08ED6E6B"/>
    <w:rsid w:val="08EE7F45"/>
    <w:rsid w:val="08F16230"/>
    <w:rsid w:val="08F301FA"/>
    <w:rsid w:val="08FA3336"/>
    <w:rsid w:val="08FE6B8D"/>
    <w:rsid w:val="09067F2D"/>
    <w:rsid w:val="090E0B90"/>
    <w:rsid w:val="09150170"/>
    <w:rsid w:val="091D7025"/>
    <w:rsid w:val="092217DD"/>
    <w:rsid w:val="0928162E"/>
    <w:rsid w:val="092C4CF1"/>
    <w:rsid w:val="092F6E09"/>
    <w:rsid w:val="093A3733"/>
    <w:rsid w:val="093A7294"/>
    <w:rsid w:val="094D16B8"/>
    <w:rsid w:val="095F4AC7"/>
    <w:rsid w:val="096322D5"/>
    <w:rsid w:val="09783A0F"/>
    <w:rsid w:val="097F1A8E"/>
    <w:rsid w:val="09887E96"/>
    <w:rsid w:val="0992531D"/>
    <w:rsid w:val="09977B18"/>
    <w:rsid w:val="099A2423"/>
    <w:rsid w:val="099D381C"/>
    <w:rsid w:val="09AA4D5C"/>
    <w:rsid w:val="09B23C11"/>
    <w:rsid w:val="09BB733E"/>
    <w:rsid w:val="09C13E54"/>
    <w:rsid w:val="09C275C9"/>
    <w:rsid w:val="09C30D6D"/>
    <w:rsid w:val="09D4008F"/>
    <w:rsid w:val="09E65607"/>
    <w:rsid w:val="09EE394E"/>
    <w:rsid w:val="09F77876"/>
    <w:rsid w:val="0A0B1FE6"/>
    <w:rsid w:val="0A0B43C1"/>
    <w:rsid w:val="0A124C34"/>
    <w:rsid w:val="0A2148F3"/>
    <w:rsid w:val="0A263993"/>
    <w:rsid w:val="0A280211"/>
    <w:rsid w:val="0A286115"/>
    <w:rsid w:val="0A2D3AC2"/>
    <w:rsid w:val="0A3927A2"/>
    <w:rsid w:val="0A4974B1"/>
    <w:rsid w:val="0A4C5E14"/>
    <w:rsid w:val="0A5371A2"/>
    <w:rsid w:val="0A59408D"/>
    <w:rsid w:val="0A631D9F"/>
    <w:rsid w:val="0A785593"/>
    <w:rsid w:val="0A805ABD"/>
    <w:rsid w:val="0A8168BF"/>
    <w:rsid w:val="0A86207B"/>
    <w:rsid w:val="0A8D32DA"/>
    <w:rsid w:val="0A916812"/>
    <w:rsid w:val="0A951569"/>
    <w:rsid w:val="0A983135"/>
    <w:rsid w:val="0AA4449E"/>
    <w:rsid w:val="0AA755DF"/>
    <w:rsid w:val="0AAC312F"/>
    <w:rsid w:val="0AB2499B"/>
    <w:rsid w:val="0AB359AE"/>
    <w:rsid w:val="0ACC485F"/>
    <w:rsid w:val="0ADD081A"/>
    <w:rsid w:val="0AE0030A"/>
    <w:rsid w:val="0AE42738"/>
    <w:rsid w:val="0B0B35D9"/>
    <w:rsid w:val="0B0F4ED0"/>
    <w:rsid w:val="0B120D44"/>
    <w:rsid w:val="0B197C79"/>
    <w:rsid w:val="0B2539B1"/>
    <w:rsid w:val="0B270AEA"/>
    <w:rsid w:val="0B282A04"/>
    <w:rsid w:val="0B2C17A1"/>
    <w:rsid w:val="0B300C6A"/>
    <w:rsid w:val="0B3F3282"/>
    <w:rsid w:val="0B424B21"/>
    <w:rsid w:val="0B427292"/>
    <w:rsid w:val="0B5036E2"/>
    <w:rsid w:val="0B626F71"/>
    <w:rsid w:val="0B732F2C"/>
    <w:rsid w:val="0B81389B"/>
    <w:rsid w:val="0B861D79"/>
    <w:rsid w:val="0B9B4146"/>
    <w:rsid w:val="0BB9723C"/>
    <w:rsid w:val="0BBA4806"/>
    <w:rsid w:val="0BC87483"/>
    <w:rsid w:val="0BCA2669"/>
    <w:rsid w:val="0BCA5242"/>
    <w:rsid w:val="0BD27BF6"/>
    <w:rsid w:val="0BE1258C"/>
    <w:rsid w:val="0BE62535"/>
    <w:rsid w:val="0BEA7692"/>
    <w:rsid w:val="0BF71DAF"/>
    <w:rsid w:val="0BFF2A12"/>
    <w:rsid w:val="0C0D3381"/>
    <w:rsid w:val="0C0D512F"/>
    <w:rsid w:val="0C1316DA"/>
    <w:rsid w:val="0C191D25"/>
    <w:rsid w:val="0C1B657A"/>
    <w:rsid w:val="0C1E558E"/>
    <w:rsid w:val="0C2106D2"/>
    <w:rsid w:val="0C24781E"/>
    <w:rsid w:val="0C2D26E3"/>
    <w:rsid w:val="0C2D2B48"/>
    <w:rsid w:val="0C2F1CA6"/>
    <w:rsid w:val="0C3504B5"/>
    <w:rsid w:val="0C3A6343"/>
    <w:rsid w:val="0C3B3C7D"/>
    <w:rsid w:val="0C3C5A14"/>
    <w:rsid w:val="0C4A7332"/>
    <w:rsid w:val="0C564D28"/>
    <w:rsid w:val="0C5910CD"/>
    <w:rsid w:val="0C5F52B0"/>
    <w:rsid w:val="0C61547A"/>
    <w:rsid w:val="0C632FA1"/>
    <w:rsid w:val="0C6F5DE9"/>
    <w:rsid w:val="0C7149FA"/>
    <w:rsid w:val="0C80080F"/>
    <w:rsid w:val="0C863F12"/>
    <w:rsid w:val="0C8F78DA"/>
    <w:rsid w:val="0C9C4003"/>
    <w:rsid w:val="0C9F73EA"/>
    <w:rsid w:val="0CA5412A"/>
    <w:rsid w:val="0CA75583"/>
    <w:rsid w:val="0CA77331"/>
    <w:rsid w:val="0CAB2EAE"/>
    <w:rsid w:val="0CB101B0"/>
    <w:rsid w:val="0CB3217A"/>
    <w:rsid w:val="0CB47CA0"/>
    <w:rsid w:val="0CBB3049"/>
    <w:rsid w:val="0CBC3BE7"/>
    <w:rsid w:val="0CBF1356"/>
    <w:rsid w:val="0CC7352F"/>
    <w:rsid w:val="0CCA74C4"/>
    <w:rsid w:val="0CEE4F60"/>
    <w:rsid w:val="0CF602B9"/>
    <w:rsid w:val="0CFF716D"/>
    <w:rsid w:val="0D093B48"/>
    <w:rsid w:val="0D0D5F42"/>
    <w:rsid w:val="0D1D09F2"/>
    <w:rsid w:val="0D1E02C7"/>
    <w:rsid w:val="0D354F69"/>
    <w:rsid w:val="0D363F3D"/>
    <w:rsid w:val="0D3D7C96"/>
    <w:rsid w:val="0D42677B"/>
    <w:rsid w:val="0D4A4AC2"/>
    <w:rsid w:val="0D5A43A4"/>
    <w:rsid w:val="0D5D3D8B"/>
    <w:rsid w:val="0D621C7D"/>
    <w:rsid w:val="0D68593C"/>
    <w:rsid w:val="0D6914C2"/>
    <w:rsid w:val="0D6B4D11"/>
    <w:rsid w:val="0D705975"/>
    <w:rsid w:val="0D7D1AE1"/>
    <w:rsid w:val="0D814E43"/>
    <w:rsid w:val="0D8C6527"/>
    <w:rsid w:val="0D9644B5"/>
    <w:rsid w:val="0D996408"/>
    <w:rsid w:val="0D9E6986"/>
    <w:rsid w:val="0DA01DE9"/>
    <w:rsid w:val="0DA26E00"/>
    <w:rsid w:val="0DA43CEA"/>
    <w:rsid w:val="0DA77418"/>
    <w:rsid w:val="0DAD2FA0"/>
    <w:rsid w:val="0DB01F97"/>
    <w:rsid w:val="0DC013B0"/>
    <w:rsid w:val="0DC20175"/>
    <w:rsid w:val="0DC83A4F"/>
    <w:rsid w:val="0DE34399"/>
    <w:rsid w:val="0DE9592E"/>
    <w:rsid w:val="0DED346A"/>
    <w:rsid w:val="0E1409F6"/>
    <w:rsid w:val="0E146C48"/>
    <w:rsid w:val="0E176739"/>
    <w:rsid w:val="0E19425F"/>
    <w:rsid w:val="0E2A2E51"/>
    <w:rsid w:val="0E2C1468"/>
    <w:rsid w:val="0E2D750B"/>
    <w:rsid w:val="0E303356"/>
    <w:rsid w:val="0E39450E"/>
    <w:rsid w:val="0E421299"/>
    <w:rsid w:val="0E42306B"/>
    <w:rsid w:val="0E460DCC"/>
    <w:rsid w:val="0E4F1A2E"/>
    <w:rsid w:val="0E561810"/>
    <w:rsid w:val="0E593927"/>
    <w:rsid w:val="0E5E7EC3"/>
    <w:rsid w:val="0E653000"/>
    <w:rsid w:val="0E69649A"/>
    <w:rsid w:val="0E73034D"/>
    <w:rsid w:val="0E7D51E8"/>
    <w:rsid w:val="0E8D69FB"/>
    <w:rsid w:val="0EA31D7A"/>
    <w:rsid w:val="0EAA135B"/>
    <w:rsid w:val="0EAE0E4B"/>
    <w:rsid w:val="0EAE616F"/>
    <w:rsid w:val="0EB94FDD"/>
    <w:rsid w:val="0EBE0962"/>
    <w:rsid w:val="0EBE117C"/>
    <w:rsid w:val="0ED2440E"/>
    <w:rsid w:val="0EFB1BB6"/>
    <w:rsid w:val="0EFB2DE2"/>
    <w:rsid w:val="0F095358"/>
    <w:rsid w:val="0F102FA9"/>
    <w:rsid w:val="0F13775A"/>
    <w:rsid w:val="0F16079E"/>
    <w:rsid w:val="0F17035E"/>
    <w:rsid w:val="0F227143"/>
    <w:rsid w:val="0F3B253B"/>
    <w:rsid w:val="0F3B4238"/>
    <w:rsid w:val="0F4406BD"/>
    <w:rsid w:val="0F4E1CE6"/>
    <w:rsid w:val="0F4E7FC5"/>
    <w:rsid w:val="0F557518"/>
    <w:rsid w:val="0F5F45FE"/>
    <w:rsid w:val="0F6A6D45"/>
    <w:rsid w:val="0F796078"/>
    <w:rsid w:val="0F801ABA"/>
    <w:rsid w:val="0F805160"/>
    <w:rsid w:val="0F84395A"/>
    <w:rsid w:val="0F854E17"/>
    <w:rsid w:val="0F86406A"/>
    <w:rsid w:val="0F8732BE"/>
    <w:rsid w:val="0F953DB9"/>
    <w:rsid w:val="0F9A112B"/>
    <w:rsid w:val="0FBF38FE"/>
    <w:rsid w:val="0FC05E29"/>
    <w:rsid w:val="0FC1695C"/>
    <w:rsid w:val="0FC3072C"/>
    <w:rsid w:val="0FCF3629"/>
    <w:rsid w:val="0FF02D9D"/>
    <w:rsid w:val="0FFF1232"/>
    <w:rsid w:val="10014FAA"/>
    <w:rsid w:val="100A7C74"/>
    <w:rsid w:val="10104C47"/>
    <w:rsid w:val="10174681"/>
    <w:rsid w:val="10192451"/>
    <w:rsid w:val="101A2F61"/>
    <w:rsid w:val="101F1965"/>
    <w:rsid w:val="1025513D"/>
    <w:rsid w:val="10352EA6"/>
    <w:rsid w:val="10433815"/>
    <w:rsid w:val="106075E4"/>
    <w:rsid w:val="10637A13"/>
    <w:rsid w:val="106D2F64"/>
    <w:rsid w:val="10702130"/>
    <w:rsid w:val="10795489"/>
    <w:rsid w:val="107E2F66"/>
    <w:rsid w:val="10811A50"/>
    <w:rsid w:val="1085100E"/>
    <w:rsid w:val="10906E1B"/>
    <w:rsid w:val="10A225A6"/>
    <w:rsid w:val="10A61587"/>
    <w:rsid w:val="10AA2027"/>
    <w:rsid w:val="10B63710"/>
    <w:rsid w:val="10B842E3"/>
    <w:rsid w:val="10B95885"/>
    <w:rsid w:val="10B97633"/>
    <w:rsid w:val="10BD2C4D"/>
    <w:rsid w:val="10C1473A"/>
    <w:rsid w:val="10C22AF5"/>
    <w:rsid w:val="10CD30DE"/>
    <w:rsid w:val="10D11AFC"/>
    <w:rsid w:val="10D40911"/>
    <w:rsid w:val="10F10820"/>
    <w:rsid w:val="10F66AD9"/>
    <w:rsid w:val="10FD7E68"/>
    <w:rsid w:val="10FE323B"/>
    <w:rsid w:val="11082369"/>
    <w:rsid w:val="11124E74"/>
    <w:rsid w:val="1117013B"/>
    <w:rsid w:val="111C2F7A"/>
    <w:rsid w:val="111E6DD2"/>
    <w:rsid w:val="11230F0A"/>
    <w:rsid w:val="1125116C"/>
    <w:rsid w:val="11280CBA"/>
    <w:rsid w:val="112C7DF0"/>
    <w:rsid w:val="11381410"/>
    <w:rsid w:val="113869CD"/>
    <w:rsid w:val="113C0E4F"/>
    <w:rsid w:val="11473B78"/>
    <w:rsid w:val="11481C10"/>
    <w:rsid w:val="11580B52"/>
    <w:rsid w:val="11596560"/>
    <w:rsid w:val="115B2DE0"/>
    <w:rsid w:val="115D26B4"/>
    <w:rsid w:val="1164103E"/>
    <w:rsid w:val="11665CA1"/>
    <w:rsid w:val="11674444"/>
    <w:rsid w:val="11785740"/>
    <w:rsid w:val="117D2D56"/>
    <w:rsid w:val="11812847"/>
    <w:rsid w:val="11840457"/>
    <w:rsid w:val="11866AF5"/>
    <w:rsid w:val="11867E5D"/>
    <w:rsid w:val="118E286E"/>
    <w:rsid w:val="11965BC6"/>
    <w:rsid w:val="11974DD0"/>
    <w:rsid w:val="11A1591C"/>
    <w:rsid w:val="11A33F9D"/>
    <w:rsid w:val="11A4566F"/>
    <w:rsid w:val="11AA3420"/>
    <w:rsid w:val="11AE1162"/>
    <w:rsid w:val="11BC7BEB"/>
    <w:rsid w:val="11BE26BA"/>
    <w:rsid w:val="11C47BB0"/>
    <w:rsid w:val="11C75D80"/>
    <w:rsid w:val="11CB257E"/>
    <w:rsid w:val="11DB2E96"/>
    <w:rsid w:val="11E10BF2"/>
    <w:rsid w:val="11E36E54"/>
    <w:rsid w:val="11E81ABA"/>
    <w:rsid w:val="11EA4A7C"/>
    <w:rsid w:val="11F1099F"/>
    <w:rsid w:val="11F4280D"/>
    <w:rsid w:val="11F8062F"/>
    <w:rsid w:val="12011292"/>
    <w:rsid w:val="12081A1C"/>
    <w:rsid w:val="12137217"/>
    <w:rsid w:val="12176D07"/>
    <w:rsid w:val="12353631"/>
    <w:rsid w:val="123B5225"/>
    <w:rsid w:val="123C49C0"/>
    <w:rsid w:val="123D6042"/>
    <w:rsid w:val="12431963"/>
    <w:rsid w:val="12443874"/>
    <w:rsid w:val="1246139A"/>
    <w:rsid w:val="124D44D7"/>
    <w:rsid w:val="12563740"/>
    <w:rsid w:val="125C471A"/>
    <w:rsid w:val="125E0D24"/>
    <w:rsid w:val="12660E55"/>
    <w:rsid w:val="126B7053"/>
    <w:rsid w:val="126C2F8C"/>
    <w:rsid w:val="12751C80"/>
    <w:rsid w:val="127840D2"/>
    <w:rsid w:val="127B54E8"/>
    <w:rsid w:val="127E6D86"/>
    <w:rsid w:val="128679E9"/>
    <w:rsid w:val="128819B3"/>
    <w:rsid w:val="128D6FC9"/>
    <w:rsid w:val="12977E48"/>
    <w:rsid w:val="129F128A"/>
    <w:rsid w:val="129F3B94"/>
    <w:rsid w:val="12A84A36"/>
    <w:rsid w:val="12AD33CD"/>
    <w:rsid w:val="12C16C73"/>
    <w:rsid w:val="12C3110E"/>
    <w:rsid w:val="12D1335A"/>
    <w:rsid w:val="12DF60C8"/>
    <w:rsid w:val="12EF558E"/>
    <w:rsid w:val="12FD414F"/>
    <w:rsid w:val="130C5BB9"/>
    <w:rsid w:val="131B2827"/>
    <w:rsid w:val="131D2B8B"/>
    <w:rsid w:val="1321215B"/>
    <w:rsid w:val="13290CC0"/>
    <w:rsid w:val="13394A5B"/>
    <w:rsid w:val="133B1D68"/>
    <w:rsid w:val="134C5016"/>
    <w:rsid w:val="135407C2"/>
    <w:rsid w:val="135C1537"/>
    <w:rsid w:val="1367395A"/>
    <w:rsid w:val="13770EE7"/>
    <w:rsid w:val="138228A6"/>
    <w:rsid w:val="13855EF2"/>
    <w:rsid w:val="13873AD6"/>
    <w:rsid w:val="138D29BB"/>
    <w:rsid w:val="13946135"/>
    <w:rsid w:val="13951726"/>
    <w:rsid w:val="13972F3E"/>
    <w:rsid w:val="139808FB"/>
    <w:rsid w:val="139B227B"/>
    <w:rsid w:val="13A34A70"/>
    <w:rsid w:val="13A75E69"/>
    <w:rsid w:val="13AF4D1D"/>
    <w:rsid w:val="13B7528C"/>
    <w:rsid w:val="13BB6785"/>
    <w:rsid w:val="13C407C9"/>
    <w:rsid w:val="13C50D8E"/>
    <w:rsid w:val="13C7475D"/>
    <w:rsid w:val="13C83AB4"/>
    <w:rsid w:val="13CB5B5C"/>
    <w:rsid w:val="13D24E96"/>
    <w:rsid w:val="13DB5B12"/>
    <w:rsid w:val="13DC1FB6"/>
    <w:rsid w:val="13DF3855"/>
    <w:rsid w:val="13F50945"/>
    <w:rsid w:val="13F974EB"/>
    <w:rsid w:val="13FD3CDB"/>
    <w:rsid w:val="1402620C"/>
    <w:rsid w:val="140432BB"/>
    <w:rsid w:val="14092680"/>
    <w:rsid w:val="14131CD4"/>
    <w:rsid w:val="141E3EF4"/>
    <w:rsid w:val="141F1A80"/>
    <w:rsid w:val="14270D58"/>
    <w:rsid w:val="142851FC"/>
    <w:rsid w:val="142E0A23"/>
    <w:rsid w:val="142F6BEC"/>
    <w:rsid w:val="143040B0"/>
    <w:rsid w:val="14396509"/>
    <w:rsid w:val="143A7680"/>
    <w:rsid w:val="143D5922"/>
    <w:rsid w:val="14486842"/>
    <w:rsid w:val="145244F1"/>
    <w:rsid w:val="14537D9F"/>
    <w:rsid w:val="14587163"/>
    <w:rsid w:val="14755A93"/>
    <w:rsid w:val="148A1F36"/>
    <w:rsid w:val="148D1503"/>
    <w:rsid w:val="14A25D60"/>
    <w:rsid w:val="14A44EB1"/>
    <w:rsid w:val="14A90F1B"/>
    <w:rsid w:val="14B938BB"/>
    <w:rsid w:val="14BC3B96"/>
    <w:rsid w:val="14CF4074"/>
    <w:rsid w:val="14D05CA0"/>
    <w:rsid w:val="14D62EA9"/>
    <w:rsid w:val="14DD2C3C"/>
    <w:rsid w:val="14E239FD"/>
    <w:rsid w:val="14E31122"/>
    <w:rsid w:val="14E618C4"/>
    <w:rsid w:val="150D43F1"/>
    <w:rsid w:val="15115C90"/>
    <w:rsid w:val="152F25BA"/>
    <w:rsid w:val="152F6116"/>
    <w:rsid w:val="153450AA"/>
    <w:rsid w:val="153E27FD"/>
    <w:rsid w:val="15400323"/>
    <w:rsid w:val="15455A37"/>
    <w:rsid w:val="15482280"/>
    <w:rsid w:val="155A0F18"/>
    <w:rsid w:val="156B6AEB"/>
    <w:rsid w:val="15700C5E"/>
    <w:rsid w:val="15724781"/>
    <w:rsid w:val="157D4BDF"/>
    <w:rsid w:val="157D50D3"/>
    <w:rsid w:val="15806B32"/>
    <w:rsid w:val="158A77F0"/>
    <w:rsid w:val="158E5532"/>
    <w:rsid w:val="15920151"/>
    <w:rsid w:val="159C37D9"/>
    <w:rsid w:val="15A9179B"/>
    <w:rsid w:val="15E464B6"/>
    <w:rsid w:val="15E839EB"/>
    <w:rsid w:val="15E943C5"/>
    <w:rsid w:val="15E96C0C"/>
    <w:rsid w:val="15ED73D7"/>
    <w:rsid w:val="15F132FE"/>
    <w:rsid w:val="15F317A5"/>
    <w:rsid w:val="15F32DC0"/>
    <w:rsid w:val="1606331B"/>
    <w:rsid w:val="16087E1D"/>
    <w:rsid w:val="16490BF4"/>
    <w:rsid w:val="164D5A29"/>
    <w:rsid w:val="16551BAC"/>
    <w:rsid w:val="166D15EC"/>
    <w:rsid w:val="166E657F"/>
    <w:rsid w:val="167172CE"/>
    <w:rsid w:val="167A7865"/>
    <w:rsid w:val="16D50F3F"/>
    <w:rsid w:val="16D91055"/>
    <w:rsid w:val="16DC6904"/>
    <w:rsid w:val="16E11692"/>
    <w:rsid w:val="16E92565"/>
    <w:rsid w:val="16F2389F"/>
    <w:rsid w:val="170C256E"/>
    <w:rsid w:val="171F43F3"/>
    <w:rsid w:val="17285513"/>
    <w:rsid w:val="173B3498"/>
    <w:rsid w:val="17400B06"/>
    <w:rsid w:val="17455759"/>
    <w:rsid w:val="1751460D"/>
    <w:rsid w:val="17546308"/>
    <w:rsid w:val="17701D14"/>
    <w:rsid w:val="17735226"/>
    <w:rsid w:val="177B4B05"/>
    <w:rsid w:val="17893494"/>
    <w:rsid w:val="178F1F3D"/>
    <w:rsid w:val="1794191B"/>
    <w:rsid w:val="179E57D5"/>
    <w:rsid w:val="17A70B2D"/>
    <w:rsid w:val="17AD77C6"/>
    <w:rsid w:val="17B172B6"/>
    <w:rsid w:val="17BE7C25"/>
    <w:rsid w:val="17C90AA4"/>
    <w:rsid w:val="17CA55F9"/>
    <w:rsid w:val="17CC7A8D"/>
    <w:rsid w:val="17CE60BA"/>
    <w:rsid w:val="17D26FEE"/>
    <w:rsid w:val="17D66D1D"/>
    <w:rsid w:val="17D82A95"/>
    <w:rsid w:val="17D85B22"/>
    <w:rsid w:val="17DD4930"/>
    <w:rsid w:val="17F3464E"/>
    <w:rsid w:val="17FC7532"/>
    <w:rsid w:val="17FD6785"/>
    <w:rsid w:val="17FD699F"/>
    <w:rsid w:val="17FF4DE1"/>
    <w:rsid w:val="180F222F"/>
    <w:rsid w:val="18243F2C"/>
    <w:rsid w:val="18291542"/>
    <w:rsid w:val="18295325"/>
    <w:rsid w:val="183D4FEE"/>
    <w:rsid w:val="18443CB5"/>
    <w:rsid w:val="185C077D"/>
    <w:rsid w:val="186B56B7"/>
    <w:rsid w:val="186E7DEA"/>
    <w:rsid w:val="18737BB2"/>
    <w:rsid w:val="18793DC0"/>
    <w:rsid w:val="1880365D"/>
    <w:rsid w:val="1888270D"/>
    <w:rsid w:val="189F624C"/>
    <w:rsid w:val="18D717DF"/>
    <w:rsid w:val="18D97C85"/>
    <w:rsid w:val="18E45469"/>
    <w:rsid w:val="18ED07C2"/>
    <w:rsid w:val="18EE62E8"/>
    <w:rsid w:val="18FC0A05"/>
    <w:rsid w:val="19061883"/>
    <w:rsid w:val="19067813"/>
    <w:rsid w:val="191E491C"/>
    <w:rsid w:val="192C2D2A"/>
    <w:rsid w:val="1931341F"/>
    <w:rsid w:val="193163BA"/>
    <w:rsid w:val="193E101D"/>
    <w:rsid w:val="1948592D"/>
    <w:rsid w:val="194B192D"/>
    <w:rsid w:val="195D6994"/>
    <w:rsid w:val="196565AA"/>
    <w:rsid w:val="196E0A8D"/>
    <w:rsid w:val="19843555"/>
    <w:rsid w:val="198D5B01"/>
    <w:rsid w:val="19947F54"/>
    <w:rsid w:val="199D21E8"/>
    <w:rsid w:val="19A60971"/>
    <w:rsid w:val="19AA0461"/>
    <w:rsid w:val="19BB3211"/>
    <w:rsid w:val="19BB4A41"/>
    <w:rsid w:val="19BF7295"/>
    <w:rsid w:val="19CB1851"/>
    <w:rsid w:val="19CC0E30"/>
    <w:rsid w:val="19CE0F66"/>
    <w:rsid w:val="19D0253B"/>
    <w:rsid w:val="19D674A8"/>
    <w:rsid w:val="19EB045D"/>
    <w:rsid w:val="19F627B0"/>
    <w:rsid w:val="1A0F4768"/>
    <w:rsid w:val="1A100909"/>
    <w:rsid w:val="1A165196"/>
    <w:rsid w:val="1A1C66C0"/>
    <w:rsid w:val="1A1D50D7"/>
    <w:rsid w:val="1A247BF9"/>
    <w:rsid w:val="1A2A15A2"/>
    <w:rsid w:val="1A304E0A"/>
    <w:rsid w:val="1A352420"/>
    <w:rsid w:val="1A3B730B"/>
    <w:rsid w:val="1A42393B"/>
    <w:rsid w:val="1A423B81"/>
    <w:rsid w:val="1A4F0ED2"/>
    <w:rsid w:val="1A515AD2"/>
    <w:rsid w:val="1A524B70"/>
    <w:rsid w:val="1A616C76"/>
    <w:rsid w:val="1A725422"/>
    <w:rsid w:val="1A7867B1"/>
    <w:rsid w:val="1A7C55D5"/>
    <w:rsid w:val="1A9B3947"/>
    <w:rsid w:val="1AA650CC"/>
    <w:rsid w:val="1AAD45DE"/>
    <w:rsid w:val="1AAE5D2F"/>
    <w:rsid w:val="1AB53561"/>
    <w:rsid w:val="1AC217DA"/>
    <w:rsid w:val="1ADA4D76"/>
    <w:rsid w:val="1AEB3784"/>
    <w:rsid w:val="1AED7693"/>
    <w:rsid w:val="1AFF1F8B"/>
    <w:rsid w:val="1B0100C6"/>
    <w:rsid w:val="1B0258BF"/>
    <w:rsid w:val="1B046F80"/>
    <w:rsid w:val="1B1028A4"/>
    <w:rsid w:val="1B1177A6"/>
    <w:rsid w:val="1B1B25BA"/>
    <w:rsid w:val="1B280C01"/>
    <w:rsid w:val="1B316093"/>
    <w:rsid w:val="1B3267B5"/>
    <w:rsid w:val="1B393D4A"/>
    <w:rsid w:val="1B40161D"/>
    <w:rsid w:val="1B441859"/>
    <w:rsid w:val="1B47725A"/>
    <w:rsid w:val="1B4D77D7"/>
    <w:rsid w:val="1B6606B1"/>
    <w:rsid w:val="1B743DF9"/>
    <w:rsid w:val="1B7947C2"/>
    <w:rsid w:val="1B8371BB"/>
    <w:rsid w:val="1B9C64CF"/>
    <w:rsid w:val="1BB455C7"/>
    <w:rsid w:val="1BBC447B"/>
    <w:rsid w:val="1BC213CF"/>
    <w:rsid w:val="1BC4235E"/>
    <w:rsid w:val="1BDB2B53"/>
    <w:rsid w:val="1BE753BD"/>
    <w:rsid w:val="1BE928C6"/>
    <w:rsid w:val="1BEA723A"/>
    <w:rsid w:val="1BF23D96"/>
    <w:rsid w:val="1BF2581B"/>
    <w:rsid w:val="1BF400B9"/>
    <w:rsid w:val="1C031A90"/>
    <w:rsid w:val="1C072701"/>
    <w:rsid w:val="1C316C17"/>
    <w:rsid w:val="1C4B526F"/>
    <w:rsid w:val="1C4C3A51"/>
    <w:rsid w:val="1C575BDC"/>
    <w:rsid w:val="1C5D17BA"/>
    <w:rsid w:val="1C5E5848"/>
    <w:rsid w:val="1C5E7925"/>
    <w:rsid w:val="1C630714"/>
    <w:rsid w:val="1C6D6D19"/>
    <w:rsid w:val="1C822B85"/>
    <w:rsid w:val="1C981C00"/>
    <w:rsid w:val="1CA122D1"/>
    <w:rsid w:val="1CA15CD3"/>
    <w:rsid w:val="1CA17947"/>
    <w:rsid w:val="1CA55A16"/>
    <w:rsid w:val="1CAD6CD0"/>
    <w:rsid w:val="1CB02232"/>
    <w:rsid w:val="1CB6582C"/>
    <w:rsid w:val="1CC932F4"/>
    <w:rsid w:val="1CC935F7"/>
    <w:rsid w:val="1CD6479F"/>
    <w:rsid w:val="1CD852E5"/>
    <w:rsid w:val="1CEE68B6"/>
    <w:rsid w:val="1CF45B47"/>
    <w:rsid w:val="1CFD070F"/>
    <w:rsid w:val="1D012A8E"/>
    <w:rsid w:val="1D0165EA"/>
    <w:rsid w:val="1D0B4105"/>
    <w:rsid w:val="1D174F3D"/>
    <w:rsid w:val="1D175E0D"/>
    <w:rsid w:val="1D3007A4"/>
    <w:rsid w:val="1D383FD6"/>
    <w:rsid w:val="1D3C3AC6"/>
    <w:rsid w:val="1D4330A6"/>
    <w:rsid w:val="1D43518E"/>
    <w:rsid w:val="1D44297A"/>
    <w:rsid w:val="1D4659E3"/>
    <w:rsid w:val="1D4868C6"/>
    <w:rsid w:val="1D4A2936"/>
    <w:rsid w:val="1D516351"/>
    <w:rsid w:val="1D570900"/>
    <w:rsid w:val="1D5D135A"/>
    <w:rsid w:val="1D5F6196"/>
    <w:rsid w:val="1D6132A5"/>
    <w:rsid w:val="1D640FB8"/>
    <w:rsid w:val="1D682014"/>
    <w:rsid w:val="1D6E4BC9"/>
    <w:rsid w:val="1D6E79F7"/>
    <w:rsid w:val="1D6F5C49"/>
    <w:rsid w:val="1D873C78"/>
    <w:rsid w:val="1D8A2A83"/>
    <w:rsid w:val="1D8D60CF"/>
    <w:rsid w:val="1D8E56D5"/>
    <w:rsid w:val="1D9D4B6B"/>
    <w:rsid w:val="1DA11B7B"/>
    <w:rsid w:val="1DB55626"/>
    <w:rsid w:val="1DC046F7"/>
    <w:rsid w:val="1DC83B88"/>
    <w:rsid w:val="1DC85359"/>
    <w:rsid w:val="1DD0316D"/>
    <w:rsid w:val="1DD844A0"/>
    <w:rsid w:val="1DEA52D0"/>
    <w:rsid w:val="1DEF28E6"/>
    <w:rsid w:val="1E122A78"/>
    <w:rsid w:val="1E125EF4"/>
    <w:rsid w:val="1E162569"/>
    <w:rsid w:val="1E18008F"/>
    <w:rsid w:val="1E195BB5"/>
    <w:rsid w:val="1E206F43"/>
    <w:rsid w:val="1E29229C"/>
    <w:rsid w:val="1E3176BC"/>
    <w:rsid w:val="1E320446"/>
    <w:rsid w:val="1E4075E6"/>
    <w:rsid w:val="1E4D6F06"/>
    <w:rsid w:val="1E4F2C3F"/>
    <w:rsid w:val="1E6760B1"/>
    <w:rsid w:val="1E6E5F01"/>
    <w:rsid w:val="1E6E7A1E"/>
    <w:rsid w:val="1E785E11"/>
    <w:rsid w:val="1E7A43DA"/>
    <w:rsid w:val="1E7B3D76"/>
    <w:rsid w:val="1E7F06B9"/>
    <w:rsid w:val="1E9811D0"/>
    <w:rsid w:val="1E984FF1"/>
    <w:rsid w:val="1E9F430C"/>
    <w:rsid w:val="1EA27958"/>
    <w:rsid w:val="1EB06519"/>
    <w:rsid w:val="1EB51D82"/>
    <w:rsid w:val="1EC41FC5"/>
    <w:rsid w:val="1EC43D73"/>
    <w:rsid w:val="1ECF77E4"/>
    <w:rsid w:val="1ED55F80"/>
    <w:rsid w:val="1EDF6DFF"/>
    <w:rsid w:val="1EE53CE9"/>
    <w:rsid w:val="1EF86D03"/>
    <w:rsid w:val="1EFA44D7"/>
    <w:rsid w:val="1EFD1033"/>
    <w:rsid w:val="1F1B770B"/>
    <w:rsid w:val="1F2D5653"/>
    <w:rsid w:val="1F2D5E39"/>
    <w:rsid w:val="1F42113B"/>
    <w:rsid w:val="1F437251"/>
    <w:rsid w:val="1F4E1E6D"/>
    <w:rsid w:val="1F58270D"/>
    <w:rsid w:val="1F5A6485"/>
    <w:rsid w:val="1F5E5F75"/>
    <w:rsid w:val="1F615A66"/>
    <w:rsid w:val="1F681363"/>
    <w:rsid w:val="1F6F618F"/>
    <w:rsid w:val="1F7D031E"/>
    <w:rsid w:val="1F953961"/>
    <w:rsid w:val="1F974FE3"/>
    <w:rsid w:val="1FA331BD"/>
    <w:rsid w:val="1FAE057F"/>
    <w:rsid w:val="1FC04960"/>
    <w:rsid w:val="1FD65821"/>
    <w:rsid w:val="1FDA4D78"/>
    <w:rsid w:val="1FE30BF5"/>
    <w:rsid w:val="1FE7539E"/>
    <w:rsid w:val="1FF4435A"/>
    <w:rsid w:val="200603BB"/>
    <w:rsid w:val="201C3240"/>
    <w:rsid w:val="201C373B"/>
    <w:rsid w:val="20245DD5"/>
    <w:rsid w:val="2030270D"/>
    <w:rsid w:val="203B5C5F"/>
    <w:rsid w:val="20461A8D"/>
    <w:rsid w:val="20481DE0"/>
    <w:rsid w:val="205E3D53"/>
    <w:rsid w:val="20671BE0"/>
    <w:rsid w:val="206750B4"/>
    <w:rsid w:val="20745325"/>
    <w:rsid w:val="207D067D"/>
    <w:rsid w:val="20827A42"/>
    <w:rsid w:val="208F6602"/>
    <w:rsid w:val="20963CB8"/>
    <w:rsid w:val="20967991"/>
    <w:rsid w:val="209E05F3"/>
    <w:rsid w:val="209F0638"/>
    <w:rsid w:val="20A81A1B"/>
    <w:rsid w:val="20B07FB6"/>
    <w:rsid w:val="20B646FB"/>
    <w:rsid w:val="20CA3197"/>
    <w:rsid w:val="20CB4BAA"/>
    <w:rsid w:val="20CF13CE"/>
    <w:rsid w:val="20D12947"/>
    <w:rsid w:val="20D3029D"/>
    <w:rsid w:val="20D44015"/>
    <w:rsid w:val="20D546AC"/>
    <w:rsid w:val="20E26732"/>
    <w:rsid w:val="20F23661"/>
    <w:rsid w:val="20F37A22"/>
    <w:rsid w:val="20F754EC"/>
    <w:rsid w:val="20F87D04"/>
    <w:rsid w:val="210B5C89"/>
    <w:rsid w:val="211148C5"/>
    <w:rsid w:val="211D776A"/>
    <w:rsid w:val="212044E2"/>
    <w:rsid w:val="21222A3E"/>
    <w:rsid w:val="21247361"/>
    <w:rsid w:val="21303941"/>
    <w:rsid w:val="213B74B1"/>
    <w:rsid w:val="21417BC3"/>
    <w:rsid w:val="214E7588"/>
    <w:rsid w:val="2150195F"/>
    <w:rsid w:val="21537630"/>
    <w:rsid w:val="21555156"/>
    <w:rsid w:val="215A2310"/>
    <w:rsid w:val="215E413C"/>
    <w:rsid w:val="21780E44"/>
    <w:rsid w:val="21817CF9"/>
    <w:rsid w:val="218E0D53"/>
    <w:rsid w:val="21917C4C"/>
    <w:rsid w:val="21964095"/>
    <w:rsid w:val="21A97250"/>
    <w:rsid w:val="21B52099"/>
    <w:rsid w:val="21B52B49"/>
    <w:rsid w:val="21B93937"/>
    <w:rsid w:val="21BF0AC5"/>
    <w:rsid w:val="21D560E1"/>
    <w:rsid w:val="21DE318A"/>
    <w:rsid w:val="21DF0EC4"/>
    <w:rsid w:val="21ED538F"/>
    <w:rsid w:val="21EF5B80"/>
    <w:rsid w:val="21F37E79"/>
    <w:rsid w:val="21F4671D"/>
    <w:rsid w:val="21F46721"/>
    <w:rsid w:val="22075B8C"/>
    <w:rsid w:val="22231984"/>
    <w:rsid w:val="22325497"/>
    <w:rsid w:val="223F7395"/>
    <w:rsid w:val="22405E06"/>
    <w:rsid w:val="22576990"/>
    <w:rsid w:val="22592A24"/>
    <w:rsid w:val="226B6147"/>
    <w:rsid w:val="226C6BFB"/>
    <w:rsid w:val="227B4222"/>
    <w:rsid w:val="22857CBD"/>
    <w:rsid w:val="228D1C64"/>
    <w:rsid w:val="22977FE3"/>
    <w:rsid w:val="22995516"/>
    <w:rsid w:val="229A6252"/>
    <w:rsid w:val="22AA3280"/>
    <w:rsid w:val="22AF4D3A"/>
    <w:rsid w:val="22B43060"/>
    <w:rsid w:val="22B91715"/>
    <w:rsid w:val="22BA5BB9"/>
    <w:rsid w:val="22C975F6"/>
    <w:rsid w:val="22CE00CC"/>
    <w:rsid w:val="22DA115D"/>
    <w:rsid w:val="22E76D6C"/>
    <w:rsid w:val="22F4274D"/>
    <w:rsid w:val="22F47480"/>
    <w:rsid w:val="22F97D63"/>
    <w:rsid w:val="23151041"/>
    <w:rsid w:val="233314C7"/>
    <w:rsid w:val="233C2E08"/>
    <w:rsid w:val="234B4D59"/>
    <w:rsid w:val="234F50A8"/>
    <w:rsid w:val="235A693F"/>
    <w:rsid w:val="236478D2"/>
    <w:rsid w:val="236B0C61"/>
    <w:rsid w:val="236B6EB3"/>
    <w:rsid w:val="23843AD1"/>
    <w:rsid w:val="23865695"/>
    <w:rsid w:val="238B30B1"/>
    <w:rsid w:val="239627AA"/>
    <w:rsid w:val="239C54E6"/>
    <w:rsid w:val="239E767C"/>
    <w:rsid w:val="23A678D1"/>
    <w:rsid w:val="23AC3027"/>
    <w:rsid w:val="23B8632E"/>
    <w:rsid w:val="23BE0FA1"/>
    <w:rsid w:val="23C465C3"/>
    <w:rsid w:val="23D07F22"/>
    <w:rsid w:val="23D26F32"/>
    <w:rsid w:val="23D3133D"/>
    <w:rsid w:val="23DE1C48"/>
    <w:rsid w:val="240210CD"/>
    <w:rsid w:val="24150CBE"/>
    <w:rsid w:val="24194B00"/>
    <w:rsid w:val="2419690F"/>
    <w:rsid w:val="2424436B"/>
    <w:rsid w:val="242B03F0"/>
    <w:rsid w:val="243C25FD"/>
    <w:rsid w:val="243E0123"/>
    <w:rsid w:val="24424F22"/>
    <w:rsid w:val="244F464F"/>
    <w:rsid w:val="2452597D"/>
    <w:rsid w:val="24525D5B"/>
    <w:rsid w:val="24872F66"/>
    <w:rsid w:val="248E31CC"/>
    <w:rsid w:val="248F2C92"/>
    <w:rsid w:val="24975A86"/>
    <w:rsid w:val="249E7D41"/>
    <w:rsid w:val="249F5490"/>
    <w:rsid w:val="24A84769"/>
    <w:rsid w:val="24AA7AF3"/>
    <w:rsid w:val="24AF4B7D"/>
    <w:rsid w:val="24BB79C6"/>
    <w:rsid w:val="24BF09F7"/>
    <w:rsid w:val="24C148B0"/>
    <w:rsid w:val="24C5104D"/>
    <w:rsid w:val="24E231A5"/>
    <w:rsid w:val="24F353B2"/>
    <w:rsid w:val="24F67321"/>
    <w:rsid w:val="24F829C8"/>
    <w:rsid w:val="24F867A9"/>
    <w:rsid w:val="250112B2"/>
    <w:rsid w:val="2507454D"/>
    <w:rsid w:val="250824DF"/>
    <w:rsid w:val="251B0465"/>
    <w:rsid w:val="25266C23"/>
    <w:rsid w:val="252D53FE"/>
    <w:rsid w:val="25315EDA"/>
    <w:rsid w:val="25485D6F"/>
    <w:rsid w:val="25607290"/>
    <w:rsid w:val="256516E0"/>
    <w:rsid w:val="256A4F48"/>
    <w:rsid w:val="25754238"/>
    <w:rsid w:val="257D111F"/>
    <w:rsid w:val="25807B05"/>
    <w:rsid w:val="25835DB6"/>
    <w:rsid w:val="25845748"/>
    <w:rsid w:val="258B5841"/>
    <w:rsid w:val="25900E53"/>
    <w:rsid w:val="25956469"/>
    <w:rsid w:val="259E52DC"/>
    <w:rsid w:val="25B04653"/>
    <w:rsid w:val="25B4065F"/>
    <w:rsid w:val="25B979DB"/>
    <w:rsid w:val="25BA5ED0"/>
    <w:rsid w:val="25C805EC"/>
    <w:rsid w:val="25C92E20"/>
    <w:rsid w:val="25CD6B3B"/>
    <w:rsid w:val="25CD79B1"/>
    <w:rsid w:val="25D02FFD"/>
    <w:rsid w:val="25D845A8"/>
    <w:rsid w:val="25EC2D81"/>
    <w:rsid w:val="25FB762A"/>
    <w:rsid w:val="260E1C9A"/>
    <w:rsid w:val="2620366F"/>
    <w:rsid w:val="262D044F"/>
    <w:rsid w:val="26477832"/>
    <w:rsid w:val="26526108"/>
    <w:rsid w:val="26551754"/>
    <w:rsid w:val="266235BB"/>
    <w:rsid w:val="266A1901"/>
    <w:rsid w:val="266B541C"/>
    <w:rsid w:val="266C6C47"/>
    <w:rsid w:val="266D6A9E"/>
    <w:rsid w:val="268D2FF6"/>
    <w:rsid w:val="26A5092E"/>
    <w:rsid w:val="26A65805"/>
    <w:rsid w:val="26C32062"/>
    <w:rsid w:val="26C32218"/>
    <w:rsid w:val="26C62652"/>
    <w:rsid w:val="26CA0394"/>
    <w:rsid w:val="26CA4A3F"/>
    <w:rsid w:val="26CE55A7"/>
    <w:rsid w:val="26CE7132"/>
    <w:rsid w:val="26D22D5C"/>
    <w:rsid w:val="26D23DFE"/>
    <w:rsid w:val="26D52445"/>
    <w:rsid w:val="26F15921"/>
    <w:rsid w:val="26F4518A"/>
    <w:rsid w:val="27075996"/>
    <w:rsid w:val="2708572C"/>
    <w:rsid w:val="270E64D3"/>
    <w:rsid w:val="271611CC"/>
    <w:rsid w:val="2728324D"/>
    <w:rsid w:val="272C6570"/>
    <w:rsid w:val="273A72C8"/>
    <w:rsid w:val="274176DD"/>
    <w:rsid w:val="274719E5"/>
    <w:rsid w:val="274C0DA9"/>
    <w:rsid w:val="274E0EEF"/>
    <w:rsid w:val="275411F6"/>
    <w:rsid w:val="276509B1"/>
    <w:rsid w:val="276D0004"/>
    <w:rsid w:val="276D482E"/>
    <w:rsid w:val="276E6F72"/>
    <w:rsid w:val="277057A2"/>
    <w:rsid w:val="27761936"/>
    <w:rsid w:val="277F1064"/>
    <w:rsid w:val="277F2F2D"/>
    <w:rsid w:val="277F4CDB"/>
    <w:rsid w:val="27840BC4"/>
    <w:rsid w:val="27895B59"/>
    <w:rsid w:val="279010F0"/>
    <w:rsid w:val="27954037"/>
    <w:rsid w:val="279551F4"/>
    <w:rsid w:val="27A91D58"/>
    <w:rsid w:val="27AA0124"/>
    <w:rsid w:val="27AE736E"/>
    <w:rsid w:val="27BB01B1"/>
    <w:rsid w:val="27C43035"/>
    <w:rsid w:val="27C46B92"/>
    <w:rsid w:val="27DB0A15"/>
    <w:rsid w:val="27EC7E96"/>
    <w:rsid w:val="27F13C79"/>
    <w:rsid w:val="27FA1AEE"/>
    <w:rsid w:val="27FC632B"/>
    <w:rsid w:val="280451E0"/>
    <w:rsid w:val="28071641"/>
    <w:rsid w:val="28117600"/>
    <w:rsid w:val="28117CD7"/>
    <w:rsid w:val="282D4E4D"/>
    <w:rsid w:val="28307B03"/>
    <w:rsid w:val="283F26BC"/>
    <w:rsid w:val="28520659"/>
    <w:rsid w:val="28544D1C"/>
    <w:rsid w:val="286E6AFD"/>
    <w:rsid w:val="28785E30"/>
    <w:rsid w:val="288D3427"/>
    <w:rsid w:val="289447B6"/>
    <w:rsid w:val="28A16ED3"/>
    <w:rsid w:val="28A27020"/>
    <w:rsid w:val="28AD2994"/>
    <w:rsid w:val="28AD40AD"/>
    <w:rsid w:val="28B5099D"/>
    <w:rsid w:val="28C140B9"/>
    <w:rsid w:val="28C33694"/>
    <w:rsid w:val="28CA0E3C"/>
    <w:rsid w:val="28CF57EE"/>
    <w:rsid w:val="28D177B8"/>
    <w:rsid w:val="28D92B11"/>
    <w:rsid w:val="28D93D8C"/>
    <w:rsid w:val="28D9666D"/>
    <w:rsid w:val="28E51B00"/>
    <w:rsid w:val="28EA3250"/>
    <w:rsid w:val="28FA43F5"/>
    <w:rsid w:val="28FF2580"/>
    <w:rsid w:val="29023E15"/>
    <w:rsid w:val="290A2CCA"/>
    <w:rsid w:val="290B0520"/>
    <w:rsid w:val="291678C1"/>
    <w:rsid w:val="29181DA8"/>
    <w:rsid w:val="291837C2"/>
    <w:rsid w:val="29206EB8"/>
    <w:rsid w:val="2926314A"/>
    <w:rsid w:val="292C605D"/>
    <w:rsid w:val="292D0766"/>
    <w:rsid w:val="29373393"/>
    <w:rsid w:val="29393FD5"/>
    <w:rsid w:val="29420B46"/>
    <w:rsid w:val="29430105"/>
    <w:rsid w:val="29453572"/>
    <w:rsid w:val="294C6E3F"/>
    <w:rsid w:val="2953641F"/>
    <w:rsid w:val="29556CCF"/>
    <w:rsid w:val="29567CBD"/>
    <w:rsid w:val="29595666"/>
    <w:rsid w:val="295B3290"/>
    <w:rsid w:val="295E5B46"/>
    <w:rsid w:val="296E7A51"/>
    <w:rsid w:val="29735801"/>
    <w:rsid w:val="297D16EE"/>
    <w:rsid w:val="29842A7C"/>
    <w:rsid w:val="29874881"/>
    <w:rsid w:val="29890093"/>
    <w:rsid w:val="298E7457"/>
    <w:rsid w:val="29955CD5"/>
    <w:rsid w:val="29B6075C"/>
    <w:rsid w:val="29C50389"/>
    <w:rsid w:val="29C6209B"/>
    <w:rsid w:val="29C9048F"/>
    <w:rsid w:val="29CD17C0"/>
    <w:rsid w:val="29CE1F49"/>
    <w:rsid w:val="29D357B2"/>
    <w:rsid w:val="29D36C8B"/>
    <w:rsid w:val="29D46DD7"/>
    <w:rsid w:val="29E325E0"/>
    <w:rsid w:val="29EF3C6E"/>
    <w:rsid w:val="29F51284"/>
    <w:rsid w:val="2A064AA7"/>
    <w:rsid w:val="2A0F3216"/>
    <w:rsid w:val="2A1B05EA"/>
    <w:rsid w:val="2A293624"/>
    <w:rsid w:val="2A394899"/>
    <w:rsid w:val="2A452503"/>
    <w:rsid w:val="2A5341FD"/>
    <w:rsid w:val="2A6033D4"/>
    <w:rsid w:val="2A68414C"/>
    <w:rsid w:val="2A7347CA"/>
    <w:rsid w:val="2A750ED8"/>
    <w:rsid w:val="2A7C7BF7"/>
    <w:rsid w:val="2A7F4FF2"/>
    <w:rsid w:val="2A8E5901"/>
    <w:rsid w:val="2A915BC3"/>
    <w:rsid w:val="2A9C7CB2"/>
    <w:rsid w:val="2AA1765E"/>
    <w:rsid w:val="2AA50EFC"/>
    <w:rsid w:val="2AAF414E"/>
    <w:rsid w:val="2AC1560A"/>
    <w:rsid w:val="2ACF41CB"/>
    <w:rsid w:val="2AD73080"/>
    <w:rsid w:val="2AE31A25"/>
    <w:rsid w:val="2AE5579D"/>
    <w:rsid w:val="2AED4651"/>
    <w:rsid w:val="2AF2748A"/>
    <w:rsid w:val="2AFE6EBD"/>
    <w:rsid w:val="2B0271C6"/>
    <w:rsid w:val="2B043FCC"/>
    <w:rsid w:val="2B0674C1"/>
    <w:rsid w:val="2B07735B"/>
    <w:rsid w:val="2B083239"/>
    <w:rsid w:val="2B116592"/>
    <w:rsid w:val="2B126C2D"/>
    <w:rsid w:val="2B14398C"/>
    <w:rsid w:val="2B165956"/>
    <w:rsid w:val="2B204A27"/>
    <w:rsid w:val="2B234681"/>
    <w:rsid w:val="2B3E2ABE"/>
    <w:rsid w:val="2B4324C3"/>
    <w:rsid w:val="2B454119"/>
    <w:rsid w:val="2B496E40"/>
    <w:rsid w:val="2B4C0B44"/>
    <w:rsid w:val="2B4F2C16"/>
    <w:rsid w:val="2B50127F"/>
    <w:rsid w:val="2B607D2C"/>
    <w:rsid w:val="2B6C7799"/>
    <w:rsid w:val="2B7B1DC1"/>
    <w:rsid w:val="2B7D3C27"/>
    <w:rsid w:val="2B8F48AC"/>
    <w:rsid w:val="2B9467B7"/>
    <w:rsid w:val="2B986D7B"/>
    <w:rsid w:val="2BA2543C"/>
    <w:rsid w:val="2BA936A8"/>
    <w:rsid w:val="2BB242BF"/>
    <w:rsid w:val="2BC51EC5"/>
    <w:rsid w:val="2BD77907"/>
    <w:rsid w:val="2BDC23F8"/>
    <w:rsid w:val="2BE00C2D"/>
    <w:rsid w:val="2BE75544"/>
    <w:rsid w:val="2BEE5AF4"/>
    <w:rsid w:val="2BF37A45"/>
    <w:rsid w:val="2BF45E27"/>
    <w:rsid w:val="2C0808E2"/>
    <w:rsid w:val="2C1005F7"/>
    <w:rsid w:val="2C31056E"/>
    <w:rsid w:val="2C315A5A"/>
    <w:rsid w:val="2C332538"/>
    <w:rsid w:val="2C4B1C25"/>
    <w:rsid w:val="2C510E4D"/>
    <w:rsid w:val="2C526E62"/>
    <w:rsid w:val="2C666469"/>
    <w:rsid w:val="2C6B7F24"/>
    <w:rsid w:val="2C6F6525"/>
    <w:rsid w:val="2C7212B2"/>
    <w:rsid w:val="2C8114F5"/>
    <w:rsid w:val="2C91021D"/>
    <w:rsid w:val="2C992537"/>
    <w:rsid w:val="2CA8210A"/>
    <w:rsid w:val="2CB96891"/>
    <w:rsid w:val="2CBC04A2"/>
    <w:rsid w:val="2CC338BC"/>
    <w:rsid w:val="2CC95DD6"/>
    <w:rsid w:val="2CD812A3"/>
    <w:rsid w:val="2CDB4CBD"/>
    <w:rsid w:val="2CE657FC"/>
    <w:rsid w:val="2CE850D0"/>
    <w:rsid w:val="2CEE4C77"/>
    <w:rsid w:val="2CF46E61"/>
    <w:rsid w:val="2D071BF3"/>
    <w:rsid w:val="2D0F3D6C"/>
    <w:rsid w:val="2D0F6B01"/>
    <w:rsid w:val="2D12214D"/>
    <w:rsid w:val="2D256762"/>
    <w:rsid w:val="2D287BC3"/>
    <w:rsid w:val="2D2F75E7"/>
    <w:rsid w:val="2D371BB4"/>
    <w:rsid w:val="2D424818"/>
    <w:rsid w:val="2D4D7629"/>
    <w:rsid w:val="2D595FCE"/>
    <w:rsid w:val="2D5B685D"/>
    <w:rsid w:val="2D634184"/>
    <w:rsid w:val="2D656721"/>
    <w:rsid w:val="2D80355B"/>
    <w:rsid w:val="2D807C69"/>
    <w:rsid w:val="2D8D147C"/>
    <w:rsid w:val="2D9508E8"/>
    <w:rsid w:val="2D9E56F5"/>
    <w:rsid w:val="2DA27A6B"/>
    <w:rsid w:val="2DA328D9"/>
    <w:rsid w:val="2DA907AD"/>
    <w:rsid w:val="2DB41456"/>
    <w:rsid w:val="2DBF35EC"/>
    <w:rsid w:val="2DC378EB"/>
    <w:rsid w:val="2DCA3B5A"/>
    <w:rsid w:val="2DCA6ECC"/>
    <w:rsid w:val="2DCC49F2"/>
    <w:rsid w:val="2DEC65E8"/>
    <w:rsid w:val="2DF92249"/>
    <w:rsid w:val="2E083AC3"/>
    <w:rsid w:val="2E141D6A"/>
    <w:rsid w:val="2E196062"/>
    <w:rsid w:val="2E271C28"/>
    <w:rsid w:val="2E3305CD"/>
    <w:rsid w:val="2E417484"/>
    <w:rsid w:val="2E440A2C"/>
    <w:rsid w:val="2E4722CA"/>
    <w:rsid w:val="2E50005F"/>
    <w:rsid w:val="2E581D85"/>
    <w:rsid w:val="2E5A3DAC"/>
    <w:rsid w:val="2E667F96"/>
    <w:rsid w:val="2E8226AB"/>
    <w:rsid w:val="2E9848D4"/>
    <w:rsid w:val="2E9A2C57"/>
    <w:rsid w:val="2E9B1469"/>
    <w:rsid w:val="2EA414CB"/>
    <w:rsid w:val="2EB776F0"/>
    <w:rsid w:val="2EBA4DA0"/>
    <w:rsid w:val="2EC21951"/>
    <w:rsid w:val="2EDC0C65"/>
    <w:rsid w:val="2EE31FF3"/>
    <w:rsid w:val="2EF35FAE"/>
    <w:rsid w:val="2F083808"/>
    <w:rsid w:val="2F350D46"/>
    <w:rsid w:val="2F35106E"/>
    <w:rsid w:val="2F3517DE"/>
    <w:rsid w:val="2F3B2A6E"/>
    <w:rsid w:val="2F486A3A"/>
    <w:rsid w:val="2F4B5DEA"/>
    <w:rsid w:val="2F4F4558"/>
    <w:rsid w:val="2F562335"/>
    <w:rsid w:val="2F57478F"/>
    <w:rsid w:val="2F5E5B1E"/>
    <w:rsid w:val="2F7E3ACA"/>
    <w:rsid w:val="2F820122"/>
    <w:rsid w:val="2F89718F"/>
    <w:rsid w:val="2F8D1F5F"/>
    <w:rsid w:val="2F902FD5"/>
    <w:rsid w:val="2F972DDE"/>
    <w:rsid w:val="2FA16C6A"/>
    <w:rsid w:val="2FBD5AB0"/>
    <w:rsid w:val="2FC33B86"/>
    <w:rsid w:val="2FD065E6"/>
    <w:rsid w:val="2FD96870"/>
    <w:rsid w:val="2FDB53C0"/>
    <w:rsid w:val="2FE029D7"/>
    <w:rsid w:val="2FE70DEC"/>
    <w:rsid w:val="2FE7539E"/>
    <w:rsid w:val="2FE853E7"/>
    <w:rsid w:val="2FFE27C4"/>
    <w:rsid w:val="300246FB"/>
    <w:rsid w:val="30047496"/>
    <w:rsid w:val="30155C7D"/>
    <w:rsid w:val="301601A6"/>
    <w:rsid w:val="301B57BD"/>
    <w:rsid w:val="301C25BC"/>
    <w:rsid w:val="303444AB"/>
    <w:rsid w:val="303E4DEF"/>
    <w:rsid w:val="303F5B52"/>
    <w:rsid w:val="3045283A"/>
    <w:rsid w:val="304A7E50"/>
    <w:rsid w:val="304D7F03"/>
    <w:rsid w:val="304E4A3E"/>
    <w:rsid w:val="305331A8"/>
    <w:rsid w:val="30580BC9"/>
    <w:rsid w:val="305C2E10"/>
    <w:rsid w:val="3069482A"/>
    <w:rsid w:val="306E7FE2"/>
    <w:rsid w:val="307B59E5"/>
    <w:rsid w:val="307C19D4"/>
    <w:rsid w:val="3081665F"/>
    <w:rsid w:val="30824D76"/>
    <w:rsid w:val="30982B54"/>
    <w:rsid w:val="309A4933"/>
    <w:rsid w:val="309D4424"/>
    <w:rsid w:val="30A47560"/>
    <w:rsid w:val="30A87D8F"/>
    <w:rsid w:val="30AA495D"/>
    <w:rsid w:val="30AE03DF"/>
    <w:rsid w:val="30B56F17"/>
    <w:rsid w:val="30C13FFB"/>
    <w:rsid w:val="30CD0DFB"/>
    <w:rsid w:val="30D06101"/>
    <w:rsid w:val="30D2423D"/>
    <w:rsid w:val="30D73A01"/>
    <w:rsid w:val="30F93D50"/>
    <w:rsid w:val="30FE3148"/>
    <w:rsid w:val="310F3573"/>
    <w:rsid w:val="31115856"/>
    <w:rsid w:val="311E2ED7"/>
    <w:rsid w:val="312E32CE"/>
    <w:rsid w:val="31384310"/>
    <w:rsid w:val="31440D43"/>
    <w:rsid w:val="31541D0B"/>
    <w:rsid w:val="31552AFA"/>
    <w:rsid w:val="315619EE"/>
    <w:rsid w:val="315C449C"/>
    <w:rsid w:val="318008AB"/>
    <w:rsid w:val="319E66A5"/>
    <w:rsid w:val="31A55C86"/>
    <w:rsid w:val="31AA6DF8"/>
    <w:rsid w:val="31B82709"/>
    <w:rsid w:val="31BE6C8E"/>
    <w:rsid w:val="31BF0E5D"/>
    <w:rsid w:val="31C01A40"/>
    <w:rsid w:val="31C53C32"/>
    <w:rsid w:val="31D05482"/>
    <w:rsid w:val="31D82201"/>
    <w:rsid w:val="31D925FC"/>
    <w:rsid w:val="31EA7003"/>
    <w:rsid w:val="31F5271A"/>
    <w:rsid w:val="31F77B64"/>
    <w:rsid w:val="320C360F"/>
    <w:rsid w:val="320C4364"/>
    <w:rsid w:val="32125567"/>
    <w:rsid w:val="321574BA"/>
    <w:rsid w:val="32267690"/>
    <w:rsid w:val="32287A9B"/>
    <w:rsid w:val="322A618B"/>
    <w:rsid w:val="322A67FD"/>
    <w:rsid w:val="32343DCB"/>
    <w:rsid w:val="323F1C36"/>
    <w:rsid w:val="32400B34"/>
    <w:rsid w:val="3257018C"/>
    <w:rsid w:val="325A081E"/>
    <w:rsid w:val="325A3C70"/>
    <w:rsid w:val="325E7BE3"/>
    <w:rsid w:val="326954EA"/>
    <w:rsid w:val="32805DAB"/>
    <w:rsid w:val="328063D7"/>
    <w:rsid w:val="3287538B"/>
    <w:rsid w:val="328C6723"/>
    <w:rsid w:val="328D3380"/>
    <w:rsid w:val="3291002C"/>
    <w:rsid w:val="32911D66"/>
    <w:rsid w:val="32951856"/>
    <w:rsid w:val="32981347"/>
    <w:rsid w:val="329A6E6D"/>
    <w:rsid w:val="329E1A7C"/>
    <w:rsid w:val="329E6876"/>
    <w:rsid w:val="32A2681A"/>
    <w:rsid w:val="32A43020"/>
    <w:rsid w:val="32A84A79"/>
    <w:rsid w:val="32AD714D"/>
    <w:rsid w:val="32B11FA7"/>
    <w:rsid w:val="32B43E83"/>
    <w:rsid w:val="32BA306B"/>
    <w:rsid w:val="32C04DFA"/>
    <w:rsid w:val="32C61A89"/>
    <w:rsid w:val="32CE6520"/>
    <w:rsid w:val="32DC4D7B"/>
    <w:rsid w:val="32E0684A"/>
    <w:rsid w:val="32EC2577"/>
    <w:rsid w:val="32ED36F6"/>
    <w:rsid w:val="32FA3DAF"/>
    <w:rsid w:val="3304669A"/>
    <w:rsid w:val="33087F73"/>
    <w:rsid w:val="330E785B"/>
    <w:rsid w:val="331D1A25"/>
    <w:rsid w:val="3324631F"/>
    <w:rsid w:val="33266952"/>
    <w:rsid w:val="333015F2"/>
    <w:rsid w:val="3334000F"/>
    <w:rsid w:val="3335516F"/>
    <w:rsid w:val="333F5C66"/>
    <w:rsid w:val="33430A64"/>
    <w:rsid w:val="3344794C"/>
    <w:rsid w:val="334B6320"/>
    <w:rsid w:val="334B63B9"/>
    <w:rsid w:val="334B7D37"/>
    <w:rsid w:val="33550D1A"/>
    <w:rsid w:val="335C5562"/>
    <w:rsid w:val="33631954"/>
    <w:rsid w:val="336A2CE3"/>
    <w:rsid w:val="336D632F"/>
    <w:rsid w:val="33803C9B"/>
    <w:rsid w:val="338418CB"/>
    <w:rsid w:val="338774D3"/>
    <w:rsid w:val="338A5BF7"/>
    <w:rsid w:val="339A5589"/>
    <w:rsid w:val="339A61A5"/>
    <w:rsid w:val="339B6127"/>
    <w:rsid w:val="33A71FBA"/>
    <w:rsid w:val="33B25DA9"/>
    <w:rsid w:val="33D04B10"/>
    <w:rsid w:val="33D934D4"/>
    <w:rsid w:val="33F151B2"/>
    <w:rsid w:val="33F26834"/>
    <w:rsid w:val="33F82B82"/>
    <w:rsid w:val="33FE2F6A"/>
    <w:rsid w:val="340978C3"/>
    <w:rsid w:val="340E07E5"/>
    <w:rsid w:val="3413690A"/>
    <w:rsid w:val="34235BF7"/>
    <w:rsid w:val="342B5F2F"/>
    <w:rsid w:val="344A6670"/>
    <w:rsid w:val="344D1295"/>
    <w:rsid w:val="345D5628"/>
    <w:rsid w:val="346C4839"/>
    <w:rsid w:val="34713BFD"/>
    <w:rsid w:val="34780490"/>
    <w:rsid w:val="34855FE5"/>
    <w:rsid w:val="348E499B"/>
    <w:rsid w:val="34916A44"/>
    <w:rsid w:val="349F69BC"/>
    <w:rsid w:val="34A07BE8"/>
    <w:rsid w:val="34A07D9E"/>
    <w:rsid w:val="34B63D06"/>
    <w:rsid w:val="34B67696"/>
    <w:rsid w:val="34B8751A"/>
    <w:rsid w:val="34BA1A48"/>
    <w:rsid w:val="34C401D1"/>
    <w:rsid w:val="34C91C2E"/>
    <w:rsid w:val="34CB012C"/>
    <w:rsid w:val="34D36666"/>
    <w:rsid w:val="34D44803"/>
    <w:rsid w:val="34E53651"/>
    <w:rsid w:val="34E95E89"/>
    <w:rsid w:val="34F0127D"/>
    <w:rsid w:val="34FD2B01"/>
    <w:rsid w:val="34FE36A0"/>
    <w:rsid w:val="350157B8"/>
    <w:rsid w:val="35157B9A"/>
    <w:rsid w:val="351D1843"/>
    <w:rsid w:val="351E2C4F"/>
    <w:rsid w:val="352670DE"/>
    <w:rsid w:val="35337105"/>
    <w:rsid w:val="35487054"/>
    <w:rsid w:val="354E5004"/>
    <w:rsid w:val="355312B2"/>
    <w:rsid w:val="355F614C"/>
    <w:rsid w:val="35611EC4"/>
    <w:rsid w:val="356614C9"/>
    <w:rsid w:val="357716E7"/>
    <w:rsid w:val="357F67EE"/>
    <w:rsid w:val="35867B7C"/>
    <w:rsid w:val="358C5FA8"/>
    <w:rsid w:val="358D2CB9"/>
    <w:rsid w:val="359F0C3E"/>
    <w:rsid w:val="35A159FA"/>
    <w:rsid w:val="35A736FB"/>
    <w:rsid w:val="35AD6EB7"/>
    <w:rsid w:val="35B0680E"/>
    <w:rsid w:val="35B71AE4"/>
    <w:rsid w:val="35BF159A"/>
    <w:rsid w:val="35BF6BE5"/>
    <w:rsid w:val="35C00C90"/>
    <w:rsid w:val="35C15DF1"/>
    <w:rsid w:val="35C45F10"/>
    <w:rsid w:val="35C835F5"/>
    <w:rsid w:val="35D02246"/>
    <w:rsid w:val="35D06064"/>
    <w:rsid w:val="35D119BA"/>
    <w:rsid w:val="35D22DC1"/>
    <w:rsid w:val="35D31F29"/>
    <w:rsid w:val="35E30B2B"/>
    <w:rsid w:val="35EF127D"/>
    <w:rsid w:val="36070CBD"/>
    <w:rsid w:val="36074A7F"/>
    <w:rsid w:val="36097188"/>
    <w:rsid w:val="360A60B7"/>
    <w:rsid w:val="361B3B70"/>
    <w:rsid w:val="361C4018"/>
    <w:rsid w:val="3627310D"/>
    <w:rsid w:val="362B468A"/>
    <w:rsid w:val="362C24D2"/>
    <w:rsid w:val="3635083B"/>
    <w:rsid w:val="36411800"/>
    <w:rsid w:val="36415851"/>
    <w:rsid w:val="364315C9"/>
    <w:rsid w:val="36483084"/>
    <w:rsid w:val="364A5C0A"/>
    <w:rsid w:val="3652180C"/>
    <w:rsid w:val="36623ED2"/>
    <w:rsid w:val="3667732D"/>
    <w:rsid w:val="36743E79"/>
    <w:rsid w:val="367C38B4"/>
    <w:rsid w:val="367C4ADB"/>
    <w:rsid w:val="367D0F7F"/>
    <w:rsid w:val="36923549"/>
    <w:rsid w:val="369467D6"/>
    <w:rsid w:val="36AC7A6D"/>
    <w:rsid w:val="36B50862"/>
    <w:rsid w:val="36B75FBF"/>
    <w:rsid w:val="36BA638E"/>
    <w:rsid w:val="36BD0C45"/>
    <w:rsid w:val="36CA590D"/>
    <w:rsid w:val="36CC7811"/>
    <w:rsid w:val="36DE12F2"/>
    <w:rsid w:val="36E27034"/>
    <w:rsid w:val="36EA58C4"/>
    <w:rsid w:val="36F7464D"/>
    <w:rsid w:val="370276FA"/>
    <w:rsid w:val="37040E86"/>
    <w:rsid w:val="370C7068"/>
    <w:rsid w:val="37117919"/>
    <w:rsid w:val="37133BC2"/>
    <w:rsid w:val="3724764D"/>
    <w:rsid w:val="37250C2A"/>
    <w:rsid w:val="372A47C7"/>
    <w:rsid w:val="372E5DD5"/>
    <w:rsid w:val="373553B6"/>
    <w:rsid w:val="37460BE1"/>
    <w:rsid w:val="37462A9B"/>
    <w:rsid w:val="3747791C"/>
    <w:rsid w:val="37490847"/>
    <w:rsid w:val="374A6551"/>
    <w:rsid w:val="374C0952"/>
    <w:rsid w:val="374E46CA"/>
    <w:rsid w:val="376C4F8C"/>
    <w:rsid w:val="376E7E98"/>
    <w:rsid w:val="376F6EDF"/>
    <w:rsid w:val="37704640"/>
    <w:rsid w:val="37712166"/>
    <w:rsid w:val="377759CE"/>
    <w:rsid w:val="37985945"/>
    <w:rsid w:val="379E11AD"/>
    <w:rsid w:val="37BA1D5F"/>
    <w:rsid w:val="37BE35FD"/>
    <w:rsid w:val="37C4673A"/>
    <w:rsid w:val="37CA01F4"/>
    <w:rsid w:val="37D050DF"/>
    <w:rsid w:val="37D20E57"/>
    <w:rsid w:val="37D83F93"/>
    <w:rsid w:val="37DE5A4E"/>
    <w:rsid w:val="37E00298"/>
    <w:rsid w:val="37EA0060"/>
    <w:rsid w:val="37F214F9"/>
    <w:rsid w:val="37FB060D"/>
    <w:rsid w:val="37FF7772"/>
    <w:rsid w:val="381A0E63"/>
    <w:rsid w:val="381C20D2"/>
    <w:rsid w:val="38206066"/>
    <w:rsid w:val="382676CE"/>
    <w:rsid w:val="38342C58"/>
    <w:rsid w:val="384A5C52"/>
    <w:rsid w:val="3857135C"/>
    <w:rsid w:val="386540D4"/>
    <w:rsid w:val="386A5533"/>
    <w:rsid w:val="388A1B86"/>
    <w:rsid w:val="38957B7A"/>
    <w:rsid w:val="389844F8"/>
    <w:rsid w:val="389C54E6"/>
    <w:rsid w:val="38A42ACA"/>
    <w:rsid w:val="38A63490"/>
    <w:rsid w:val="38AA6CF9"/>
    <w:rsid w:val="38B302F9"/>
    <w:rsid w:val="38B81E0D"/>
    <w:rsid w:val="38C66616"/>
    <w:rsid w:val="38D34E55"/>
    <w:rsid w:val="38D96215"/>
    <w:rsid w:val="38DB01DF"/>
    <w:rsid w:val="38DE5291"/>
    <w:rsid w:val="38DE55D9"/>
    <w:rsid w:val="38E269C1"/>
    <w:rsid w:val="38EC79CB"/>
    <w:rsid w:val="38F12CD3"/>
    <w:rsid w:val="38F94775"/>
    <w:rsid w:val="3907623D"/>
    <w:rsid w:val="391C0A26"/>
    <w:rsid w:val="39237490"/>
    <w:rsid w:val="392971ED"/>
    <w:rsid w:val="3930188D"/>
    <w:rsid w:val="39325651"/>
    <w:rsid w:val="393964A1"/>
    <w:rsid w:val="39437254"/>
    <w:rsid w:val="394F0285"/>
    <w:rsid w:val="39531868"/>
    <w:rsid w:val="395D6E46"/>
    <w:rsid w:val="39673821"/>
    <w:rsid w:val="397330FD"/>
    <w:rsid w:val="39882C57"/>
    <w:rsid w:val="39886656"/>
    <w:rsid w:val="399030A9"/>
    <w:rsid w:val="39987E7E"/>
    <w:rsid w:val="39A045B9"/>
    <w:rsid w:val="39A700C1"/>
    <w:rsid w:val="39A71E6F"/>
    <w:rsid w:val="39BC3B6C"/>
    <w:rsid w:val="39BF540B"/>
    <w:rsid w:val="39CC330E"/>
    <w:rsid w:val="39D91884"/>
    <w:rsid w:val="39DA0497"/>
    <w:rsid w:val="39DC07CC"/>
    <w:rsid w:val="39E3734B"/>
    <w:rsid w:val="39E71901"/>
    <w:rsid w:val="39F50E2C"/>
    <w:rsid w:val="39F5243C"/>
    <w:rsid w:val="3A080B60"/>
    <w:rsid w:val="3A0E25C8"/>
    <w:rsid w:val="3A267238"/>
    <w:rsid w:val="3A2A1573"/>
    <w:rsid w:val="3A3E4582"/>
    <w:rsid w:val="3A3F15AF"/>
    <w:rsid w:val="3A40479E"/>
    <w:rsid w:val="3A4164A5"/>
    <w:rsid w:val="3A444AE5"/>
    <w:rsid w:val="3A51318E"/>
    <w:rsid w:val="3A6340C3"/>
    <w:rsid w:val="3A742699"/>
    <w:rsid w:val="3A7753EC"/>
    <w:rsid w:val="3A7C2CE2"/>
    <w:rsid w:val="3A872856"/>
    <w:rsid w:val="3A891042"/>
    <w:rsid w:val="3A894E90"/>
    <w:rsid w:val="3A936FCA"/>
    <w:rsid w:val="3A9C596E"/>
    <w:rsid w:val="3AA27206"/>
    <w:rsid w:val="3AA727F2"/>
    <w:rsid w:val="3AB042CB"/>
    <w:rsid w:val="3ACB0053"/>
    <w:rsid w:val="3AEA295B"/>
    <w:rsid w:val="3AED3D86"/>
    <w:rsid w:val="3AEF19A1"/>
    <w:rsid w:val="3B011187"/>
    <w:rsid w:val="3B070E17"/>
    <w:rsid w:val="3B1C1D14"/>
    <w:rsid w:val="3B2174CA"/>
    <w:rsid w:val="3B2F65C0"/>
    <w:rsid w:val="3B334302"/>
    <w:rsid w:val="3B3763D1"/>
    <w:rsid w:val="3B4414C7"/>
    <w:rsid w:val="3B5B73B5"/>
    <w:rsid w:val="3B783AC3"/>
    <w:rsid w:val="3B787B31"/>
    <w:rsid w:val="3B800BCA"/>
    <w:rsid w:val="3B8013C1"/>
    <w:rsid w:val="3B84690C"/>
    <w:rsid w:val="3B901966"/>
    <w:rsid w:val="3B907A55"/>
    <w:rsid w:val="3B9F54F4"/>
    <w:rsid w:val="3BA42B0A"/>
    <w:rsid w:val="3BB70A8F"/>
    <w:rsid w:val="3BC83B82"/>
    <w:rsid w:val="3BCE7D05"/>
    <w:rsid w:val="3BDF7FE6"/>
    <w:rsid w:val="3BE7515F"/>
    <w:rsid w:val="3BE850ED"/>
    <w:rsid w:val="3BEE7CED"/>
    <w:rsid w:val="3BF1014F"/>
    <w:rsid w:val="3C033CD5"/>
    <w:rsid w:val="3C055ED6"/>
    <w:rsid w:val="3C091758"/>
    <w:rsid w:val="3C0D4B53"/>
    <w:rsid w:val="3C0E4427"/>
    <w:rsid w:val="3C1423E3"/>
    <w:rsid w:val="3C166FD9"/>
    <w:rsid w:val="3C1A7270"/>
    <w:rsid w:val="3C1E4520"/>
    <w:rsid w:val="3C2649B3"/>
    <w:rsid w:val="3C27078F"/>
    <w:rsid w:val="3C2810FC"/>
    <w:rsid w:val="3C2E55CC"/>
    <w:rsid w:val="3C2F6E1E"/>
    <w:rsid w:val="3C356139"/>
    <w:rsid w:val="3C3B3206"/>
    <w:rsid w:val="3C4E4BA9"/>
    <w:rsid w:val="3C4F64BA"/>
    <w:rsid w:val="3C544530"/>
    <w:rsid w:val="3C5738CA"/>
    <w:rsid w:val="3C643A21"/>
    <w:rsid w:val="3C6777EE"/>
    <w:rsid w:val="3C677BC6"/>
    <w:rsid w:val="3C690932"/>
    <w:rsid w:val="3C6A5B02"/>
    <w:rsid w:val="3C7C75E3"/>
    <w:rsid w:val="3C8D17F0"/>
    <w:rsid w:val="3C935612"/>
    <w:rsid w:val="3C991F43"/>
    <w:rsid w:val="3C9B5B15"/>
    <w:rsid w:val="3C9C7694"/>
    <w:rsid w:val="3C9D708E"/>
    <w:rsid w:val="3CA32DC2"/>
    <w:rsid w:val="3CA54D8C"/>
    <w:rsid w:val="3CB45520"/>
    <w:rsid w:val="3CBF50E4"/>
    <w:rsid w:val="3CCA65A0"/>
    <w:rsid w:val="3CCD0AC1"/>
    <w:rsid w:val="3CCD78C1"/>
    <w:rsid w:val="3CD1792F"/>
    <w:rsid w:val="3CD918C8"/>
    <w:rsid w:val="3CDA245A"/>
    <w:rsid w:val="3CDA3B31"/>
    <w:rsid w:val="3CDB2774"/>
    <w:rsid w:val="3CDC165C"/>
    <w:rsid w:val="3CE37662"/>
    <w:rsid w:val="3CF059E1"/>
    <w:rsid w:val="3CF170F0"/>
    <w:rsid w:val="3CF36340"/>
    <w:rsid w:val="3CFC40E7"/>
    <w:rsid w:val="3CFD4BC8"/>
    <w:rsid w:val="3D001327"/>
    <w:rsid w:val="3D181C2D"/>
    <w:rsid w:val="3D1E06B7"/>
    <w:rsid w:val="3D347EBE"/>
    <w:rsid w:val="3D3566C6"/>
    <w:rsid w:val="3D37175C"/>
    <w:rsid w:val="3D3B0201"/>
    <w:rsid w:val="3D4129FD"/>
    <w:rsid w:val="3D4A5DE7"/>
    <w:rsid w:val="3D505F34"/>
    <w:rsid w:val="3D514278"/>
    <w:rsid w:val="3D516CC2"/>
    <w:rsid w:val="3D6E063B"/>
    <w:rsid w:val="3D7801FC"/>
    <w:rsid w:val="3D8D0E77"/>
    <w:rsid w:val="3D996B26"/>
    <w:rsid w:val="3DA06360"/>
    <w:rsid w:val="3DA1192B"/>
    <w:rsid w:val="3DA54918"/>
    <w:rsid w:val="3DA90F76"/>
    <w:rsid w:val="3DBA1008"/>
    <w:rsid w:val="3DBA5505"/>
    <w:rsid w:val="3DC41242"/>
    <w:rsid w:val="3DC452D7"/>
    <w:rsid w:val="3DC72AE0"/>
    <w:rsid w:val="3DCC6348"/>
    <w:rsid w:val="3DDA0A65"/>
    <w:rsid w:val="3DDC37A6"/>
    <w:rsid w:val="3DDE2F12"/>
    <w:rsid w:val="3DE31F88"/>
    <w:rsid w:val="3DE71DF7"/>
    <w:rsid w:val="3DE95741"/>
    <w:rsid w:val="3DF63D53"/>
    <w:rsid w:val="3DFB09DB"/>
    <w:rsid w:val="3DFC4E7F"/>
    <w:rsid w:val="3E043D34"/>
    <w:rsid w:val="3E1C72D0"/>
    <w:rsid w:val="3E406E19"/>
    <w:rsid w:val="3E4B345B"/>
    <w:rsid w:val="3E502E6F"/>
    <w:rsid w:val="3E50768A"/>
    <w:rsid w:val="3E556C1E"/>
    <w:rsid w:val="3E5F25DA"/>
    <w:rsid w:val="3E726EF0"/>
    <w:rsid w:val="3E832EAB"/>
    <w:rsid w:val="3E8B04C4"/>
    <w:rsid w:val="3E8F00EE"/>
    <w:rsid w:val="3E8F1850"/>
    <w:rsid w:val="3E907559"/>
    <w:rsid w:val="3E972802"/>
    <w:rsid w:val="3EAE3246"/>
    <w:rsid w:val="3EB05C6A"/>
    <w:rsid w:val="3EB73B70"/>
    <w:rsid w:val="3EBA7414"/>
    <w:rsid w:val="3EBD534C"/>
    <w:rsid w:val="3EBD6D9A"/>
    <w:rsid w:val="3ECB0721"/>
    <w:rsid w:val="3ECC0102"/>
    <w:rsid w:val="3ED40106"/>
    <w:rsid w:val="3ED90D1D"/>
    <w:rsid w:val="3EDA0523"/>
    <w:rsid w:val="3EE14075"/>
    <w:rsid w:val="3EE8492E"/>
    <w:rsid w:val="3EE8744A"/>
    <w:rsid w:val="3EEA3D00"/>
    <w:rsid w:val="3F1440C5"/>
    <w:rsid w:val="3F160DD8"/>
    <w:rsid w:val="3F211072"/>
    <w:rsid w:val="3F2226C4"/>
    <w:rsid w:val="3F2B709E"/>
    <w:rsid w:val="3F2C7BCD"/>
    <w:rsid w:val="3F402B4A"/>
    <w:rsid w:val="3F41113A"/>
    <w:rsid w:val="3F5A237C"/>
    <w:rsid w:val="3F5E1222"/>
    <w:rsid w:val="3F610B0C"/>
    <w:rsid w:val="3F6251B6"/>
    <w:rsid w:val="3F6E7DAE"/>
    <w:rsid w:val="3F6F1681"/>
    <w:rsid w:val="3F8213B4"/>
    <w:rsid w:val="3F886454"/>
    <w:rsid w:val="3F8A0030"/>
    <w:rsid w:val="3F8E7D59"/>
    <w:rsid w:val="3F9701F0"/>
    <w:rsid w:val="3F9C4784"/>
    <w:rsid w:val="3FA96941"/>
    <w:rsid w:val="3FBD063E"/>
    <w:rsid w:val="3FBF3FED"/>
    <w:rsid w:val="3FC217B1"/>
    <w:rsid w:val="3FC65745"/>
    <w:rsid w:val="3FC714BD"/>
    <w:rsid w:val="3FC75019"/>
    <w:rsid w:val="3FD11C44"/>
    <w:rsid w:val="3FD57736"/>
    <w:rsid w:val="3FE06767"/>
    <w:rsid w:val="3FF1653A"/>
    <w:rsid w:val="3FF25E34"/>
    <w:rsid w:val="3FF83425"/>
    <w:rsid w:val="3FF902AC"/>
    <w:rsid w:val="3FFF0C57"/>
    <w:rsid w:val="400242A3"/>
    <w:rsid w:val="40096C3B"/>
    <w:rsid w:val="4013200C"/>
    <w:rsid w:val="401A339B"/>
    <w:rsid w:val="401B0F1D"/>
    <w:rsid w:val="401F3214"/>
    <w:rsid w:val="4023709F"/>
    <w:rsid w:val="402507DC"/>
    <w:rsid w:val="402C30CE"/>
    <w:rsid w:val="4041301D"/>
    <w:rsid w:val="40414DCB"/>
    <w:rsid w:val="404B17A6"/>
    <w:rsid w:val="404D19C2"/>
    <w:rsid w:val="40502966"/>
    <w:rsid w:val="40537C33"/>
    <w:rsid w:val="40635C59"/>
    <w:rsid w:val="40672358"/>
    <w:rsid w:val="406D5354"/>
    <w:rsid w:val="407A6407"/>
    <w:rsid w:val="407F5BDC"/>
    <w:rsid w:val="40801296"/>
    <w:rsid w:val="408A49C4"/>
    <w:rsid w:val="408D6263"/>
    <w:rsid w:val="409F7D44"/>
    <w:rsid w:val="40A02F12"/>
    <w:rsid w:val="40B03CFF"/>
    <w:rsid w:val="40B80592"/>
    <w:rsid w:val="40BF1B15"/>
    <w:rsid w:val="40BF5D09"/>
    <w:rsid w:val="40C10E21"/>
    <w:rsid w:val="40C813CB"/>
    <w:rsid w:val="40CD2B03"/>
    <w:rsid w:val="40D1448E"/>
    <w:rsid w:val="40D75730"/>
    <w:rsid w:val="40DA6FCE"/>
    <w:rsid w:val="40DC6E16"/>
    <w:rsid w:val="40EC78CE"/>
    <w:rsid w:val="40F47C00"/>
    <w:rsid w:val="40F84106"/>
    <w:rsid w:val="41044576"/>
    <w:rsid w:val="410F229B"/>
    <w:rsid w:val="41173D7E"/>
    <w:rsid w:val="411E09D0"/>
    <w:rsid w:val="41210759"/>
    <w:rsid w:val="412A1D04"/>
    <w:rsid w:val="412A44C5"/>
    <w:rsid w:val="413C0C50"/>
    <w:rsid w:val="41456B3D"/>
    <w:rsid w:val="414606AA"/>
    <w:rsid w:val="41485AB3"/>
    <w:rsid w:val="414A7205"/>
    <w:rsid w:val="414C5D81"/>
    <w:rsid w:val="41546D80"/>
    <w:rsid w:val="415953C9"/>
    <w:rsid w:val="41621B6F"/>
    <w:rsid w:val="416C126A"/>
    <w:rsid w:val="417829C3"/>
    <w:rsid w:val="417B60BB"/>
    <w:rsid w:val="41840E0E"/>
    <w:rsid w:val="419158DF"/>
    <w:rsid w:val="419418DC"/>
    <w:rsid w:val="419569C9"/>
    <w:rsid w:val="41960106"/>
    <w:rsid w:val="41984EBF"/>
    <w:rsid w:val="41A20564"/>
    <w:rsid w:val="41B45FA6"/>
    <w:rsid w:val="41B56B45"/>
    <w:rsid w:val="41CE1003"/>
    <w:rsid w:val="41DC2EC1"/>
    <w:rsid w:val="41E063BC"/>
    <w:rsid w:val="41FA00D0"/>
    <w:rsid w:val="4200449D"/>
    <w:rsid w:val="420C31B7"/>
    <w:rsid w:val="42147D41"/>
    <w:rsid w:val="421A3B26"/>
    <w:rsid w:val="42327AE3"/>
    <w:rsid w:val="423544BC"/>
    <w:rsid w:val="423A3BCC"/>
    <w:rsid w:val="424010B3"/>
    <w:rsid w:val="4242646B"/>
    <w:rsid w:val="42446DF5"/>
    <w:rsid w:val="4249440B"/>
    <w:rsid w:val="424E57D2"/>
    <w:rsid w:val="425012F6"/>
    <w:rsid w:val="42503CCD"/>
    <w:rsid w:val="42555F24"/>
    <w:rsid w:val="4268461C"/>
    <w:rsid w:val="42772D26"/>
    <w:rsid w:val="427B0595"/>
    <w:rsid w:val="42813074"/>
    <w:rsid w:val="428471F1"/>
    <w:rsid w:val="4285031E"/>
    <w:rsid w:val="429107C7"/>
    <w:rsid w:val="42A67B0A"/>
    <w:rsid w:val="42AD2B71"/>
    <w:rsid w:val="42B26C49"/>
    <w:rsid w:val="42B961EF"/>
    <w:rsid w:val="42BD2703"/>
    <w:rsid w:val="42D53C5B"/>
    <w:rsid w:val="42E460CD"/>
    <w:rsid w:val="42E97043"/>
    <w:rsid w:val="42EB7271"/>
    <w:rsid w:val="42F112EB"/>
    <w:rsid w:val="42F36125"/>
    <w:rsid w:val="42F763AA"/>
    <w:rsid w:val="42FB5FA4"/>
    <w:rsid w:val="42FE4F4C"/>
    <w:rsid w:val="431B1D50"/>
    <w:rsid w:val="431B2271"/>
    <w:rsid w:val="431E31A2"/>
    <w:rsid w:val="43362BE2"/>
    <w:rsid w:val="433848E7"/>
    <w:rsid w:val="43395BF2"/>
    <w:rsid w:val="433A6FE6"/>
    <w:rsid w:val="4347117C"/>
    <w:rsid w:val="43480868"/>
    <w:rsid w:val="4350713C"/>
    <w:rsid w:val="435120C8"/>
    <w:rsid w:val="435272F0"/>
    <w:rsid w:val="436653E0"/>
    <w:rsid w:val="43697CE0"/>
    <w:rsid w:val="437B23A2"/>
    <w:rsid w:val="437E405C"/>
    <w:rsid w:val="43811AB8"/>
    <w:rsid w:val="43811FD9"/>
    <w:rsid w:val="43812344"/>
    <w:rsid w:val="439048AD"/>
    <w:rsid w:val="43910F3B"/>
    <w:rsid w:val="439F595A"/>
    <w:rsid w:val="43AA0EDA"/>
    <w:rsid w:val="43AA712C"/>
    <w:rsid w:val="43B01E48"/>
    <w:rsid w:val="43B33A3C"/>
    <w:rsid w:val="43B932B9"/>
    <w:rsid w:val="43C401ED"/>
    <w:rsid w:val="43C4431A"/>
    <w:rsid w:val="43D87DEF"/>
    <w:rsid w:val="43DA5372"/>
    <w:rsid w:val="43DC716F"/>
    <w:rsid w:val="43DE5648"/>
    <w:rsid w:val="43E22422"/>
    <w:rsid w:val="43EA7528"/>
    <w:rsid w:val="43EC14F2"/>
    <w:rsid w:val="43EC32A0"/>
    <w:rsid w:val="43EE7D1D"/>
    <w:rsid w:val="43F8280E"/>
    <w:rsid w:val="43F95906"/>
    <w:rsid w:val="43FA3C0F"/>
    <w:rsid w:val="43FD271C"/>
    <w:rsid w:val="443552D4"/>
    <w:rsid w:val="44366C11"/>
    <w:rsid w:val="4439400C"/>
    <w:rsid w:val="443A225E"/>
    <w:rsid w:val="44421112"/>
    <w:rsid w:val="44462500"/>
    <w:rsid w:val="444C656B"/>
    <w:rsid w:val="444F55DD"/>
    <w:rsid w:val="445256B6"/>
    <w:rsid w:val="4453595B"/>
    <w:rsid w:val="44562E10"/>
    <w:rsid w:val="446433F3"/>
    <w:rsid w:val="446E63AB"/>
    <w:rsid w:val="44915BF6"/>
    <w:rsid w:val="449556E6"/>
    <w:rsid w:val="449F1571"/>
    <w:rsid w:val="44B32010"/>
    <w:rsid w:val="44B951CC"/>
    <w:rsid w:val="44BA339E"/>
    <w:rsid w:val="44BB047F"/>
    <w:rsid w:val="44C33761"/>
    <w:rsid w:val="44C573B6"/>
    <w:rsid w:val="44C71617"/>
    <w:rsid w:val="44CB0196"/>
    <w:rsid w:val="44CD14E0"/>
    <w:rsid w:val="44D07577"/>
    <w:rsid w:val="44D95ECC"/>
    <w:rsid w:val="44DC68F6"/>
    <w:rsid w:val="44DE708D"/>
    <w:rsid w:val="44E95A32"/>
    <w:rsid w:val="44E977E0"/>
    <w:rsid w:val="44EB2D6F"/>
    <w:rsid w:val="44F20B0B"/>
    <w:rsid w:val="44F84C75"/>
    <w:rsid w:val="44FD7B64"/>
    <w:rsid w:val="450A0E14"/>
    <w:rsid w:val="450C5DB6"/>
    <w:rsid w:val="45192845"/>
    <w:rsid w:val="45195461"/>
    <w:rsid w:val="451A2AA4"/>
    <w:rsid w:val="451B03B0"/>
    <w:rsid w:val="451C7BB5"/>
    <w:rsid w:val="45292FA8"/>
    <w:rsid w:val="452B1BA6"/>
    <w:rsid w:val="452E5F4C"/>
    <w:rsid w:val="4533080F"/>
    <w:rsid w:val="45392515"/>
    <w:rsid w:val="453A5418"/>
    <w:rsid w:val="454809AA"/>
    <w:rsid w:val="454964D0"/>
    <w:rsid w:val="4552724E"/>
    <w:rsid w:val="4557299B"/>
    <w:rsid w:val="45612018"/>
    <w:rsid w:val="456A4DC4"/>
    <w:rsid w:val="4574354D"/>
    <w:rsid w:val="457475D3"/>
    <w:rsid w:val="45763769"/>
    <w:rsid w:val="458946E9"/>
    <w:rsid w:val="458A4B1F"/>
    <w:rsid w:val="458B3C32"/>
    <w:rsid w:val="458C1B9A"/>
    <w:rsid w:val="458D25B3"/>
    <w:rsid w:val="458E3FDD"/>
    <w:rsid w:val="45965AB8"/>
    <w:rsid w:val="45A2455E"/>
    <w:rsid w:val="45A47C0E"/>
    <w:rsid w:val="45B2326C"/>
    <w:rsid w:val="45BA3409"/>
    <w:rsid w:val="45DE6011"/>
    <w:rsid w:val="45DF50DE"/>
    <w:rsid w:val="45EE6334"/>
    <w:rsid w:val="45FD79E7"/>
    <w:rsid w:val="46045951"/>
    <w:rsid w:val="46050649"/>
    <w:rsid w:val="4605689B"/>
    <w:rsid w:val="460A6426"/>
    <w:rsid w:val="461118F6"/>
    <w:rsid w:val="461207DE"/>
    <w:rsid w:val="462036D5"/>
    <w:rsid w:val="463618FF"/>
    <w:rsid w:val="463C1243"/>
    <w:rsid w:val="464949DA"/>
    <w:rsid w:val="464A59E4"/>
    <w:rsid w:val="46577FD6"/>
    <w:rsid w:val="46584C1D"/>
    <w:rsid w:val="465F3743"/>
    <w:rsid w:val="466435C2"/>
    <w:rsid w:val="46686E80"/>
    <w:rsid w:val="466C2476"/>
    <w:rsid w:val="46703363"/>
    <w:rsid w:val="467B6B5D"/>
    <w:rsid w:val="467C4C25"/>
    <w:rsid w:val="468377A8"/>
    <w:rsid w:val="468B4FF2"/>
    <w:rsid w:val="468E6891"/>
    <w:rsid w:val="46936EA4"/>
    <w:rsid w:val="4694480F"/>
    <w:rsid w:val="46A30048"/>
    <w:rsid w:val="46AC4F69"/>
    <w:rsid w:val="46B04A59"/>
    <w:rsid w:val="46B21DE3"/>
    <w:rsid w:val="46B67767"/>
    <w:rsid w:val="46BE62D0"/>
    <w:rsid w:val="46C71DA3"/>
    <w:rsid w:val="46CA7114"/>
    <w:rsid w:val="46CC0E18"/>
    <w:rsid w:val="46CD6721"/>
    <w:rsid w:val="46D14F7E"/>
    <w:rsid w:val="46D955A7"/>
    <w:rsid w:val="46E44703"/>
    <w:rsid w:val="46E64D57"/>
    <w:rsid w:val="46E75FA1"/>
    <w:rsid w:val="46F83D8D"/>
    <w:rsid w:val="46FD57C4"/>
    <w:rsid w:val="470B38B4"/>
    <w:rsid w:val="47133957"/>
    <w:rsid w:val="4724415C"/>
    <w:rsid w:val="472B2331"/>
    <w:rsid w:val="472E3119"/>
    <w:rsid w:val="47332F94"/>
    <w:rsid w:val="473C453F"/>
    <w:rsid w:val="475A6773"/>
    <w:rsid w:val="4760629C"/>
    <w:rsid w:val="476561F7"/>
    <w:rsid w:val="476D0415"/>
    <w:rsid w:val="476D307A"/>
    <w:rsid w:val="476F66C2"/>
    <w:rsid w:val="47745A86"/>
    <w:rsid w:val="477E4B57"/>
    <w:rsid w:val="47831F75"/>
    <w:rsid w:val="478B1022"/>
    <w:rsid w:val="478F28C0"/>
    <w:rsid w:val="4797679A"/>
    <w:rsid w:val="47983216"/>
    <w:rsid w:val="479B1265"/>
    <w:rsid w:val="479C1D1C"/>
    <w:rsid w:val="479F672B"/>
    <w:rsid w:val="47A07E0C"/>
    <w:rsid w:val="47B02764"/>
    <w:rsid w:val="47D76015"/>
    <w:rsid w:val="47DB5B06"/>
    <w:rsid w:val="47E464BD"/>
    <w:rsid w:val="47E74406"/>
    <w:rsid w:val="47E86474"/>
    <w:rsid w:val="47FE4F77"/>
    <w:rsid w:val="480037BE"/>
    <w:rsid w:val="48082673"/>
    <w:rsid w:val="481D02F1"/>
    <w:rsid w:val="482A7C30"/>
    <w:rsid w:val="482B009E"/>
    <w:rsid w:val="48383005"/>
    <w:rsid w:val="483A12F6"/>
    <w:rsid w:val="483B2A48"/>
    <w:rsid w:val="483B3270"/>
    <w:rsid w:val="483D056E"/>
    <w:rsid w:val="48435459"/>
    <w:rsid w:val="48457423"/>
    <w:rsid w:val="48492EDB"/>
    <w:rsid w:val="48594662"/>
    <w:rsid w:val="486024AF"/>
    <w:rsid w:val="4870272E"/>
    <w:rsid w:val="48741AB6"/>
    <w:rsid w:val="48771102"/>
    <w:rsid w:val="487B2E3B"/>
    <w:rsid w:val="48812029"/>
    <w:rsid w:val="48912D9F"/>
    <w:rsid w:val="48952158"/>
    <w:rsid w:val="48A71E8C"/>
    <w:rsid w:val="48A73C3A"/>
    <w:rsid w:val="48B32C90"/>
    <w:rsid w:val="48C77E38"/>
    <w:rsid w:val="48CA5797"/>
    <w:rsid w:val="48DD7B85"/>
    <w:rsid w:val="48F00ECF"/>
    <w:rsid w:val="48F21359"/>
    <w:rsid w:val="48F60141"/>
    <w:rsid w:val="48F80CB5"/>
    <w:rsid w:val="48F87E56"/>
    <w:rsid w:val="49092D04"/>
    <w:rsid w:val="490B4E1C"/>
    <w:rsid w:val="49143AC3"/>
    <w:rsid w:val="49191DFF"/>
    <w:rsid w:val="49284D7B"/>
    <w:rsid w:val="492B486B"/>
    <w:rsid w:val="492E634C"/>
    <w:rsid w:val="49325BF9"/>
    <w:rsid w:val="49331971"/>
    <w:rsid w:val="4937506D"/>
    <w:rsid w:val="493E7CAE"/>
    <w:rsid w:val="49425710"/>
    <w:rsid w:val="49595BC3"/>
    <w:rsid w:val="49663AF5"/>
    <w:rsid w:val="497A75A0"/>
    <w:rsid w:val="49877ECC"/>
    <w:rsid w:val="498D12B6"/>
    <w:rsid w:val="499224C5"/>
    <w:rsid w:val="499917D4"/>
    <w:rsid w:val="49995C78"/>
    <w:rsid w:val="49997A26"/>
    <w:rsid w:val="49A62143"/>
    <w:rsid w:val="49B36701"/>
    <w:rsid w:val="49BC54C3"/>
    <w:rsid w:val="49BF6C90"/>
    <w:rsid w:val="49DA3B9B"/>
    <w:rsid w:val="49DC7715"/>
    <w:rsid w:val="49E3340D"/>
    <w:rsid w:val="49E9711B"/>
    <w:rsid w:val="49EC082B"/>
    <w:rsid w:val="49EF7361"/>
    <w:rsid w:val="49F2635D"/>
    <w:rsid w:val="4A023139"/>
    <w:rsid w:val="4A0A0924"/>
    <w:rsid w:val="4A2319E6"/>
    <w:rsid w:val="4A2F399F"/>
    <w:rsid w:val="4A5B3F60"/>
    <w:rsid w:val="4A62606A"/>
    <w:rsid w:val="4A631061"/>
    <w:rsid w:val="4A743FEF"/>
    <w:rsid w:val="4A77763C"/>
    <w:rsid w:val="4A7B576F"/>
    <w:rsid w:val="4A8E0B63"/>
    <w:rsid w:val="4AA2379E"/>
    <w:rsid w:val="4AA511FE"/>
    <w:rsid w:val="4AA91EEB"/>
    <w:rsid w:val="4ABC313C"/>
    <w:rsid w:val="4AC41647"/>
    <w:rsid w:val="4ACA56B2"/>
    <w:rsid w:val="4AE47726"/>
    <w:rsid w:val="4AE72554"/>
    <w:rsid w:val="4AEB2504"/>
    <w:rsid w:val="4AEC2303"/>
    <w:rsid w:val="4AF561A9"/>
    <w:rsid w:val="4B014896"/>
    <w:rsid w:val="4B054C48"/>
    <w:rsid w:val="4B0A47E5"/>
    <w:rsid w:val="4B0B1F4A"/>
    <w:rsid w:val="4B0E61F2"/>
    <w:rsid w:val="4B124E43"/>
    <w:rsid w:val="4B154342"/>
    <w:rsid w:val="4B18063C"/>
    <w:rsid w:val="4B2257F9"/>
    <w:rsid w:val="4B410375"/>
    <w:rsid w:val="4B436A33"/>
    <w:rsid w:val="4B591FD6"/>
    <w:rsid w:val="4B5A099D"/>
    <w:rsid w:val="4B5F07FC"/>
    <w:rsid w:val="4B6D2F19"/>
    <w:rsid w:val="4B7661E4"/>
    <w:rsid w:val="4B810772"/>
    <w:rsid w:val="4B8465EB"/>
    <w:rsid w:val="4B8D7117"/>
    <w:rsid w:val="4B923A2A"/>
    <w:rsid w:val="4B9739EF"/>
    <w:rsid w:val="4B9E1324"/>
    <w:rsid w:val="4BA15B30"/>
    <w:rsid w:val="4BA3693A"/>
    <w:rsid w:val="4BB26A41"/>
    <w:rsid w:val="4BB74194"/>
    <w:rsid w:val="4BB80AF8"/>
    <w:rsid w:val="4BBF160C"/>
    <w:rsid w:val="4BC60F0B"/>
    <w:rsid w:val="4BCE772F"/>
    <w:rsid w:val="4BDC3BFA"/>
    <w:rsid w:val="4BDC698D"/>
    <w:rsid w:val="4BE91D61"/>
    <w:rsid w:val="4C003D8D"/>
    <w:rsid w:val="4C06511B"/>
    <w:rsid w:val="4C0F3FD0"/>
    <w:rsid w:val="4C143394"/>
    <w:rsid w:val="4C2061DD"/>
    <w:rsid w:val="4C2A0E0A"/>
    <w:rsid w:val="4C2B6930"/>
    <w:rsid w:val="4C2C41B0"/>
    <w:rsid w:val="4C3A4602"/>
    <w:rsid w:val="4C3D6555"/>
    <w:rsid w:val="4C3F194E"/>
    <w:rsid w:val="4C417B78"/>
    <w:rsid w:val="4C4A0649"/>
    <w:rsid w:val="4C4C361D"/>
    <w:rsid w:val="4C4E2DA6"/>
    <w:rsid w:val="4C51283A"/>
    <w:rsid w:val="4C592E7C"/>
    <w:rsid w:val="4C65665F"/>
    <w:rsid w:val="4C6C1422"/>
    <w:rsid w:val="4C6D6041"/>
    <w:rsid w:val="4C76404F"/>
    <w:rsid w:val="4C7E5ECA"/>
    <w:rsid w:val="4C7E684D"/>
    <w:rsid w:val="4C807C01"/>
    <w:rsid w:val="4C87000A"/>
    <w:rsid w:val="4C876AA5"/>
    <w:rsid w:val="4C8D15D8"/>
    <w:rsid w:val="4C910E89"/>
    <w:rsid w:val="4C975D73"/>
    <w:rsid w:val="4C99450B"/>
    <w:rsid w:val="4CA02E7A"/>
    <w:rsid w:val="4CAA3CF8"/>
    <w:rsid w:val="4CB35528"/>
    <w:rsid w:val="4CBD3A2C"/>
    <w:rsid w:val="4CC52EF6"/>
    <w:rsid w:val="4CCA439B"/>
    <w:rsid w:val="4CCA6149"/>
    <w:rsid w:val="4CD40D75"/>
    <w:rsid w:val="4CE36D98"/>
    <w:rsid w:val="4CEE62DB"/>
    <w:rsid w:val="4CF11E01"/>
    <w:rsid w:val="4CF457E6"/>
    <w:rsid w:val="4D094369"/>
    <w:rsid w:val="4D0C050F"/>
    <w:rsid w:val="4D0E00FB"/>
    <w:rsid w:val="4D1473C4"/>
    <w:rsid w:val="4D176606"/>
    <w:rsid w:val="4D184600"/>
    <w:rsid w:val="4D1D096E"/>
    <w:rsid w:val="4D1D1077"/>
    <w:rsid w:val="4D1F0243"/>
    <w:rsid w:val="4D2E492A"/>
    <w:rsid w:val="4D31441A"/>
    <w:rsid w:val="4D387149"/>
    <w:rsid w:val="4D551EB6"/>
    <w:rsid w:val="4D64659D"/>
    <w:rsid w:val="4D6B792C"/>
    <w:rsid w:val="4D6E6AAF"/>
    <w:rsid w:val="4D7560B4"/>
    <w:rsid w:val="4D7A7AAC"/>
    <w:rsid w:val="4D8D54ED"/>
    <w:rsid w:val="4D913E48"/>
    <w:rsid w:val="4D9643D3"/>
    <w:rsid w:val="4D9B420F"/>
    <w:rsid w:val="4DAC626E"/>
    <w:rsid w:val="4DAD1323"/>
    <w:rsid w:val="4DAE15C6"/>
    <w:rsid w:val="4DB56DF9"/>
    <w:rsid w:val="4DB737CA"/>
    <w:rsid w:val="4DDC023B"/>
    <w:rsid w:val="4DDC25D7"/>
    <w:rsid w:val="4DEC4FB0"/>
    <w:rsid w:val="4DEF5A29"/>
    <w:rsid w:val="4DF660C9"/>
    <w:rsid w:val="4DF74845"/>
    <w:rsid w:val="4E0566F8"/>
    <w:rsid w:val="4E075D8A"/>
    <w:rsid w:val="4E097427"/>
    <w:rsid w:val="4E165AE9"/>
    <w:rsid w:val="4E2A749A"/>
    <w:rsid w:val="4E434405"/>
    <w:rsid w:val="4E5B174E"/>
    <w:rsid w:val="4E691C13"/>
    <w:rsid w:val="4E6B74B7"/>
    <w:rsid w:val="4E7740AE"/>
    <w:rsid w:val="4E7E368F"/>
    <w:rsid w:val="4E844CFB"/>
    <w:rsid w:val="4E854A1D"/>
    <w:rsid w:val="4E86609F"/>
    <w:rsid w:val="4E872543"/>
    <w:rsid w:val="4E8E07BA"/>
    <w:rsid w:val="4E8F31A6"/>
    <w:rsid w:val="4E9667EE"/>
    <w:rsid w:val="4EA24A72"/>
    <w:rsid w:val="4EAC1FAA"/>
    <w:rsid w:val="4EAF5F30"/>
    <w:rsid w:val="4EC00FAD"/>
    <w:rsid w:val="4EC10539"/>
    <w:rsid w:val="4EC15544"/>
    <w:rsid w:val="4EC2494C"/>
    <w:rsid w:val="4ECC43FA"/>
    <w:rsid w:val="4EE554BC"/>
    <w:rsid w:val="4EF56C95"/>
    <w:rsid w:val="4EF67834"/>
    <w:rsid w:val="4EFB083B"/>
    <w:rsid w:val="4F0B318C"/>
    <w:rsid w:val="4F1B2801"/>
    <w:rsid w:val="4F1C2E7C"/>
    <w:rsid w:val="4F265A2B"/>
    <w:rsid w:val="4F2E6589"/>
    <w:rsid w:val="4F3124AF"/>
    <w:rsid w:val="4F3A01B4"/>
    <w:rsid w:val="4F3C2E33"/>
    <w:rsid w:val="4F3D0E54"/>
    <w:rsid w:val="4F5D7E93"/>
    <w:rsid w:val="4F710059"/>
    <w:rsid w:val="4F716D4F"/>
    <w:rsid w:val="4F786EFC"/>
    <w:rsid w:val="4F7A2AD1"/>
    <w:rsid w:val="4F967ABB"/>
    <w:rsid w:val="4F9842DC"/>
    <w:rsid w:val="4F9843DC"/>
    <w:rsid w:val="4F986EB3"/>
    <w:rsid w:val="4FA365AE"/>
    <w:rsid w:val="4FB0014A"/>
    <w:rsid w:val="4FB214FE"/>
    <w:rsid w:val="4FB50370"/>
    <w:rsid w:val="4FC62A8C"/>
    <w:rsid w:val="4FD33566"/>
    <w:rsid w:val="4FD73056"/>
    <w:rsid w:val="4FE20F0D"/>
    <w:rsid w:val="4FE51552"/>
    <w:rsid w:val="4FFC0D0F"/>
    <w:rsid w:val="500951DA"/>
    <w:rsid w:val="5013686C"/>
    <w:rsid w:val="50245C76"/>
    <w:rsid w:val="50306C0B"/>
    <w:rsid w:val="50344612"/>
    <w:rsid w:val="504A4014"/>
    <w:rsid w:val="504C33D6"/>
    <w:rsid w:val="50504C4B"/>
    <w:rsid w:val="5055041F"/>
    <w:rsid w:val="506803D7"/>
    <w:rsid w:val="50715259"/>
    <w:rsid w:val="50740B35"/>
    <w:rsid w:val="5079410E"/>
    <w:rsid w:val="507A1C34"/>
    <w:rsid w:val="509C6E7C"/>
    <w:rsid w:val="50A307F2"/>
    <w:rsid w:val="50AA42C7"/>
    <w:rsid w:val="50B26176"/>
    <w:rsid w:val="50B96C00"/>
    <w:rsid w:val="50C41F70"/>
    <w:rsid w:val="50CA3ABD"/>
    <w:rsid w:val="50D457E8"/>
    <w:rsid w:val="50D650BC"/>
    <w:rsid w:val="50FC442C"/>
    <w:rsid w:val="50FD6AED"/>
    <w:rsid w:val="51024103"/>
    <w:rsid w:val="51063CEB"/>
    <w:rsid w:val="5110440C"/>
    <w:rsid w:val="511856D5"/>
    <w:rsid w:val="51347986"/>
    <w:rsid w:val="513F5357"/>
    <w:rsid w:val="51422751"/>
    <w:rsid w:val="514520A5"/>
    <w:rsid w:val="5147420C"/>
    <w:rsid w:val="514D1A5F"/>
    <w:rsid w:val="51501312"/>
    <w:rsid w:val="5162104E"/>
    <w:rsid w:val="51646B6C"/>
    <w:rsid w:val="51771B10"/>
    <w:rsid w:val="517B6843"/>
    <w:rsid w:val="51861C76"/>
    <w:rsid w:val="518768A6"/>
    <w:rsid w:val="5191036C"/>
    <w:rsid w:val="519311FF"/>
    <w:rsid w:val="5195015E"/>
    <w:rsid w:val="51981C88"/>
    <w:rsid w:val="519F1D87"/>
    <w:rsid w:val="519F5DF6"/>
    <w:rsid w:val="51A451BA"/>
    <w:rsid w:val="51B15B29"/>
    <w:rsid w:val="51B82A14"/>
    <w:rsid w:val="51C07B1A"/>
    <w:rsid w:val="51C615D4"/>
    <w:rsid w:val="51CB6BEB"/>
    <w:rsid w:val="51DF61F2"/>
    <w:rsid w:val="51E47CAD"/>
    <w:rsid w:val="51F32BBE"/>
    <w:rsid w:val="51FE19F0"/>
    <w:rsid w:val="520619D1"/>
    <w:rsid w:val="520B5239"/>
    <w:rsid w:val="520D0FB1"/>
    <w:rsid w:val="52120376"/>
    <w:rsid w:val="521F6F37"/>
    <w:rsid w:val="523522B6"/>
    <w:rsid w:val="52416EAD"/>
    <w:rsid w:val="52470CF6"/>
    <w:rsid w:val="52493BA6"/>
    <w:rsid w:val="524D13AE"/>
    <w:rsid w:val="526565AE"/>
    <w:rsid w:val="52666914"/>
    <w:rsid w:val="527F2511"/>
    <w:rsid w:val="5282603C"/>
    <w:rsid w:val="5288783A"/>
    <w:rsid w:val="528B1BF6"/>
    <w:rsid w:val="52923265"/>
    <w:rsid w:val="52941E9A"/>
    <w:rsid w:val="529A56E5"/>
    <w:rsid w:val="52BC2A59"/>
    <w:rsid w:val="52C222A5"/>
    <w:rsid w:val="52CB2C8A"/>
    <w:rsid w:val="52CC055D"/>
    <w:rsid w:val="52D0481B"/>
    <w:rsid w:val="52DF030A"/>
    <w:rsid w:val="52E971EF"/>
    <w:rsid w:val="52F537F4"/>
    <w:rsid w:val="53034396"/>
    <w:rsid w:val="53085A69"/>
    <w:rsid w:val="530D6D8F"/>
    <w:rsid w:val="53185E60"/>
    <w:rsid w:val="53195734"/>
    <w:rsid w:val="531E0F9C"/>
    <w:rsid w:val="53302189"/>
    <w:rsid w:val="53446C55"/>
    <w:rsid w:val="534D068E"/>
    <w:rsid w:val="534D122D"/>
    <w:rsid w:val="534F1156"/>
    <w:rsid w:val="53630D86"/>
    <w:rsid w:val="53634C01"/>
    <w:rsid w:val="536A3BC8"/>
    <w:rsid w:val="536D0645"/>
    <w:rsid w:val="537806AC"/>
    <w:rsid w:val="537868FE"/>
    <w:rsid w:val="53791642"/>
    <w:rsid w:val="53876B42"/>
    <w:rsid w:val="53887EFC"/>
    <w:rsid w:val="53966D85"/>
    <w:rsid w:val="53A019B1"/>
    <w:rsid w:val="53A039CC"/>
    <w:rsid w:val="53A1505A"/>
    <w:rsid w:val="53AC65A8"/>
    <w:rsid w:val="53D012CF"/>
    <w:rsid w:val="53DC57BB"/>
    <w:rsid w:val="53DD2C05"/>
    <w:rsid w:val="53DF24DA"/>
    <w:rsid w:val="53F008AC"/>
    <w:rsid w:val="54041F40"/>
    <w:rsid w:val="54063E08"/>
    <w:rsid w:val="541702A3"/>
    <w:rsid w:val="54273E81"/>
    <w:rsid w:val="54342932"/>
    <w:rsid w:val="543437E8"/>
    <w:rsid w:val="543A0058"/>
    <w:rsid w:val="543C792C"/>
    <w:rsid w:val="54482775"/>
    <w:rsid w:val="5467032C"/>
    <w:rsid w:val="546724CF"/>
    <w:rsid w:val="5474457E"/>
    <w:rsid w:val="547C7C88"/>
    <w:rsid w:val="5486504B"/>
    <w:rsid w:val="54A34230"/>
    <w:rsid w:val="54A43723"/>
    <w:rsid w:val="54AC3115"/>
    <w:rsid w:val="54B27BEE"/>
    <w:rsid w:val="54B47E80"/>
    <w:rsid w:val="54D74270"/>
    <w:rsid w:val="54D97871"/>
    <w:rsid w:val="54E30E33"/>
    <w:rsid w:val="54E83104"/>
    <w:rsid w:val="54F73313"/>
    <w:rsid w:val="54F80955"/>
    <w:rsid w:val="54FB77E7"/>
    <w:rsid w:val="54FE2E33"/>
    <w:rsid w:val="550A5C7C"/>
    <w:rsid w:val="55116550"/>
    <w:rsid w:val="55175CA3"/>
    <w:rsid w:val="55216DF3"/>
    <w:rsid w:val="552E31B7"/>
    <w:rsid w:val="55314FB7"/>
    <w:rsid w:val="553E5926"/>
    <w:rsid w:val="554C67B5"/>
    <w:rsid w:val="555170A7"/>
    <w:rsid w:val="55560EC1"/>
    <w:rsid w:val="55622F8F"/>
    <w:rsid w:val="55661321"/>
    <w:rsid w:val="556A04C9"/>
    <w:rsid w:val="557F21C6"/>
    <w:rsid w:val="55823A64"/>
    <w:rsid w:val="55841D62"/>
    <w:rsid w:val="55851320"/>
    <w:rsid w:val="5587536D"/>
    <w:rsid w:val="5588094F"/>
    <w:rsid w:val="558A46C7"/>
    <w:rsid w:val="55983288"/>
    <w:rsid w:val="559B174B"/>
    <w:rsid w:val="559B68D4"/>
    <w:rsid w:val="55AA7B8A"/>
    <w:rsid w:val="55B668EA"/>
    <w:rsid w:val="55CE0CF4"/>
    <w:rsid w:val="55CF47D0"/>
    <w:rsid w:val="55D01C98"/>
    <w:rsid w:val="55DD6EED"/>
    <w:rsid w:val="55E55DA1"/>
    <w:rsid w:val="55E97640"/>
    <w:rsid w:val="55EF4EE8"/>
    <w:rsid w:val="55FD30EB"/>
    <w:rsid w:val="560C332E"/>
    <w:rsid w:val="5621327D"/>
    <w:rsid w:val="56226C88"/>
    <w:rsid w:val="56312D95"/>
    <w:rsid w:val="56334D5F"/>
    <w:rsid w:val="564451BE"/>
    <w:rsid w:val="564F2E6A"/>
    <w:rsid w:val="565076BF"/>
    <w:rsid w:val="56522E09"/>
    <w:rsid w:val="56570A4D"/>
    <w:rsid w:val="565F354D"/>
    <w:rsid w:val="567947E7"/>
    <w:rsid w:val="56847368"/>
    <w:rsid w:val="568A3CC6"/>
    <w:rsid w:val="568B2843"/>
    <w:rsid w:val="569021B1"/>
    <w:rsid w:val="56921A85"/>
    <w:rsid w:val="56981F5D"/>
    <w:rsid w:val="56982B10"/>
    <w:rsid w:val="56A33C92"/>
    <w:rsid w:val="56B22A9C"/>
    <w:rsid w:val="56B52D87"/>
    <w:rsid w:val="56CA3C8F"/>
    <w:rsid w:val="56DC53F6"/>
    <w:rsid w:val="56EB388B"/>
    <w:rsid w:val="56ED315F"/>
    <w:rsid w:val="56F12E37"/>
    <w:rsid w:val="56FC7846"/>
    <w:rsid w:val="57090E40"/>
    <w:rsid w:val="570C248C"/>
    <w:rsid w:val="571115F6"/>
    <w:rsid w:val="57257F2F"/>
    <w:rsid w:val="572C3252"/>
    <w:rsid w:val="57346FE0"/>
    <w:rsid w:val="57361164"/>
    <w:rsid w:val="574511ED"/>
    <w:rsid w:val="57462286"/>
    <w:rsid w:val="575136EE"/>
    <w:rsid w:val="57552424"/>
    <w:rsid w:val="575D16CB"/>
    <w:rsid w:val="57647D46"/>
    <w:rsid w:val="57742FD7"/>
    <w:rsid w:val="57776ECD"/>
    <w:rsid w:val="577E46FF"/>
    <w:rsid w:val="57905034"/>
    <w:rsid w:val="57925AB5"/>
    <w:rsid w:val="579E5D10"/>
    <w:rsid w:val="57A777B2"/>
    <w:rsid w:val="57AC4DC9"/>
    <w:rsid w:val="57B72A76"/>
    <w:rsid w:val="57BB500C"/>
    <w:rsid w:val="57C3426C"/>
    <w:rsid w:val="57C47DAB"/>
    <w:rsid w:val="57C65D48"/>
    <w:rsid w:val="57C95893"/>
    <w:rsid w:val="57CA23F0"/>
    <w:rsid w:val="57CE1F93"/>
    <w:rsid w:val="57CE5858"/>
    <w:rsid w:val="57D73347"/>
    <w:rsid w:val="57DD1426"/>
    <w:rsid w:val="57DE5680"/>
    <w:rsid w:val="57F072B3"/>
    <w:rsid w:val="57FB7AFE"/>
    <w:rsid w:val="580309FC"/>
    <w:rsid w:val="5805272B"/>
    <w:rsid w:val="5809221B"/>
    <w:rsid w:val="580C3AB9"/>
    <w:rsid w:val="58226E39"/>
    <w:rsid w:val="582F7ABC"/>
    <w:rsid w:val="58306EC5"/>
    <w:rsid w:val="58353E96"/>
    <w:rsid w:val="583B7EFB"/>
    <w:rsid w:val="58406AD9"/>
    <w:rsid w:val="584D2F1D"/>
    <w:rsid w:val="5855720E"/>
    <w:rsid w:val="585A4825"/>
    <w:rsid w:val="585A65D3"/>
    <w:rsid w:val="585B234B"/>
    <w:rsid w:val="585C4CB9"/>
    <w:rsid w:val="585D27D8"/>
    <w:rsid w:val="585F1E3B"/>
    <w:rsid w:val="58624C25"/>
    <w:rsid w:val="58740ED7"/>
    <w:rsid w:val="5875050A"/>
    <w:rsid w:val="587F6039"/>
    <w:rsid w:val="5883051A"/>
    <w:rsid w:val="588743D1"/>
    <w:rsid w:val="5887701A"/>
    <w:rsid w:val="58883A0E"/>
    <w:rsid w:val="588E0A9B"/>
    <w:rsid w:val="589715D5"/>
    <w:rsid w:val="58A43CF2"/>
    <w:rsid w:val="58A75590"/>
    <w:rsid w:val="58B07B38"/>
    <w:rsid w:val="58C425E6"/>
    <w:rsid w:val="58C8629E"/>
    <w:rsid w:val="58CB5722"/>
    <w:rsid w:val="58D00160"/>
    <w:rsid w:val="58D267BC"/>
    <w:rsid w:val="58DB3B6D"/>
    <w:rsid w:val="58DB3C34"/>
    <w:rsid w:val="58DC16DE"/>
    <w:rsid w:val="58EE31BF"/>
    <w:rsid w:val="58EE3C97"/>
    <w:rsid w:val="58EF15B1"/>
    <w:rsid w:val="58FC58DC"/>
    <w:rsid w:val="59034EBC"/>
    <w:rsid w:val="590429E2"/>
    <w:rsid w:val="59091DA7"/>
    <w:rsid w:val="59117084"/>
    <w:rsid w:val="591842F8"/>
    <w:rsid w:val="591C0860"/>
    <w:rsid w:val="593212FE"/>
    <w:rsid w:val="593E7CA2"/>
    <w:rsid w:val="59505F89"/>
    <w:rsid w:val="595528C9"/>
    <w:rsid w:val="596655D3"/>
    <w:rsid w:val="5967369D"/>
    <w:rsid w:val="596A0A97"/>
    <w:rsid w:val="598F38D1"/>
    <w:rsid w:val="59946492"/>
    <w:rsid w:val="59A860E0"/>
    <w:rsid w:val="59BA3148"/>
    <w:rsid w:val="59C0439F"/>
    <w:rsid w:val="59CE0F53"/>
    <w:rsid w:val="59D01A7F"/>
    <w:rsid w:val="59D24F4B"/>
    <w:rsid w:val="59D56ED0"/>
    <w:rsid w:val="59D625D1"/>
    <w:rsid w:val="59D70720"/>
    <w:rsid w:val="59DF76D7"/>
    <w:rsid w:val="59E6048B"/>
    <w:rsid w:val="59ED0B46"/>
    <w:rsid w:val="59F273E9"/>
    <w:rsid w:val="59F57CF4"/>
    <w:rsid w:val="59F64A21"/>
    <w:rsid w:val="5A1530F9"/>
    <w:rsid w:val="5A166502"/>
    <w:rsid w:val="5A2502EA"/>
    <w:rsid w:val="5A2D029A"/>
    <w:rsid w:val="5A2E7D17"/>
    <w:rsid w:val="5A370031"/>
    <w:rsid w:val="5A372371"/>
    <w:rsid w:val="5A383443"/>
    <w:rsid w:val="5A3966BC"/>
    <w:rsid w:val="5A3D7F5A"/>
    <w:rsid w:val="5A405C9C"/>
    <w:rsid w:val="5A437DF3"/>
    <w:rsid w:val="5A47702B"/>
    <w:rsid w:val="5A6E0A5B"/>
    <w:rsid w:val="5A7D2A4C"/>
    <w:rsid w:val="5A8738CB"/>
    <w:rsid w:val="5A875679"/>
    <w:rsid w:val="5A930319"/>
    <w:rsid w:val="5A971D60"/>
    <w:rsid w:val="5A9B4926"/>
    <w:rsid w:val="5AA4622B"/>
    <w:rsid w:val="5AA63D51"/>
    <w:rsid w:val="5AB03288"/>
    <w:rsid w:val="5ABA3CA0"/>
    <w:rsid w:val="5ABE2233"/>
    <w:rsid w:val="5ACC12DE"/>
    <w:rsid w:val="5ACE0C54"/>
    <w:rsid w:val="5AD3240B"/>
    <w:rsid w:val="5ADD173D"/>
    <w:rsid w:val="5AEC407C"/>
    <w:rsid w:val="5AEE394A"/>
    <w:rsid w:val="5B0726A8"/>
    <w:rsid w:val="5B2108AE"/>
    <w:rsid w:val="5B211FFF"/>
    <w:rsid w:val="5B215ACE"/>
    <w:rsid w:val="5B2305C4"/>
    <w:rsid w:val="5B3C46B5"/>
    <w:rsid w:val="5B3C73BA"/>
    <w:rsid w:val="5B413A7A"/>
    <w:rsid w:val="5B42144C"/>
    <w:rsid w:val="5B433C96"/>
    <w:rsid w:val="5B455FE5"/>
    <w:rsid w:val="5B506443"/>
    <w:rsid w:val="5B525C87"/>
    <w:rsid w:val="5B555725"/>
    <w:rsid w:val="5B5A4F9F"/>
    <w:rsid w:val="5B5D7C55"/>
    <w:rsid w:val="5B5E178C"/>
    <w:rsid w:val="5B5F0674"/>
    <w:rsid w:val="5B5F7F9D"/>
    <w:rsid w:val="5B654A61"/>
    <w:rsid w:val="5B6D2AE6"/>
    <w:rsid w:val="5B6D486F"/>
    <w:rsid w:val="5B797C67"/>
    <w:rsid w:val="5B8B705E"/>
    <w:rsid w:val="5BA34735"/>
    <w:rsid w:val="5BA74225"/>
    <w:rsid w:val="5BB74E52"/>
    <w:rsid w:val="5BBA658A"/>
    <w:rsid w:val="5BBE331C"/>
    <w:rsid w:val="5BC5712C"/>
    <w:rsid w:val="5BC87CF7"/>
    <w:rsid w:val="5BDF5D95"/>
    <w:rsid w:val="5BE70AC5"/>
    <w:rsid w:val="5BE82147"/>
    <w:rsid w:val="5BEE7A7C"/>
    <w:rsid w:val="5BF037E6"/>
    <w:rsid w:val="5BF40AEC"/>
    <w:rsid w:val="5BFD420E"/>
    <w:rsid w:val="5BFE5B97"/>
    <w:rsid w:val="5BFE7528"/>
    <w:rsid w:val="5C003A78"/>
    <w:rsid w:val="5C007110"/>
    <w:rsid w:val="5C0D42A1"/>
    <w:rsid w:val="5C166CB5"/>
    <w:rsid w:val="5C1C63A8"/>
    <w:rsid w:val="5C2018E1"/>
    <w:rsid w:val="5C216901"/>
    <w:rsid w:val="5C2313D1"/>
    <w:rsid w:val="5C272C70"/>
    <w:rsid w:val="5C2C0772"/>
    <w:rsid w:val="5C302D7B"/>
    <w:rsid w:val="5C361105"/>
    <w:rsid w:val="5C3F26AF"/>
    <w:rsid w:val="5C3F445D"/>
    <w:rsid w:val="5C423F4D"/>
    <w:rsid w:val="5C4E5B28"/>
    <w:rsid w:val="5C515CA6"/>
    <w:rsid w:val="5C5A1297"/>
    <w:rsid w:val="5C6425D8"/>
    <w:rsid w:val="5C675762"/>
    <w:rsid w:val="5C684875"/>
    <w:rsid w:val="5C700ABB"/>
    <w:rsid w:val="5C74325C"/>
    <w:rsid w:val="5C7A5495"/>
    <w:rsid w:val="5C7B745F"/>
    <w:rsid w:val="5C981DBF"/>
    <w:rsid w:val="5C9A5B38"/>
    <w:rsid w:val="5C9E7928"/>
    <w:rsid w:val="5CA151BF"/>
    <w:rsid w:val="5CA16EC6"/>
    <w:rsid w:val="5CB14C2F"/>
    <w:rsid w:val="5CBA1D36"/>
    <w:rsid w:val="5CC93CE4"/>
    <w:rsid w:val="5CCC1072"/>
    <w:rsid w:val="5CD64696"/>
    <w:rsid w:val="5CDC2A8F"/>
    <w:rsid w:val="5CDD3C76"/>
    <w:rsid w:val="5CE45005"/>
    <w:rsid w:val="5CE84AF5"/>
    <w:rsid w:val="5CF2606E"/>
    <w:rsid w:val="5CF40D4F"/>
    <w:rsid w:val="5D107BA8"/>
    <w:rsid w:val="5D173FFD"/>
    <w:rsid w:val="5D1A6F72"/>
    <w:rsid w:val="5D235B2D"/>
    <w:rsid w:val="5D2E002E"/>
    <w:rsid w:val="5D303DA6"/>
    <w:rsid w:val="5D3E5B52"/>
    <w:rsid w:val="5D5C2DED"/>
    <w:rsid w:val="5D5E4DB7"/>
    <w:rsid w:val="5D740137"/>
    <w:rsid w:val="5D7874FB"/>
    <w:rsid w:val="5D83481E"/>
    <w:rsid w:val="5D862888"/>
    <w:rsid w:val="5D887D08"/>
    <w:rsid w:val="5D890A34"/>
    <w:rsid w:val="5D892DA3"/>
    <w:rsid w:val="5D915FBC"/>
    <w:rsid w:val="5D9562FF"/>
    <w:rsid w:val="5DB37EE1"/>
    <w:rsid w:val="5DB669A1"/>
    <w:rsid w:val="5DE965DA"/>
    <w:rsid w:val="5DEE247D"/>
    <w:rsid w:val="5DFA38AA"/>
    <w:rsid w:val="5E057B54"/>
    <w:rsid w:val="5E0C3EAF"/>
    <w:rsid w:val="5E11505C"/>
    <w:rsid w:val="5E115985"/>
    <w:rsid w:val="5E1273F3"/>
    <w:rsid w:val="5E231B5D"/>
    <w:rsid w:val="5E2467F1"/>
    <w:rsid w:val="5E2751A9"/>
    <w:rsid w:val="5E316028"/>
    <w:rsid w:val="5E34711E"/>
    <w:rsid w:val="5E36363E"/>
    <w:rsid w:val="5E463C77"/>
    <w:rsid w:val="5E4749DA"/>
    <w:rsid w:val="5E495F53"/>
    <w:rsid w:val="5E4E5720"/>
    <w:rsid w:val="5E522F19"/>
    <w:rsid w:val="5E5B12F6"/>
    <w:rsid w:val="5E5E4943"/>
    <w:rsid w:val="5E5F664B"/>
    <w:rsid w:val="5E6A6AA9"/>
    <w:rsid w:val="5E71523F"/>
    <w:rsid w:val="5E745606"/>
    <w:rsid w:val="5E7D126D"/>
    <w:rsid w:val="5E8E1AB7"/>
    <w:rsid w:val="5E91547B"/>
    <w:rsid w:val="5E93632D"/>
    <w:rsid w:val="5E956320"/>
    <w:rsid w:val="5E963CA0"/>
    <w:rsid w:val="5E9F7435"/>
    <w:rsid w:val="5EA410AC"/>
    <w:rsid w:val="5EBB3B43"/>
    <w:rsid w:val="5EC0115A"/>
    <w:rsid w:val="5ED44178"/>
    <w:rsid w:val="5EE65B50"/>
    <w:rsid w:val="5EE74938"/>
    <w:rsid w:val="5EEB540E"/>
    <w:rsid w:val="5F0159A0"/>
    <w:rsid w:val="5F0F2F6B"/>
    <w:rsid w:val="5F1A2B43"/>
    <w:rsid w:val="5F1D47FE"/>
    <w:rsid w:val="5F2A4A56"/>
    <w:rsid w:val="5F2F0B50"/>
    <w:rsid w:val="5F385ACE"/>
    <w:rsid w:val="5F3F29C6"/>
    <w:rsid w:val="5F446614"/>
    <w:rsid w:val="5F463D55"/>
    <w:rsid w:val="5F4678B1"/>
    <w:rsid w:val="5F7A5E4D"/>
    <w:rsid w:val="5F863195"/>
    <w:rsid w:val="5F8B32D3"/>
    <w:rsid w:val="5F8D48C9"/>
    <w:rsid w:val="5F98380B"/>
    <w:rsid w:val="5F984D27"/>
    <w:rsid w:val="5F9E149B"/>
    <w:rsid w:val="5FB17C29"/>
    <w:rsid w:val="5FB27537"/>
    <w:rsid w:val="5FB717E1"/>
    <w:rsid w:val="5FB837BB"/>
    <w:rsid w:val="5FB91DD7"/>
    <w:rsid w:val="5FB962D5"/>
    <w:rsid w:val="5FC8476A"/>
    <w:rsid w:val="5FCC28E5"/>
    <w:rsid w:val="5FCF41A2"/>
    <w:rsid w:val="5FCF559B"/>
    <w:rsid w:val="5FEA2932"/>
    <w:rsid w:val="5FF3766A"/>
    <w:rsid w:val="5FFA708D"/>
    <w:rsid w:val="600339F4"/>
    <w:rsid w:val="600A4D82"/>
    <w:rsid w:val="600A6B30"/>
    <w:rsid w:val="601016AC"/>
    <w:rsid w:val="6024439E"/>
    <w:rsid w:val="602E5396"/>
    <w:rsid w:val="60336BFF"/>
    <w:rsid w:val="60367925"/>
    <w:rsid w:val="604D1DE8"/>
    <w:rsid w:val="605660D3"/>
    <w:rsid w:val="60566219"/>
    <w:rsid w:val="606C1599"/>
    <w:rsid w:val="606C79D7"/>
    <w:rsid w:val="606F1089"/>
    <w:rsid w:val="60704A33"/>
    <w:rsid w:val="6071407C"/>
    <w:rsid w:val="60762418"/>
    <w:rsid w:val="608B4D11"/>
    <w:rsid w:val="60912DAE"/>
    <w:rsid w:val="6094289E"/>
    <w:rsid w:val="60CC405A"/>
    <w:rsid w:val="60D1764E"/>
    <w:rsid w:val="60D235C8"/>
    <w:rsid w:val="60E23C99"/>
    <w:rsid w:val="60E94AED"/>
    <w:rsid w:val="60EE0200"/>
    <w:rsid w:val="60F90F9F"/>
    <w:rsid w:val="61045C75"/>
    <w:rsid w:val="61097102"/>
    <w:rsid w:val="610C14FE"/>
    <w:rsid w:val="61113EEE"/>
    <w:rsid w:val="611834CF"/>
    <w:rsid w:val="611B4D6D"/>
    <w:rsid w:val="611D2893"/>
    <w:rsid w:val="61273104"/>
    <w:rsid w:val="6138591F"/>
    <w:rsid w:val="613861D2"/>
    <w:rsid w:val="613A3123"/>
    <w:rsid w:val="614D7107"/>
    <w:rsid w:val="615A7643"/>
    <w:rsid w:val="615C33BC"/>
    <w:rsid w:val="615E65FB"/>
    <w:rsid w:val="616317C0"/>
    <w:rsid w:val="616927E9"/>
    <w:rsid w:val="61785D1C"/>
    <w:rsid w:val="617F44EA"/>
    <w:rsid w:val="61860438"/>
    <w:rsid w:val="618D6829"/>
    <w:rsid w:val="6193037C"/>
    <w:rsid w:val="61952D71"/>
    <w:rsid w:val="61A53307"/>
    <w:rsid w:val="61AD20C2"/>
    <w:rsid w:val="61BA5B6C"/>
    <w:rsid w:val="61BE4076"/>
    <w:rsid w:val="61C96577"/>
    <w:rsid w:val="61DA0784"/>
    <w:rsid w:val="61E11B13"/>
    <w:rsid w:val="61E215D8"/>
    <w:rsid w:val="61E82D68"/>
    <w:rsid w:val="61EC2C32"/>
    <w:rsid w:val="61F74CB9"/>
    <w:rsid w:val="62035F2D"/>
    <w:rsid w:val="620D33E1"/>
    <w:rsid w:val="620D46B6"/>
    <w:rsid w:val="62141EE8"/>
    <w:rsid w:val="621B3775"/>
    <w:rsid w:val="622540F5"/>
    <w:rsid w:val="62326812"/>
    <w:rsid w:val="62353C0D"/>
    <w:rsid w:val="62364782"/>
    <w:rsid w:val="623932CF"/>
    <w:rsid w:val="624502F4"/>
    <w:rsid w:val="624C0A1C"/>
    <w:rsid w:val="624C1682"/>
    <w:rsid w:val="624E2AD0"/>
    <w:rsid w:val="626369CC"/>
    <w:rsid w:val="626D15F8"/>
    <w:rsid w:val="626F5370"/>
    <w:rsid w:val="62734F7D"/>
    <w:rsid w:val="62742987"/>
    <w:rsid w:val="627A19E7"/>
    <w:rsid w:val="627A1D46"/>
    <w:rsid w:val="627C2BE3"/>
    <w:rsid w:val="62885D55"/>
    <w:rsid w:val="629923ED"/>
    <w:rsid w:val="629B40F7"/>
    <w:rsid w:val="62A019CE"/>
    <w:rsid w:val="62A96AD4"/>
    <w:rsid w:val="62CF4061"/>
    <w:rsid w:val="62D60F4C"/>
    <w:rsid w:val="62DE6052"/>
    <w:rsid w:val="62E21DC8"/>
    <w:rsid w:val="62EB733F"/>
    <w:rsid w:val="62EC5F9A"/>
    <w:rsid w:val="62EE098B"/>
    <w:rsid w:val="62F90B52"/>
    <w:rsid w:val="6300246C"/>
    <w:rsid w:val="630C2BBF"/>
    <w:rsid w:val="630E2DDB"/>
    <w:rsid w:val="63111F62"/>
    <w:rsid w:val="632779F9"/>
    <w:rsid w:val="63290353"/>
    <w:rsid w:val="632A5D2D"/>
    <w:rsid w:val="632C749E"/>
    <w:rsid w:val="63351AF5"/>
    <w:rsid w:val="633839B4"/>
    <w:rsid w:val="63442359"/>
    <w:rsid w:val="63443DB1"/>
    <w:rsid w:val="63462575"/>
    <w:rsid w:val="6356208C"/>
    <w:rsid w:val="635B1053"/>
    <w:rsid w:val="636104DF"/>
    <w:rsid w:val="636D5BA9"/>
    <w:rsid w:val="63750765"/>
    <w:rsid w:val="637738A0"/>
    <w:rsid w:val="63797683"/>
    <w:rsid w:val="637C7795"/>
    <w:rsid w:val="63860BC4"/>
    <w:rsid w:val="63871BF1"/>
    <w:rsid w:val="63885244"/>
    <w:rsid w:val="6394356A"/>
    <w:rsid w:val="63993058"/>
    <w:rsid w:val="639A01CB"/>
    <w:rsid w:val="639C03E7"/>
    <w:rsid w:val="63AC5238"/>
    <w:rsid w:val="63AC7EFE"/>
    <w:rsid w:val="63AE011A"/>
    <w:rsid w:val="63B03E93"/>
    <w:rsid w:val="63B63F59"/>
    <w:rsid w:val="63C61B2C"/>
    <w:rsid w:val="63C94766"/>
    <w:rsid w:val="63D40BE9"/>
    <w:rsid w:val="63E1229E"/>
    <w:rsid w:val="63EE6769"/>
    <w:rsid w:val="63F41DB1"/>
    <w:rsid w:val="63FA6EBC"/>
    <w:rsid w:val="64055F8C"/>
    <w:rsid w:val="640815D9"/>
    <w:rsid w:val="640C320C"/>
    <w:rsid w:val="64102431"/>
    <w:rsid w:val="64122457"/>
    <w:rsid w:val="64137F7D"/>
    <w:rsid w:val="641B6CFA"/>
    <w:rsid w:val="642B52C7"/>
    <w:rsid w:val="643468CC"/>
    <w:rsid w:val="643D6ACF"/>
    <w:rsid w:val="64470089"/>
    <w:rsid w:val="64501A5B"/>
    <w:rsid w:val="64526CF8"/>
    <w:rsid w:val="645760BC"/>
    <w:rsid w:val="64661805"/>
    <w:rsid w:val="646D5866"/>
    <w:rsid w:val="648A3E9D"/>
    <w:rsid w:val="64923598"/>
    <w:rsid w:val="64970BAF"/>
    <w:rsid w:val="64A5243A"/>
    <w:rsid w:val="64AF5F9E"/>
    <w:rsid w:val="64AF64BE"/>
    <w:rsid w:val="64B4350F"/>
    <w:rsid w:val="64B61202"/>
    <w:rsid w:val="64B654D9"/>
    <w:rsid w:val="64C03C61"/>
    <w:rsid w:val="64D25F92"/>
    <w:rsid w:val="64D836A1"/>
    <w:rsid w:val="64DE6065"/>
    <w:rsid w:val="64EE1A97"/>
    <w:rsid w:val="64F531DE"/>
    <w:rsid w:val="64F747E7"/>
    <w:rsid w:val="64FD6C64"/>
    <w:rsid w:val="650A227E"/>
    <w:rsid w:val="65165479"/>
    <w:rsid w:val="651F6177"/>
    <w:rsid w:val="65257F68"/>
    <w:rsid w:val="65297A59"/>
    <w:rsid w:val="652B2F38"/>
    <w:rsid w:val="6532279F"/>
    <w:rsid w:val="65373578"/>
    <w:rsid w:val="65516FAF"/>
    <w:rsid w:val="656B56FF"/>
    <w:rsid w:val="657449B3"/>
    <w:rsid w:val="65890E41"/>
    <w:rsid w:val="659D3FA3"/>
    <w:rsid w:val="65AC5C01"/>
    <w:rsid w:val="65AC673F"/>
    <w:rsid w:val="65B11292"/>
    <w:rsid w:val="65B23EF2"/>
    <w:rsid w:val="65B732B6"/>
    <w:rsid w:val="65BC08CD"/>
    <w:rsid w:val="65BF216B"/>
    <w:rsid w:val="65C036EF"/>
    <w:rsid w:val="65C6174B"/>
    <w:rsid w:val="65D50C45"/>
    <w:rsid w:val="65DC0B09"/>
    <w:rsid w:val="65E24F49"/>
    <w:rsid w:val="65E678EB"/>
    <w:rsid w:val="65F72C5C"/>
    <w:rsid w:val="65FA4497"/>
    <w:rsid w:val="66081D64"/>
    <w:rsid w:val="660F53FC"/>
    <w:rsid w:val="664803B2"/>
    <w:rsid w:val="664A412A"/>
    <w:rsid w:val="664B1C51"/>
    <w:rsid w:val="66501015"/>
    <w:rsid w:val="66576847"/>
    <w:rsid w:val="665772D8"/>
    <w:rsid w:val="66651C6A"/>
    <w:rsid w:val="6668486E"/>
    <w:rsid w:val="666D606B"/>
    <w:rsid w:val="667045A8"/>
    <w:rsid w:val="66735715"/>
    <w:rsid w:val="66737B66"/>
    <w:rsid w:val="668F448D"/>
    <w:rsid w:val="66952ACD"/>
    <w:rsid w:val="66976C44"/>
    <w:rsid w:val="669E47D6"/>
    <w:rsid w:val="66A762C2"/>
    <w:rsid w:val="66AA4BC9"/>
    <w:rsid w:val="66AC4B5E"/>
    <w:rsid w:val="66AE57C5"/>
    <w:rsid w:val="66C4340A"/>
    <w:rsid w:val="66CB2934"/>
    <w:rsid w:val="66CD1EA4"/>
    <w:rsid w:val="66D103A8"/>
    <w:rsid w:val="66DA3E7F"/>
    <w:rsid w:val="67035B76"/>
    <w:rsid w:val="670F0ED0"/>
    <w:rsid w:val="671B7875"/>
    <w:rsid w:val="671D0274"/>
    <w:rsid w:val="671F124A"/>
    <w:rsid w:val="6736645D"/>
    <w:rsid w:val="676422EA"/>
    <w:rsid w:val="677A33C6"/>
    <w:rsid w:val="677F7E04"/>
    <w:rsid w:val="679118E5"/>
    <w:rsid w:val="6792557F"/>
    <w:rsid w:val="67966EFB"/>
    <w:rsid w:val="67982C74"/>
    <w:rsid w:val="679D64DC"/>
    <w:rsid w:val="67A653F3"/>
    <w:rsid w:val="67A71109"/>
    <w:rsid w:val="67B14E2B"/>
    <w:rsid w:val="67B76864"/>
    <w:rsid w:val="67B84319"/>
    <w:rsid w:val="67C25F42"/>
    <w:rsid w:val="67C4557B"/>
    <w:rsid w:val="67C615F0"/>
    <w:rsid w:val="67C74AF6"/>
    <w:rsid w:val="67D87514"/>
    <w:rsid w:val="67DD4B2A"/>
    <w:rsid w:val="67DF3FC4"/>
    <w:rsid w:val="67EE4F89"/>
    <w:rsid w:val="67F81964"/>
    <w:rsid w:val="67FA52FE"/>
    <w:rsid w:val="68012F0F"/>
    <w:rsid w:val="68030A35"/>
    <w:rsid w:val="68171125"/>
    <w:rsid w:val="681F0D60"/>
    <w:rsid w:val="681F6961"/>
    <w:rsid w:val="68224C33"/>
    <w:rsid w:val="68297D70"/>
    <w:rsid w:val="682C1C8B"/>
    <w:rsid w:val="6834667B"/>
    <w:rsid w:val="683E1DD2"/>
    <w:rsid w:val="684007D1"/>
    <w:rsid w:val="684B23DC"/>
    <w:rsid w:val="68506E3A"/>
    <w:rsid w:val="68564FD3"/>
    <w:rsid w:val="68605586"/>
    <w:rsid w:val="68610A2F"/>
    <w:rsid w:val="6861575B"/>
    <w:rsid w:val="686314D3"/>
    <w:rsid w:val="6865349E"/>
    <w:rsid w:val="68776D2D"/>
    <w:rsid w:val="68784853"/>
    <w:rsid w:val="68805514"/>
    <w:rsid w:val="68914293"/>
    <w:rsid w:val="68916F6D"/>
    <w:rsid w:val="689615CB"/>
    <w:rsid w:val="689B63E2"/>
    <w:rsid w:val="689C6793"/>
    <w:rsid w:val="68A13DAA"/>
    <w:rsid w:val="68A46877"/>
    <w:rsid w:val="68A76C8B"/>
    <w:rsid w:val="68AA7020"/>
    <w:rsid w:val="68AB2E7A"/>
    <w:rsid w:val="68AB69D7"/>
    <w:rsid w:val="68B13A72"/>
    <w:rsid w:val="68B7537B"/>
    <w:rsid w:val="68C22B96"/>
    <w:rsid w:val="68CA50AF"/>
    <w:rsid w:val="68E02B24"/>
    <w:rsid w:val="68E24AEE"/>
    <w:rsid w:val="68E41346"/>
    <w:rsid w:val="68EC1986"/>
    <w:rsid w:val="68EF0FB9"/>
    <w:rsid w:val="68F14D31"/>
    <w:rsid w:val="68F2396D"/>
    <w:rsid w:val="68F23E8E"/>
    <w:rsid w:val="68F918AD"/>
    <w:rsid w:val="68F9404B"/>
    <w:rsid w:val="69015DDF"/>
    <w:rsid w:val="69020CEC"/>
    <w:rsid w:val="6908507E"/>
    <w:rsid w:val="69143E1A"/>
    <w:rsid w:val="692C0FC9"/>
    <w:rsid w:val="692C5D69"/>
    <w:rsid w:val="692F40C0"/>
    <w:rsid w:val="69316E2F"/>
    <w:rsid w:val="693D7F76"/>
    <w:rsid w:val="693F793D"/>
    <w:rsid w:val="69431F17"/>
    <w:rsid w:val="694E2071"/>
    <w:rsid w:val="69557143"/>
    <w:rsid w:val="6958122F"/>
    <w:rsid w:val="69584637"/>
    <w:rsid w:val="69690E28"/>
    <w:rsid w:val="696E3BE1"/>
    <w:rsid w:val="69717C20"/>
    <w:rsid w:val="69766163"/>
    <w:rsid w:val="69777AD4"/>
    <w:rsid w:val="697A3B33"/>
    <w:rsid w:val="69807E63"/>
    <w:rsid w:val="69896A9C"/>
    <w:rsid w:val="698C05B6"/>
    <w:rsid w:val="69934531"/>
    <w:rsid w:val="69967687"/>
    <w:rsid w:val="699807EF"/>
    <w:rsid w:val="699B6A4B"/>
    <w:rsid w:val="699C2F72"/>
    <w:rsid w:val="69A753F0"/>
    <w:rsid w:val="69AD12CF"/>
    <w:rsid w:val="69B95123"/>
    <w:rsid w:val="69B970E2"/>
    <w:rsid w:val="69BD3298"/>
    <w:rsid w:val="69BF6BDD"/>
    <w:rsid w:val="69CC4D48"/>
    <w:rsid w:val="69CC69C6"/>
    <w:rsid w:val="69D44760"/>
    <w:rsid w:val="69DC79B5"/>
    <w:rsid w:val="69DE0010"/>
    <w:rsid w:val="69E14DA6"/>
    <w:rsid w:val="69E268E0"/>
    <w:rsid w:val="69EC6364"/>
    <w:rsid w:val="69F04FE9"/>
    <w:rsid w:val="69F8571C"/>
    <w:rsid w:val="6A050636"/>
    <w:rsid w:val="6A082E3A"/>
    <w:rsid w:val="6A161E4A"/>
    <w:rsid w:val="6A170811"/>
    <w:rsid w:val="6A1E02B2"/>
    <w:rsid w:val="6A335CEC"/>
    <w:rsid w:val="6A3F4C1D"/>
    <w:rsid w:val="6A50293B"/>
    <w:rsid w:val="6A520EC7"/>
    <w:rsid w:val="6A574470"/>
    <w:rsid w:val="6A70612A"/>
    <w:rsid w:val="6A7259FE"/>
    <w:rsid w:val="6A7E0847"/>
    <w:rsid w:val="6A822A79"/>
    <w:rsid w:val="6A890F99"/>
    <w:rsid w:val="6A8D34A0"/>
    <w:rsid w:val="6A921069"/>
    <w:rsid w:val="6A941E18"/>
    <w:rsid w:val="6A983A52"/>
    <w:rsid w:val="6AA20C0B"/>
    <w:rsid w:val="6AA35AE7"/>
    <w:rsid w:val="6AA87672"/>
    <w:rsid w:val="6AB778B5"/>
    <w:rsid w:val="6AC32B4F"/>
    <w:rsid w:val="6AC45A77"/>
    <w:rsid w:val="6AC83870"/>
    <w:rsid w:val="6AC854ED"/>
    <w:rsid w:val="6ACF06E2"/>
    <w:rsid w:val="6AD11522"/>
    <w:rsid w:val="6AD20C96"/>
    <w:rsid w:val="6AE33B47"/>
    <w:rsid w:val="6AF24D91"/>
    <w:rsid w:val="6AF40B09"/>
    <w:rsid w:val="6AF87E20"/>
    <w:rsid w:val="6B022971"/>
    <w:rsid w:val="6B076001"/>
    <w:rsid w:val="6B0D15D1"/>
    <w:rsid w:val="6B0D5CB6"/>
    <w:rsid w:val="6B0F149F"/>
    <w:rsid w:val="6B0F4348"/>
    <w:rsid w:val="6B2A210C"/>
    <w:rsid w:val="6B322639"/>
    <w:rsid w:val="6B394975"/>
    <w:rsid w:val="6B397FBC"/>
    <w:rsid w:val="6B3D5B12"/>
    <w:rsid w:val="6B564A55"/>
    <w:rsid w:val="6B61461B"/>
    <w:rsid w:val="6B696C8B"/>
    <w:rsid w:val="6B6F4633"/>
    <w:rsid w:val="6B80414A"/>
    <w:rsid w:val="6B817F21"/>
    <w:rsid w:val="6B824366"/>
    <w:rsid w:val="6B8A321B"/>
    <w:rsid w:val="6B9419A4"/>
    <w:rsid w:val="6B945E48"/>
    <w:rsid w:val="6B9D1A33"/>
    <w:rsid w:val="6B9E76DE"/>
    <w:rsid w:val="6BA40A02"/>
    <w:rsid w:val="6BAA566B"/>
    <w:rsid w:val="6BB634C0"/>
    <w:rsid w:val="6BB77E6E"/>
    <w:rsid w:val="6BB838E4"/>
    <w:rsid w:val="6BBD0EFB"/>
    <w:rsid w:val="6BC161B5"/>
    <w:rsid w:val="6BE851E4"/>
    <w:rsid w:val="6BEA6CDC"/>
    <w:rsid w:val="6BF574DE"/>
    <w:rsid w:val="6BF6265F"/>
    <w:rsid w:val="6BF90704"/>
    <w:rsid w:val="6BFA0B87"/>
    <w:rsid w:val="6C0214E2"/>
    <w:rsid w:val="6C0B610A"/>
    <w:rsid w:val="6C224890"/>
    <w:rsid w:val="6C2E5E4D"/>
    <w:rsid w:val="6C3118E9"/>
    <w:rsid w:val="6C3F4006"/>
    <w:rsid w:val="6C411B2C"/>
    <w:rsid w:val="6C447394"/>
    <w:rsid w:val="6C4909E0"/>
    <w:rsid w:val="6C4933FE"/>
    <w:rsid w:val="6C496C32"/>
    <w:rsid w:val="6C4C7F69"/>
    <w:rsid w:val="6C53185F"/>
    <w:rsid w:val="6C5850C7"/>
    <w:rsid w:val="6C5A499B"/>
    <w:rsid w:val="6C624178"/>
    <w:rsid w:val="6C636C38"/>
    <w:rsid w:val="6C656C79"/>
    <w:rsid w:val="6C663340"/>
    <w:rsid w:val="6C803C72"/>
    <w:rsid w:val="6C804345"/>
    <w:rsid w:val="6C875DE6"/>
    <w:rsid w:val="6C8B0FF9"/>
    <w:rsid w:val="6C9A56E0"/>
    <w:rsid w:val="6CA426C9"/>
    <w:rsid w:val="6CA92135"/>
    <w:rsid w:val="6CAE1248"/>
    <w:rsid w:val="6CB171CF"/>
    <w:rsid w:val="6CB42633"/>
    <w:rsid w:val="6CB70040"/>
    <w:rsid w:val="6CBA3065"/>
    <w:rsid w:val="6CBE13CE"/>
    <w:rsid w:val="6CBF6EF4"/>
    <w:rsid w:val="6CC04F9A"/>
    <w:rsid w:val="6CC12C6C"/>
    <w:rsid w:val="6CC87B57"/>
    <w:rsid w:val="6CCE55B8"/>
    <w:rsid w:val="6CD17F9C"/>
    <w:rsid w:val="6CDE381E"/>
    <w:rsid w:val="6CE65CF5"/>
    <w:rsid w:val="6CF51963"/>
    <w:rsid w:val="6CF60747"/>
    <w:rsid w:val="6CFE5C6F"/>
    <w:rsid w:val="6CFF5543"/>
    <w:rsid w:val="6D0019E7"/>
    <w:rsid w:val="6D036DE1"/>
    <w:rsid w:val="6D2F5E28"/>
    <w:rsid w:val="6D344EC4"/>
    <w:rsid w:val="6D370745"/>
    <w:rsid w:val="6D3B3907"/>
    <w:rsid w:val="6D3C37A4"/>
    <w:rsid w:val="6D4332A9"/>
    <w:rsid w:val="6D477C7D"/>
    <w:rsid w:val="6D492CB7"/>
    <w:rsid w:val="6D4A0EB4"/>
    <w:rsid w:val="6D4F64CA"/>
    <w:rsid w:val="6D5238C5"/>
    <w:rsid w:val="6D610AD4"/>
    <w:rsid w:val="6D627650"/>
    <w:rsid w:val="6D633D24"/>
    <w:rsid w:val="6D6372E5"/>
    <w:rsid w:val="6D667370"/>
    <w:rsid w:val="6D6D4BA2"/>
    <w:rsid w:val="6D702BDA"/>
    <w:rsid w:val="6D761CA9"/>
    <w:rsid w:val="6D7A61C9"/>
    <w:rsid w:val="6D800726"/>
    <w:rsid w:val="6DAB31AB"/>
    <w:rsid w:val="6DB34098"/>
    <w:rsid w:val="6DB545B6"/>
    <w:rsid w:val="6DB56E82"/>
    <w:rsid w:val="6DB66549"/>
    <w:rsid w:val="6DE02FB4"/>
    <w:rsid w:val="6DE54528"/>
    <w:rsid w:val="6DE63302"/>
    <w:rsid w:val="6DEA61F3"/>
    <w:rsid w:val="6DEC1F6B"/>
    <w:rsid w:val="6E0A3227"/>
    <w:rsid w:val="6E0B694A"/>
    <w:rsid w:val="6E2711F5"/>
    <w:rsid w:val="6E361438"/>
    <w:rsid w:val="6E3B3456"/>
    <w:rsid w:val="6E3E69E5"/>
    <w:rsid w:val="6E4B6C92"/>
    <w:rsid w:val="6E4F6056"/>
    <w:rsid w:val="6E514CED"/>
    <w:rsid w:val="6E557B10"/>
    <w:rsid w:val="6E597664"/>
    <w:rsid w:val="6E626151"/>
    <w:rsid w:val="6E7553CB"/>
    <w:rsid w:val="6E766AE6"/>
    <w:rsid w:val="6E7A7577"/>
    <w:rsid w:val="6E7C509D"/>
    <w:rsid w:val="6E865F1C"/>
    <w:rsid w:val="6E967784"/>
    <w:rsid w:val="6E9A3775"/>
    <w:rsid w:val="6EA24FCD"/>
    <w:rsid w:val="6EA42846"/>
    <w:rsid w:val="6EAB14DE"/>
    <w:rsid w:val="6EB052C5"/>
    <w:rsid w:val="6EB563D5"/>
    <w:rsid w:val="6EBA7973"/>
    <w:rsid w:val="6EBD1446"/>
    <w:rsid w:val="6EC425A0"/>
    <w:rsid w:val="6ECC76A7"/>
    <w:rsid w:val="6ECE341F"/>
    <w:rsid w:val="6ED07197"/>
    <w:rsid w:val="6ED7208C"/>
    <w:rsid w:val="6ED92677"/>
    <w:rsid w:val="6EE40F43"/>
    <w:rsid w:val="6EE82119"/>
    <w:rsid w:val="6F0648CA"/>
    <w:rsid w:val="6F086931"/>
    <w:rsid w:val="6F1A6664"/>
    <w:rsid w:val="6F1B5CA6"/>
    <w:rsid w:val="6F225983"/>
    <w:rsid w:val="6F27734B"/>
    <w:rsid w:val="6F2F210F"/>
    <w:rsid w:val="6F301627"/>
    <w:rsid w:val="6F330183"/>
    <w:rsid w:val="6F3911E0"/>
    <w:rsid w:val="6F3B465D"/>
    <w:rsid w:val="6F3F0FBC"/>
    <w:rsid w:val="6F406688"/>
    <w:rsid w:val="6F506C35"/>
    <w:rsid w:val="6F541B76"/>
    <w:rsid w:val="6F571666"/>
    <w:rsid w:val="6F6C3363"/>
    <w:rsid w:val="6F742218"/>
    <w:rsid w:val="6F767D3E"/>
    <w:rsid w:val="6F7B35A7"/>
    <w:rsid w:val="6F7D2DD2"/>
    <w:rsid w:val="6F851411"/>
    <w:rsid w:val="6F984159"/>
    <w:rsid w:val="6F9957DB"/>
    <w:rsid w:val="6FA50623"/>
    <w:rsid w:val="6FB0388B"/>
    <w:rsid w:val="6FB50341"/>
    <w:rsid w:val="6FC767EC"/>
    <w:rsid w:val="6FD11419"/>
    <w:rsid w:val="6FD131C7"/>
    <w:rsid w:val="6FD97E8A"/>
    <w:rsid w:val="6FDB7B44"/>
    <w:rsid w:val="6FE258A8"/>
    <w:rsid w:val="6FEA072C"/>
    <w:rsid w:val="6FEE1E4E"/>
    <w:rsid w:val="6FF1412A"/>
    <w:rsid w:val="6FFC5590"/>
    <w:rsid w:val="6FFE0E3B"/>
    <w:rsid w:val="7000585A"/>
    <w:rsid w:val="70076BE8"/>
    <w:rsid w:val="702B1403"/>
    <w:rsid w:val="702E15A7"/>
    <w:rsid w:val="70366D4F"/>
    <w:rsid w:val="70375E10"/>
    <w:rsid w:val="70384A9E"/>
    <w:rsid w:val="703B4AE4"/>
    <w:rsid w:val="703E6382"/>
    <w:rsid w:val="7045295A"/>
    <w:rsid w:val="70505028"/>
    <w:rsid w:val="70512559"/>
    <w:rsid w:val="705362D1"/>
    <w:rsid w:val="70652E56"/>
    <w:rsid w:val="706D1DD0"/>
    <w:rsid w:val="706E6C67"/>
    <w:rsid w:val="706F478E"/>
    <w:rsid w:val="70787683"/>
    <w:rsid w:val="707A385E"/>
    <w:rsid w:val="70853FB1"/>
    <w:rsid w:val="70856B87"/>
    <w:rsid w:val="70920447"/>
    <w:rsid w:val="70936A24"/>
    <w:rsid w:val="709C6C3E"/>
    <w:rsid w:val="709F46F4"/>
    <w:rsid w:val="70B00AAA"/>
    <w:rsid w:val="70BA00FF"/>
    <w:rsid w:val="70C26FB3"/>
    <w:rsid w:val="70C76378"/>
    <w:rsid w:val="70D527EE"/>
    <w:rsid w:val="70DC0075"/>
    <w:rsid w:val="70DD1A5F"/>
    <w:rsid w:val="70DF36C1"/>
    <w:rsid w:val="70F058CE"/>
    <w:rsid w:val="70F6426E"/>
    <w:rsid w:val="70FF5B11"/>
    <w:rsid w:val="70FF5EB9"/>
    <w:rsid w:val="7104137A"/>
    <w:rsid w:val="71117E32"/>
    <w:rsid w:val="71144294"/>
    <w:rsid w:val="71145A61"/>
    <w:rsid w:val="71153587"/>
    <w:rsid w:val="711A0B9D"/>
    <w:rsid w:val="71215A2B"/>
    <w:rsid w:val="71241A1C"/>
    <w:rsid w:val="712903CC"/>
    <w:rsid w:val="71303BF3"/>
    <w:rsid w:val="71310D0A"/>
    <w:rsid w:val="713C0A87"/>
    <w:rsid w:val="71403FB8"/>
    <w:rsid w:val="7148570A"/>
    <w:rsid w:val="714F5473"/>
    <w:rsid w:val="715B5300"/>
    <w:rsid w:val="715E0F62"/>
    <w:rsid w:val="716562BC"/>
    <w:rsid w:val="7167543E"/>
    <w:rsid w:val="716C3313"/>
    <w:rsid w:val="717621F9"/>
    <w:rsid w:val="717846A6"/>
    <w:rsid w:val="71844269"/>
    <w:rsid w:val="71880E12"/>
    <w:rsid w:val="7188169E"/>
    <w:rsid w:val="71947ED4"/>
    <w:rsid w:val="71956476"/>
    <w:rsid w:val="71997D14"/>
    <w:rsid w:val="71A46EE4"/>
    <w:rsid w:val="71AF40E8"/>
    <w:rsid w:val="71B7370C"/>
    <w:rsid w:val="71BE2EB2"/>
    <w:rsid w:val="71D077D1"/>
    <w:rsid w:val="71D27F8A"/>
    <w:rsid w:val="71D7083C"/>
    <w:rsid w:val="71E42F57"/>
    <w:rsid w:val="71EA67C2"/>
    <w:rsid w:val="71F64BD5"/>
    <w:rsid w:val="71FD1FC9"/>
    <w:rsid w:val="720115F7"/>
    <w:rsid w:val="72023B0B"/>
    <w:rsid w:val="720D24B0"/>
    <w:rsid w:val="72130A47"/>
    <w:rsid w:val="72136023"/>
    <w:rsid w:val="72181B00"/>
    <w:rsid w:val="72200435"/>
    <w:rsid w:val="72201438"/>
    <w:rsid w:val="723039E4"/>
    <w:rsid w:val="72380ACC"/>
    <w:rsid w:val="7242215A"/>
    <w:rsid w:val="72553024"/>
    <w:rsid w:val="72620A4E"/>
    <w:rsid w:val="7263713E"/>
    <w:rsid w:val="72655E48"/>
    <w:rsid w:val="72695938"/>
    <w:rsid w:val="727050EF"/>
    <w:rsid w:val="72720E9A"/>
    <w:rsid w:val="727662A7"/>
    <w:rsid w:val="727B566C"/>
    <w:rsid w:val="727F4C6A"/>
    <w:rsid w:val="72824C4C"/>
    <w:rsid w:val="72897D89"/>
    <w:rsid w:val="728E539F"/>
    <w:rsid w:val="729A75CE"/>
    <w:rsid w:val="72B64BAF"/>
    <w:rsid w:val="72B7421D"/>
    <w:rsid w:val="72BB1F0C"/>
    <w:rsid w:val="72CF280C"/>
    <w:rsid w:val="72DC1889"/>
    <w:rsid w:val="72E871A5"/>
    <w:rsid w:val="72E94CCB"/>
    <w:rsid w:val="72F3295B"/>
    <w:rsid w:val="72F378F8"/>
    <w:rsid w:val="72FB0CA2"/>
    <w:rsid w:val="73122968"/>
    <w:rsid w:val="73125FD0"/>
    <w:rsid w:val="731E2E6D"/>
    <w:rsid w:val="731F5D5E"/>
    <w:rsid w:val="732B7092"/>
    <w:rsid w:val="73371C29"/>
    <w:rsid w:val="733E6DC5"/>
    <w:rsid w:val="734819F2"/>
    <w:rsid w:val="73530396"/>
    <w:rsid w:val="73593BFF"/>
    <w:rsid w:val="735A60D6"/>
    <w:rsid w:val="7368538E"/>
    <w:rsid w:val="73925A88"/>
    <w:rsid w:val="739C3AEB"/>
    <w:rsid w:val="739E7864"/>
    <w:rsid w:val="73A00AF1"/>
    <w:rsid w:val="73A179D9"/>
    <w:rsid w:val="73A62BBC"/>
    <w:rsid w:val="73AB3D2F"/>
    <w:rsid w:val="73AE47EA"/>
    <w:rsid w:val="73B24D22"/>
    <w:rsid w:val="73C05A2C"/>
    <w:rsid w:val="73C51AD5"/>
    <w:rsid w:val="73CA5027"/>
    <w:rsid w:val="73DA4614"/>
    <w:rsid w:val="73E86FB1"/>
    <w:rsid w:val="73F11BF2"/>
    <w:rsid w:val="73F8659C"/>
    <w:rsid w:val="74082FD3"/>
    <w:rsid w:val="74141D46"/>
    <w:rsid w:val="74161BB3"/>
    <w:rsid w:val="741E793C"/>
    <w:rsid w:val="742452F2"/>
    <w:rsid w:val="742F2BB2"/>
    <w:rsid w:val="7433708E"/>
    <w:rsid w:val="743B50B2"/>
    <w:rsid w:val="743D707D"/>
    <w:rsid w:val="74404DBF"/>
    <w:rsid w:val="744523D5"/>
    <w:rsid w:val="744643E5"/>
    <w:rsid w:val="744E22BC"/>
    <w:rsid w:val="745E3944"/>
    <w:rsid w:val="745F18CC"/>
    <w:rsid w:val="7463285B"/>
    <w:rsid w:val="747131CA"/>
    <w:rsid w:val="747915C9"/>
    <w:rsid w:val="747C5244"/>
    <w:rsid w:val="74841862"/>
    <w:rsid w:val="74890297"/>
    <w:rsid w:val="7489557A"/>
    <w:rsid w:val="748B700A"/>
    <w:rsid w:val="748F1AFC"/>
    <w:rsid w:val="748F1CC1"/>
    <w:rsid w:val="749018A2"/>
    <w:rsid w:val="7491561A"/>
    <w:rsid w:val="74A470FC"/>
    <w:rsid w:val="74AA048A"/>
    <w:rsid w:val="74BB61F3"/>
    <w:rsid w:val="74BD640F"/>
    <w:rsid w:val="74CE5F27"/>
    <w:rsid w:val="74D13C69"/>
    <w:rsid w:val="74D379E1"/>
    <w:rsid w:val="74D6302D"/>
    <w:rsid w:val="74DF4BFC"/>
    <w:rsid w:val="74EF4186"/>
    <w:rsid w:val="74FA3693"/>
    <w:rsid w:val="74FA4F6E"/>
    <w:rsid w:val="74FF4332"/>
    <w:rsid w:val="750B356A"/>
    <w:rsid w:val="751148E0"/>
    <w:rsid w:val="75293698"/>
    <w:rsid w:val="75297D33"/>
    <w:rsid w:val="752B5547"/>
    <w:rsid w:val="753C37D8"/>
    <w:rsid w:val="75442FFC"/>
    <w:rsid w:val="75447B06"/>
    <w:rsid w:val="75492FB1"/>
    <w:rsid w:val="754C4F04"/>
    <w:rsid w:val="75541185"/>
    <w:rsid w:val="7555340F"/>
    <w:rsid w:val="75585F01"/>
    <w:rsid w:val="756B293B"/>
    <w:rsid w:val="756B5E6B"/>
    <w:rsid w:val="757E138A"/>
    <w:rsid w:val="75852870"/>
    <w:rsid w:val="759503C6"/>
    <w:rsid w:val="75954C96"/>
    <w:rsid w:val="75970A0E"/>
    <w:rsid w:val="759C4277"/>
    <w:rsid w:val="75B710B1"/>
    <w:rsid w:val="75BA5E27"/>
    <w:rsid w:val="75BD0EA2"/>
    <w:rsid w:val="75BE41ED"/>
    <w:rsid w:val="75C7511A"/>
    <w:rsid w:val="75CC2E8E"/>
    <w:rsid w:val="75DC0B17"/>
    <w:rsid w:val="75DC28C5"/>
    <w:rsid w:val="75E12D70"/>
    <w:rsid w:val="762A1882"/>
    <w:rsid w:val="762A3631"/>
    <w:rsid w:val="762D4ECF"/>
    <w:rsid w:val="762F0C47"/>
    <w:rsid w:val="7635099D"/>
    <w:rsid w:val="76377AFB"/>
    <w:rsid w:val="764346F2"/>
    <w:rsid w:val="764B35A7"/>
    <w:rsid w:val="765406AD"/>
    <w:rsid w:val="765929B4"/>
    <w:rsid w:val="76642E13"/>
    <w:rsid w:val="767674CD"/>
    <w:rsid w:val="76856AB9"/>
    <w:rsid w:val="768A40CF"/>
    <w:rsid w:val="76903738"/>
    <w:rsid w:val="769E7B7B"/>
    <w:rsid w:val="76A258BD"/>
    <w:rsid w:val="76A31809"/>
    <w:rsid w:val="76A42E74"/>
    <w:rsid w:val="76A438F2"/>
    <w:rsid w:val="76A742FA"/>
    <w:rsid w:val="76AF7FDA"/>
    <w:rsid w:val="76C00504"/>
    <w:rsid w:val="76CB58A5"/>
    <w:rsid w:val="76DB492B"/>
    <w:rsid w:val="76DF08BF"/>
    <w:rsid w:val="76E40FEC"/>
    <w:rsid w:val="76ED6818"/>
    <w:rsid w:val="770245AD"/>
    <w:rsid w:val="770943E5"/>
    <w:rsid w:val="770A5210"/>
    <w:rsid w:val="7715608F"/>
    <w:rsid w:val="77161E07"/>
    <w:rsid w:val="771F0CBB"/>
    <w:rsid w:val="77286DE9"/>
    <w:rsid w:val="772A2B12"/>
    <w:rsid w:val="772C64B4"/>
    <w:rsid w:val="77336515"/>
    <w:rsid w:val="77361C9C"/>
    <w:rsid w:val="773A78A3"/>
    <w:rsid w:val="77416E84"/>
    <w:rsid w:val="77444479"/>
    <w:rsid w:val="77446974"/>
    <w:rsid w:val="774D5B49"/>
    <w:rsid w:val="775B1BC4"/>
    <w:rsid w:val="775C3CBE"/>
    <w:rsid w:val="77626DFA"/>
    <w:rsid w:val="776808B4"/>
    <w:rsid w:val="777604CC"/>
    <w:rsid w:val="77762421"/>
    <w:rsid w:val="77784870"/>
    <w:rsid w:val="77876861"/>
    <w:rsid w:val="778B6351"/>
    <w:rsid w:val="77950F7E"/>
    <w:rsid w:val="779B2290"/>
    <w:rsid w:val="77B04009"/>
    <w:rsid w:val="77B56B1F"/>
    <w:rsid w:val="77B92EBE"/>
    <w:rsid w:val="77C8090F"/>
    <w:rsid w:val="77D47CF8"/>
    <w:rsid w:val="77D53CE3"/>
    <w:rsid w:val="77D73CB6"/>
    <w:rsid w:val="77D9662B"/>
    <w:rsid w:val="77E85551"/>
    <w:rsid w:val="77F064C5"/>
    <w:rsid w:val="77F9150C"/>
    <w:rsid w:val="780F09F4"/>
    <w:rsid w:val="780F5737"/>
    <w:rsid w:val="78194E86"/>
    <w:rsid w:val="781D403C"/>
    <w:rsid w:val="781E0F73"/>
    <w:rsid w:val="782056FE"/>
    <w:rsid w:val="782567A5"/>
    <w:rsid w:val="782C1E65"/>
    <w:rsid w:val="783165F8"/>
    <w:rsid w:val="783B09D1"/>
    <w:rsid w:val="78431EB9"/>
    <w:rsid w:val="784A6DC5"/>
    <w:rsid w:val="784B19A6"/>
    <w:rsid w:val="7858261A"/>
    <w:rsid w:val="785931B9"/>
    <w:rsid w:val="78654DF4"/>
    <w:rsid w:val="786727A1"/>
    <w:rsid w:val="78713799"/>
    <w:rsid w:val="787B4617"/>
    <w:rsid w:val="78922979"/>
    <w:rsid w:val="78940E20"/>
    <w:rsid w:val="78983815"/>
    <w:rsid w:val="7899274E"/>
    <w:rsid w:val="78A90480"/>
    <w:rsid w:val="78AB4A66"/>
    <w:rsid w:val="78B00E0E"/>
    <w:rsid w:val="78B4669B"/>
    <w:rsid w:val="78B57075"/>
    <w:rsid w:val="78BE0922"/>
    <w:rsid w:val="78BE62B2"/>
    <w:rsid w:val="78C315EA"/>
    <w:rsid w:val="78CC09CF"/>
    <w:rsid w:val="78D21D5D"/>
    <w:rsid w:val="78D67AA0"/>
    <w:rsid w:val="78D83818"/>
    <w:rsid w:val="78DA6C29"/>
    <w:rsid w:val="78DC1820"/>
    <w:rsid w:val="78DC5206"/>
    <w:rsid w:val="78DD0E2E"/>
    <w:rsid w:val="78DE6954"/>
    <w:rsid w:val="78EE303B"/>
    <w:rsid w:val="79054428"/>
    <w:rsid w:val="7919798C"/>
    <w:rsid w:val="792238E2"/>
    <w:rsid w:val="792A61BA"/>
    <w:rsid w:val="79312F28"/>
    <w:rsid w:val="79330A4E"/>
    <w:rsid w:val="79416B9B"/>
    <w:rsid w:val="79420C91"/>
    <w:rsid w:val="794F33AE"/>
    <w:rsid w:val="79500F4C"/>
    <w:rsid w:val="79526D7F"/>
    <w:rsid w:val="795310F0"/>
    <w:rsid w:val="79556C16"/>
    <w:rsid w:val="795E2449"/>
    <w:rsid w:val="796465DD"/>
    <w:rsid w:val="79674B9C"/>
    <w:rsid w:val="796C5D0E"/>
    <w:rsid w:val="796F0529"/>
    <w:rsid w:val="797D3314"/>
    <w:rsid w:val="798412AA"/>
    <w:rsid w:val="798E3ED6"/>
    <w:rsid w:val="79A75717"/>
    <w:rsid w:val="79B80F53"/>
    <w:rsid w:val="79C478F8"/>
    <w:rsid w:val="79D02741"/>
    <w:rsid w:val="79D97847"/>
    <w:rsid w:val="79F85010"/>
    <w:rsid w:val="79FD55A8"/>
    <w:rsid w:val="7A0D4354"/>
    <w:rsid w:val="7A0F58CD"/>
    <w:rsid w:val="7A1203BE"/>
    <w:rsid w:val="7A2D36EF"/>
    <w:rsid w:val="7A364017"/>
    <w:rsid w:val="7A396538"/>
    <w:rsid w:val="7A43601F"/>
    <w:rsid w:val="7A4402E0"/>
    <w:rsid w:val="7A4A160C"/>
    <w:rsid w:val="7A4A42A1"/>
    <w:rsid w:val="7A7362FE"/>
    <w:rsid w:val="7A772BBC"/>
    <w:rsid w:val="7A8265E1"/>
    <w:rsid w:val="7A923E9A"/>
    <w:rsid w:val="7A951295"/>
    <w:rsid w:val="7AAB101F"/>
    <w:rsid w:val="7AAF67FA"/>
    <w:rsid w:val="7AB24735"/>
    <w:rsid w:val="7AC4352C"/>
    <w:rsid w:val="7AD3647C"/>
    <w:rsid w:val="7AF01C20"/>
    <w:rsid w:val="7AF63020"/>
    <w:rsid w:val="7AF6338B"/>
    <w:rsid w:val="7AF679AD"/>
    <w:rsid w:val="7AF81F4F"/>
    <w:rsid w:val="7AFB559C"/>
    <w:rsid w:val="7AFD5319"/>
    <w:rsid w:val="7B14665D"/>
    <w:rsid w:val="7B1B79EC"/>
    <w:rsid w:val="7B1F572E"/>
    <w:rsid w:val="7B205002"/>
    <w:rsid w:val="7B2F52FF"/>
    <w:rsid w:val="7B42766E"/>
    <w:rsid w:val="7B4C229B"/>
    <w:rsid w:val="7B4F7695"/>
    <w:rsid w:val="7B5A4C4C"/>
    <w:rsid w:val="7B5C798D"/>
    <w:rsid w:val="7B615D46"/>
    <w:rsid w:val="7B630A59"/>
    <w:rsid w:val="7B641EE9"/>
    <w:rsid w:val="7B686D42"/>
    <w:rsid w:val="7B7122A7"/>
    <w:rsid w:val="7B7D4202"/>
    <w:rsid w:val="7B8012E4"/>
    <w:rsid w:val="7B8374D3"/>
    <w:rsid w:val="7B841746"/>
    <w:rsid w:val="7B8C1362"/>
    <w:rsid w:val="7B9366AD"/>
    <w:rsid w:val="7BBA7205"/>
    <w:rsid w:val="7BC10593"/>
    <w:rsid w:val="7BC26EBC"/>
    <w:rsid w:val="7BCF76DB"/>
    <w:rsid w:val="7BD007D6"/>
    <w:rsid w:val="7BDB06D8"/>
    <w:rsid w:val="7BE60B36"/>
    <w:rsid w:val="7BFC5A6F"/>
    <w:rsid w:val="7C057575"/>
    <w:rsid w:val="7C17769E"/>
    <w:rsid w:val="7C240944"/>
    <w:rsid w:val="7C2737B9"/>
    <w:rsid w:val="7C32323F"/>
    <w:rsid w:val="7C38637B"/>
    <w:rsid w:val="7C3A0345"/>
    <w:rsid w:val="7C442F72"/>
    <w:rsid w:val="7C4D0330"/>
    <w:rsid w:val="7C4F2043"/>
    <w:rsid w:val="7C5E1319"/>
    <w:rsid w:val="7C68003A"/>
    <w:rsid w:val="7C6C5AC7"/>
    <w:rsid w:val="7C6D3506"/>
    <w:rsid w:val="7C7F0EF9"/>
    <w:rsid w:val="7C80044E"/>
    <w:rsid w:val="7CA0583A"/>
    <w:rsid w:val="7CA13F21"/>
    <w:rsid w:val="7CA875CE"/>
    <w:rsid w:val="7CB63E70"/>
    <w:rsid w:val="7CBB76D8"/>
    <w:rsid w:val="7CC6544B"/>
    <w:rsid w:val="7CCB6D9A"/>
    <w:rsid w:val="7CCD740C"/>
    <w:rsid w:val="7CD6006E"/>
    <w:rsid w:val="7CD60F5D"/>
    <w:rsid w:val="7CDE5175"/>
    <w:rsid w:val="7CE06D7D"/>
    <w:rsid w:val="7CE34539"/>
    <w:rsid w:val="7CFF34A8"/>
    <w:rsid w:val="7D012C11"/>
    <w:rsid w:val="7D0239FF"/>
    <w:rsid w:val="7D1E3EA3"/>
    <w:rsid w:val="7D2A660C"/>
    <w:rsid w:val="7D2B6624"/>
    <w:rsid w:val="7D2D5128"/>
    <w:rsid w:val="7D353B60"/>
    <w:rsid w:val="7D38666F"/>
    <w:rsid w:val="7D473DD3"/>
    <w:rsid w:val="7D5457AA"/>
    <w:rsid w:val="7D580A83"/>
    <w:rsid w:val="7D5E40CD"/>
    <w:rsid w:val="7D6438CC"/>
    <w:rsid w:val="7D7C3B6C"/>
    <w:rsid w:val="7D8306B2"/>
    <w:rsid w:val="7D890097"/>
    <w:rsid w:val="7D891584"/>
    <w:rsid w:val="7D893333"/>
    <w:rsid w:val="7D934365"/>
    <w:rsid w:val="7D937D0D"/>
    <w:rsid w:val="7D9B2118"/>
    <w:rsid w:val="7DA0129B"/>
    <w:rsid w:val="7DBF4391"/>
    <w:rsid w:val="7DC51E91"/>
    <w:rsid w:val="7DC76EE5"/>
    <w:rsid w:val="7DCC7AD0"/>
    <w:rsid w:val="7DCD56F2"/>
    <w:rsid w:val="7DDA1B0A"/>
    <w:rsid w:val="7DE06CCB"/>
    <w:rsid w:val="7DE15AE6"/>
    <w:rsid w:val="7DFB58B2"/>
    <w:rsid w:val="7DFD5ACF"/>
    <w:rsid w:val="7E003A66"/>
    <w:rsid w:val="7E0C5029"/>
    <w:rsid w:val="7E1075B0"/>
    <w:rsid w:val="7E160421"/>
    <w:rsid w:val="7E1A21DD"/>
    <w:rsid w:val="7E1C41A7"/>
    <w:rsid w:val="7E254984"/>
    <w:rsid w:val="7E266DD3"/>
    <w:rsid w:val="7E372D8F"/>
    <w:rsid w:val="7E394D59"/>
    <w:rsid w:val="7E4A5759"/>
    <w:rsid w:val="7E543940"/>
    <w:rsid w:val="7E5C45A3"/>
    <w:rsid w:val="7E5E47BF"/>
    <w:rsid w:val="7E682F48"/>
    <w:rsid w:val="7E694F12"/>
    <w:rsid w:val="7E6C0278"/>
    <w:rsid w:val="7E77378E"/>
    <w:rsid w:val="7E7B3027"/>
    <w:rsid w:val="7E895EDA"/>
    <w:rsid w:val="7EA33F08"/>
    <w:rsid w:val="7EA53A8B"/>
    <w:rsid w:val="7EA63A70"/>
    <w:rsid w:val="7EAA5E42"/>
    <w:rsid w:val="7EBA751C"/>
    <w:rsid w:val="7ED14F91"/>
    <w:rsid w:val="7EDE320A"/>
    <w:rsid w:val="7EEE7F5E"/>
    <w:rsid w:val="7EF71F68"/>
    <w:rsid w:val="7EF742CC"/>
    <w:rsid w:val="7EFB0260"/>
    <w:rsid w:val="7EFD16EC"/>
    <w:rsid w:val="7F0005FE"/>
    <w:rsid w:val="7F001CE7"/>
    <w:rsid w:val="7F0C3D64"/>
    <w:rsid w:val="7F0D3AEF"/>
    <w:rsid w:val="7F2D22C3"/>
    <w:rsid w:val="7F35629E"/>
    <w:rsid w:val="7F390BA5"/>
    <w:rsid w:val="7F4219EB"/>
    <w:rsid w:val="7F4734A5"/>
    <w:rsid w:val="7F4C41E2"/>
    <w:rsid w:val="7F503682"/>
    <w:rsid w:val="7F640484"/>
    <w:rsid w:val="7F82628B"/>
    <w:rsid w:val="7F89586C"/>
    <w:rsid w:val="7F8C0EB8"/>
    <w:rsid w:val="7F907247"/>
    <w:rsid w:val="7FA627AA"/>
    <w:rsid w:val="7FA6330E"/>
    <w:rsid w:val="7FB126CD"/>
    <w:rsid w:val="7FBA7941"/>
    <w:rsid w:val="7FC22B2C"/>
    <w:rsid w:val="7FD748FB"/>
    <w:rsid w:val="7FDD5BB8"/>
    <w:rsid w:val="7FDD7966"/>
    <w:rsid w:val="7FE47E50"/>
    <w:rsid w:val="7FE900B8"/>
    <w:rsid w:val="7FEE56CF"/>
    <w:rsid w:val="7FF16F6D"/>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sdException w:qFormat="1" w:unhideWhenUsed="0" w:uiPriority="39" w:semiHidden="0" w:name="toc 2"/>
    <w:lsdException w:unhideWhenUsed="0" w:uiPriority="0" w:semiHidden="0" w:name="toc 3" w:locked="1"/>
    <w:lsdException w:unhideWhenUsed="0" w:uiPriority="0" w:semiHidden="0" w:name="toc 4" w:locked="1"/>
    <w:lsdException w:unhideWhenUsed="0" w:uiPriority="0" w:semiHidden="0" w:name="toc 5" w:locked="1"/>
    <w:lsdException w:qFormat="1" w:uiPriority="99" w:semiHidden="0" w:name="toc 6"/>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sdException w:unhideWhenUsed="0" w:uiPriority="0" w:semiHidden="0" w:name="Block Text" w:locked="1"/>
    <w:lsdException w:qFormat="1" w:uiPriority="99" w:semiHidden="0" w:name="Hyperlink"/>
    <w:lsdException w:unhideWhenUsed="0" w:uiPriority="0" w:semiHidden="0" w:name="FollowedHyperlink" w:locked="1"/>
    <w:lsdException w:qFormat="1" w:unhideWhenUsed="0" w:uiPriority="22" w:semiHidden="0" w:name="Strong" w:locked="1"/>
    <w:lsdException w:unhideWhenUsed="0" w:uiPriority="0" w:semiHidden="0" w:name="Emphasis" w:locked="1"/>
    <w:lsdException w:qFormat="1" w:unhideWhenUsed="0" w:uiPriority="0" w:semiHidden="0" w:name="Document Map" w:locked="1"/>
    <w:lsdException w:qFormat="1" w:uiPriority="99" w:semiHidden="0" w:name="Plain Text"/>
    <w:lsdException w:unhideWhenUsed="0" w:uiPriority="0" w:semiHidden="0" w:name="E-mail Signature" w:locked="1"/>
    <w:lsdException w:qFormat="1"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contextualSpacing/>
      <w:jc w:val="both"/>
    </w:pPr>
    <w:rPr>
      <w:rFonts w:ascii="Times New Roman" w:hAnsi="Times New Roman" w:eastAsia="宋体" w:cs="Times New Roman"/>
      <w:kern w:val="2"/>
      <w:sz w:val="24"/>
      <w:szCs w:val="24"/>
      <w:lang w:val="en-US" w:eastAsia="zh-CN" w:bidi="ar-SA"/>
    </w:rPr>
  </w:style>
  <w:style w:type="paragraph" w:styleId="7">
    <w:name w:val="heading 1"/>
    <w:basedOn w:val="1"/>
    <w:next w:val="1"/>
    <w:qFormat/>
    <w:locked/>
    <w:uiPriority w:val="99"/>
    <w:pPr>
      <w:keepNext/>
      <w:numPr>
        <w:ilvl w:val="0"/>
        <w:numId w:val="1"/>
      </w:numPr>
      <w:tabs>
        <w:tab w:val="left" w:pos="0"/>
      </w:tabs>
      <w:overflowPunct w:val="0"/>
      <w:snapToGrid w:val="0"/>
      <w:ind w:firstLine="0" w:firstLineChars="0"/>
      <w:jc w:val="center"/>
      <w:outlineLvl w:val="0"/>
    </w:pPr>
    <w:rPr>
      <w:rFonts w:eastAsia="黑体"/>
      <w:bCs/>
      <w:color w:val="000000"/>
      <w:kern w:val="44"/>
      <w:sz w:val="36"/>
      <w:szCs w:val="30"/>
    </w:rPr>
  </w:style>
  <w:style w:type="paragraph" w:styleId="8">
    <w:name w:val="heading 2"/>
    <w:basedOn w:val="1"/>
    <w:next w:val="1"/>
    <w:qFormat/>
    <w:locked/>
    <w:uiPriority w:val="99"/>
    <w:pPr>
      <w:keepNext/>
      <w:keepLines/>
      <w:spacing w:after="50" w:afterLines="50" w:line="288" w:lineRule="auto"/>
      <w:ind w:firstLine="0" w:firstLineChars="0"/>
      <w:jc w:val="left"/>
      <w:outlineLvl w:val="1"/>
    </w:pPr>
    <w:rPr>
      <w:rFonts w:cs="Arial"/>
      <w:b/>
      <w:szCs w:val="32"/>
    </w:rPr>
  </w:style>
  <w:style w:type="paragraph" w:styleId="9">
    <w:name w:val="heading 3"/>
    <w:basedOn w:val="1"/>
    <w:next w:val="1"/>
    <w:qFormat/>
    <w:locked/>
    <w:uiPriority w:val="0"/>
    <w:pPr>
      <w:keepNext/>
      <w:keepLines/>
      <w:adjustRightInd w:val="0"/>
      <w:snapToGrid w:val="0"/>
      <w:spacing w:after="50" w:afterLines="50" w:line="240" w:lineRule="auto"/>
      <w:outlineLvl w:val="2"/>
    </w:pPr>
    <w:rPr>
      <w:b/>
    </w:rPr>
  </w:style>
  <w:style w:type="paragraph" w:styleId="10">
    <w:name w:val="heading 4"/>
    <w:basedOn w:val="1"/>
    <w:next w:val="1"/>
    <w:qFormat/>
    <w:locked/>
    <w:uiPriority w:val="0"/>
    <w:pPr>
      <w:keepNext/>
      <w:keepLines/>
      <w:spacing w:before="280" w:after="290" w:line="372" w:lineRule="auto"/>
      <w:outlineLvl w:val="3"/>
    </w:pPr>
    <w:rPr>
      <w:rFonts w:ascii="Arial" w:hAnsi="Arial" w:eastAsia="黑体"/>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rPr>
      <w:kern w:val="0"/>
      <w:sz w:val="24"/>
      <w:szCs w:val="20"/>
    </w:rPr>
  </w:style>
  <w:style w:type="paragraph" w:styleId="4">
    <w:name w:val="Body Text First Indent"/>
    <w:basedOn w:val="5"/>
    <w:next w:val="6"/>
    <w:qFormat/>
    <w:uiPriority w:val="0"/>
    <w:pPr>
      <w:spacing w:after="120"/>
      <w:ind w:firstLine="420" w:firstLineChars="100"/>
    </w:pPr>
    <w:rPr>
      <w:sz w:val="32"/>
    </w:rPr>
  </w:style>
  <w:style w:type="paragraph" w:styleId="5">
    <w:name w:val="Body Text"/>
    <w:basedOn w:val="1"/>
    <w:qFormat/>
    <w:uiPriority w:val="0"/>
    <w:pPr>
      <w:widowControl/>
      <w:snapToGrid w:val="0"/>
      <w:spacing w:before="60" w:after="160" w:line="259" w:lineRule="auto"/>
      <w:ind w:right="113"/>
    </w:pPr>
    <w:rPr>
      <w:kern w:val="0"/>
      <w:sz w:val="18"/>
      <w:szCs w:val="20"/>
    </w:rPr>
  </w:style>
  <w:style w:type="paragraph" w:styleId="6">
    <w:name w:val="table of figures"/>
    <w:basedOn w:val="1"/>
    <w:next w:val="1"/>
    <w:qFormat/>
    <w:locked/>
    <w:uiPriority w:val="0"/>
    <w:pPr>
      <w:ind w:left="200" w:leftChars="200" w:hanging="200" w:hangingChars="200"/>
    </w:pPr>
  </w:style>
  <w:style w:type="paragraph" w:styleId="11">
    <w:name w:val="Normal Indent"/>
    <w:basedOn w:val="1"/>
    <w:next w:val="1"/>
    <w:qFormat/>
    <w:locked/>
    <w:uiPriority w:val="99"/>
    <w:pPr>
      <w:ind w:firstLine="420" w:firstLineChars="200"/>
    </w:pPr>
  </w:style>
  <w:style w:type="paragraph" w:styleId="12">
    <w:name w:val="Document Map"/>
    <w:basedOn w:val="1"/>
    <w:link w:val="31"/>
    <w:qFormat/>
    <w:locked/>
    <w:uiPriority w:val="0"/>
    <w:rPr>
      <w:rFonts w:ascii="宋体"/>
      <w:sz w:val="18"/>
      <w:szCs w:val="18"/>
    </w:rPr>
  </w:style>
  <w:style w:type="paragraph" w:styleId="13">
    <w:name w:val="annotation text"/>
    <w:basedOn w:val="1"/>
    <w:link w:val="32"/>
    <w:qFormat/>
    <w:uiPriority w:val="0"/>
    <w:pPr>
      <w:jc w:val="left"/>
    </w:pPr>
  </w:style>
  <w:style w:type="paragraph" w:styleId="14">
    <w:name w:val="Plain Text"/>
    <w:basedOn w:val="1"/>
    <w:next w:val="1"/>
    <w:link w:val="33"/>
    <w:unhideWhenUsed/>
    <w:qFormat/>
    <w:uiPriority w:val="99"/>
    <w:pPr>
      <w:spacing w:line="240" w:lineRule="atLeast"/>
      <w:ind w:firstLine="0" w:firstLineChars="0"/>
    </w:pPr>
    <w:rPr>
      <w:rFonts w:ascii="宋体" w:hAnsi="Courier New"/>
      <w:sz w:val="28"/>
      <w:szCs w:val="28"/>
    </w:rPr>
  </w:style>
  <w:style w:type="paragraph" w:styleId="15">
    <w:name w:val="List Bullet 5"/>
    <w:basedOn w:val="1"/>
    <w:qFormat/>
    <w:locked/>
    <w:uiPriority w:val="0"/>
    <w:pPr>
      <w:numPr>
        <w:ilvl w:val="0"/>
        <w:numId w:val="2"/>
      </w:numPr>
    </w:pPr>
  </w:style>
  <w:style w:type="paragraph" w:styleId="16">
    <w:name w:val="Balloon Text"/>
    <w:basedOn w:val="1"/>
    <w:link w:val="34"/>
    <w:qFormat/>
    <w:uiPriority w:val="0"/>
    <w:pPr>
      <w:spacing w:line="240" w:lineRule="auto"/>
    </w:pPr>
    <w:rPr>
      <w:sz w:val="18"/>
      <w:szCs w:val="18"/>
    </w:rPr>
  </w:style>
  <w:style w:type="paragraph" w:styleId="17">
    <w:name w:val="footer"/>
    <w:basedOn w:val="1"/>
    <w:link w:val="35"/>
    <w:qFormat/>
    <w:uiPriority w:val="0"/>
    <w:pPr>
      <w:tabs>
        <w:tab w:val="center" w:pos="4153"/>
        <w:tab w:val="right" w:pos="8306"/>
      </w:tabs>
      <w:snapToGrid w:val="0"/>
      <w:spacing w:line="240" w:lineRule="auto"/>
      <w:jc w:val="left"/>
    </w:pPr>
    <w:rPr>
      <w:sz w:val="18"/>
      <w:szCs w:val="18"/>
    </w:rPr>
  </w:style>
  <w:style w:type="paragraph" w:styleId="18">
    <w:name w:val="header"/>
    <w:basedOn w:val="1"/>
    <w:link w:val="36"/>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qFormat/>
    <w:uiPriority w:val="39"/>
  </w:style>
  <w:style w:type="paragraph" w:styleId="20">
    <w:name w:val="toc 6"/>
    <w:basedOn w:val="1"/>
    <w:next w:val="1"/>
    <w:unhideWhenUsed/>
    <w:qFormat/>
    <w:uiPriority w:val="99"/>
    <w:pPr>
      <w:spacing w:before="100" w:beforeAutospacing="1" w:after="100" w:afterAutospacing="1" w:line="240" w:lineRule="auto"/>
      <w:ind w:left="1050" w:firstLine="0" w:firstLineChars="0"/>
      <w:jc w:val="left"/>
    </w:pPr>
    <w:rPr>
      <w:sz w:val="18"/>
      <w:szCs w:val="18"/>
    </w:rPr>
  </w:style>
  <w:style w:type="paragraph" w:styleId="21">
    <w:name w:val="toc 2"/>
    <w:basedOn w:val="1"/>
    <w:next w:val="1"/>
    <w:qFormat/>
    <w:uiPriority w:val="39"/>
    <w:pPr>
      <w:ind w:left="420" w:leftChars="200"/>
    </w:pPr>
  </w:style>
  <w:style w:type="paragraph" w:styleId="22">
    <w:name w:val="Normal (Web)"/>
    <w:basedOn w:val="1"/>
    <w:unhideWhenUsed/>
    <w:qFormat/>
    <w:uiPriority w:val="99"/>
    <w:pPr>
      <w:widowControl/>
      <w:spacing w:before="100" w:beforeAutospacing="1" w:after="100" w:afterAutospacing="1" w:line="240" w:lineRule="auto"/>
      <w:ind w:firstLine="0" w:firstLineChars="0"/>
      <w:contextualSpacing w:val="0"/>
      <w:jc w:val="left"/>
    </w:pPr>
    <w:rPr>
      <w:rFonts w:ascii="宋体" w:hAnsi="宋体" w:cs="宋体"/>
      <w:kern w:val="0"/>
    </w:rPr>
  </w:style>
  <w:style w:type="paragraph" w:styleId="23">
    <w:name w:val="annotation subject"/>
    <w:basedOn w:val="13"/>
    <w:next w:val="13"/>
    <w:link w:val="37"/>
    <w:qFormat/>
    <w:uiPriority w:val="0"/>
    <w:rPr>
      <w:b/>
      <w:bCs/>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22"/>
    <w:rPr>
      <w:rFonts w:hAnsi="宋体" w:eastAsia="宋体"/>
      <w:b/>
      <w:kern w:val="0"/>
      <w:sz w:val="21"/>
      <w:szCs w:val="21"/>
    </w:rPr>
  </w:style>
  <w:style w:type="character" w:styleId="28">
    <w:name w:val="page number"/>
    <w:qFormat/>
    <w:locked/>
    <w:uiPriority w:val="0"/>
  </w:style>
  <w:style w:type="character" w:styleId="29">
    <w:name w:val="Hyperlink"/>
    <w:unhideWhenUsed/>
    <w:qFormat/>
    <w:uiPriority w:val="99"/>
    <w:rPr>
      <w:color w:val="0563C1"/>
      <w:u w:val="single"/>
    </w:rPr>
  </w:style>
  <w:style w:type="character" w:styleId="30">
    <w:name w:val="annotation reference"/>
    <w:basedOn w:val="26"/>
    <w:qFormat/>
    <w:uiPriority w:val="0"/>
    <w:rPr>
      <w:sz w:val="21"/>
    </w:rPr>
  </w:style>
  <w:style w:type="character" w:customStyle="1" w:styleId="31">
    <w:name w:val="文档结构图 Char"/>
    <w:link w:val="12"/>
    <w:qFormat/>
    <w:uiPriority w:val="0"/>
    <w:rPr>
      <w:rFonts w:ascii="宋体"/>
      <w:kern w:val="2"/>
      <w:sz w:val="18"/>
      <w:szCs w:val="18"/>
    </w:rPr>
  </w:style>
  <w:style w:type="character" w:customStyle="1" w:styleId="32">
    <w:name w:val="批注文字 Char"/>
    <w:link w:val="13"/>
    <w:qFormat/>
    <w:uiPriority w:val="0"/>
    <w:rPr>
      <w:kern w:val="2"/>
      <w:sz w:val="24"/>
      <w:szCs w:val="24"/>
    </w:rPr>
  </w:style>
  <w:style w:type="character" w:customStyle="1" w:styleId="33">
    <w:name w:val="纯文本 Char"/>
    <w:link w:val="14"/>
    <w:qFormat/>
    <w:uiPriority w:val="99"/>
    <w:rPr>
      <w:rFonts w:ascii="宋体" w:hAnsi="Courier New" w:cs="宋体"/>
      <w:kern w:val="2"/>
      <w:sz w:val="28"/>
      <w:szCs w:val="28"/>
    </w:rPr>
  </w:style>
  <w:style w:type="character" w:customStyle="1" w:styleId="34">
    <w:name w:val="批注框文本 Char"/>
    <w:link w:val="16"/>
    <w:qFormat/>
    <w:uiPriority w:val="0"/>
    <w:rPr>
      <w:kern w:val="2"/>
      <w:sz w:val="18"/>
      <w:szCs w:val="18"/>
    </w:rPr>
  </w:style>
  <w:style w:type="character" w:customStyle="1" w:styleId="35">
    <w:name w:val="页脚 Char"/>
    <w:link w:val="17"/>
    <w:qFormat/>
    <w:uiPriority w:val="0"/>
    <w:rPr>
      <w:kern w:val="2"/>
      <w:sz w:val="18"/>
      <w:szCs w:val="18"/>
    </w:rPr>
  </w:style>
  <w:style w:type="character" w:customStyle="1" w:styleId="36">
    <w:name w:val="页眉 Char"/>
    <w:link w:val="18"/>
    <w:qFormat/>
    <w:uiPriority w:val="0"/>
    <w:rPr>
      <w:kern w:val="2"/>
      <w:sz w:val="18"/>
      <w:szCs w:val="18"/>
    </w:rPr>
  </w:style>
  <w:style w:type="character" w:customStyle="1" w:styleId="37">
    <w:name w:val="批注主题 Char"/>
    <w:link w:val="23"/>
    <w:qFormat/>
    <w:uiPriority w:val="0"/>
    <w:rPr>
      <w:b/>
      <w:bCs/>
      <w:kern w:val="2"/>
      <w:sz w:val="24"/>
      <w:szCs w:val="24"/>
    </w:rPr>
  </w:style>
  <w:style w:type="character" w:customStyle="1" w:styleId="38">
    <w:name w:val="表格文 Char"/>
    <w:link w:val="39"/>
    <w:qFormat/>
    <w:uiPriority w:val="0"/>
    <w:rPr>
      <w:bCs/>
      <w:kern w:val="2"/>
      <w:sz w:val="21"/>
      <w:szCs w:val="21"/>
      <w:lang w:bidi="ar-BH"/>
    </w:rPr>
  </w:style>
  <w:style w:type="paragraph" w:customStyle="1" w:styleId="39">
    <w:name w:val="表格文"/>
    <w:basedOn w:val="1"/>
    <w:link w:val="38"/>
    <w:qFormat/>
    <w:uiPriority w:val="0"/>
    <w:pPr>
      <w:spacing w:before="100" w:beforeAutospacing="1" w:after="100" w:afterAutospacing="1" w:line="276" w:lineRule="auto"/>
      <w:ind w:firstLine="0" w:firstLineChars="0"/>
      <w:jc w:val="center"/>
    </w:pPr>
    <w:rPr>
      <w:bCs/>
      <w:sz w:val="21"/>
      <w:szCs w:val="21"/>
      <w:lang w:bidi="ar-BH"/>
    </w:rPr>
  </w:style>
  <w:style w:type="paragraph" w:customStyle="1" w:styleId="40">
    <w:name w:val="表格文字"/>
    <w:basedOn w:val="14"/>
    <w:next w:val="1"/>
    <w:link w:val="41"/>
    <w:qFormat/>
    <w:uiPriority w:val="0"/>
    <w:pPr>
      <w:spacing w:line="264" w:lineRule="auto"/>
      <w:ind w:firstLine="0" w:firstLineChars="0"/>
      <w:jc w:val="left"/>
    </w:pPr>
    <w:rPr>
      <w:sz w:val="21"/>
      <w:szCs w:val="21"/>
    </w:rPr>
  </w:style>
  <w:style w:type="character" w:customStyle="1" w:styleId="41">
    <w:name w:val="表格文字 字符"/>
    <w:link w:val="40"/>
    <w:qFormat/>
    <w:uiPriority w:val="0"/>
    <w:rPr>
      <w:kern w:val="2"/>
      <w:sz w:val="21"/>
      <w:szCs w:val="21"/>
    </w:rPr>
  </w:style>
  <w:style w:type="paragraph" w:customStyle="1" w:styleId="42">
    <w:name w:val="表标题"/>
    <w:basedOn w:val="1"/>
    <w:next w:val="43"/>
    <w:link w:val="58"/>
    <w:qFormat/>
    <w:uiPriority w:val="0"/>
    <w:pPr>
      <w:numPr>
        <w:ilvl w:val="3"/>
        <w:numId w:val="1"/>
      </w:numPr>
      <w:adjustRightInd w:val="0"/>
      <w:snapToGrid w:val="0"/>
      <w:spacing w:line="240" w:lineRule="auto"/>
      <w:ind w:left="0" w:firstLine="0" w:firstLineChars="0"/>
      <w:jc w:val="center"/>
    </w:pPr>
    <w:rPr>
      <w:rFonts w:eastAsia="黑体"/>
      <w:sz w:val="21"/>
      <w:szCs w:val="21"/>
    </w:rPr>
  </w:style>
  <w:style w:type="paragraph" w:customStyle="1" w:styleId="43">
    <w:name w:val="+正文"/>
    <w:basedOn w:val="1"/>
    <w:qFormat/>
    <w:uiPriority w:val="0"/>
    <w:pPr>
      <w:adjustRightInd w:val="0"/>
      <w:snapToGrid w:val="0"/>
    </w:pPr>
  </w:style>
  <w:style w:type="paragraph" w:customStyle="1" w:styleId="44">
    <w:name w:val="惠泽正文"/>
    <w:basedOn w:val="1"/>
    <w:qFormat/>
    <w:uiPriority w:val="0"/>
    <w:pPr>
      <w:spacing w:line="480" w:lineRule="exact"/>
      <w:ind w:firstLine="480"/>
    </w:pPr>
    <w:rPr>
      <w:rFonts w:hAnsi="宋体" w:cs="宋体"/>
    </w:rPr>
  </w:style>
  <w:style w:type="paragraph" w:customStyle="1" w:styleId="45">
    <w:name w:val="标题2.3"/>
    <w:basedOn w:val="1"/>
    <w:qFormat/>
    <w:uiPriority w:val="0"/>
    <w:rPr>
      <w:b/>
      <w:sz w:val="21"/>
      <w:szCs w:val="21"/>
    </w:rPr>
  </w:style>
  <w:style w:type="paragraph" w:customStyle="1" w:styleId="46">
    <w:name w:val="正文-ls"/>
    <w:basedOn w:val="1"/>
    <w:qFormat/>
    <w:uiPriority w:val="0"/>
    <w:pPr>
      <w:adjustRightInd w:val="0"/>
      <w:snapToGrid w:val="0"/>
      <w:ind w:firstLine="0" w:firstLineChars="0"/>
    </w:pPr>
    <w:rPr>
      <w:rFonts w:hAnsi="宋体" w:cs="宋体"/>
      <w:kern w:val="0"/>
    </w:rPr>
  </w:style>
  <w:style w:type="paragraph" w:customStyle="1" w:styleId="47">
    <w:name w:val="表格"/>
    <w:basedOn w:val="1"/>
    <w:next w:val="1"/>
    <w:qFormat/>
    <w:uiPriority w:val="0"/>
    <w:pPr>
      <w:adjustRightInd w:val="0"/>
      <w:snapToGrid w:val="0"/>
      <w:spacing w:beforeLines="10" w:afterLines="10" w:line="256" w:lineRule="auto"/>
      <w:ind w:firstLine="0" w:firstLineChars="0"/>
      <w:jc w:val="center"/>
    </w:pPr>
    <w:rPr>
      <w:rFonts w:ascii="宋体" w:hAnsi="宋体" w:cs="宋体"/>
      <w:kern w:val="0"/>
      <w:sz w:val="21"/>
      <w:szCs w:val="21"/>
    </w:rPr>
  </w:style>
  <w:style w:type="character" w:customStyle="1" w:styleId="48">
    <w:name w:val="15"/>
    <w:qFormat/>
    <w:uiPriority w:val="0"/>
    <w:rPr>
      <w:rFonts w:hint="default" w:ascii="Times New Roman" w:hAnsi="Times New Roman" w:cs="Times New Roman"/>
      <w:sz w:val="21"/>
      <w:szCs w:val="21"/>
    </w:rPr>
  </w:style>
  <w:style w:type="paragraph" w:customStyle="1" w:styleId="4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0">
    <w:name w:val="无间隔1"/>
    <w:basedOn w:val="1"/>
    <w:qFormat/>
    <w:uiPriority w:val="0"/>
    <w:pPr>
      <w:adjustRightInd w:val="0"/>
      <w:snapToGrid w:val="0"/>
      <w:spacing w:line="240" w:lineRule="auto"/>
      <w:ind w:firstLine="0" w:firstLineChars="0"/>
      <w:jc w:val="center"/>
    </w:pPr>
    <w:rPr>
      <w:b/>
      <w:sz w:val="21"/>
      <w:szCs w:val="21"/>
    </w:rPr>
  </w:style>
  <w:style w:type="paragraph" w:customStyle="1" w:styleId="51">
    <w:name w:val="标题2"/>
    <w:basedOn w:val="8"/>
    <w:next w:val="43"/>
    <w:qFormat/>
    <w:uiPriority w:val="0"/>
    <w:pPr>
      <w:spacing w:after="0" w:afterLines="0"/>
      <w:jc w:val="both"/>
    </w:pPr>
    <w:rPr>
      <w:rFonts w:cs="Times New Roman"/>
      <w:bCs/>
      <w:szCs w:val="24"/>
    </w:rPr>
  </w:style>
  <w:style w:type="character" w:customStyle="1" w:styleId="52">
    <w:name w:val="font31"/>
    <w:qFormat/>
    <w:uiPriority w:val="0"/>
    <w:rPr>
      <w:rFonts w:ascii="宋体" w:hAnsi="宋体" w:eastAsia="宋体" w:cs="宋体"/>
      <w:b/>
      <w:bCs/>
      <w:color w:val="000000"/>
      <w:sz w:val="20"/>
      <w:szCs w:val="20"/>
      <w:u w:val="none"/>
    </w:rPr>
  </w:style>
  <w:style w:type="character" w:customStyle="1" w:styleId="53">
    <w:name w:val="font41"/>
    <w:qFormat/>
    <w:uiPriority w:val="0"/>
    <w:rPr>
      <w:rFonts w:ascii="宋体" w:hAnsi="宋体" w:eastAsia="宋体" w:cs="宋体"/>
      <w:color w:val="000000"/>
      <w:sz w:val="20"/>
      <w:szCs w:val="20"/>
      <w:u w:val="none"/>
    </w:rPr>
  </w:style>
  <w:style w:type="character" w:customStyle="1" w:styleId="54">
    <w:name w:val="font01"/>
    <w:qFormat/>
    <w:uiPriority w:val="0"/>
    <w:rPr>
      <w:rFonts w:hint="eastAsia" w:ascii="宋体" w:hAnsi="宋体" w:eastAsia="宋体"/>
      <w:color w:val="000000"/>
      <w:sz w:val="22"/>
      <w:szCs w:val="22"/>
      <w:u w:val="none"/>
    </w:rPr>
  </w:style>
  <w:style w:type="paragraph" w:customStyle="1" w:styleId="55">
    <w:name w:val="图表名"/>
    <w:basedOn w:val="1"/>
    <w:qFormat/>
    <w:uiPriority w:val="0"/>
    <w:pPr>
      <w:spacing w:line="240" w:lineRule="auto"/>
      <w:ind w:firstLine="0" w:firstLineChars="0"/>
      <w:jc w:val="center"/>
    </w:pPr>
    <w:rPr>
      <w:rFonts w:eastAsia="黑体"/>
      <w:sz w:val="21"/>
      <w:szCs w:val="21"/>
    </w:rPr>
  </w:style>
  <w:style w:type="paragraph" w:customStyle="1" w:styleId="56">
    <w:name w:val="Revision"/>
    <w:hidden/>
    <w:unhideWhenUsed/>
    <w:qFormat/>
    <w:uiPriority w:val="99"/>
    <w:rPr>
      <w:rFonts w:ascii="Times New Roman" w:hAnsi="Times New Roman" w:eastAsia="宋体" w:cs="Times New Roman"/>
      <w:kern w:val="2"/>
      <w:sz w:val="24"/>
      <w:szCs w:val="24"/>
      <w:lang w:val="en-US" w:eastAsia="zh-CN" w:bidi="ar-SA"/>
    </w:rPr>
  </w:style>
  <w:style w:type="paragraph" w:customStyle="1" w:styleId="57">
    <w:name w:val="图标题"/>
    <w:basedOn w:val="42"/>
    <w:next w:val="1"/>
    <w:link w:val="59"/>
    <w:qFormat/>
    <w:uiPriority w:val="0"/>
    <w:pPr>
      <w:numPr>
        <w:ilvl w:val="0"/>
        <w:numId w:val="0"/>
      </w:numPr>
    </w:pPr>
  </w:style>
  <w:style w:type="character" w:customStyle="1" w:styleId="58">
    <w:name w:val="表标题 Char"/>
    <w:link w:val="42"/>
    <w:qFormat/>
    <w:uiPriority w:val="0"/>
    <w:rPr>
      <w:rFonts w:eastAsia="黑体"/>
      <w:kern w:val="2"/>
      <w:sz w:val="21"/>
      <w:szCs w:val="21"/>
    </w:rPr>
  </w:style>
  <w:style w:type="character" w:customStyle="1" w:styleId="59">
    <w:name w:val="图标题 Char"/>
    <w:basedOn w:val="58"/>
    <w:link w:val="57"/>
    <w:qFormat/>
    <w:uiPriority w:val="0"/>
    <w:rPr>
      <w:rFonts w:eastAsia="黑体"/>
      <w:kern w:val="2"/>
      <w:sz w:val="21"/>
      <w:szCs w:val="21"/>
    </w:rPr>
  </w:style>
  <w:style w:type="paragraph" w:styleId="60">
    <w:name w:val="List Paragraph"/>
    <w:basedOn w:val="1"/>
    <w:qFormat/>
    <w:uiPriority w:val="99"/>
    <w:pPr>
      <w:ind w:firstLine="420"/>
    </w:pPr>
  </w:style>
  <w:style w:type="character" w:customStyle="1" w:styleId="61">
    <w:name w:val="font11"/>
    <w:basedOn w:val="26"/>
    <w:qFormat/>
    <w:uiPriority w:val="0"/>
    <w:rPr>
      <w:rFonts w:hint="eastAsia" w:ascii="宋体" w:hAnsi="宋体" w:eastAsia="宋体" w:cs="宋体"/>
      <w:color w:val="000000"/>
      <w:sz w:val="24"/>
      <w:szCs w:val="24"/>
      <w:u w:val="none"/>
      <w:vertAlign w:val="subscript"/>
    </w:rPr>
  </w:style>
  <w:style w:type="character" w:customStyle="1" w:styleId="62">
    <w:name w:val="font51"/>
    <w:basedOn w:val="26"/>
    <w:qFormat/>
    <w:uiPriority w:val="0"/>
    <w:rPr>
      <w:rFonts w:hint="eastAsia" w:ascii="宋体" w:hAnsi="宋体" w:eastAsia="宋体" w:cs="宋体"/>
      <w:color w:val="000000"/>
      <w:sz w:val="24"/>
      <w:szCs w:val="24"/>
      <w:u w:val="none"/>
    </w:rPr>
  </w:style>
  <w:style w:type="character" w:customStyle="1" w:styleId="63">
    <w:name w:val="font61"/>
    <w:basedOn w:val="26"/>
    <w:qFormat/>
    <w:uiPriority w:val="0"/>
    <w:rPr>
      <w:rFonts w:hint="eastAsia" w:ascii="宋体" w:hAnsi="宋体" w:eastAsia="宋体" w:cs="宋体"/>
      <w:color w:val="000000"/>
      <w:sz w:val="24"/>
      <w:szCs w:val="24"/>
      <w:u w:val="none"/>
      <w:vertAlign w:val="superscript"/>
    </w:rPr>
  </w:style>
  <w:style w:type="paragraph" w:customStyle="1" w:styleId="64">
    <w:name w:val="Default"/>
    <w:basedOn w:val="65"/>
    <w:qFormat/>
    <w:uiPriority w:val="0"/>
    <w:rPr>
      <w:rFonts w:ascii="宋体`....." w:eastAsia="宋体`....." w:cs="宋体`....."/>
      <w:sz w:val="24"/>
    </w:rPr>
  </w:style>
  <w:style w:type="paragraph" w:customStyle="1" w:styleId="65">
    <w:name w:val="纯文本1"/>
    <w:basedOn w:val="1"/>
    <w:qFormat/>
    <w:uiPriority w:val="99"/>
    <w:pPr>
      <w:autoSpaceDE w:val="0"/>
      <w:autoSpaceDN w:val="0"/>
      <w:adjustRightInd w:val="0"/>
      <w:textAlignment w:val="baseline"/>
    </w:pPr>
    <w:rPr>
      <w:rFonts w:ascii="宋体"/>
      <w:szCs w:val="20"/>
    </w:rPr>
  </w:style>
  <w:style w:type="paragraph" w:customStyle="1" w:styleId="66">
    <w:name w:val="Table Text"/>
    <w:basedOn w:val="1"/>
    <w:semiHidden/>
    <w:qFormat/>
    <w:uiPriority w:val="0"/>
    <w:rPr>
      <w:rFonts w:ascii="宋体" w:hAnsi="宋体" w:eastAsia="宋体" w:cs="宋体"/>
      <w:sz w:val="24"/>
      <w:szCs w:val="24"/>
      <w:lang w:val="en-US" w:eastAsia="en-US" w:bidi="ar-SA"/>
    </w:rPr>
  </w:style>
  <w:style w:type="table" w:customStyle="1" w:styleId="6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1763</Words>
  <Characters>1933</Characters>
  <Lines>221</Lines>
  <Paragraphs>62</Paragraphs>
  <TotalTime>33</TotalTime>
  <ScaleCrop>false</ScaleCrop>
  <LinksUpToDate>false</LinksUpToDate>
  <CharactersWithSpaces>1972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2024-11-14T02:33:00Z</dcterms:created>
  <dc:creator>lhj</dc:creator>
  <cp:lastModifiedBy>宁静致远</cp:lastModifiedBy>
  <cp:lastPrinted>2021-06-27T05:11:00Z</cp:lastPrinted>
  <dcterms:modified xsi:type="dcterms:W3CDTF">2025-07-03T01:17:38Z</dcterms:modified>
  <dc:title>附件2</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FB6D60544A024A398F0B80BCD9435191_13</vt:lpwstr>
  </property>
  <property fmtid="{D5CDD505-2E9C-101B-9397-08002B2CF9AE}" pid="4" name="MTWinEqns">
    <vt:bool>true</vt:bool>
  </property>
  <property fmtid="{D5CDD505-2E9C-101B-9397-08002B2CF9AE}" pid="5" name="KSOTemplateDocerSaveRecord">
    <vt:lpwstr>eyJoZGlkIjoiY2E5MzE3OGNiYTIzOTJmMDg0MTBhNTc4MDRlNTg3MTUiLCJ1c2VySWQiOiI0MDY0NDM5NzUifQ==</vt:lpwstr>
  </property>
</Properties>
</file>