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8BA05">
      <w:pPr>
        <w:spacing w:before="0" w:line="240" w:lineRule="auto"/>
        <w:rPr>
          <w:rFonts w:hint="default" w:ascii="Times New Roman" w:hAnsi="Times New Roman" w:eastAsia="Times New Roman" w:cs="Times New Roman"/>
          <w:color w:val="auto"/>
          <w:sz w:val="20"/>
          <w:szCs w:val="20"/>
        </w:rPr>
      </w:pPr>
    </w:p>
    <w:p w14:paraId="6EE0877B">
      <w:pPr>
        <w:spacing w:before="0" w:line="240" w:lineRule="auto"/>
        <w:rPr>
          <w:rFonts w:hint="default" w:ascii="Times New Roman" w:hAnsi="Times New Roman" w:eastAsia="Times New Roman" w:cs="Times New Roman"/>
          <w:color w:val="auto"/>
          <w:sz w:val="20"/>
          <w:szCs w:val="20"/>
        </w:rPr>
      </w:pPr>
    </w:p>
    <w:p w14:paraId="210C376B">
      <w:pPr>
        <w:spacing w:before="0" w:line="240" w:lineRule="auto"/>
        <w:rPr>
          <w:rFonts w:hint="default" w:ascii="Times New Roman" w:hAnsi="Times New Roman" w:eastAsia="Times New Roman" w:cs="Times New Roman"/>
          <w:color w:val="auto"/>
          <w:sz w:val="20"/>
          <w:szCs w:val="20"/>
        </w:rPr>
      </w:pPr>
    </w:p>
    <w:p w14:paraId="38F4156F">
      <w:pPr>
        <w:spacing w:before="0" w:line="240" w:lineRule="auto"/>
        <w:rPr>
          <w:rFonts w:hint="default" w:ascii="Times New Roman" w:hAnsi="Times New Roman" w:eastAsia="Times New Roman" w:cs="Times New Roman"/>
          <w:color w:val="auto"/>
          <w:sz w:val="20"/>
          <w:szCs w:val="20"/>
        </w:rPr>
      </w:pPr>
    </w:p>
    <w:p w14:paraId="721E4E86">
      <w:pPr>
        <w:spacing w:before="0" w:line="240" w:lineRule="auto"/>
        <w:rPr>
          <w:rFonts w:hint="default" w:ascii="Times New Roman" w:hAnsi="Times New Roman" w:eastAsia="Times New Roman" w:cs="Times New Roman"/>
          <w:color w:val="auto"/>
          <w:sz w:val="20"/>
          <w:szCs w:val="20"/>
        </w:rPr>
      </w:pPr>
    </w:p>
    <w:p w14:paraId="3407CC2F">
      <w:pPr>
        <w:spacing w:before="0" w:line="240" w:lineRule="auto"/>
        <w:rPr>
          <w:rFonts w:hint="default" w:ascii="Times New Roman" w:hAnsi="Times New Roman" w:eastAsia="Times New Roman" w:cs="Times New Roman"/>
          <w:color w:val="auto"/>
          <w:sz w:val="20"/>
          <w:szCs w:val="20"/>
        </w:rPr>
      </w:pPr>
    </w:p>
    <w:p w14:paraId="4BA8663B">
      <w:pPr>
        <w:spacing w:before="0" w:line="240" w:lineRule="auto"/>
        <w:rPr>
          <w:rFonts w:hint="default" w:ascii="Times New Roman" w:hAnsi="Times New Roman" w:eastAsia="Times New Roman" w:cs="Times New Roman"/>
          <w:color w:val="auto"/>
          <w:sz w:val="20"/>
          <w:szCs w:val="20"/>
        </w:rPr>
      </w:pPr>
    </w:p>
    <w:p w14:paraId="11578261">
      <w:pPr>
        <w:spacing w:before="0" w:line="240" w:lineRule="auto"/>
        <w:rPr>
          <w:rFonts w:hint="default" w:ascii="Times New Roman" w:hAnsi="Times New Roman" w:eastAsia="Times New Roman" w:cs="Times New Roman"/>
          <w:color w:val="auto"/>
          <w:sz w:val="20"/>
          <w:szCs w:val="20"/>
        </w:rPr>
      </w:pPr>
    </w:p>
    <w:p w14:paraId="4CAC5E45">
      <w:pPr>
        <w:spacing w:before="0" w:line="240" w:lineRule="auto"/>
        <w:rPr>
          <w:rFonts w:hint="default" w:ascii="Times New Roman" w:hAnsi="Times New Roman" w:eastAsia="Times New Roman" w:cs="Times New Roman"/>
          <w:color w:val="auto"/>
          <w:sz w:val="20"/>
          <w:szCs w:val="20"/>
        </w:rPr>
      </w:pPr>
    </w:p>
    <w:p w14:paraId="3E4DBF26">
      <w:pPr>
        <w:spacing w:before="0" w:line="993" w:lineRule="exact"/>
        <w:ind w:left="552" w:right="294" w:firstLine="0"/>
        <w:jc w:val="center"/>
        <w:rPr>
          <w:rFonts w:hint="default" w:ascii="Times New Roman" w:hAnsi="Times New Roman" w:eastAsia="微软雅黑" w:cs="Times New Roman"/>
          <w:color w:val="auto"/>
          <w:sz w:val="72"/>
          <w:szCs w:val="72"/>
        </w:rPr>
      </w:pPr>
      <w:bookmarkStart w:id="0" w:name="建设项目环境影响报告表"/>
      <w:bookmarkEnd w:id="0"/>
      <w:r>
        <w:rPr>
          <w:rFonts w:hint="default" w:ascii="Times New Roman" w:hAnsi="Times New Roman" w:eastAsia="方正小标宋_GBK" w:cs="Times New Roman"/>
          <w:bCs/>
          <w:color w:val="auto"/>
          <w:sz w:val="72"/>
          <w:szCs w:val="72"/>
        </w:rPr>
        <w:t>建设项目环境影响报告表</w:t>
      </w:r>
    </w:p>
    <w:p w14:paraId="71D16A97">
      <w:pPr>
        <w:spacing w:before="256"/>
        <w:ind w:left="552" w:right="294" w:firstLine="0"/>
        <w:jc w:val="center"/>
        <w:rPr>
          <w:rFonts w:hint="default" w:ascii="Times New Roman" w:hAnsi="Times New Roman" w:eastAsia="楷体" w:cs="Times New Roman"/>
          <w:color w:val="auto"/>
          <w:sz w:val="48"/>
          <w:szCs w:val="48"/>
        </w:rPr>
      </w:pPr>
      <w:r>
        <w:rPr>
          <w:rFonts w:hint="default" w:ascii="Times New Roman" w:hAnsi="Times New Roman" w:eastAsia="楷体" w:cs="Times New Roman"/>
          <w:color w:val="auto"/>
          <w:sz w:val="48"/>
          <w:szCs w:val="48"/>
        </w:rPr>
        <w:t>（生态影响类）</w:t>
      </w:r>
      <w:bookmarkStart w:id="1" w:name="_GoBack"/>
      <w:bookmarkEnd w:id="1"/>
    </w:p>
    <w:p w14:paraId="3B7913EA">
      <w:pPr>
        <w:spacing w:before="0" w:line="240" w:lineRule="auto"/>
        <w:rPr>
          <w:rFonts w:hint="default" w:ascii="Times New Roman" w:hAnsi="Times New Roman" w:eastAsia="楷体" w:cs="Times New Roman"/>
          <w:color w:val="auto"/>
          <w:sz w:val="48"/>
          <w:szCs w:val="48"/>
        </w:rPr>
      </w:pPr>
    </w:p>
    <w:p w14:paraId="3AB901C5">
      <w:pPr>
        <w:spacing w:before="0" w:line="240" w:lineRule="auto"/>
        <w:rPr>
          <w:rFonts w:hint="default" w:ascii="Times New Roman" w:hAnsi="Times New Roman" w:eastAsia="楷体" w:cs="Times New Roman"/>
          <w:color w:val="auto"/>
          <w:sz w:val="48"/>
          <w:szCs w:val="48"/>
        </w:rPr>
      </w:pPr>
    </w:p>
    <w:p w14:paraId="3BC55853">
      <w:pPr>
        <w:spacing w:before="10" w:line="240" w:lineRule="auto"/>
        <w:rPr>
          <w:rFonts w:hint="default" w:ascii="Times New Roman" w:hAnsi="Times New Roman" w:eastAsia="楷体" w:cs="Times New Roman"/>
          <w:color w:val="auto"/>
          <w:sz w:val="61"/>
          <w:szCs w:val="61"/>
        </w:rPr>
      </w:pPr>
    </w:p>
    <w:p w14:paraId="3AEF986E">
      <w:pPr>
        <w:tabs>
          <w:tab w:val="left" w:pos="2271"/>
          <w:tab w:val="left" w:pos="8569"/>
        </w:tabs>
        <w:spacing w:before="0"/>
        <w:ind w:left="1790" w:right="0" w:hanging="1790" w:hangingChars="500"/>
        <w:jc w:val="center"/>
        <w:rPr>
          <w:rFonts w:hint="eastAsia"/>
          <w:color w:val="auto"/>
          <w:lang w:val="en-US" w:eastAsia="zh-CN"/>
        </w:rPr>
      </w:pPr>
      <w:r>
        <w:rPr>
          <w:rFonts w:hint="default" w:ascii="Times New Roman" w:hAnsi="Times New Roman" w:eastAsia="仿宋" w:cs="Times New Roman"/>
          <w:color w:val="auto"/>
          <w:spacing w:val="-1"/>
          <w:sz w:val="36"/>
          <w:szCs w:val="36"/>
        </w:rPr>
        <w:t>项目名称：</w:t>
      </w:r>
      <w:r>
        <w:rPr>
          <w:rFonts w:hint="default" w:ascii="Times New Roman" w:hAnsi="Times New Roman" w:eastAsia="仿宋" w:cs="Times New Roman"/>
          <w:color w:val="auto"/>
          <w:sz w:val="36"/>
          <w:szCs w:val="36"/>
          <w:u w:val="single" w:color="000000"/>
          <w:lang w:val="en-US" w:eastAsia="zh-CN"/>
        </w:rPr>
        <w:t>宁榆天然气评价项目组米</w:t>
      </w:r>
      <w:r>
        <w:rPr>
          <w:rFonts w:hint="eastAsia" w:ascii="Times New Roman" w:hAnsi="Times New Roman" w:eastAsia="仿宋" w:cs="Times New Roman"/>
          <w:color w:val="auto"/>
          <w:sz w:val="36"/>
          <w:szCs w:val="36"/>
          <w:u w:val="single" w:color="000000"/>
          <w:lang w:val="en-US" w:eastAsia="zh-CN"/>
        </w:rPr>
        <w:t>107-32M等3口</w:t>
      </w:r>
      <w:r>
        <w:rPr>
          <w:rFonts w:hint="eastAsia" w:ascii="Times New Roman" w:hAnsi="Times New Roman" w:eastAsia="仿宋" w:cs="Times New Roman"/>
          <w:color w:val="auto"/>
          <w:spacing w:val="-1"/>
          <w:sz w:val="36"/>
          <w:szCs w:val="36"/>
          <w:u w:val="single"/>
          <w:lang w:val="en-US" w:eastAsia="zh-CN"/>
        </w:rPr>
        <w:t>评价</w:t>
      </w:r>
    </w:p>
    <w:p w14:paraId="36F544E1">
      <w:pPr>
        <w:tabs>
          <w:tab w:val="left" w:pos="2271"/>
          <w:tab w:val="left" w:pos="8569"/>
        </w:tabs>
        <w:spacing w:before="0"/>
        <w:ind w:right="0" w:firstLine="3938" w:firstLineChars="1100"/>
        <w:jc w:val="both"/>
        <w:rPr>
          <w:rFonts w:hint="default" w:ascii="Times New Roman" w:hAnsi="Times New Roman" w:eastAsia="仿宋" w:cs="Times New Roman"/>
          <w:color w:val="auto"/>
          <w:spacing w:val="-1"/>
          <w:sz w:val="36"/>
          <w:szCs w:val="36"/>
          <w:u w:val="single"/>
          <w:lang w:val="en-US" w:eastAsia="zh-CN"/>
        </w:rPr>
      </w:pPr>
      <w:r>
        <w:rPr>
          <w:rFonts w:hint="eastAsia" w:ascii="Times New Roman" w:hAnsi="Times New Roman" w:eastAsia="仿宋" w:cs="Times New Roman"/>
          <w:color w:val="auto"/>
          <w:spacing w:val="-1"/>
          <w:sz w:val="36"/>
          <w:szCs w:val="36"/>
          <w:u w:val="single"/>
          <w:lang w:val="en-US" w:eastAsia="zh-CN"/>
        </w:rPr>
        <w:t xml:space="preserve">    </w:t>
      </w:r>
      <w:r>
        <w:rPr>
          <w:rFonts w:hint="default" w:ascii="Times New Roman" w:hAnsi="Times New Roman" w:eastAsia="仿宋" w:cs="Times New Roman"/>
          <w:color w:val="auto"/>
          <w:spacing w:val="-1"/>
          <w:sz w:val="36"/>
          <w:szCs w:val="36"/>
          <w:u w:val="single"/>
          <w:lang w:val="en-US" w:eastAsia="zh-CN"/>
        </w:rPr>
        <w:t>井建设项目</w:t>
      </w:r>
      <w:r>
        <w:rPr>
          <w:rFonts w:hint="eastAsia" w:ascii="Times New Roman" w:hAnsi="Times New Roman" w:eastAsia="仿宋" w:cs="Times New Roman"/>
          <w:color w:val="auto"/>
          <w:spacing w:val="-1"/>
          <w:sz w:val="36"/>
          <w:szCs w:val="36"/>
          <w:u w:val="single"/>
          <w:lang w:val="en-US" w:eastAsia="zh-CN"/>
        </w:rPr>
        <w:t xml:space="preserve">             </w:t>
      </w:r>
    </w:p>
    <w:p w14:paraId="38E1F6E8">
      <w:pPr>
        <w:tabs>
          <w:tab w:val="left" w:pos="8480"/>
        </w:tabs>
        <w:spacing w:before="90"/>
        <w:ind w:left="111" w:right="0" w:firstLine="0"/>
        <w:jc w:val="left"/>
        <w:rPr>
          <w:rFonts w:hint="default" w:ascii="Times New Roman" w:hAnsi="Times New Roman" w:eastAsia="仿宋" w:cs="Times New Roman"/>
          <w:color w:val="auto"/>
          <w:spacing w:val="-1"/>
          <w:sz w:val="36"/>
          <w:szCs w:val="36"/>
          <w:u w:val="single"/>
          <w:lang w:val="en-US" w:eastAsia="zh-CN"/>
        </w:rPr>
      </w:pPr>
      <w:r>
        <w:rPr>
          <w:rFonts w:hint="default" w:ascii="Times New Roman" w:hAnsi="Times New Roman" w:eastAsia="仿宋" w:cs="Times New Roman"/>
          <w:color w:val="auto"/>
          <w:sz w:val="36"/>
          <w:szCs w:val="36"/>
        </w:rPr>
        <w:t>建设单位（盖章）：</w:t>
      </w:r>
      <w:r>
        <w:rPr>
          <w:rFonts w:hint="default" w:ascii="Times New Roman" w:hAnsi="Times New Roman" w:eastAsia="仿宋" w:cs="Times New Roman"/>
          <w:color w:val="auto"/>
          <w:spacing w:val="-1"/>
          <w:sz w:val="36"/>
          <w:szCs w:val="36"/>
          <w:u w:val="single"/>
          <w:lang w:val="en-US" w:eastAsia="zh-CN"/>
        </w:rPr>
        <w:t xml:space="preserve"> 中国石油天然气股份有限公司 </w:t>
      </w:r>
      <w:r>
        <w:rPr>
          <w:rFonts w:hint="default" w:ascii="Times New Roman" w:hAnsi="Times New Roman" w:eastAsia="仿宋" w:cs="Times New Roman"/>
          <w:color w:val="auto"/>
          <w:spacing w:val="-1"/>
          <w:sz w:val="36"/>
          <w:szCs w:val="36"/>
          <w:u w:val="single"/>
          <w:lang w:val="en-US" w:eastAsia="zh-CN"/>
        </w:rPr>
        <w:tab/>
      </w:r>
      <w:r>
        <w:rPr>
          <w:rFonts w:hint="default" w:ascii="Times New Roman" w:hAnsi="Times New Roman" w:eastAsia="仿宋" w:cs="Times New Roman"/>
          <w:color w:val="auto"/>
          <w:spacing w:val="-1"/>
          <w:sz w:val="36"/>
          <w:szCs w:val="36"/>
          <w:u w:val="single"/>
          <w:lang w:val="en-US" w:eastAsia="zh-CN"/>
        </w:rPr>
        <w:t xml:space="preserve"> </w:t>
      </w:r>
    </w:p>
    <w:p w14:paraId="652C93E3">
      <w:pPr>
        <w:tabs>
          <w:tab w:val="left" w:pos="2991"/>
          <w:tab w:val="left" w:pos="8480"/>
        </w:tabs>
        <w:spacing w:before="88"/>
        <w:ind w:left="3346" w:leftChars="1521" w:right="0" w:firstLine="0" w:firstLineChars="0"/>
        <w:jc w:val="left"/>
        <w:rPr>
          <w:rFonts w:hint="default" w:ascii="Times New Roman" w:hAnsi="Times New Roman" w:eastAsia="Times New Roman" w:cs="Times New Roman"/>
          <w:color w:val="auto"/>
          <w:sz w:val="36"/>
          <w:szCs w:val="36"/>
          <w:lang w:val="en-US"/>
        </w:rPr>
      </w:pPr>
      <w:r>
        <w:rPr>
          <w:rFonts w:hint="default" w:ascii="Times New Roman" w:hAnsi="Times New Roman" w:eastAsia="仿宋" w:cs="Times New Roman"/>
          <w:color w:val="auto"/>
          <w:sz w:val="36"/>
          <w:szCs w:val="36"/>
          <w:u w:val="single" w:color="000000"/>
        </w:rPr>
        <w:t>长庆油田分公司</w:t>
      </w:r>
      <w:r>
        <w:rPr>
          <w:rFonts w:hint="default" w:ascii="Times New Roman" w:hAnsi="Times New Roman" w:eastAsia="仿宋" w:cs="Times New Roman"/>
          <w:color w:val="auto"/>
          <w:sz w:val="36"/>
          <w:szCs w:val="36"/>
          <w:u w:val="single" w:color="000000"/>
          <w:lang w:val="en-US" w:eastAsia="zh-CN"/>
        </w:rPr>
        <w:t xml:space="preserve">天然气评价项目部宁榆天然气评价项目组          </w:t>
      </w:r>
    </w:p>
    <w:p w14:paraId="0A308787">
      <w:pPr>
        <w:tabs>
          <w:tab w:val="left" w:pos="4071"/>
        </w:tabs>
        <w:spacing w:before="88"/>
        <w:ind w:left="111" w:right="0" w:firstLine="0"/>
        <w:jc w:val="left"/>
        <w:rPr>
          <w:rFonts w:hint="default" w:ascii="Times New Roman" w:hAnsi="Times New Roman" w:eastAsia="仿宋" w:cs="Times New Roman"/>
          <w:color w:val="auto"/>
          <w:sz w:val="36"/>
          <w:szCs w:val="36"/>
          <w:lang w:val="en-US" w:eastAsia="zh-CN"/>
        </w:rPr>
      </w:pPr>
      <w:r>
        <w:rPr>
          <w:rFonts w:hint="default" w:ascii="Times New Roman" w:hAnsi="Times New Roman" w:eastAsia="仿宋" w:cs="Times New Roman"/>
          <w:color w:val="auto"/>
          <w:sz w:val="36"/>
          <w:szCs w:val="36"/>
        </w:rPr>
        <w:t>编制日期：</w:t>
      </w:r>
      <w:r>
        <w:rPr>
          <w:rFonts w:hint="default" w:ascii="Times New Roman" w:hAnsi="Times New Roman" w:eastAsia="仿宋" w:cs="Times New Roman"/>
          <w:color w:val="auto"/>
          <w:sz w:val="36"/>
          <w:szCs w:val="36"/>
          <w:u w:val="single"/>
          <w:lang w:val="en-US" w:eastAsia="zh-CN"/>
        </w:rPr>
        <w:t xml:space="preserve">            202</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年</w:t>
      </w:r>
      <w:r>
        <w:rPr>
          <w:rFonts w:hint="eastAsia" w:ascii="Times New Roman" w:hAnsi="Times New Roman" w:eastAsia="仿宋" w:cs="Times New Roman"/>
          <w:color w:val="auto"/>
          <w:sz w:val="36"/>
          <w:szCs w:val="36"/>
          <w:u w:val="single"/>
          <w:lang w:val="en-US" w:eastAsia="zh-CN"/>
        </w:rPr>
        <w:t>5</w:t>
      </w:r>
      <w:r>
        <w:rPr>
          <w:rFonts w:hint="default" w:ascii="Times New Roman" w:hAnsi="Times New Roman" w:eastAsia="仿宋" w:cs="Times New Roman"/>
          <w:color w:val="auto"/>
          <w:sz w:val="36"/>
          <w:szCs w:val="36"/>
          <w:u w:val="single"/>
          <w:lang w:val="en-US" w:eastAsia="zh-CN"/>
        </w:rPr>
        <w:t xml:space="preserve">月                </w:t>
      </w:r>
    </w:p>
    <w:p w14:paraId="29784C16">
      <w:pPr>
        <w:spacing w:line="20" w:lineRule="exact"/>
        <w:ind w:left="1902" w:right="0" w:firstLine="0"/>
        <w:rPr>
          <w:rFonts w:hint="default" w:ascii="Times New Roman" w:hAnsi="Times New Roman" w:eastAsia="仿宋" w:cs="Times New Roman"/>
          <w:color w:val="auto"/>
          <w:sz w:val="2"/>
          <w:szCs w:val="2"/>
        </w:rPr>
      </w:pPr>
    </w:p>
    <w:p w14:paraId="0EC6CA94">
      <w:pPr>
        <w:spacing w:before="0" w:line="240" w:lineRule="auto"/>
        <w:rPr>
          <w:rFonts w:hint="default" w:ascii="Times New Roman" w:hAnsi="Times New Roman" w:eastAsia="仿宋" w:cs="Times New Roman"/>
          <w:color w:val="auto"/>
          <w:sz w:val="20"/>
          <w:szCs w:val="20"/>
        </w:rPr>
      </w:pPr>
    </w:p>
    <w:p w14:paraId="7B360AE0">
      <w:pPr>
        <w:spacing w:before="0" w:line="240" w:lineRule="auto"/>
        <w:rPr>
          <w:rFonts w:hint="default" w:ascii="Times New Roman" w:hAnsi="Times New Roman" w:eastAsia="仿宋" w:cs="Times New Roman"/>
          <w:color w:val="auto"/>
          <w:sz w:val="20"/>
          <w:szCs w:val="20"/>
        </w:rPr>
      </w:pPr>
    </w:p>
    <w:p w14:paraId="42363B11">
      <w:pPr>
        <w:spacing w:before="0" w:line="240" w:lineRule="auto"/>
        <w:rPr>
          <w:rFonts w:hint="default" w:ascii="Times New Roman" w:hAnsi="Times New Roman" w:eastAsia="仿宋" w:cs="Times New Roman"/>
          <w:color w:val="auto"/>
          <w:sz w:val="20"/>
          <w:szCs w:val="20"/>
        </w:rPr>
      </w:pPr>
    </w:p>
    <w:p w14:paraId="51CC8BAF">
      <w:pPr>
        <w:spacing w:before="0" w:line="240" w:lineRule="auto"/>
        <w:rPr>
          <w:rFonts w:hint="default" w:ascii="Times New Roman" w:hAnsi="Times New Roman" w:eastAsia="仿宋" w:cs="Times New Roman"/>
          <w:color w:val="auto"/>
          <w:sz w:val="20"/>
          <w:szCs w:val="20"/>
        </w:rPr>
      </w:pPr>
    </w:p>
    <w:p w14:paraId="1CB1F4BC">
      <w:pPr>
        <w:spacing w:before="0" w:line="240" w:lineRule="auto"/>
        <w:rPr>
          <w:rFonts w:hint="default" w:ascii="Times New Roman" w:hAnsi="Times New Roman" w:eastAsia="仿宋" w:cs="Times New Roman"/>
          <w:color w:val="auto"/>
          <w:sz w:val="20"/>
          <w:szCs w:val="20"/>
        </w:rPr>
      </w:pPr>
    </w:p>
    <w:p w14:paraId="1B6BA599">
      <w:pPr>
        <w:spacing w:before="0" w:line="240" w:lineRule="auto"/>
        <w:rPr>
          <w:rFonts w:hint="default" w:ascii="Times New Roman" w:hAnsi="Times New Roman" w:eastAsia="仿宋" w:cs="Times New Roman"/>
          <w:color w:val="auto"/>
          <w:sz w:val="20"/>
          <w:szCs w:val="20"/>
        </w:rPr>
      </w:pPr>
    </w:p>
    <w:p w14:paraId="127D4DB4">
      <w:pPr>
        <w:jc w:val="cente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t>中华人民共和国生态环境部制</w:t>
      </w:r>
    </w:p>
    <w:p w14:paraId="3C38A892">
      <w:pPr>
        <w:jc w:val="center"/>
        <w:rPr>
          <w:rFonts w:hint="default" w:ascii="Times New Roman" w:hAnsi="Times New Roman" w:eastAsia="楷体" w:cs="Times New Roman"/>
          <w:color w:val="auto"/>
          <w:sz w:val="36"/>
          <w:szCs w:val="36"/>
        </w:rPr>
      </w:pPr>
    </w:p>
    <w:p w14:paraId="01348EAF">
      <w:pPr>
        <w:jc w:val="center"/>
        <w:rPr>
          <w:rFonts w:hint="default" w:ascii="Times New Roman" w:hAnsi="Times New Roman" w:eastAsia="楷体" w:cs="Times New Roman"/>
          <w:color w:val="auto"/>
          <w:sz w:val="36"/>
          <w:szCs w:val="36"/>
        </w:rPr>
      </w:pPr>
    </w:p>
    <w:p w14:paraId="2C3D3783">
      <w:pPr>
        <w:jc w:val="center"/>
        <w:rPr>
          <w:rFonts w:hint="default" w:ascii="Times New Roman" w:hAnsi="Times New Roman" w:eastAsia="楷体" w:cs="Times New Roman"/>
          <w:color w:val="auto"/>
          <w:sz w:val="36"/>
          <w:szCs w:val="36"/>
        </w:rPr>
      </w:pPr>
    </w:p>
    <w:p w14:paraId="6F41A48E">
      <w:pPr>
        <w:jc w:val="center"/>
        <w:rPr>
          <w:rFonts w:hint="default" w:ascii="Times New Roman" w:hAnsi="Times New Roman" w:eastAsia="楷体" w:cs="Times New Roman"/>
          <w:color w:val="auto"/>
          <w:sz w:val="36"/>
          <w:szCs w:val="36"/>
        </w:rPr>
      </w:pPr>
    </w:p>
    <w:p w14:paraId="35763B49">
      <w:pPr>
        <w:jc w:val="center"/>
        <w:rPr>
          <w:rFonts w:hint="default" w:ascii="Times New Roman" w:hAnsi="Times New Roman" w:eastAsia="楷体" w:cs="Times New Roman"/>
          <w:color w:val="auto"/>
          <w:sz w:val="36"/>
          <w:szCs w:val="36"/>
        </w:rPr>
      </w:pPr>
    </w:p>
    <w:p w14:paraId="6C27868C">
      <w:pPr>
        <w:jc w:val="center"/>
        <w:rPr>
          <w:rFonts w:hint="default" w:ascii="Times New Roman" w:hAnsi="Times New Roman" w:eastAsia="楷体" w:cs="Times New Roman"/>
          <w:color w:val="auto"/>
          <w:sz w:val="36"/>
          <w:szCs w:val="36"/>
        </w:rPr>
      </w:pPr>
    </w:p>
    <w:p w14:paraId="23B37C77">
      <w:pPr>
        <w:jc w:val="center"/>
        <w:rPr>
          <w:rFonts w:hint="default" w:ascii="Times New Roman" w:hAnsi="Times New Roman" w:eastAsia="楷体" w:cs="Times New Roman"/>
          <w:color w:val="auto"/>
          <w:sz w:val="36"/>
          <w:szCs w:val="36"/>
        </w:rPr>
      </w:pPr>
    </w:p>
    <w:p w14:paraId="331C576A">
      <w:pPr>
        <w:jc w:val="center"/>
        <w:rPr>
          <w:rFonts w:hint="default" w:ascii="Times New Roman" w:hAnsi="Times New Roman" w:eastAsia="楷体" w:cs="Times New Roman"/>
          <w:color w:val="auto"/>
          <w:sz w:val="36"/>
          <w:szCs w:val="36"/>
        </w:rPr>
      </w:pPr>
    </w:p>
    <w:p w14:paraId="25FF0ED2">
      <w:pPr>
        <w:jc w:val="center"/>
        <w:rPr>
          <w:rFonts w:hint="default" w:ascii="Times New Roman" w:hAnsi="Times New Roman" w:eastAsia="楷体" w:cs="Times New Roman"/>
          <w:color w:val="auto"/>
          <w:sz w:val="36"/>
          <w:szCs w:val="36"/>
        </w:rPr>
      </w:pPr>
    </w:p>
    <w:p w14:paraId="0612BD3D">
      <w:pPr>
        <w:jc w:val="center"/>
        <w:rPr>
          <w:rFonts w:hint="default" w:ascii="Times New Roman" w:hAnsi="Times New Roman" w:eastAsia="楷体" w:cs="Times New Roman"/>
          <w:color w:val="auto"/>
          <w:sz w:val="36"/>
          <w:szCs w:val="36"/>
        </w:rPr>
      </w:pPr>
    </w:p>
    <w:p w14:paraId="7C10ECE0">
      <w:pPr>
        <w:jc w:val="center"/>
        <w:rPr>
          <w:rFonts w:hint="default" w:ascii="Times New Roman" w:hAnsi="Times New Roman" w:eastAsia="楷体" w:cs="Times New Roman"/>
          <w:color w:val="auto"/>
          <w:sz w:val="36"/>
          <w:szCs w:val="36"/>
        </w:rPr>
      </w:pPr>
    </w:p>
    <w:p w14:paraId="366A1B0F">
      <w:pPr>
        <w:jc w:val="center"/>
        <w:rPr>
          <w:rFonts w:hint="default" w:ascii="Times New Roman" w:hAnsi="Times New Roman" w:eastAsia="楷体" w:cs="Times New Roman"/>
          <w:color w:val="auto"/>
          <w:sz w:val="36"/>
          <w:szCs w:val="36"/>
        </w:rPr>
      </w:pPr>
    </w:p>
    <w:p w14:paraId="646083F6">
      <w:pPr>
        <w:jc w:val="center"/>
        <w:rPr>
          <w:rFonts w:hint="default" w:ascii="Times New Roman" w:hAnsi="Times New Roman" w:eastAsia="楷体" w:cs="Times New Roman"/>
          <w:color w:val="auto"/>
          <w:sz w:val="36"/>
          <w:szCs w:val="36"/>
        </w:rPr>
      </w:pPr>
    </w:p>
    <w:p w14:paraId="48177AEC">
      <w:pPr>
        <w:jc w:val="center"/>
        <w:rPr>
          <w:rFonts w:hint="default" w:ascii="Times New Roman" w:hAnsi="Times New Roman" w:eastAsia="楷体" w:cs="Times New Roman"/>
          <w:color w:val="auto"/>
          <w:sz w:val="36"/>
          <w:szCs w:val="36"/>
        </w:rPr>
      </w:pPr>
    </w:p>
    <w:p w14:paraId="66CB7378">
      <w:pPr>
        <w:jc w:val="center"/>
        <w:rPr>
          <w:rFonts w:hint="default" w:ascii="Times New Roman" w:hAnsi="Times New Roman" w:eastAsia="楷体" w:cs="Times New Roman"/>
          <w:color w:val="auto"/>
          <w:sz w:val="36"/>
          <w:szCs w:val="36"/>
        </w:rPr>
      </w:pPr>
    </w:p>
    <w:p w14:paraId="2DF9D5CF">
      <w:pPr>
        <w:jc w:val="center"/>
        <w:rPr>
          <w:rFonts w:hint="default" w:ascii="Times New Roman" w:hAnsi="Times New Roman" w:eastAsia="楷体" w:cs="Times New Roman"/>
          <w:color w:val="auto"/>
          <w:sz w:val="36"/>
          <w:szCs w:val="36"/>
        </w:rPr>
      </w:pPr>
    </w:p>
    <w:p w14:paraId="27483ABA">
      <w:pPr>
        <w:jc w:val="center"/>
        <w:rPr>
          <w:rFonts w:hint="default" w:ascii="Times New Roman" w:hAnsi="Times New Roman" w:eastAsia="楷体" w:cs="Times New Roman"/>
          <w:color w:val="auto"/>
          <w:sz w:val="36"/>
          <w:szCs w:val="36"/>
        </w:rPr>
      </w:pPr>
    </w:p>
    <w:p w14:paraId="466DAA50">
      <w:pPr>
        <w:jc w:val="center"/>
        <w:rPr>
          <w:rFonts w:hint="default" w:ascii="Times New Roman" w:hAnsi="Times New Roman" w:eastAsia="楷体" w:cs="Times New Roman"/>
          <w:color w:val="auto"/>
          <w:sz w:val="36"/>
          <w:szCs w:val="36"/>
        </w:rPr>
      </w:pPr>
    </w:p>
    <w:p w14:paraId="73850243">
      <w:pPr>
        <w:jc w:val="center"/>
        <w:rPr>
          <w:rFonts w:hint="default" w:ascii="Times New Roman" w:hAnsi="Times New Roman" w:eastAsia="楷体" w:cs="Times New Roman"/>
          <w:color w:val="auto"/>
          <w:sz w:val="36"/>
          <w:szCs w:val="36"/>
        </w:rPr>
      </w:pPr>
    </w:p>
    <w:p w14:paraId="160B0B19">
      <w:pPr>
        <w:jc w:val="center"/>
        <w:rPr>
          <w:rFonts w:hint="default" w:ascii="Times New Roman" w:hAnsi="Times New Roman" w:eastAsia="楷体" w:cs="Times New Roman"/>
          <w:color w:val="auto"/>
          <w:sz w:val="36"/>
          <w:szCs w:val="36"/>
        </w:rPr>
      </w:pPr>
    </w:p>
    <w:p w14:paraId="4A51F52B">
      <w:pPr>
        <w:jc w:val="both"/>
        <w:rPr>
          <w:rFonts w:hint="default" w:ascii="Times New Roman" w:hAnsi="Times New Roman" w:eastAsia="楷体" w:cs="Times New Roman"/>
          <w:color w:val="auto"/>
          <w:sz w:val="36"/>
          <w:szCs w:val="36"/>
        </w:rPr>
      </w:pPr>
    </w:p>
    <w:p w14:paraId="23A455BF">
      <w:pPr>
        <w:jc w:val="center"/>
        <w:rPr>
          <w:rFonts w:hint="default" w:ascii="Times New Roman" w:hAnsi="Times New Roman" w:eastAsia="楷体" w:cs="Times New Roman"/>
          <w:color w:val="auto"/>
          <w:sz w:val="36"/>
          <w:szCs w:val="36"/>
        </w:rPr>
      </w:pPr>
    </w:p>
    <w:p w14:paraId="43496F12">
      <w:pPr>
        <w:jc w:val="center"/>
        <w:rPr>
          <w:rFonts w:hint="default" w:ascii="Times New Roman" w:hAnsi="Times New Roman" w:eastAsia="黑体" w:cs="Times New Roman"/>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38BF72A1">
      <w:pPr>
        <w:jc w:val="center"/>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一、建设项目基本情况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276"/>
        <w:gridCol w:w="2229"/>
        <w:gridCol w:w="2808"/>
      </w:tblGrid>
      <w:tr w14:paraId="3752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1154CD6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建设项目名称</w:t>
            </w:r>
          </w:p>
        </w:tc>
        <w:tc>
          <w:tcPr>
            <w:tcW w:w="7313" w:type="dxa"/>
            <w:gridSpan w:val="3"/>
            <w:vAlign w:val="top"/>
          </w:tcPr>
          <w:p w14:paraId="6A1E9C70">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宁榆天然气评价项目组</w:t>
            </w:r>
            <w:r>
              <w:rPr>
                <w:rFonts w:hint="eastAsia" w:ascii="Times New Roman" w:hAnsi="Times New Roman" w:eastAsia="宋体" w:cs="Times New Roman"/>
                <w:color w:val="auto"/>
                <w:sz w:val="24"/>
                <w:szCs w:val="24"/>
                <w:vertAlign w:val="baseline"/>
                <w:lang w:val="en-US" w:eastAsia="zh-CN"/>
              </w:rPr>
              <w:t>米107-32M等3口评价</w:t>
            </w:r>
            <w:r>
              <w:rPr>
                <w:rFonts w:hint="default" w:ascii="Times New Roman" w:hAnsi="Times New Roman" w:eastAsia="宋体" w:cs="Times New Roman"/>
                <w:color w:val="auto"/>
                <w:sz w:val="24"/>
                <w:szCs w:val="24"/>
                <w:vertAlign w:val="baseline"/>
                <w:lang w:val="en-US" w:eastAsia="zh-CN"/>
              </w:rPr>
              <w:t>井建设项目</w:t>
            </w:r>
          </w:p>
        </w:tc>
      </w:tr>
      <w:tr w14:paraId="6F84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0816FD00">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项目代码</w:t>
            </w:r>
          </w:p>
        </w:tc>
        <w:tc>
          <w:tcPr>
            <w:tcW w:w="7313" w:type="dxa"/>
            <w:gridSpan w:val="3"/>
            <w:vAlign w:val="top"/>
          </w:tcPr>
          <w:p w14:paraId="5880BDAC">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r>
      <w:tr w14:paraId="411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5B176C6A">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建设单位联系人</w:t>
            </w:r>
          </w:p>
        </w:tc>
        <w:tc>
          <w:tcPr>
            <w:tcW w:w="2276" w:type="dxa"/>
            <w:vAlign w:val="center"/>
          </w:tcPr>
          <w:p w14:paraId="794C1992">
            <w:pPr>
              <w:jc w:val="center"/>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t>宋斌</w:t>
            </w:r>
          </w:p>
        </w:tc>
        <w:tc>
          <w:tcPr>
            <w:tcW w:w="2229" w:type="dxa"/>
            <w:vAlign w:val="center"/>
          </w:tcPr>
          <w:p w14:paraId="51E01FB1">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联系方式</w:t>
            </w:r>
          </w:p>
        </w:tc>
        <w:tc>
          <w:tcPr>
            <w:tcW w:w="2808" w:type="dxa"/>
            <w:vAlign w:val="center"/>
          </w:tcPr>
          <w:p w14:paraId="76BC104B">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rPr>
              <w:t>13629575890</w:t>
            </w:r>
          </w:p>
        </w:tc>
      </w:tr>
      <w:tr w14:paraId="1B9A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44697D39">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建设地点</w:t>
            </w:r>
          </w:p>
        </w:tc>
        <w:tc>
          <w:tcPr>
            <w:tcW w:w="7313" w:type="dxa"/>
            <w:gridSpan w:val="3"/>
            <w:vAlign w:val="top"/>
          </w:tcPr>
          <w:p w14:paraId="6942BB34">
            <w:pPr>
              <w:jc w:val="center"/>
              <w:rPr>
                <w:rFonts w:hint="default" w:ascii="Times New Roman" w:hAnsi="Times New Roman" w:eastAsia="宋体" w:cs="Times New Roman"/>
                <w:color w:val="auto"/>
                <w:sz w:val="24"/>
                <w:szCs w:val="24"/>
                <w:u w:val="none"/>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米107-32M：</w:t>
            </w:r>
            <w:r>
              <w:rPr>
                <w:rFonts w:hint="default" w:ascii="Times New Roman" w:hAnsi="Times New Roman" w:eastAsia="宋体" w:cs="Times New Roman"/>
                <w:color w:val="auto"/>
                <w:sz w:val="24"/>
                <w:szCs w:val="24"/>
                <w:u w:val="none"/>
                <w:vertAlign w:val="baseline"/>
                <w:lang w:val="en-US" w:eastAsia="zh-CN"/>
              </w:rPr>
              <w:t>榆林市佳县金明寺镇</w:t>
            </w:r>
            <w:r>
              <w:rPr>
                <w:rFonts w:hint="eastAsia" w:ascii="Times New Roman" w:hAnsi="Times New Roman" w:eastAsia="宋体" w:cs="Times New Roman"/>
                <w:color w:val="auto"/>
                <w:sz w:val="24"/>
                <w:szCs w:val="24"/>
                <w:u w:val="none"/>
                <w:vertAlign w:val="baseline"/>
                <w:lang w:val="en-US" w:eastAsia="zh-CN"/>
              </w:rPr>
              <w:t>杨家</w:t>
            </w:r>
            <w:r>
              <w:rPr>
                <w:rFonts w:hint="default" w:ascii="Times New Roman" w:hAnsi="Times New Roman" w:eastAsia="宋体" w:cs="Times New Roman"/>
                <w:color w:val="auto"/>
                <w:sz w:val="24"/>
                <w:szCs w:val="24"/>
                <w:u w:val="none"/>
                <w:vertAlign w:val="baseline"/>
                <w:lang w:val="en-US" w:eastAsia="zh-CN"/>
              </w:rPr>
              <w:t>畔村</w:t>
            </w:r>
          </w:p>
          <w:p w14:paraId="7F750A13">
            <w:pPr>
              <w:jc w:val="center"/>
              <w:rPr>
                <w:rFonts w:hint="eastAsia" w:ascii="Times New Roman" w:hAnsi="Times New Roman" w:eastAsia="宋体" w:cs="Times New Roman"/>
                <w:color w:val="auto"/>
                <w:sz w:val="24"/>
                <w:szCs w:val="24"/>
                <w:u w:val="none"/>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米107-16M：</w:t>
            </w:r>
            <w:r>
              <w:rPr>
                <w:rFonts w:hint="default" w:ascii="Times New Roman" w:hAnsi="Times New Roman" w:eastAsia="宋体" w:cs="Times New Roman"/>
                <w:color w:val="auto"/>
                <w:sz w:val="24"/>
                <w:szCs w:val="24"/>
                <w:u w:val="none"/>
                <w:vertAlign w:val="baseline"/>
                <w:lang w:val="en-US" w:eastAsia="zh-CN"/>
              </w:rPr>
              <w:t>榆林市佳县金明寺镇李家元村</w:t>
            </w:r>
          </w:p>
          <w:p w14:paraId="619F8492">
            <w:pPr>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米107-22MH：</w:t>
            </w:r>
            <w:r>
              <w:rPr>
                <w:rFonts w:hint="default" w:ascii="Times New Roman" w:hAnsi="Times New Roman" w:eastAsia="宋体" w:cs="Times New Roman"/>
                <w:color w:val="auto"/>
                <w:sz w:val="24"/>
                <w:szCs w:val="24"/>
                <w:u w:val="none"/>
                <w:vertAlign w:val="baseline"/>
                <w:lang w:val="en-US" w:eastAsia="zh-CN"/>
              </w:rPr>
              <w:t>榆林市佳县金明寺镇王石畔村</w:t>
            </w:r>
          </w:p>
        </w:tc>
      </w:tr>
      <w:tr w14:paraId="1C92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0E9400ED">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地理坐标</w:t>
            </w:r>
          </w:p>
        </w:tc>
        <w:tc>
          <w:tcPr>
            <w:tcW w:w="7313" w:type="dxa"/>
            <w:gridSpan w:val="3"/>
            <w:vAlign w:val="top"/>
          </w:tcPr>
          <w:p w14:paraId="6EAE3A8E">
            <w:pPr>
              <w:jc w:val="center"/>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米107-32M</w:t>
            </w:r>
            <w:r>
              <w:rPr>
                <w:rFonts w:hint="eastAsia" w:ascii="Times New Roman" w:hAnsi="Times New Roman" w:eastAsia="宋体" w:cs="Times New Roman"/>
                <w:color w:val="auto"/>
                <w:sz w:val="24"/>
                <w:szCs w:val="24"/>
                <w:highlight w:val="none"/>
                <w:u w:val="none"/>
                <w:vertAlign w:val="baseline"/>
                <w:lang w:val="en-US" w:eastAsia="zh-CN"/>
              </w:rPr>
              <w:t>：</w:t>
            </w:r>
            <w:r>
              <w:rPr>
                <w:rFonts w:hint="default" w:ascii="Times New Roman" w:hAnsi="Times New Roman" w:eastAsia="宋体" w:cs="Times New Roman"/>
                <w:color w:val="auto"/>
                <w:sz w:val="24"/>
                <w:szCs w:val="24"/>
                <w:highlight w:val="none"/>
                <w:u w:val="none"/>
                <w:vertAlign w:val="baseline"/>
                <w:lang w:val="en-US" w:eastAsia="zh-CN"/>
              </w:rPr>
              <w:t>东经：110°</w:t>
            </w:r>
            <w:r>
              <w:rPr>
                <w:rFonts w:hint="eastAsia" w:ascii="Times New Roman" w:hAnsi="Times New Roman" w:eastAsia="宋体" w:cs="Times New Roman"/>
                <w:color w:val="auto"/>
                <w:sz w:val="24"/>
                <w:szCs w:val="24"/>
                <w:highlight w:val="none"/>
                <w:u w:val="none"/>
                <w:vertAlign w:val="baseline"/>
                <w:lang w:val="en-US" w:eastAsia="zh-CN"/>
              </w:rPr>
              <w:t>10</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8.801</w:t>
            </w:r>
            <w:r>
              <w:rPr>
                <w:rFonts w:hint="default" w:ascii="Times New Roman" w:hAnsi="Times New Roman" w:eastAsia="宋体" w:cs="Times New Roman"/>
                <w:color w:val="auto"/>
                <w:sz w:val="24"/>
                <w:szCs w:val="24"/>
                <w:highlight w:val="none"/>
                <w:u w:val="none"/>
                <w:vertAlign w:val="baseline"/>
                <w:lang w:val="en-US" w:eastAsia="zh-CN"/>
              </w:rPr>
              <w:t>″，北纬：3</w:t>
            </w:r>
            <w:r>
              <w:rPr>
                <w:rFonts w:hint="eastAsia" w:ascii="Times New Roman" w:hAnsi="Times New Roman" w:eastAsia="宋体" w:cs="Times New Roman"/>
                <w:color w:val="auto"/>
                <w:sz w:val="24"/>
                <w:szCs w:val="24"/>
                <w:highlight w:val="none"/>
                <w:u w:val="none"/>
                <w:vertAlign w:val="baseline"/>
                <w:lang w:val="en-US" w:eastAsia="zh-CN"/>
              </w:rPr>
              <w:t>8</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3</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50.891</w:t>
            </w:r>
            <w:r>
              <w:rPr>
                <w:rFonts w:hint="default" w:ascii="Times New Roman" w:hAnsi="Times New Roman" w:eastAsia="宋体" w:cs="Times New Roman"/>
                <w:color w:val="auto"/>
                <w:sz w:val="24"/>
                <w:szCs w:val="24"/>
                <w:highlight w:val="none"/>
                <w:u w:val="none"/>
                <w:vertAlign w:val="baseline"/>
                <w:lang w:val="en-US" w:eastAsia="zh-CN"/>
              </w:rPr>
              <w:t>″</w:t>
            </w:r>
          </w:p>
          <w:p w14:paraId="72B057F2">
            <w:pPr>
              <w:jc w:val="center"/>
              <w:rPr>
                <w:rFonts w:hint="default" w:ascii="Times New Roman" w:hAnsi="Times New Roman" w:eastAsia="宋体" w:cs="Times New Roman"/>
                <w:color w:val="auto"/>
                <w:sz w:val="24"/>
                <w:szCs w:val="24"/>
                <w:highlight w:val="none"/>
                <w:u w:val="none"/>
                <w:vertAlign w:val="baseline"/>
                <w:lang w:val="en-US" w:eastAsia="zh-CN"/>
              </w:rPr>
            </w:pPr>
            <w:r>
              <w:rPr>
                <w:rFonts w:hint="eastAsia" w:ascii="Times New Roman" w:hAnsi="Times New Roman" w:eastAsia="宋体" w:cs="Times New Roman"/>
                <w:color w:val="auto"/>
                <w:sz w:val="24"/>
                <w:szCs w:val="24"/>
                <w:u w:val="none"/>
                <w:vertAlign w:val="baseline"/>
                <w:lang w:val="en-US" w:eastAsia="zh-CN"/>
              </w:rPr>
              <w:t>米107-16M</w:t>
            </w:r>
            <w:r>
              <w:rPr>
                <w:rFonts w:hint="eastAsia" w:ascii="Times New Roman" w:hAnsi="Times New Roman" w:eastAsia="宋体" w:cs="Times New Roman"/>
                <w:color w:val="auto"/>
                <w:sz w:val="24"/>
                <w:szCs w:val="24"/>
                <w:highlight w:val="none"/>
                <w:u w:val="none"/>
                <w:vertAlign w:val="baseline"/>
                <w:lang w:val="en-US" w:eastAsia="zh-CN"/>
              </w:rPr>
              <w:t>：</w:t>
            </w:r>
            <w:r>
              <w:rPr>
                <w:rFonts w:hint="default" w:ascii="Times New Roman" w:hAnsi="Times New Roman" w:eastAsia="宋体" w:cs="Times New Roman"/>
                <w:color w:val="auto"/>
                <w:sz w:val="24"/>
                <w:szCs w:val="24"/>
                <w:highlight w:val="none"/>
                <w:u w:val="none"/>
                <w:vertAlign w:val="baseline"/>
                <w:lang w:val="en-US" w:eastAsia="zh-CN"/>
              </w:rPr>
              <w:t>东经：110°</w:t>
            </w:r>
            <w:r>
              <w:rPr>
                <w:rFonts w:hint="eastAsia" w:ascii="Times New Roman" w:hAnsi="Times New Roman" w:eastAsia="宋体" w:cs="Times New Roman"/>
                <w:color w:val="auto"/>
                <w:sz w:val="24"/>
                <w:szCs w:val="24"/>
                <w:highlight w:val="none"/>
                <w:u w:val="none"/>
                <w:vertAlign w:val="baseline"/>
                <w:lang w:val="en-US" w:eastAsia="zh-CN"/>
              </w:rPr>
              <w:t>12</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1237.161</w:t>
            </w:r>
            <w:r>
              <w:rPr>
                <w:rFonts w:hint="default" w:ascii="Times New Roman" w:hAnsi="Times New Roman" w:eastAsia="宋体" w:cs="Times New Roman"/>
                <w:color w:val="auto"/>
                <w:sz w:val="24"/>
                <w:szCs w:val="24"/>
                <w:highlight w:val="none"/>
                <w:u w:val="none"/>
                <w:vertAlign w:val="baseline"/>
                <w:lang w:val="en-US" w:eastAsia="zh-CN"/>
              </w:rPr>
              <w:t>″，北纬：3</w:t>
            </w:r>
            <w:r>
              <w:rPr>
                <w:rFonts w:hint="eastAsia" w:ascii="Times New Roman" w:hAnsi="Times New Roman" w:eastAsia="宋体" w:cs="Times New Roman"/>
                <w:color w:val="auto"/>
                <w:sz w:val="24"/>
                <w:szCs w:val="24"/>
                <w:highlight w:val="none"/>
                <w:u w:val="none"/>
                <w:vertAlign w:val="baseline"/>
                <w:lang w:val="en-US" w:eastAsia="zh-CN"/>
              </w:rPr>
              <w:t>8</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4</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2.220</w:t>
            </w:r>
            <w:r>
              <w:rPr>
                <w:rFonts w:hint="default" w:ascii="Times New Roman" w:hAnsi="Times New Roman" w:eastAsia="宋体" w:cs="Times New Roman"/>
                <w:color w:val="auto"/>
                <w:sz w:val="24"/>
                <w:szCs w:val="24"/>
                <w:highlight w:val="none"/>
                <w:u w:val="none"/>
                <w:vertAlign w:val="baseline"/>
                <w:lang w:val="en-US" w:eastAsia="zh-CN"/>
              </w:rPr>
              <w:t>″</w:t>
            </w:r>
          </w:p>
          <w:p w14:paraId="6D0A1B9B">
            <w:pPr>
              <w:jc w:val="center"/>
              <w:rPr>
                <w:rFonts w:hint="default"/>
                <w:color w:val="auto"/>
                <w:sz w:val="24"/>
                <w:szCs w:val="24"/>
                <w:lang w:val="en-US" w:eastAsia="zh-CN"/>
              </w:rPr>
            </w:pPr>
            <w:r>
              <w:rPr>
                <w:rFonts w:hint="eastAsia" w:ascii="Times New Roman" w:hAnsi="Times New Roman" w:eastAsia="宋体" w:cs="Times New Roman"/>
                <w:color w:val="auto"/>
                <w:sz w:val="24"/>
                <w:szCs w:val="24"/>
                <w:u w:val="none"/>
                <w:vertAlign w:val="baseline"/>
                <w:lang w:val="en-US" w:eastAsia="zh-CN"/>
              </w:rPr>
              <w:t>米107-22MH</w:t>
            </w:r>
            <w:r>
              <w:rPr>
                <w:rFonts w:hint="eastAsia" w:ascii="Times New Roman" w:hAnsi="Times New Roman" w:eastAsia="宋体" w:cs="Times New Roman"/>
                <w:color w:val="auto"/>
                <w:sz w:val="24"/>
                <w:szCs w:val="24"/>
                <w:highlight w:val="none"/>
                <w:u w:val="none"/>
                <w:vertAlign w:val="baseline"/>
                <w:lang w:val="en-US" w:eastAsia="zh-CN"/>
              </w:rPr>
              <w:t>：</w:t>
            </w:r>
            <w:r>
              <w:rPr>
                <w:rFonts w:hint="default" w:ascii="Times New Roman" w:hAnsi="Times New Roman" w:eastAsia="宋体" w:cs="Times New Roman"/>
                <w:color w:val="auto"/>
                <w:sz w:val="24"/>
                <w:szCs w:val="24"/>
                <w:highlight w:val="none"/>
                <w:u w:val="none"/>
                <w:vertAlign w:val="baseline"/>
                <w:lang w:val="en-US" w:eastAsia="zh-CN"/>
              </w:rPr>
              <w:t>东经：110°</w:t>
            </w:r>
            <w:r>
              <w:rPr>
                <w:rFonts w:hint="eastAsia" w:ascii="Times New Roman" w:hAnsi="Times New Roman" w:eastAsia="宋体" w:cs="Times New Roman"/>
                <w:color w:val="auto"/>
                <w:sz w:val="24"/>
                <w:szCs w:val="24"/>
                <w:highlight w:val="none"/>
                <w:u w:val="none"/>
                <w:vertAlign w:val="baseline"/>
                <w:lang w:val="en-US" w:eastAsia="zh-CN"/>
              </w:rPr>
              <w:t>15</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44.520</w:t>
            </w:r>
            <w:r>
              <w:rPr>
                <w:rFonts w:hint="default" w:ascii="Times New Roman" w:hAnsi="Times New Roman" w:eastAsia="宋体" w:cs="Times New Roman"/>
                <w:color w:val="auto"/>
                <w:sz w:val="24"/>
                <w:szCs w:val="24"/>
                <w:highlight w:val="none"/>
                <w:u w:val="none"/>
                <w:vertAlign w:val="baseline"/>
                <w:lang w:val="en-US" w:eastAsia="zh-CN"/>
              </w:rPr>
              <w:t>″，北纬：3</w:t>
            </w:r>
            <w:r>
              <w:rPr>
                <w:rFonts w:hint="eastAsia" w:ascii="Times New Roman" w:hAnsi="Times New Roman" w:eastAsia="宋体" w:cs="Times New Roman"/>
                <w:color w:val="auto"/>
                <w:sz w:val="24"/>
                <w:szCs w:val="24"/>
                <w:highlight w:val="none"/>
                <w:u w:val="none"/>
                <w:vertAlign w:val="baseline"/>
                <w:lang w:val="en-US" w:eastAsia="zh-CN"/>
              </w:rPr>
              <w:t>8</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2</w:t>
            </w:r>
            <w:r>
              <w:rPr>
                <w:rFonts w:hint="default"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23.631</w:t>
            </w:r>
            <w:r>
              <w:rPr>
                <w:rFonts w:hint="default" w:ascii="Times New Roman" w:hAnsi="Times New Roman" w:eastAsia="宋体" w:cs="Times New Roman"/>
                <w:color w:val="auto"/>
                <w:sz w:val="24"/>
                <w:szCs w:val="24"/>
                <w:highlight w:val="none"/>
                <w:u w:val="none"/>
                <w:vertAlign w:val="baseline"/>
                <w:lang w:val="en-US" w:eastAsia="zh-CN"/>
              </w:rPr>
              <w:t>″</w:t>
            </w:r>
          </w:p>
        </w:tc>
      </w:tr>
      <w:tr w14:paraId="077B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33481E6A">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建设项目类别</w:t>
            </w:r>
          </w:p>
        </w:tc>
        <w:tc>
          <w:tcPr>
            <w:tcW w:w="2276" w:type="dxa"/>
            <w:vAlign w:val="top"/>
          </w:tcPr>
          <w:p w14:paraId="02C66636">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四十六、专业技术服务</w:t>
            </w:r>
            <w:r>
              <w:rPr>
                <w:rFonts w:hint="eastAsia" w:ascii="Times New Roman" w:hAnsi="Times New Roman" w:eastAsia="宋体" w:cs="Times New Roman"/>
                <w:color w:val="auto"/>
                <w:sz w:val="24"/>
                <w:szCs w:val="24"/>
                <w:vertAlign w:val="baseline"/>
                <w:lang w:val="en-US" w:eastAsia="zh-CN"/>
              </w:rPr>
              <w:t>业</w:t>
            </w:r>
            <w:r>
              <w:rPr>
                <w:rFonts w:hint="default" w:ascii="Times New Roman" w:hAnsi="Times New Roman" w:eastAsia="宋体" w:cs="Times New Roman"/>
                <w:color w:val="auto"/>
                <w:sz w:val="24"/>
                <w:szCs w:val="24"/>
                <w:vertAlign w:val="baseline"/>
                <w:lang w:val="en-US" w:eastAsia="zh-CN"/>
              </w:rPr>
              <w:t>-99、陆地矿产资源地质勘察（含油气资源勘探）</w:t>
            </w:r>
            <w:r>
              <w:rPr>
                <w:rFonts w:hint="eastAsia" w:ascii="Times New Roman" w:hAnsi="Times New Roman" w:eastAsia="宋体" w:cs="Times New Roman"/>
                <w:color w:val="auto"/>
                <w:sz w:val="24"/>
                <w:szCs w:val="24"/>
                <w:vertAlign w:val="baseline"/>
                <w:lang w:val="en-US" w:eastAsia="zh-CN"/>
              </w:rPr>
              <w:t>-全部</w:t>
            </w:r>
          </w:p>
        </w:tc>
        <w:tc>
          <w:tcPr>
            <w:tcW w:w="2229" w:type="dxa"/>
            <w:vAlign w:val="center"/>
          </w:tcPr>
          <w:p w14:paraId="76E23274">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用地（用海）面积（m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vertAlign w:val="baseline"/>
                <w:lang w:val="en-US" w:eastAsia="zh-CN"/>
              </w:rPr>
              <w:t>）/长度（km）</w:t>
            </w:r>
          </w:p>
        </w:tc>
        <w:tc>
          <w:tcPr>
            <w:tcW w:w="2808" w:type="dxa"/>
            <w:vAlign w:val="center"/>
          </w:tcPr>
          <w:p w14:paraId="148CBC7C">
            <w:pPr>
              <w:jc w:val="center"/>
              <w:rPr>
                <w:rFonts w:hint="default" w:ascii="Times New Roman" w:hAnsi="Times New Roman" w:eastAsia="宋体" w:cs="Times New Roman"/>
                <w:color w:val="auto"/>
                <w:sz w:val="24"/>
                <w:szCs w:val="24"/>
                <w:vertAlign w:val="superscript"/>
                <w:lang w:val="en-US" w:eastAsia="zh-CN"/>
              </w:rPr>
            </w:pPr>
            <w:r>
              <w:rPr>
                <w:rFonts w:hint="eastAsia" w:ascii="Times New Roman" w:hAnsi="Times New Roman" w:eastAsia="宋体" w:cs="Times New Roman"/>
                <w:color w:val="auto"/>
                <w:sz w:val="24"/>
                <w:szCs w:val="24"/>
                <w:u w:val="none"/>
                <w:vertAlign w:val="baseline"/>
                <w:lang w:val="en-US" w:eastAsia="zh-CN"/>
              </w:rPr>
              <w:t>米107-32M</w:t>
            </w:r>
            <w:r>
              <w:rPr>
                <w:rFonts w:hint="eastAsia"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vertAlign w:val="baseline"/>
                <w:lang w:val="en-US" w:eastAsia="zh-CN"/>
              </w:rPr>
              <w:t>22800</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2</w:t>
            </w:r>
          </w:p>
          <w:p w14:paraId="1B78D5C4">
            <w:pPr>
              <w:jc w:val="center"/>
              <w:rPr>
                <w:rFonts w:hint="default" w:ascii="Times New Roman" w:hAnsi="Times New Roman" w:eastAsia="宋体" w:cs="Times New Roman"/>
                <w:color w:val="auto"/>
                <w:sz w:val="24"/>
                <w:szCs w:val="24"/>
                <w:vertAlign w:val="superscript"/>
                <w:lang w:val="en-US" w:eastAsia="zh-CN"/>
              </w:rPr>
            </w:pPr>
            <w:r>
              <w:rPr>
                <w:rFonts w:hint="eastAsia" w:ascii="Times New Roman" w:hAnsi="Times New Roman" w:eastAsia="宋体" w:cs="Times New Roman"/>
                <w:color w:val="auto"/>
                <w:sz w:val="24"/>
                <w:szCs w:val="24"/>
                <w:u w:val="none"/>
                <w:vertAlign w:val="baseline"/>
                <w:lang w:val="en-US" w:eastAsia="zh-CN"/>
              </w:rPr>
              <w:t>米107-16M</w:t>
            </w:r>
            <w:r>
              <w:rPr>
                <w:rFonts w:hint="eastAsia"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vertAlign w:val="baseline"/>
                <w:lang w:val="en-US" w:eastAsia="zh-CN"/>
              </w:rPr>
              <w:t>15370</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2</w:t>
            </w:r>
          </w:p>
          <w:p w14:paraId="5B91D405">
            <w:pPr>
              <w:jc w:val="center"/>
              <w:rPr>
                <w:rFonts w:hint="default"/>
                <w:color w:val="auto"/>
                <w:lang w:val="en-US" w:eastAsia="zh-CN"/>
              </w:rPr>
            </w:pPr>
            <w:r>
              <w:rPr>
                <w:rFonts w:hint="eastAsia" w:ascii="Times New Roman" w:hAnsi="Times New Roman" w:eastAsia="宋体" w:cs="Times New Roman"/>
                <w:color w:val="auto"/>
                <w:sz w:val="24"/>
                <w:szCs w:val="24"/>
                <w:u w:val="none"/>
                <w:vertAlign w:val="baseline"/>
                <w:lang w:val="en-US" w:eastAsia="zh-CN"/>
              </w:rPr>
              <w:t>米107-22MH</w:t>
            </w:r>
            <w:r>
              <w:rPr>
                <w:rFonts w:hint="eastAsia" w:ascii="Times New Roman" w:hAnsi="Times New Roman" w:eastAsia="宋体" w:cs="Times New Roman"/>
                <w:color w:val="auto"/>
                <w:sz w:val="24"/>
                <w:szCs w:val="24"/>
                <w:highlight w:val="none"/>
                <w:u w:val="none"/>
                <w:vertAlign w:val="baseline"/>
                <w:lang w:val="en-US" w:eastAsia="zh-CN"/>
              </w:rPr>
              <w:t>：</w:t>
            </w:r>
            <w:r>
              <w:rPr>
                <w:rFonts w:hint="eastAsia" w:ascii="Times New Roman" w:hAnsi="Times New Roman" w:eastAsia="宋体" w:cs="Times New Roman"/>
                <w:color w:val="auto"/>
                <w:sz w:val="24"/>
                <w:szCs w:val="24"/>
                <w:vertAlign w:val="baseline"/>
                <w:lang w:val="en-US" w:eastAsia="zh-CN"/>
              </w:rPr>
              <w:t>14872</w:t>
            </w:r>
            <w:r>
              <w:rPr>
                <w:rFonts w:hint="default" w:ascii="Times New Roman" w:hAnsi="Times New Roman" w:eastAsia="宋体" w:cs="Times New Roman"/>
                <w:color w:val="auto"/>
                <w:sz w:val="24"/>
                <w:szCs w:val="24"/>
                <w:vertAlign w:val="baseline"/>
                <w:lang w:val="en-US" w:eastAsia="zh-CN"/>
              </w:rPr>
              <w:t>m</w:t>
            </w:r>
            <w:r>
              <w:rPr>
                <w:rFonts w:hint="default" w:ascii="Times New Roman" w:hAnsi="Times New Roman" w:eastAsia="宋体" w:cs="Times New Roman"/>
                <w:color w:val="auto"/>
                <w:sz w:val="24"/>
                <w:szCs w:val="24"/>
                <w:vertAlign w:val="superscript"/>
                <w:lang w:val="en-US" w:eastAsia="zh-CN"/>
              </w:rPr>
              <w:t>2</w:t>
            </w:r>
          </w:p>
        </w:tc>
      </w:tr>
      <w:tr w14:paraId="5339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1A6AE7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建设性质</w:t>
            </w:r>
          </w:p>
        </w:tc>
        <w:tc>
          <w:tcPr>
            <w:tcW w:w="2276" w:type="dxa"/>
            <w:vAlign w:val="center"/>
          </w:tcPr>
          <w:p w14:paraId="00D9204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FE"/>
            </w:r>
            <w:r>
              <w:rPr>
                <w:rFonts w:hint="default" w:ascii="Times New Roman" w:hAnsi="Times New Roman" w:eastAsia="宋体" w:cs="Times New Roman"/>
                <w:color w:val="auto"/>
                <w:sz w:val="24"/>
                <w:szCs w:val="24"/>
                <w:vertAlign w:val="baseline"/>
                <w:lang w:val="en-US" w:eastAsia="zh-CN"/>
              </w:rPr>
              <w:t>新建（迁建）</w:t>
            </w:r>
          </w:p>
          <w:p w14:paraId="152E479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改建</w:t>
            </w:r>
          </w:p>
          <w:p w14:paraId="787D866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扩建</w:t>
            </w:r>
          </w:p>
          <w:p w14:paraId="3F731B9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技术改造</w:t>
            </w:r>
          </w:p>
        </w:tc>
        <w:tc>
          <w:tcPr>
            <w:tcW w:w="2229" w:type="dxa"/>
            <w:vAlign w:val="center"/>
          </w:tcPr>
          <w:p w14:paraId="5B949BF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建设项目</w:t>
            </w:r>
          </w:p>
          <w:p w14:paraId="3709A2C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申报情形</w:t>
            </w:r>
          </w:p>
        </w:tc>
        <w:tc>
          <w:tcPr>
            <w:tcW w:w="2808" w:type="dxa"/>
            <w:vAlign w:val="top"/>
          </w:tcPr>
          <w:p w14:paraId="6B2BA492">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FE"/>
            </w:r>
            <w:r>
              <w:rPr>
                <w:rFonts w:hint="default" w:ascii="Times New Roman" w:hAnsi="Times New Roman" w:eastAsia="宋体" w:cs="Times New Roman"/>
                <w:color w:val="auto"/>
                <w:sz w:val="24"/>
                <w:szCs w:val="24"/>
                <w:vertAlign w:val="baseline"/>
                <w:lang w:val="en-US" w:eastAsia="zh-CN"/>
              </w:rPr>
              <w:t>首次申报项目</w:t>
            </w:r>
          </w:p>
          <w:p w14:paraId="2AB7F42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不予批准后再次申报项目</w:t>
            </w:r>
          </w:p>
          <w:p w14:paraId="59FE85C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超过五年重新审核项目</w:t>
            </w:r>
          </w:p>
          <w:p w14:paraId="0817323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重大变动重新报批项目</w:t>
            </w:r>
          </w:p>
        </w:tc>
      </w:tr>
      <w:tr w14:paraId="6CD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6A6C6F7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项目审批（核准/备案）部门（选填）</w:t>
            </w:r>
          </w:p>
        </w:tc>
        <w:tc>
          <w:tcPr>
            <w:tcW w:w="2276" w:type="dxa"/>
            <w:vAlign w:val="center"/>
          </w:tcPr>
          <w:p w14:paraId="7255AF79">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c>
          <w:tcPr>
            <w:tcW w:w="2229" w:type="dxa"/>
            <w:vAlign w:val="center"/>
          </w:tcPr>
          <w:p w14:paraId="3C3CAB57">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项目审批（核准/备案）文号（选填）</w:t>
            </w:r>
          </w:p>
        </w:tc>
        <w:tc>
          <w:tcPr>
            <w:tcW w:w="2808" w:type="dxa"/>
            <w:vAlign w:val="center"/>
          </w:tcPr>
          <w:p w14:paraId="19BE676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w:t>
            </w:r>
          </w:p>
        </w:tc>
      </w:tr>
      <w:tr w14:paraId="33F7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19F0B6CF">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总投资（万元）</w:t>
            </w:r>
          </w:p>
        </w:tc>
        <w:tc>
          <w:tcPr>
            <w:tcW w:w="2276" w:type="dxa"/>
            <w:vAlign w:val="center"/>
          </w:tcPr>
          <w:p w14:paraId="660FBA3E">
            <w:pPr>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1500</w:t>
            </w:r>
          </w:p>
        </w:tc>
        <w:tc>
          <w:tcPr>
            <w:tcW w:w="2229" w:type="dxa"/>
            <w:vAlign w:val="center"/>
          </w:tcPr>
          <w:p w14:paraId="1B1DD3B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环保投资（万元）</w:t>
            </w:r>
          </w:p>
        </w:tc>
        <w:tc>
          <w:tcPr>
            <w:tcW w:w="2808" w:type="dxa"/>
            <w:vAlign w:val="center"/>
          </w:tcPr>
          <w:p w14:paraId="41F18650">
            <w:pPr>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163.5</w:t>
            </w:r>
          </w:p>
        </w:tc>
      </w:tr>
      <w:tr w14:paraId="3596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2FA79D2F">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环保投资占比（%）</w:t>
            </w:r>
          </w:p>
        </w:tc>
        <w:tc>
          <w:tcPr>
            <w:tcW w:w="2276" w:type="dxa"/>
            <w:vAlign w:val="center"/>
          </w:tcPr>
          <w:p w14:paraId="1B3C30D9">
            <w:pPr>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10.9</w:t>
            </w:r>
          </w:p>
        </w:tc>
        <w:tc>
          <w:tcPr>
            <w:tcW w:w="2229" w:type="dxa"/>
            <w:vAlign w:val="center"/>
          </w:tcPr>
          <w:p w14:paraId="1BE678A5">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施工工期</w:t>
            </w:r>
          </w:p>
        </w:tc>
        <w:tc>
          <w:tcPr>
            <w:tcW w:w="2808" w:type="dxa"/>
            <w:vAlign w:val="center"/>
          </w:tcPr>
          <w:p w14:paraId="18481F93">
            <w:pPr>
              <w:jc w:val="center"/>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150</w:t>
            </w:r>
            <w:r>
              <w:rPr>
                <w:rFonts w:hint="default" w:ascii="Times New Roman" w:hAnsi="Times New Roman" w:eastAsia="宋体" w:cs="Times New Roman"/>
                <w:color w:val="auto"/>
                <w:sz w:val="24"/>
                <w:szCs w:val="24"/>
                <w:vertAlign w:val="baseline"/>
                <w:lang w:val="en-US" w:eastAsia="zh-CN"/>
              </w:rPr>
              <w:t>天</w:t>
            </w:r>
          </w:p>
        </w:tc>
      </w:tr>
      <w:tr w14:paraId="7C95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75F70A3F">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是否开工建设</w:t>
            </w:r>
          </w:p>
        </w:tc>
        <w:tc>
          <w:tcPr>
            <w:tcW w:w="7313" w:type="dxa"/>
            <w:gridSpan w:val="3"/>
            <w:vAlign w:val="top"/>
          </w:tcPr>
          <w:p w14:paraId="08FC6D4F">
            <w:pPr>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sym w:font="Wingdings" w:char="00FE"/>
            </w:r>
            <w:r>
              <w:rPr>
                <w:rFonts w:hint="default" w:ascii="Times New Roman" w:hAnsi="Times New Roman" w:eastAsia="宋体" w:cs="Times New Roman"/>
                <w:color w:val="auto"/>
                <w:sz w:val="24"/>
                <w:szCs w:val="24"/>
                <w:vertAlign w:val="baseline"/>
                <w:lang w:val="en-US" w:eastAsia="zh-CN"/>
              </w:rPr>
              <w:t>否</w:t>
            </w:r>
          </w:p>
          <w:p w14:paraId="2DEDA711">
            <w:pPr>
              <w:jc w:val="both"/>
              <w:rPr>
                <w:rFonts w:hint="default" w:ascii="Times New Roman" w:hAnsi="Times New Roman" w:eastAsia="宋体" w:cs="Times New Roman"/>
                <w:color w:val="auto"/>
                <w:sz w:val="24"/>
                <w:szCs w:val="24"/>
                <w:vertAlign w:val="baseline"/>
              </w:rPr>
            </w:pPr>
            <w:r>
              <w:rPr>
                <w:rFonts w:hint="default" w:ascii="Times New Roman" w:hAnsi="Times New Roman" w:eastAsia="宋体" w:cs="Times New Roman"/>
                <w:color w:val="auto"/>
                <w:sz w:val="24"/>
                <w:szCs w:val="24"/>
                <w:vertAlign w:val="baseline"/>
                <w:lang w:val="en-US" w:eastAsia="zh-CN"/>
              </w:rPr>
              <w:sym w:font="Wingdings" w:char="00A8"/>
            </w:r>
            <w:r>
              <w:rPr>
                <w:rFonts w:hint="default" w:ascii="Times New Roman" w:hAnsi="Times New Roman" w:eastAsia="宋体" w:cs="Times New Roman"/>
                <w:color w:val="auto"/>
                <w:sz w:val="24"/>
                <w:szCs w:val="24"/>
                <w:vertAlign w:val="baseline"/>
                <w:lang w:val="en-US" w:eastAsia="zh-CN"/>
              </w:rPr>
              <w:t>是：</w:t>
            </w:r>
            <w:r>
              <w:rPr>
                <w:rFonts w:hint="default" w:ascii="Times New Roman" w:hAnsi="Times New Roman" w:eastAsia="宋体" w:cs="Times New Roman"/>
                <w:color w:val="auto"/>
                <w:sz w:val="24"/>
                <w:szCs w:val="24"/>
                <w:u w:val="single"/>
                <w:vertAlign w:val="baseline"/>
                <w:lang w:val="en-US" w:eastAsia="zh-CN"/>
              </w:rPr>
              <w:t xml:space="preserve">                          </w:t>
            </w:r>
          </w:p>
        </w:tc>
      </w:tr>
      <w:tr w14:paraId="6FD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A04BCE1">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专项评价设置情况</w:t>
            </w:r>
          </w:p>
        </w:tc>
        <w:tc>
          <w:tcPr>
            <w:tcW w:w="7313" w:type="dxa"/>
            <w:gridSpan w:val="3"/>
            <w:vAlign w:val="top"/>
          </w:tcPr>
          <w:p w14:paraId="2C50EF79">
            <w:pPr>
              <w:jc w:val="center"/>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表1-1   专项评价设置情况表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3295"/>
              <w:gridCol w:w="1999"/>
              <w:gridCol w:w="714"/>
            </w:tblGrid>
            <w:tr w14:paraId="59D0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48060D5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专项评价的类别</w:t>
                  </w:r>
                </w:p>
              </w:tc>
              <w:tc>
                <w:tcPr>
                  <w:tcW w:w="2325" w:type="pct"/>
                  <w:vAlign w:val="center"/>
                </w:tcPr>
                <w:p w14:paraId="056E6C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涉及项目类别</w:t>
                  </w:r>
                </w:p>
              </w:tc>
              <w:tc>
                <w:tcPr>
                  <w:tcW w:w="1410" w:type="pct"/>
                  <w:vAlign w:val="center"/>
                </w:tcPr>
                <w:p w14:paraId="5740629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本项目</w:t>
                  </w:r>
                </w:p>
              </w:tc>
              <w:tc>
                <w:tcPr>
                  <w:tcW w:w="504" w:type="pct"/>
                  <w:vAlign w:val="center"/>
                </w:tcPr>
                <w:p w14:paraId="78FF949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b/>
                      <w:bCs/>
                      <w:color w:val="auto"/>
                      <w:sz w:val="24"/>
                      <w:szCs w:val="24"/>
                      <w:vertAlign w:val="baseline"/>
                      <w:lang w:val="en-US" w:eastAsia="zh-CN"/>
                    </w:rPr>
                  </w:pPr>
                  <w:r>
                    <w:rPr>
                      <w:rFonts w:hint="default" w:ascii="Times New Roman" w:hAnsi="Times New Roman" w:cs="Times New Roman" w:eastAsiaTheme="minorEastAsia"/>
                      <w:b/>
                      <w:bCs/>
                      <w:color w:val="auto"/>
                      <w:sz w:val="24"/>
                      <w:szCs w:val="24"/>
                      <w:vertAlign w:val="baseline"/>
                      <w:lang w:val="en-US" w:eastAsia="zh-CN"/>
                    </w:rPr>
                    <w:t>是否设置</w:t>
                  </w:r>
                </w:p>
              </w:tc>
            </w:tr>
            <w:tr w14:paraId="3856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47F478F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地表水</w:t>
                  </w:r>
                </w:p>
              </w:tc>
              <w:tc>
                <w:tcPr>
                  <w:tcW w:w="2325" w:type="pct"/>
                  <w:vAlign w:val="center"/>
                </w:tcPr>
                <w:p w14:paraId="1717265C">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水利发电：引水式发电、涉及调峰发电的项目；</w:t>
                  </w:r>
                </w:p>
                <w:p w14:paraId="37B6F1FF">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人工湖、人工湿地：全部；</w:t>
                  </w:r>
                </w:p>
                <w:p w14:paraId="4D1C06B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水库：全部；</w:t>
                  </w:r>
                </w:p>
                <w:p w14:paraId="4B6A3DB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引水工程：全部（配套的管线工程等除外）；</w:t>
                  </w:r>
                </w:p>
                <w:p w14:paraId="59EF00B6">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防洪除涝工程：包含水库的项目</w:t>
                  </w:r>
                </w:p>
                <w:p w14:paraId="24B2451A">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河湖整治：涉及清淤且底泥存在重金属污染的项目</w:t>
                  </w:r>
                </w:p>
              </w:tc>
              <w:tc>
                <w:tcPr>
                  <w:tcW w:w="1410" w:type="pct"/>
                  <w:vAlign w:val="center"/>
                </w:tcPr>
                <w:p w14:paraId="308B7A3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井工程，不需开展地表水专项评价</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1E6D80F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否</w:t>
                  </w:r>
                </w:p>
              </w:tc>
            </w:tr>
            <w:tr w14:paraId="237C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650D2F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地下水</w:t>
                  </w:r>
                </w:p>
              </w:tc>
              <w:tc>
                <w:tcPr>
                  <w:tcW w:w="2325" w:type="pct"/>
                  <w:vAlign w:val="center"/>
                </w:tcPr>
                <w:p w14:paraId="075EC928">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陆地石油和天然气开采：全部；</w:t>
                  </w:r>
                </w:p>
                <w:p w14:paraId="031A8F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地下水（含矿泉水）开采：全部；</w:t>
                  </w:r>
                </w:p>
                <w:p w14:paraId="4E8334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水利、水电、交通等：含穿越可溶岩地层隧道的项目</w:t>
                  </w:r>
                </w:p>
              </w:tc>
              <w:tc>
                <w:tcPr>
                  <w:tcW w:w="1410" w:type="pct"/>
                  <w:vAlign w:val="center"/>
                </w:tcPr>
                <w:p w14:paraId="1505B96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井工程，不属于天然气开采，无需开展地下水专项评价</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53D4DA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否</w:t>
                  </w:r>
                </w:p>
              </w:tc>
            </w:tr>
            <w:tr w14:paraId="23BCF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4F85063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生态</w:t>
                  </w:r>
                </w:p>
              </w:tc>
              <w:tc>
                <w:tcPr>
                  <w:tcW w:w="2325" w:type="pct"/>
                  <w:vAlign w:val="center"/>
                </w:tcPr>
                <w:p w14:paraId="6E084700">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涉及环境敏感区（不包括饮用水水源保护区，以居住、医疗卫生、文化教育、科研、行政办公为主要功能的区域，以及文物保护单位）的项目</w:t>
                  </w:r>
                </w:p>
              </w:tc>
              <w:tc>
                <w:tcPr>
                  <w:tcW w:w="1410" w:type="pct"/>
                  <w:vAlign w:val="center"/>
                </w:tcPr>
                <w:p w14:paraId="6A1C4F39">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井工程，《建设项目环境影响评价分类管理名录》中针对该类项目无“敏感区”要求，同时本项目环境影响范围无以居住、医疗卫生、文化教育、科研、行政办公为主要功能的区域，以及文物保护单位）</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1303C8E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否</w:t>
                  </w:r>
                </w:p>
              </w:tc>
            </w:tr>
            <w:tr w14:paraId="4915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2BBF2BD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大气</w:t>
                  </w:r>
                </w:p>
              </w:tc>
              <w:tc>
                <w:tcPr>
                  <w:tcW w:w="2325" w:type="pct"/>
                  <w:vAlign w:val="center"/>
                </w:tcPr>
                <w:p w14:paraId="5A0105B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油气、液体化工码头：全部；</w:t>
                  </w:r>
                </w:p>
                <w:p w14:paraId="06DC39E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干散货（含煤炭、矿石）、件杂、多用途、通用码头：涉及粉尘、挥发性有机物排放的项目</w:t>
                  </w:r>
                </w:p>
              </w:tc>
              <w:tc>
                <w:tcPr>
                  <w:tcW w:w="1410" w:type="pct"/>
                  <w:vAlign w:val="center"/>
                </w:tcPr>
                <w:p w14:paraId="20CB4481">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井工程，不需开展</w:t>
                  </w:r>
                  <w:r>
                    <w:rPr>
                      <w:rFonts w:hint="eastAsia" w:ascii="Times New Roman" w:hAnsi="Times New Roman" w:cs="Times New Roman" w:eastAsiaTheme="minorEastAsia"/>
                      <w:color w:val="auto"/>
                      <w:sz w:val="24"/>
                      <w:szCs w:val="24"/>
                      <w:vertAlign w:val="baseline"/>
                      <w:lang w:val="en-US" w:eastAsia="zh-CN"/>
                    </w:rPr>
                    <w:t>大气</w:t>
                  </w:r>
                  <w:r>
                    <w:rPr>
                      <w:rFonts w:hint="default" w:ascii="Times New Roman" w:hAnsi="Times New Roman" w:cs="Times New Roman" w:eastAsiaTheme="minorEastAsia"/>
                      <w:color w:val="auto"/>
                      <w:sz w:val="24"/>
                      <w:szCs w:val="24"/>
                      <w:vertAlign w:val="baseline"/>
                      <w:lang w:val="en-US" w:eastAsia="zh-CN"/>
                    </w:rPr>
                    <w:t>专项评价</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6FF5BBC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eastAsia" w:ascii="Times New Roman" w:hAnsi="Times New Roman" w:cs="Times New Roman" w:eastAsiaTheme="minorEastAsia"/>
                      <w:color w:val="auto"/>
                      <w:sz w:val="24"/>
                      <w:szCs w:val="24"/>
                      <w:vertAlign w:val="baseline"/>
                      <w:lang w:val="en-US" w:eastAsia="zh-CN"/>
                    </w:rPr>
                    <w:t>否</w:t>
                  </w:r>
                </w:p>
              </w:tc>
            </w:tr>
            <w:tr w14:paraId="73C8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5EBA8C0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噪声</w:t>
                  </w:r>
                </w:p>
              </w:tc>
              <w:tc>
                <w:tcPr>
                  <w:tcW w:w="2325" w:type="pct"/>
                  <w:vAlign w:val="center"/>
                </w:tcPr>
                <w:p w14:paraId="62C842E3">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公路、铁路、机场等交通运输业涉及环境敏感区（以居住、医疗卫生、文化教育、科研、行政办公为主要功能的区域）的项目；</w:t>
                  </w:r>
                </w:p>
                <w:p w14:paraId="267FA71E">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城市道路（不含维护，不含支路、人行天桥、人行地道）：全部</w:t>
                  </w:r>
                </w:p>
              </w:tc>
              <w:tc>
                <w:tcPr>
                  <w:tcW w:w="1410" w:type="pct"/>
                  <w:vAlign w:val="center"/>
                </w:tcPr>
                <w:p w14:paraId="3110FB55">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井工程，不需开展噪声专项评价</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0111C22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否</w:t>
                  </w:r>
                </w:p>
              </w:tc>
            </w:tr>
            <w:tr w14:paraId="51A9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9" w:type="pct"/>
                  <w:vAlign w:val="center"/>
                </w:tcPr>
                <w:p w14:paraId="770EDF5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环境风险</w:t>
                  </w:r>
                </w:p>
              </w:tc>
              <w:tc>
                <w:tcPr>
                  <w:tcW w:w="2325" w:type="pct"/>
                  <w:vAlign w:val="center"/>
                </w:tcPr>
                <w:p w14:paraId="58E2DB6D">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石油和天然气开采：全部；</w:t>
                  </w:r>
                </w:p>
                <w:p w14:paraId="7A192077">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油气、液体化工码头：全部；</w:t>
                  </w:r>
                </w:p>
                <w:p w14:paraId="253B08A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原油、成品油、天然气管线（不含城镇天然气管线、企业厂区内管线），危险化学品输送管线（不含企业厂区内管线）：全部</w:t>
                  </w:r>
                </w:p>
              </w:tc>
              <w:tc>
                <w:tcPr>
                  <w:tcW w:w="1410" w:type="pct"/>
                  <w:vAlign w:val="center"/>
                </w:tcPr>
                <w:p w14:paraId="42D52F74">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本项目为天然气资源</w:t>
                  </w:r>
                  <w:r>
                    <w:rPr>
                      <w:rFonts w:hint="eastAsia" w:ascii="Times New Roman" w:hAnsi="Times New Roman" w:cs="Times New Roman" w:eastAsiaTheme="minorEastAsia"/>
                      <w:color w:val="auto"/>
                      <w:sz w:val="24"/>
                      <w:szCs w:val="24"/>
                      <w:vertAlign w:val="baseline"/>
                      <w:lang w:val="en-US" w:eastAsia="zh-CN"/>
                    </w:rPr>
                    <w:t>评价</w:t>
                  </w:r>
                  <w:r>
                    <w:rPr>
                      <w:rFonts w:hint="default" w:ascii="Times New Roman" w:hAnsi="Times New Roman" w:cs="Times New Roman" w:eastAsiaTheme="minorEastAsia"/>
                      <w:color w:val="auto"/>
                      <w:sz w:val="24"/>
                      <w:szCs w:val="24"/>
                      <w:vertAlign w:val="baseline"/>
                      <w:lang w:val="en-US" w:eastAsia="zh-CN"/>
                    </w:rPr>
                    <w:t>井工程，不属于天然气开采，无需开展环境风险专项评价</w:t>
                  </w:r>
                  <w:r>
                    <w:rPr>
                      <w:rFonts w:hint="eastAsia" w:ascii="Times New Roman" w:hAnsi="Times New Roman" w:cs="Times New Roman" w:eastAsiaTheme="minorEastAsia"/>
                      <w:color w:val="auto"/>
                      <w:sz w:val="24"/>
                      <w:szCs w:val="24"/>
                      <w:vertAlign w:val="baseline"/>
                      <w:lang w:val="en-US" w:eastAsia="zh-CN"/>
                    </w:rPr>
                    <w:t>。</w:t>
                  </w:r>
                </w:p>
              </w:tc>
              <w:tc>
                <w:tcPr>
                  <w:tcW w:w="504" w:type="pct"/>
                  <w:vAlign w:val="center"/>
                </w:tcPr>
                <w:p w14:paraId="7B16AD2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r>
                    <w:rPr>
                      <w:rFonts w:hint="default" w:ascii="Times New Roman" w:hAnsi="Times New Roman" w:cs="Times New Roman" w:eastAsiaTheme="minorEastAsia"/>
                      <w:color w:val="auto"/>
                      <w:sz w:val="24"/>
                      <w:szCs w:val="24"/>
                      <w:vertAlign w:val="baseline"/>
                      <w:lang w:val="en-US" w:eastAsia="zh-CN"/>
                    </w:rPr>
                    <w:t>否</w:t>
                  </w:r>
                </w:p>
              </w:tc>
            </w:tr>
          </w:tbl>
          <w:p w14:paraId="23AD27E7">
            <w:pPr>
              <w:jc w:val="both"/>
              <w:rPr>
                <w:rFonts w:hint="default" w:ascii="Times New Roman" w:hAnsi="Times New Roman" w:eastAsia="宋体" w:cs="Times New Roman"/>
                <w:color w:val="auto"/>
                <w:sz w:val="24"/>
                <w:szCs w:val="24"/>
                <w:vertAlign w:val="baseline"/>
                <w:lang w:val="en-US" w:eastAsia="zh-CN"/>
              </w:rPr>
            </w:pPr>
          </w:p>
        </w:tc>
      </w:tr>
      <w:tr w14:paraId="5023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top"/>
          </w:tcPr>
          <w:p w14:paraId="664CBF81">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规划情况</w:t>
            </w:r>
          </w:p>
        </w:tc>
        <w:tc>
          <w:tcPr>
            <w:tcW w:w="7313" w:type="dxa"/>
            <w:gridSpan w:val="3"/>
            <w:vAlign w:val="center"/>
          </w:tcPr>
          <w:p w14:paraId="60137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1、《陕西省矿产资源总体规划（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p>
          <w:p w14:paraId="28B4895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审批情况：陕西省自然资源厅、陕西省发展和改革委员会关于印发《陕西省矿产资源总体规划（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年）》的通知（陕自然资发</w:t>
            </w:r>
            <w:r>
              <w:rPr>
                <w:rFonts w:hint="default" w:ascii="Times New Roman" w:hAnsi="Times New Roman" w:eastAsia="宋体" w:cs="Times New Roman"/>
                <w:color w:val="auto"/>
                <w:kern w:val="0"/>
                <w:sz w:val="24"/>
                <w:szCs w:val="24"/>
                <w:lang w:val="en-US" w:eastAsia="zh-CN" w:bidi="ar"/>
              </w:rPr>
              <w:t>[2022]40</w:t>
            </w:r>
            <w:r>
              <w:rPr>
                <w:rFonts w:hint="eastAsia" w:ascii="Times New Roman" w:hAnsi="Times New Roman" w:eastAsia="宋体" w:cs="Times New Roman"/>
                <w:color w:val="auto"/>
                <w:kern w:val="0"/>
                <w:sz w:val="24"/>
                <w:szCs w:val="24"/>
                <w:lang w:val="en-US" w:eastAsia="zh-CN" w:bidi="ar"/>
              </w:rPr>
              <w:t>号）</w:t>
            </w:r>
          </w:p>
          <w:p w14:paraId="798890CC">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《榆林市矿产资源总体规划（2021-2025年）》</w:t>
            </w:r>
          </w:p>
          <w:p w14:paraId="2D7026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审批情况：榆林市人民政府办公室关于印发《榆林市矿产资源总体规划（2021-2025年）》的通知榆政发〔2023〕1号</w:t>
            </w:r>
          </w:p>
          <w:p w14:paraId="61CC5C52">
            <w:pPr>
              <w:keepNext w:val="0"/>
              <w:keepLines w:val="0"/>
              <w:pageBreakBefore w:val="0"/>
              <w:widowControl w:val="0"/>
              <w:numPr>
                <w:ilvl w:val="0"/>
                <w:numId w:val="2"/>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w:t>
            </w:r>
          </w:p>
          <w:p w14:paraId="715FED0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审批情况：佳县人民政府办公室关于印发《</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》的通知；2023年4月</w:t>
            </w:r>
          </w:p>
        </w:tc>
      </w:tr>
      <w:tr w14:paraId="1FBB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E2AB2CC">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规划环境影响</w:t>
            </w:r>
          </w:p>
          <w:p w14:paraId="64FA46D0">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评价情况</w:t>
            </w:r>
          </w:p>
        </w:tc>
        <w:tc>
          <w:tcPr>
            <w:tcW w:w="7313" w:type="dxa"/>
            <w:gridSpan w:val="3"/>
            <w:vAlign w:val="center"/>
          </w:tcPr>
          <w:p w14:paraId="46629D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0"/>
                <w:sz w:val="24"/>
                <w:szCs w:val="24"/>
                <w:lang w:val="en-US" w:eastAsia="zh-CN" w:bidi="ar"/>
              </w:rPr>
              <w:t>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年）环境影响报告书</w:t>
            </w:r>
          </w:p>
          <w:p w14:paraId="780289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审批情况：关于《陕西省矿产资源总体规划</w:t>
            </w:r>
            <w:r>
              <w:rPr>
                <w:rFonts w:hint="default" w:ascii="Times New Roman" w:hAnsi="Times New Roman" w:eastAsia="宋体" w:cs="Times New Roman"/>
                <w:color w:val="auto"/>
                <w:kern w:val="0"/>
                <w:sz w:val="24"/>
                <w:szCs w:val="24"/>
                <w:lang w:val="en-US" w:eastAsia="zh-CN" w:bidi="ar"/>
              </w:rPr>
              <w:t>(2021-2025</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环境影响报告书》的审查意见（环审</w:t>
            </w:r>
            <w:r>
              <w:rPr>
                <w:rFonts w:hint="default" w:ascii="Times New Roman" w:hAnsi="Times New Roman" w:eastAsia="宋体" w:cs="Times New Roman"/>
                <w:color w:val="auto"/>
                <w:kern w:val="0"/>
                <w:sz w:val="24"/>
                <w:szCs w:val="24"/>
                <w:lang w:val="en-US" w:eastAsia="zh-CN" w:bidi="ar"/>
              </w:rPr>
              <w:t>[2022]123</w:t>
            </w:r>
            <w:r>
              <w:rPr>
                <w:rFonts w:hint="eastAsia" w:ascii="Times New Roman" w:hAnsi="Times New Roman" w:eastAsia="宋体" w:cs="Times New Roman"/>
                <w:color w:val="auto"/>
                <w:kern w:val="0"/>
                <w:sz w:val="24"/>
                <w:szCs w:val="24"/>
                <w:lang w:val="en-US" w:eastAsia="zh-CN" w:bidi="ar"/>
              </w:rPr>
              <w:t>号）</w:t>
            </w:r>
          </w:p>
          <w:p w14:paraId="567E595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注：</w:t>
            </w:r>
            <w:r>
              <w:rPr>
                <w:rFonts w:hint="eastAsia" w:ascii="Times New Roman" w:hAnsi="Times New Roman" w:eastAsia="宋体" w:cs="Times New Roman"/>
                <w:color w:val="auto"/>
                <w:kern w:val="0"/>
                <w:sz w:val="24"/>
                <w:szCs w:val="24"/>
                <w:lang w:val="en-US" w:eastAsia="zh-CN" w:bidi="ar"/>
              </w:rPr>
              <w:t>《榆林市矿产资源总体规划（2021-2025年）》、《</w:t>
            </w:r>
            <w:r>
              <w:rPr>
                <w:rFonts w:hint="default" w:ascii="Times New Roman" w:hAnsi="Times New Roman" w:eastAsia="宋体" w:cs="Times New Roman"/>
                <w:color w:val="auto"/>
                <w:kern w:val="0"/>
                <w:sz w:val="24"/>
                <w:szCs w:val="24"/>
                <w:lang w:val="en-US" w:eastAsia="zh-CN" w:bidi="ar"/>
              </w:rPr>
              <w:t>佳县矿产资源总体规划（2021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2025年）</w:t>
            </w:r>
            <w:r>
              <w:rPr>
                <w:rFonts w:hint="eastAsia" w:ascii="Times New Roman" w:hAnsi="Times New Roman" w:eastAsia="宋体" w:cs="Times New Roman"/>
                <w:color w:val="auto"/>
                <w:kern w:val="0"/>
                <w:sz w:val="24"/>
                <w:szCs w:val="24"/>
                <w:lang w:val="en-US" w:eastAsia="zh-CN" w:bidi="ar"/>
              </w:rPr>
              <w:t>》未开展规划环评</w:t>
            </w:r>
          </w:p>
        </w:tc>
      </w:tr>
      <w:tr w14:paraId="6C30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top"/>
          </w:tcPr>
          <w:p w14:paraId="6CE76821">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规划及规划环境影响评价符合性分析</w:t>
            </w:r>
          </w:p>
        </w:tc>
        <w:tc>
          <w:tcPr>
            <w:tcW w:w="7313" w:type="dxa"/>
            <w:gridSpan w:val="3"/>
            <w:vAlign w:val="center"/>
          </w:tcPr>
          <w:p w14:paraId="6EFDADD1">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4"/>
                <w:szCs w:val="24"/>
                <w:lang w:val="en-US" w:eastAsia="zh-CN" w:bidi="ar"/>
              </w:rPr>
              <w:t>项目与陕西省矿产资源总体规划及规划环评相符性分析见下表：</w:t>
            </w:r>
          </w:p>
          <w:p w14:paraId="029A3CC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 xml:space="preserve">1-2   </w:t>
            </w:r>
            <w:r>
              <w:rPr>
                <w:rFonts w:hint="eastAsia" w:ascii="Times New Roman" w:hAnsi="Times New Roman" w:eastAsia="宋体" w:cs="Times New Roman"/>
                <w:b/>
                <w:bCs/>
                <w:color w:val="auto"/>
                <w:kern w:val="0"/>
                <w:sz w:val="21"/>
                <w:szCs w:val="21"/>
                <w:lang w:val="en-US" w:eastAsia="zh-CN" w:bidi="ar"/>
              </w:rPr>
              <w:t>项目与规划及规划环评符合性分析一览表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3050"/>
              <w:gridCol w:w="1811"/>
              <w:gridCol w:w="766"/>
            </w:tblGrid>
            <w:tr w14:paraId="0189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3EDF783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文件名称</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12236D3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规划及规划环评相关要求</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234E468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本项目情况</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A3CA23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0"/>
                      <w:sz w:val="21"/>
                      <w:szCs w:val="21"/>
                      <w:lang w:val="en-US" w:eastAsia="zh-CN" w:bidi="ar"/>
                    </w:rPr>
                    <w:t>符合性</w:t>
                  </w:r>
                </w:p>
              </w:tc>
            </w:tr>
            <w:tr w14:paraId="1515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3FCDE6C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313F024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推动陕北能源转型升级发展。在鄂尔多斯盆地煤油气盐赋存区，加强石油、天然气、页岩气、煤层气等能源矿产的调查评价，加大石油、天然气勘探力度，稳步提高油气产能</w:t>
                  </w:r>
                </w:p>
              </w:tc>
              <w:tc>
                <w:tcPr>
                  <w:tcW w:w="1277" w:type="pct"/>
                  <w:vMerge w:val="restart"/>
                  <w:tcBorders>
                    <w:top w:val="single" w:color="auto" w:sz="4" w:space="0"/>
                    <w:left w:val="single" w:color="auto" w:sz="4" w:space="0"/>
                    <w:bottom w:val="single" w:color="auto" w:sz="4" w:space="0"/>
                    <w:right w:val="single" w:color="auto" w:sz="4" w:space="0"/>
                  </w:tcBorders>
                  <w:noWrap w:val="0"/>
                  <w:vAlign w:val="center"/>
                </w:tcPr>
                <w:p w14:paraId="0122155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w:t>
                  </w:r>
                  <w:r>
                    <w:rPr>
                      <w:rFonts w:hint="eastAsia" w:ascii="Times New Roman" w:hAnsi="Times New Roman" w:cs="Times New Roman"/>
                      <w:color w:val="auto"/>
                      <w:kern w:val="0"/>
                      <w:sz w:val="21"/>
                      <w:szCs w:val="21"/>
                      <w:lang w:val="en-US" w:eastAsia="zh-CN" w:bidi="ar"/>
                    </w:rPr>
                    <w:t>3</w:t>
                  </w:r>
                  <w:r>
                    <w:rPr>
                      <w:rFonts w:hint="eastAsia" w:ascii="Times New Roman" w:hAnsi="Times New Roman" w:eastAsia="宋体" w:cs="Times New Roman"/>
                      <w:color w:val="auto"/>
                      <w:kern w:val="0"/>
                      <w:sz w:val="21"/>
                      <w:szCs w:val="21"/>
                      <w:lang w:val="en-US" w:eastAsia="zh-CN" w:bidi="ar"/>
                    </w:rPr>
                    <w:t>个气探井均位于陕甘宁鄂尔多斯盆地煤油气盐赋存区，为天然气勘探井工程，项目的实施有助于加大勘探勘探力度</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促进天然气持续增产</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01FAFCE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773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4B0B3AFA">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6F2614F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按照“稳油增气、常非并举”的部署，推进石油增储稳产、天然气增储扩产、煤层气增储上产。加强鄂尔多斯盆地油气勘查，加大页岩气、煤层气等非常规油气勘查力度，形成新的资源接续区</w:t>
                  </w:r>
                </w:p>
              </w:tc>
              <w:tc>
                <w:tcPr>
                  <w:tcW w:w="1277" w:type="pct"/>
                  <w:vMerge w:val="continue"/>
                  <w:tcBorders>
                    <w:top w:val="single" w:color="auto" w:sz="4" w:space="0"/>
                    <w:left w:val="single" w:color="auto" w:sz="4" w:space="0"/>
                    <w:bottom w:val="single" w:color="auto" w:sz="4" w:space="0"/>
                    <w:right w:val="single" w:color="auto" w:sz="4" w:space="0"/>
                  </w:tcBorders>
                  <w:noWrap w:val="0"/>
                  <w:vAlign w:val="center"/>
                </w:tcPr>
                <w:p w14:paraId="41D21E0E">
                  <w:pPr>
                    <w:jc w:val="both"/>
                    <w:rPr>
                      <w:rFonts w:hint="default" w:ascii="Times New Roman" w:hAnsi="Times New Roman" w:cs="Times New Roman"/>
                      <w:color w:val="auto"/>
                      <w:sz w:val="20"/>
                      <w:szCs w:val="20"/>
                    </w:rPr>
                  </w:pPr>
                </w:p>
              </w:tc>
              <w:tc>
                <w:tcPr>
                  <w:tcW w:w="540" w:type="pct"/>
                  <w:tcBorders>
                    <w:top w:val="single" w:color="auto" w:sz="4" w:space="0"/>
                    <w:left w:val="single" w:color="auto" w:sz="4" w:space="0"/>
                    <w:bottom w:val="single" w:color="auto" w:sz="4" w:space="0"/>
                    <w:right w:val="single" w:color="auto" w:sz="4" w:space="0"/>
                  </w:tcBorders>
                  <w:noWrap w:val="0"/>
                  <w:vAlign w:val="center"/>
                </w:tcPr>
                <w:p w14:paraId="0322FE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33A1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20B532A5">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07E667CA">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生态保护红线范围内原则上禁止不符合管控要求的矿产资源勘查开采</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39C4741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根据项目榆林市投资项目选址</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一张图</w:t>
                  </w:r>
                  <w:r>
                    <w:rPr>
                      <w:rFonts w:hint="default"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控制线检测报告，项目</w:t>
                  </w:r>
                  <w:r>
                    <w:rPr>
                      <w:rFonts w:hint="eastAsia" w:ascii="Times New Roman" w:hAnsi="Times New Roman" w:cs="Times New Roman"/>
                      <w:color w:val="auto"/>
                      <w:kern w:val="0"/>
                      <w:sz w:val="21"/>
                      <w:szCs w:val="21"/>
                      <w:lang w:val="en-US" w:eastAsia="zh-CN" w:bidi="ar"/>
                    </w:rPr>
                    <w:t>3</w:t>
                  </w:r>
                  <w:r>
                    <w:rPr>
                      <w:rFonts w:hint="eastAsia" w:ascii="Times New Roman" w:hAnsi="Times New Roman" w:eastAsia="宋体" w:cs="Times New Roman"/>
                      <w:color w:val="auto"/>
                      <w:kern w:val="0"/>
                      <w:sz w:val="21"/>
                      <w:szCs w:val="21"/>
                      <w:lang w:val="en-US" w:eastAsia="zh-CN" w:bidi="ar"/>
                    </w:rPr>
                    <w:t>个气探井均不涉及生态红线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C29474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5F22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030" w:type="pct"/>
                  <w:vMerge w:val="restart"/>
                  <w:tcBorders>
                    <w:top w:val="single" w:color="auto" w:sz="4" w:space="0"/>
                    <w:left w:val="single" w:color="auto" w:sz="4" w:space="0"/>
                    <w:bottom w:val="single" w:color="auto" w:sz="4" w:space="0"/>
                    <w:right w:val="single" w:color="auto" w:sz="4" w:space="0"/>
                  </w:tcBorders>
                  <w:noWrap w:val="0"/>
                  <w:vAlign w:val="center"/>
                </w:tcPr>
                <w:p w14:paraId="6125294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2A610AC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围绕国家战略性矿产、我省优势和紧缺矿产，引导项目、资金等要素向国家规划矿区和重点勘查区投入，重点勘查石油、天然气、页岩气、煤层气、煤炭、地热、氦气、铁矿、锰矿、铜矿、镍矿、金矿、钴矿、晶质石墨、萤石等矿产</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5B81CE9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本项目位于陕西省榆林市佳县金明寺镇，属于气探井建设项目</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778D35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5544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15B5219A">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73A5127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从环境本底调查、道路修建和场地平整、驻地建设与管理、勘查施工、环境修复等方面，降低或消除地质勘查对生态环境影响，实现地质勘查和生态环境保护协同共进</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789C7243">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项目勘探施工过程在划定的施工区建设，利用现有道路，土石方平衡，结束后将采取相应措施对临时占地全部进行恢复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2DA33C8">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3984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1025FC99">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69D84D9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生态保护红线原则上按禁止开发区域的要求进行管理，严禁不符合主体功能定位的各类开发活动，严禁任意改变用途，确保区域生态保护红线的生态功能不降低、面积不减少、性质不改变，维护国家生态安全。认真贯彻落实《中办国办关于划定并严守生态保护红线的若干意见》，严守生态保护红线，依法遵守环境敏感区规定，加强规划空间管制，合法开展矿产资源勘查和开发利用与保护，确保包括生态保护红线在内的生态空间面积不减少、功能不减低、性质不改变</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5EF8EB14">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根据榆林市投资项目选址“一张图”控制线检测报告，项目</w:t>
                  </w:r>
                  <w:r>
                    <w:rPr>
                      <w:rFonts w:hint="eastAsia" w:ascii="Times New Roman" w:hAnsi="Times New Roman" w:cs="Times New Roman"/>
                      <w:color w:val="auto"/>
                      <w:kern w:val="0"/>
                      <w:sz w:val="21"/>
                      <w:szCs w:val="21"/>
                      <w:lang w:val="en-US" w:eastAsia="zh-CN" w:bidi="ar"/>
                    </w:rPr>
                    <w:t>3</w:t>
                  </w:r>
                  <w:r>
                    <w:rPr>
                      <w:rFonts w:hint="eastAsia" w:ascii="Times New Roman" w:hAnsi="Times New Roman" w:eastAsia="宋体" w:cs="Times New Roman"/>
                      <w:color w:val="auto"/>
                      <w:kern w:val="0"/>
                      <w:sz w:val="21"/>
                      <w:szCs w:val="21"/>
                      <w:lang w:val="en-US" w:eastAsia="zh-CN" w:bidi="ar"/>
                    </w:rPr>
                    <w:t>个气探井未占用生态保护红线</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61AD737">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1DC9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77188620">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0C6068C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
                    </w:rPr>
                    <w:t>对位于一般生态空间和水、大气、土壤等优先保护区内现有矿业权，矿产资源勘查开发应严格落实各类生态空间和优先保护区的管控要求，严格控制矿产资源勘查开采活动范围和强度，保证该单元生态系统结构和主要功能不受破坏</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08C4B4EE">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根据《陕西省“三线一单”生态环境管控单元对照分析报告》，本项目涉及一般管控单元、优先保护单元，项目严格落实污染治理设施，不会破坏生态系统的结构和主要功能</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4FF1B1F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2E53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vMerge w:val="continue"/>
                  <w:tcBorders>
                    <w:top w:val="single" w:color="auto" w:sz="4" w:space="0"/>
                    <w:left w:val="single" w:color="auto" w:sz="4" w:space="0"/>
                    <w:bottom w:val="single" w:color="auto" w:sz="4" w:space="0"/>
                    <w:right w:val="single" w:color="auto" w:sz="4" w:space="0"/>
                  </w:tcBorders>
                  <w:noWrap w:val="0"/>
                  <w:vAlign w:val="center"/>
                </w:tcPr>
                <w:p w14:paraId="1CB61AC0">
                  <w:pPr>
                    <w:jc w:val="both"/>
                    <w:rPr>
                      <w:rFonts w:hint="default" w:ascii="Times New Roman" w:hAnsi="Times New Roman" w:cs="Times New Roman"/>
                      <w:color w:val="auto"/>
                      <w:sz w:val="20"/>
                      <w:szCs w:val="20"/>
                    </w:rPr>
                  </w:pPr>
                </w:p>
              </w:tc>
              <w:tc>
                <w:tcPr>
                  <w:tcW w:w="2151" w:type="pct"/>
                  <w:tcBorders>
                    <w:top w:val="single" w:color="auto" w:sz="4" w:space="0"/>
                    <w:left w:val="single" w:color="auto" w:sz="4" w:space="0"/>
                    <w:bottom w:val="single" w:color="auto" w:sz="4" w:space="0"/>
                    <w:right w:val="single" w:color="auto" w:sz="4" w:space="0"/>
                  </w:tcBorders>
                  <w:noWrap w:val="0"/>
                  <w:vAlign w:val="center"/>
                </w:tcPr>
                <w:p w14:paraId="0F7AE47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探矿活动结束后，应根据景观相似原则，对探矿活动造成的土壤、植被和地表景观破坏进行恢复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33B3EA7F">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项目施工结束后将采取相应措施对临时占地全部进行恢复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1822C50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r w14:paraId="6C82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 w:type="pct"/>
                  <w:tcBorders>
                    <w:top w:val="single" w:color="auto" w:sz="4" w:space="0"/>
                    <w:left w:val="single" w:color="auto" w:sz="4" w:space="0"/>
                    <w:bottom w:val="single" w:color="auto" w:sz="4" w:space="0"/>
                    <w:right w:val="single" w:color="auto" w:sz="4" w:space="0"/>
                  </w:tcBorders>
                  <w:noWrap w:val="0"/>
                  <w:vAlign w:val="center"/>
                </w:tcPr>
                <w:p w14:paraId="463DDC06">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陕西省矿产资源总体规划（</w:t>
                  </w:r>
                  <w:r>
                    <w:rPr>
                      <w:rFonts w:hint="default" w:ascii="Times New Roman" w:hAnsi="Times New Roman" w:eastAsia="宋体" w:cs="Times New Roman"/>
                      <w:color w:val="auto"/>
                      <w:kern w:val="0"/>
                      <w:sz w:val="21"/>
                      <w:szCs w:val="21"/>
                      <w:lang w:val="en-US" w:eastAsia="zh-CN" w:bidi="ar"/>
                    </w:rPr>
                    <w:t>2021-2025</w:t>
                  </w:r>
                  <w:r>
                    <w:rPr>
                      <w:rFonts w:hint="eastAsia" w:ascii="Times New Roman" w:hAnsi="Times New Roman" w:eastAsia="宋体" w:cs="Times New Roman"/>
                      <w:color w:val="auto"/>
                      <w:kern w:val="0"/>
                      <w:sz w:val="21"/>
                      <w:szCs w:val="21"/>
                      <w:lang w:val="en-US" w:eastAsia="zh-CN" w:bidi="ar"/>
                    </w:rPr>
                    <w:t>年）环境影响报告书审查意见</w:t>
                  </w:r>
                </w:p>
              </w:tc>
              <w:tc>
                <w:tcPr>
                  <w:tcW w:w="2151" w:type="pct"/>
                  <w:tcBorders>
                    <w:top w:val="single" w:color="auto" w:sz="4" w:space="0"/>
                    <w:left w:val="single" w:color="auto" w:sz="4" w:space="0"/>
                    <w:bottom w:val="single" w:color="auto" w:sz="4" w:space="0"/>
                    <w:right w:val="single" w:color="auto" w:sz="4" w:space="0"/>
                  </w:tcBorders>
                  <w:noWrap w:val="0"/>
                  <w:vAlign w:val="center"/>
                </w:tcPr>
                <w:p w14:paraId="0A453FC1">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宋体" w:hAnsi="宋体" w:eastAsia="宋体" w:cs="宋体"/>
                      <w:color w:val="auto"/>
                      <w:kern w:val="0"/>
                      <w:sz w:val="21"/>
                      <w:szCs w:val="21"/>
                      <w:lang w:val="en-US" w:eastAsia="zh-CN" w:bidi="ar"/>
                    </w:rPr>
                    <w:t>严格环境准入，保护区域生态功能。按照陕西省生态环境分区管控方案、生态环境保护规划等新要求，与大气环境优先保护区、水环境优先保护区、农用地优先保护区等存在空间重叠的现有矿业权、勘查规划区块、开采规划区块等，应严格执行相应管控要求，控制勘查、开采活动范围和强度，严格执行绿色勘查、绿色开采及矿山生态保护修复相关要求，确保生态系统结构和主要功能不受破坏。严格控制涉及生物多样性保护优先区域、国家重点生态功能区、国家重要生态功能区、水源涵养区、水土流失重点防治区等区域矿产资源开发活动，并采取相应保护措施，防止加剧对有关生态功能区的不良环境影响</w:t>
                  </w:r>
                </w:p>
              </w:tc>
              <w:tc>
                <w:tcPr>
                  <w:tcW w:w="1277" w:type="pct"/>
                  <w:tcBorders>
                    <w:top w:val="single" w:color="auto" w:sz="4" w:space="0"/>
                    <w:left w:val="single" w:color="auto" w:sz="4" w:space="0"/>
                    <w:bottom w:val="single" w:color="auto" w:sz="4" w:space="0"/>
                    <w:right w:val="single" w:color="auto" w:sz="4" w:space="0"/>
                  </w:tcBorders>
                  <w:noWrap w:val="0"/>
                  <w:vAlign w:val="center"/>
                </w:tcPr>
                <w:p w14:paraId="5B04ABAC">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default" w:ascii="Times New Roman" w:hAnsi="Times New Roman" w:cs="Times New Roman"/>
                      <w:color w:val="auto"/>
                      <w:kern w:val="0"/>
                      <w:sz w:val="21"/>
                      <w:szCs w:val="21"/>
                      <w:highlight w:val="none"/>
                      <w:lang w:val="en-US" w:eastAsia="zh-CN" w:bidi="ar"/>
                    </w:rPr>
                    <w:t>3口</w:t>
                  </w:r>
                  <w:r>
                    <w:rPr>
                      <w:rFonts w:hint="default" w:ascii="Times New Roman" w:hAnsi="Times New Roman" w:eastAsia="宋体" w:cs="Times New Roman"/>
                      <w:color w:val="auto"/>
                      <w:kern w:val="0"/>
                      <w:sz w:val="21"/>
                      <w:szCs w:val="21"/>
                      <w:highlight w:val="none"/>
                      <w:lang w:val="en-US" w:eastAsia="zh-CN" w:bidi="ar"/>
                    </w:rPr>
                    <w:t>气探井不占用禁止开发区，不涉及生物多样性保护优先区域、国家重点生态功能区、国家重要生态功能区、水源涵养区、水土流失重点防治区等区域矿产资源开发活动；</w:t>
                  </w:r>
                  <w:r>
                    <w:rPr>
                      <w:rFonts w:hint="default" w:ascii="Times New Roman" w:hAnsi="Times New Roman" w:eastAsia="宋体" w:cs="Times New Roman"/>
                      <w:color w:val="auto"/>
                      <w:sz w:val="21"/>
                      <w:szCs w:val="21"/>
                      <w:highlight w:val="none"/>
                      <w:lang w:eastAsia="zh-CN"/>
                    </w:rPr>
                    <w:t>项目仅为天然气勘探，勘探结束后将采取相应措</w:t>
                  </w:r>
                  <w:r>
                    <w:rPr>
                      <w:rFonts w:hint="eastAsia" w:ascii="宋体" w:hAnsi="宋体" w:eastAsia="宋体" w:cs="宋体"/>
                      <w:color w:val="auto"/>
                      <w:sz w:val="21"/>
                      <w:szCs w:val="21"/>
                      <w:lang w:eastAsia="zh-CN"/>
                    </w:rPr>
                    <w:t>施进行恢复，可防止加剧对有关生态功能区的不良环境影响</w:t>
                  </w:r>
                </w:p>
              </w:tc>
              <w:tc>
                <w:tcPr>
                  <w:tcW w:w="540" w:type="pct"/>
                  <w:tcBorders>
                    <w:top w:val="single" w:color="auto" w:sz="4" w:space="0"/>
                    <w:left w:val="single" w:color="auto" w:sz="4" w:space="0"/>
                    <w:bottom w:val="single" w:color="auto" w:sz="4" w:space="0"/>
                    <w:right w:val="single" w:color="auto" w:sz="4" w:space="0"/>
                  </w:tcBorders>
                  <w:noWrap w:val="0"/>
                  <w:vAlign w:val="center"/>
                </w:tcPr>
                <w:p w14:paraId="3535994B">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符合</w:t>
                  </w:r>
                </w:p>
              </w:tc>
            </w:tr>
          </w:tbl>
          <w:p w14:paraId="672EA6A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eastAsiaTheme="minorEastAsia"/>
                <w:color w:val="auto"/>
                <w:sz w:val="24"/>
                <w:szCs w:val="24"/>
                <w:vertAlign w:val="baseline"/>
                <w:lang w:val="en-US" w:eastAsia="zh-CN"/>
              </w:rPr>
            </w:pPr>
          </w:p>
        </w:tc>
      </w:tr>
      <w:tr w14:paraId="267F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top"/>
          </w:tcPr>
          <w:p w14:paraId="004A8030">
            <w:pPr>
              <w:jc w:val="center"/>
              <w:rPr>
                <w:rFonts w:hint="default" w:ascii="Times New Roman" w:hAnsi="Times New Roman" w:eastAsia="宋体" w:cs="Times New Roman"/>
                <w:color w:val="auto"/>
                <w:sz w:val="24"/>
                <w:szCs w:val="24"/>
                <w:vertAlign w:val="baseline"/>
                <w:lang w:val="en-US" w:eastAsia="zh-CN"/>
              </w:rPr>
            </w:pPr>
          </w:p>
          <w:p w14:paraId="08C1AA3C">
            <w:pPr>
              <w:jc w:val="center"/>
              <w:rPr>
                <w:rFonts w:hint="default" w:ascii="Times New Roman" w:hAnsi="Times New Roman" w:eastAsia="宋体" w:cs="Times New Roman"/>
                <w:color w:val="auto"/>
                <w:sz w:val="24"/>
                <w:szCs w:val="24"/>
                <w:vertAlign w:val="baseline"/>
                <w:lang w:val="en-US" w:eastAsia="zh-CN"/>
              </w:rPr>
            </w:pPr>
          </w:p>
          <w:p w14:paraId="6D894A38">
            <w:pPr>
              <w:jc w:val="center"/>
              <w:rPr>
                <w:rFonts w:hint="default" w:ascii="Times New Roman" w:hAnsi="Times New Roman" w:eastAsia="宋体" w:cs="Times New Roman"/>
                <w:color w:val="auto"/>
                <w:sz w:val="24"/>
                <w:szCs w:val="24"/>
                <w:vertAlign w:val="baseline"/>
                <w:lang w:val="en-US" w:eastAsia="zh-CN"/>
              </w:rPr>
            </w:pPr>
          </w:p>
          <w:p w14:paraId="0C1EBAC3">
            <w:pPr>
              <w:jc w:val="center"/>
              <w:rPr>
                <w:rFonts w:hint="default" w:ascii="Times New Roman" w:hAnsi="Times New Roman" w:eastAsia="宋体" w:cs="Times New Roman"/>
                <w:color w:val="auto"/>
                <w:sz w:val="24"/>
                <w:szCs w:val="24"/>
                <w:vertAlign w:val="baseline"/>
                <w:lang w:val="en-US" w:eastAsia="zh-CN"/>
              </w:rPr>
            </w:pPr>
          </w:p>
          <w:p w14:paraId="26FBE00B">
            <w:pPr>
              <w:jc w:val="center"/>
              <w:rPr>
                <w:rFonts w:hint="default" w:ascii="Times New Roman" w:hAnsi="Times New Roman" w:eastAsia="宋体" w:cs="Times New Roman"/>
                <w:color w:val="auto"/>
                <w:sz w:val="24"/>
                <w:szCs w:val="24"/>
                <w:vertAlign w:val="baseline"/>
                <w:lang w:val="en-US" w:eastAsia="zh-CN"/>
              </w:rPr>
            </w:pPr>
          </w:p>
          <w:p w14:paraId="33A3CBD1">
            <w:pPr>
              <w:jc w:val="center"/>
              <w:rPr>
                <w:rFonts w:hint="default" w:ascii="Times New Roman" w:hAnsi="Times New Roman" w:eastAsia="宋体" w:cs="Times New Roman"/>
                <w:color w:val="auto"/>
                <w:sz w:val="24"/>
                <w:szCs w:val="24"/>
                <w:vertAlign w:val="baseline"/>
                <w:lang w:val="en-US" w:eastAsia="zh-CN"/>
              </w:rPr>
            </w:pPr>
          </w:p>
          <w:p w14:paraId="50D5AD24">
            <w:pPr>
              <w:jc w:val="center"/>
              <w:rPr>
                <w:rFonts w:hint="default" w:ascii="Times New Roman" w:hAnsi="Times New Roman" w:eastAsia="宋体" w:cs="Times New Roman"/>
                <w:color w:val="auto"/>
                <w:sz w:val="24"/>
                <w:szCs w:val="24"/>
                <w:vertAlign w:val="baseline"/>
                <w:lang w:val="en-US" w:eastAsia="zh-CN"/>
              </w:rPr>
            </w:pPr>
          </w:p>
          <w:p w14:paraId="01F414EE">
            <w:pPr>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其他符合性分析</w:t>
            </w:r>
          </w:p>
        </w:tc>
        <w:tc>
          <w:tcPr>
            <w:tcW w:w="7313" w:type="dxa"/>
            <w:gridSpan w:val="3"/>
            <w:vAlign w:val="top"/>
          </w:tcPr>
          <w:p w14:paraId="561C00B1">
            <w:pPr>
              <w:ind w:firstLine="482" w:firstLineChars="200"/>
              <w:jc w:val="both"/>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1、产业政策符合性分析</w:t>
            </w:r>
          </w:p>
          <w:p w14:paraId="6FC3C0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本项目属于天然气勘探项目，根据《产业结构调整指导目录》（2024年本），属于鼓励类中的“七、石油天然气-1、石油天然气开采：常规石油、天然气勘探与开采”。因此，项目建设符合国家和地方产业政策。</w:t>
            </w:r>
          </w:p>
          <w:p w14:paraId="1BB795C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佳县人民政府办公室出具了本项目各井场建设的计划通知，见下表：</w:t>
            </w:r>
          </w:p>
          <w:p w14:paraId="6DED87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表1-2 本项目天然气井场建设计划来源一览表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4062"/>
              <w:gridCol w:w="2362"/>
            </w:tblGrid>
            <w:tr w14:paraId="2602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14:paraId="69EB0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867" w:type="pct"/>
                  <w:vAlign w:val="center"/>
                </w:tcPr>
                <w:p w14:paraId="0DB8E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文件名称</w:t>
                  </w:r>
                </w:p>
              </w:tc>
              <w:tc>
                <w:tcPr>
                  <w:tcW w:w="1667" w:type="pct"/>
                  <w:vAlign w:val="center"/>
                </w:tcPr>
                <w:p w14:paraId="4E0D7E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本项目井场</w:t>
                  </w:r>
                </w:p>
              </w:tc>
            </w:tr>
            <w:tr w14:paraId="1D66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14:paraId="72B8D4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867" w:type="pct"/>
                  <w:vAlign w:val="center"/>
                </w:tcPr>
                <w:p w14:paraId="67A8F2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《榆林市石油天然气开发协调领导小组办公室关于同意天然气项目建设计划的通知》（榆油协办发〔2025〕17号）</w:t>
                  </w:r>
                  <w:r>
                    <w:rPr>
                      <w:rFonts w:hint="eastAsia" w:ascii="Times New Roman" w:hAnsi="Times New Roman" w:eastAsia="宋体" w:cs="Times New Roman"/>
                      <w:color w:val="auto"/>
                      <w:sz w:val="21"/>
                      <w:szCs w:val="21"/>
                      <w:vertAlign w:val="baseline"/>
                      <w:lang w:val="en-US" w:eastAsia="zh-CN"/>
                    </w:rPr>
                    <w:t>、2025年4月24日佳县人民政府专项问题会议纪要第18次《2025年第三次油气工作专题会会议纪要》</w:t>
                  </w:r>
                </w:p>
              </w:tc>
              <w:tc>
                <w:tcPr>
                  <w:tcW w:w="1667" w:type="pct"/>
                  <w:vAlign w:val="center"/>
                </w:tcPr>
                <w:p w14:paraId="6A1C29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米107-22MH</w:t>
                  </w:r>
                </w:p>
              </w:tc>
            </w:tr>
            <w:tr w14:paraId="77CC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pct"/>
                  <w:vAlign w:val="center"/>
                </w:tcPr>
                <w:p w14:paraId="056248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867" w:type="pct"/>
                  <w:vAlign w:val="center"/>
                </w:tcPr>
                <w:p w14:paraId="7EAF6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《榆林市石油天然气开发协调领导小组办公室关于同意佳县境内米107-21等31个天然气井场建设计划的通知》（榆油协办发〔2025〕7号）</w:t>
                  </w:r>
                  <w:r>
                    <w:rPr>
                      <w:rFonts w:hint="eastAsia" w:ascii="Times New Roman" w:hAnsi="Times New Roman" w:eastAsia="宋体" w:cs="Times New Roman"/>
                      <w:color w:val="auto"/>
                      <w:sz w:val="21"/>
                      <w:szCs w:val="21"/>
                      <w:vertAlign w:val="baseline"/>
                      <w:lang w:val="en-US" w:eastAsia="zh-CN"/>
                    </w:rPr>
                    <w:t>、2025年3月23日佳县人民政府专项问题会议纪要第17次《2025年第三次油气工作专题会会议纪要》</w:t>
                  </w:r>
                </w:p>
              </w:tc>
              <w:tc>
                <w:tcPr>
                  <w:tcW w:w="1667" w:type="pct"/>
                  <w:vAlign w:val="center"/>
                </w:tcPr>
                <w:p w14:paraId="6C2FE1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米107-16M、米107-32M</w:t>
                  </w:r>
                </w:p>
              </w:tc>
            </w:tr>
          </w:tbl>
          <w:p w14:paraId="5CC81421">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vertAlign w:val="baseline"/>
                <w:lang w:val="en-US" w:eastAsia="zh-CN"/>
              </w:rPr>
            </w:pPr>
            <w:r>
              <w:rPr>
                <w:rFonts w:hint="default" w:ascii="Times New Roman" w:hAnsi="Times New Roman" w:eastAsia="宋体" w:cs="Times New Roman"/>
                <w:b/>
                <w:bCs/>
                <w:color w:val="auto"/>
                <w:sz w:val="24"/>
                <w:szCs w:val="24"/>
                <w:highlight w:val="none"/>
                <w:vertAlign w:val="baseline"/>
                <w:lang w:val="en-US" w:eastAsia="zh-CN"/>
              </w:rPr>
              <w:t>2、项目与榆林市“多规合一”符合性分析</w:t>
            </w:r>
          </w:p>
          <w:p w14:paraId="4E000003">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lang w:val="en-US" w:eastAsia="zh-CN"/>
              </w:rPr>
              <w:t>根据榆林市“多规合一”辅助决策服务窗口针对本项目出具的《榆林市投资项目选址“一张图”控制线检测报告》</w:t>
            </w:r>
            <w:r>
              <w:rPr>
                <w:rFonts w:hint="default" w:ascii="Times New Roman" w:hAnsi="Times New Roman" w:eastAsia="宋体" w:cs="Times New Roman"/>
                <w:bCs/>
                <w:color w:val="auto"/>
                <w:sz w:val="24"/>
                <w:szCs w:val="24"/>
                <w:highlight w:val="none"/>
                <w:lang w:val="en-US" w:eastAsia="zh-CN"/>
              </w:rPr>
              <w:t>（编号：202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2298</w:t>
            </w:r>
            <w:r>
              <w:rPr>
                <w:rFonts w:hint="default" w:ascii="Times New Roman" w:hAnsi="Times New Roman" w:eastAsia="宋体" w:cs="Times New Roman"/>
                <w:bCs/>
                <w:color w:val="auto"/>
                <w:sz w:val="24"/>
                <w:szCs w:val="24"/>
                <w:highlight w:val="none"/>
                <w:lang w:val="en-US" w:eastAsia="zh-CN"/>
              </w:rPr>
              <w:t>）号、202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2299</w:t>
            </w:r>
            <w:r>
              <w:rPr>
                <w:rFonts w:hint="default" w:ascii="Times New Roman" w:hAnsi="Times New Roman" w:eastAsia="宋体" w:cs="Times New Roman"/>
                <w:bCs/>
                <w:color w:val="auto"/>
                <w:sz w:val="24"/>
                <w:szCs w:val="24"/>
                <w:highlight w:val="none"/>
                <w:lang w:val="en-US" w:eastAsia="zh-CN"/>
              </w:rPr>
              <w:t>）号</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2300</w:t>
            </w:r>
            <w:r>
              <w:rPr>
                <w:rFonts w:hint="default" w:ascii="Times New Roman" w:hAnsi="Times New Roman" w:eastAsia="宋体" w:cs="Times New Roman"/>
                <w:bCs/>
                <w:color w:val="auto"/>
                <w:sz w:val="24"/>
                <w:szCs w:val="24"/>
                <w:highlight w:val="none"/>
                <w:lang w:val="en-US" w:eastAsia="zh-CN"/>
              </w:rPr>
              <w:t>）号，详见附件）可知，本项目占地范围不涉及生态保护红线、永久基本农田及文物保护线，项目相关检测符合性分析见表1-2。</w:t>
            </w:r>
          </w:p>
          <w:p w14:paraId="3D172C6E">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表1-2  本项目与榆林市“一张图”控制线检测报告符合性分析表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92"/>
              <w:gridCol w:w="2575"/>
              <w:gridCol w:w="1589"/>
              <w:gridCol w:w="1320"/>
              <w:gridCol w:w="607"/>
            </w:tblGrid>
            <w:tr w14:paraId="5FAD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noWrap w:val="0"/>
                  <w:vAlign w:val="center"/>
                </w:tcPr>
                <w:p w14:paraId="42CA24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井场</w:t>
                  </w:r>
                </w:p>
              </w:tc>
              <w:tc>
                <w:tcPr>
                  <w:tcW w:w="1817" w:type="pct"/>
                  <w:noWrap w:val="0"/>
                  <w:vAlign w:val="center"/>
                </w:tcPr>
                <w:p w14:paraId="397901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控制线名称</w:t>
                  </w:r>
                </w:p>
              </w:tc>
              <w:tc>
                <w:tcPr>
                  <w:tcW w:w="1121" w:type="pct"/>
                  <w:noWrap w:val="0"/>
                  <w:vAlign w:val="center"/>
                </w:tcPr>
                <w:p w14:paraId="6BA227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本项目情况</w:t>
                  </w:r>
                </w:p>
              </w:tc>
              <w:tc>
                <w:tcPr>
                  <w:tcW w:w="931" w:type="pct"/>
                  <w:noWrap w:val="0"/>
                  <w:vAlign w:val="center"/>
                </w:tcPr>
                <w:p w14:paraId="7C9098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采取措施</w:t>
                  </w:r>
                </w:p>
              </w:tc>
              <w:tc>
                <w:tcPr>
                  <w:tcW w:w="428" w:type="pct"/>
                  <w:noWrap w:val="0"/>
                  <w:vAlign w:val="center"/>
                </w:tcPr>
                <w:p w14:paraId="19A450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7371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noWrap w:val="0"/>
                  <w:vAlign w:val="center"/>
                </w:tcPr>
                <w:p w14:paraId="70A8501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米107-32M</w:t>
                  </w:r>
                </w:p>
              </w:tc>
              <w:tc>
                <w:tcPr>
                  <w:tcW w:w="1817" w:type="pct"/>
                  <w:noWrap w:val="0"/>
                  <w:vAlign w:val="center"/>
                </w:tcPr>
                <w:p w14:paraId="35231A1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noWrap w:val="0"/>
                  <w:vAlign w:val="center"/>
                </w:tcPr>
                <w:p w14:paraId="2EBC271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38AF06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D2868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D62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3983967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35B46D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榆阳机场净空区域分析</w:t>
                  </w:r>
                </w:p>
              </w:tc>
              <w:tc>
                <w:tcPr>
                  <w:tcW w:w="1121" w:type="pct"/>
                  <w:noWrap w:val="0"/>
                  <w:vAlign w:val="center"/>
                </w:tcPr>
                <w:p w14:paraId="3D6973A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5C48000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6A43E2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D8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5417A6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7D63E0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noWrap w:val="0"/>
                  <w:vAlign w:val="center"/>
                </w:tcPr>
                <w:p w14:paraId="05396C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230AD8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6E7DA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552DE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6" w:hRule="atLeast"/>
                <w:jc w:val="center"/>
              </w:trPr>
              <w:tc>
                <w:tcPr>
                  <w:tcW w:w="700" w:type="pct"/>
                  <w:vMerge w:val="continue"/>
                  <w:noWrap w:val="0"/>
                  <w:vAlign w:val="center"/>
                </w:tcPr>
                <w:p w14:paraId="734DD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41CB32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noWrap w:val="0"/>
                  <w:vAlign w:val="center"/>
                </w:tcPr>
                <w:p w14:paraId="7996DB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占用林地</w:t>
                  </w:r>
                  <w:r>
                    <w:rPr>
                      <w:rFonts w:hint="eastAsia" w:ascii="Times New Roman" w:hAnsi="Times New Roman" w:eastAsia="宋体" w:cs="Times New Roman"/>
                      <w:bCs/>
                      <w:color w:val="auto"/>
                      <w:sz w:val="21"/>
                      <w:szCs w:val="21"/>
                      <w:vertAlign w:val="baseline"/>
                      <w:lang w:val="en-US" w:eastAsia="zh-CN"/>
                    </w:rPr>
                    <w:t>2.1942</w:t>
                  </w:r>
                  <w:r>
                    <w:rPr>
                      <w:rFonts w:hint="default" w:ascii="Times New Roman" w:hAnsi="Times New Roman" w:eastAsia="宋体" w:cs="Times New Roman"/>
                      <w:bCs/>
                      <w:color w:val="auto"/>
                      <w:sz w:val="21"/>
                      <w:szCs w:val="21"/>
                      <w:vertAlign w:val="baseline"/>
                      <w:lang w:val="en-US" w:eastAsia="zh-CN"/>
                    </w:rPr>
                    <w:t>公顷</w:t>
                  </w:r>
                </w:p>
              </w:tc>
              <w:tc>
                <w:tcPr>
                  <w:tcW w:w="931" w:type="pct"/>
                  <w:noWrap w:val="0"/>
                  <w:vAlign w:val="center"/>
                </w:tcPr>
                <w:p w14:paraId="39019D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29B80A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3E4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0F886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0CA09CA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noWrap w:val="0"/>
                  <w:vAlign w:val="center"/>
                </w:tcPr>
                <w:p w14:paraId="0D87EC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16FB59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0A6042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363A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4FE9C2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2D3C1A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noWrap w:val="0"/>
                  <w:vAlign w:val="center"/>
                </w:tcPr>
                <w:p w14:paraId="123696F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054604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2CC84B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92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6E27812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27C2EE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noWrap w:val="0"/>
                  <w:vAlign w:val="center"/>
                </w:tcPr>
                <w:p w14:paraId="5DD700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noWrap w:val="0"/>
                  <w:vAlign w:val="center"/>
                </w:tcPr>
                <w:p w14:paraId="751082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noWrap w:val="0"/>
                  <w:vAlign w:val="center"/>
                </w:tcPr>
                <w:p w14:paraId="74323A4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3453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noWrap w:val="0"/>
                  <w:vAlign w:val="center"/>
                </w:tcPr>
                <w:p w14:paraId="0B8F31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p>
              </w:tc>
              <w:tc>
                <w:tcPr>
                  <w:tcW w:w="1817" w:type="pct"/>
                  <w:noWrap w:val="0"/>
                  <w:vAlign w:val="center"/>
                </w:tcPr>
                <w:p w14:paraId="09239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noWrap w:val="0"/>
                  <w:vAlign w:val="center"/>
                </w:tcPr>
                <w:p w14:paraId="754B518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占地耕</w:t>
                  </w:r>
                  <w:r>
                    <w:rPr>
                      <w:rFonts w:hint="default" w:ascii="Times New Roman" w:hAnsi="Times New Roman" w:cs="Times New Roman"/>
                      <w:bCs/>
                      <w:color w:val="auto"/>
                      <w:sz w:val="21"/>
                      <w:szCs w:val="21"/>
                      <w:vertAlign w:val="baseline"/>
                      <w:lang w:val="en-US" w:eastAsia="zh-CN"/>
                    </w:rPr>
                    <w:t>地</w:t>
                  </w:r>
                  <w:r>
                    <w:rPr>
                      <w:rFonts w:hint="eastAsia" w:ascii="Times New Roman" w:hAnsi="Times New Roman" w:cs="Times New Roman"/>
                      <w:bCs/>
                      <w:color w:val="auto"/>
                      <w:sz w:val="21"/>
                      <w:szCs w:val="21"/>
                      <w:vertAlign w:val="baseline"/>
                      <w:lang w:val="en-US" w:eastAsia="zh-CN"/>
                    </w:rPr>
                    <w:t>0.1151</w:t>
                  </w:r>
                  <w:r>
                    <w:rPr>
                      <w:rFonts w:hint="default" w:ascii="Times New Roman" w:hAnsi="Times New Roman" w:cs="Times New Roman"/>
                      <w:bCs/>
                      <w:color w:val="auto"/>
                      <w:sz w:val="21"/>
                      <w:szCs w:val="21"/>
                      <w:vertAlign w:val="baseline"/>
                      <w:lang w:val="en-US" w:eastAsia="zh-CN"/>
                    </w:rPr>
                    <w:t>公顷、</w:t>
                  </w:r>
                  <w:r>
                    <w:rPr>
                      <w:rFonts w:hint="eastAsia" w:ascii="Times New Roman" w:hAnsi="Times New Roman" w:cs="Times New Roman"/>
                      <w:bCs/>
                      <w:color w:val="auto"/>
                      <w:sz w:val="21"/>
                      <w:szCs w:val="21"/>
                      <w:vertAlign w:val="baseline"/>
                      <w:lang w:val="en-US" w:eastAsia="zh-CN"/>
                    </w:rPr>
                    <w:t>草地2.1641公顷、交通运输地0.0008公顷</w:t>
                  </w:r>
                </w:p>
              </w:tc>
              <w:tc>
                <w:tcPr>
                  <w:tcW w:w="931" w:type="pct"/>
                  <w:noWrap w:val="0"/>
                  <w:vAlign w:val="center"/>
                </w:tcPr>
                <w:p w14:paraId="727D42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noWrap w:val="0"/>
                  <w:vAlign w:val="center"/>
                </w:tcPr>
                <w:p w14:paraId="1E5577D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04ED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noWrap w:val="0"/>
                  <w:vAlign w:val="center"/>
                </w:tcPr>
                <w:p w14:paraId="2081154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米107-22MH</w:t>
                  </w:r>
                </w:p>
              </w:tc>
              <w:tc>
                <w:tcPr>
                  <w:tcW w:w="1817" w:type="pct"/>
                  <w:shd w:val="clear" w:color="auto" w:fill="auto"/>
                  <w:noWrap w:val="0"/>
                  <w:vAlign w:val="center"/>
                </w:tcPr>
                <w:p w14:paraId="6B7371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noWrap w:val="0"/>
                  <w:vAlign w:val="center"/>
                </w:tcPr>
                <w:p w14:paraId="2F25B34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noWrap w:val="0"/>
                  <w:vAlign w:val="center"/>
                </w:tcPr>
                <w:p w14:paraId="449027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noWrap w:val="0"/>
                  <w:vAlign w:val="center"/>
                </w:tcPr>
                <w:p w14:paraId="43C746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06D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B16E13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388B110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榆阳机场净空区域分析</w:t>
                  </w:r>
                </w:p>
              </w:tc>
              <w:tc>
                <w:tcPr>
                  <w:tcW w:w="1121" w:type="pct"/>
                  <w:shd w:val="clear" w:color="auto" w:fill="auto"/>
                  <w:vAlign w:val="center"/>
                </w:tcPr>
                <w:p w14:paraId="0B6D9A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6CC21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7599E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73FAA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88430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531AA5D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7E84E1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5AADD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6125C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5B5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1B5CF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002AEA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660D1BB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占用林地1.4000公顷</w:t>
                  </w:r>
                </w:p>
              </w:tc>
              <w:tc>
                <w:tcPr>
                  <w:tcW w:w="931" w:type="pct"/>
                  <w:shd w:val="clear" w:color="auto" w:fill="auto"/>
                  <w:vAlign w:val="center"/>
                </w:tcPr>
                <w:p w14:paraId="465711B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7606A7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811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77D94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769C5A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0490F1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4568D56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2E9C5B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3B97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7355D43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709650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5627D7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041C05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7810CF8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D00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22397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3D90451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5349CA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303F7C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83BC1C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199B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16BB5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4EA300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77C42F9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种植园</w:t>
                  </w:r>
                  <w:r>
                    <w:rPr>
                      <w:rFonts w:hint="eastAsia" w:ascii="Times New Roman" w:hAnsi="Times New Roman" w:cs="Times New Roman"/>
                      <w:bCs/>
                      <w:color w:val="auto"/>
                      <w:sz w:val="21"/>
                      <w:szCs w:val="21"/>
                      <w:vertAlign w:val="baseline"/>
                      <w:lang w:val="en-US" w:eastAsia="zh-CN"/>
                    </w:rPr>
                    <w:t>用</w:t>
                  </w:r>
                  <w:r>
                    <w:rPr>
                      <w:rFonts w:hint="default" w:ascii="Times New Roman" w:hAnsi="Times New Roman" w:cs="Times New Roman"/>
                      <w:bCs/>
                      <w:color w:val="auto"/>
                      <w:sz w:val="21"/>
                      <w:szCs w:val="21"/>
                      <w:vertAlign w:val="baseline"/>
                      <w:lang w:val="en-US" w:eastAsia="zh-CN"/>
                    </w:rPr>
                    <w:t>地</w:t>
                  </w:r>
                  <w:r>
                    <w:rPr>
                      <w:rFonts w:hint="eastAsia" w:ascii="Times New Roman" w:hAnsi="Times New Roman" w:cs="Times New Roman"/>
                      <w:bCs/>
                      <w:color w:val="auto"/>
                      <w:sz w:val="21"/>
                      <w:szCs w:val="21"/>
                      <w:vertAlign w:val="baseline"/>
                      <w:lang w:val="en-US" w:eastAsia="zh-CN"/>
                    </w:rPr>
                    <w:t>0.5510</w:t>
                  </w:r>
                  <w:r>
                    <w:rPr>
                      <w:rFonts w:hint="default" w:ascii="Times New Roman" w:hAnsi="Times New Roman" w:cs="Times New Roman"/>
                      <w:bCs/>
                      <w:color w:val="auto"/>
                      <w:sz w:val="21"/>
                      <w:szCs w:val="21"/>
                      <w:vertAlign w:val="baseline"/>
                      <w:lang w:val="en-US" w:eastAsia="zh-CN"/>
                    </w:rPr>
                    <w:t>公顷、草地</w:t>
                  </w:r>
                  <w:r>
                    <w:rPr>
                      <w:rFonts w:hint="eastAsia" w:ascii="Times New Roman" w:hAnsi="Times New Roman" w:cs="Times New Roman"/>
                      <w:bCs/>
                      <w:color w:val="auto"/>
                      <w:sz w:val="21"/>
                      <w:szCs w:val="21"/>
                      <w:vertAlign w:val="baseline"/>
                      <w:lang w:val="en-US" w:eastAsia="zh-CN"/>
                    </w:rPr>
                    <w:t>0.8490</w:t>
                  </w:r>
                  <w:r>
                    <w:rPr>
                      <w:rFonts w:hint="default" w:ascii="Times New Roman" w:hAnsi="Times New Roman" w:cs="Times New Roman"/>
                      <w:bCs/>
                      <w:color w:val="auto"/>
                      <w:sz w:val="21"/>
                      <w:szCs w:val="21"/>
                      <w:vertAlign w:val="baseline"/>
                      <w:lang w:val="en-US" w:eastAsia="zh-CN"/>
                    </w:rPr>
                    <w:t>公顷</w:t>
                  </w:r>
                </w:p>
              </w:tc>
              <w:tc>
                <w:tcPr>
                  <w:tcW w:w="931" w:type="pct"/>
                  <w:shd w:val="clear" w:color="auto" w:fill="auto"/>
                  <w:vAlign w:val="center"/>
                </w:tcPr>
                <w:p w14:paraId="1F7046B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2AEA5B6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HAnsi"/>
                      <w:bCs/>
                      <w:color w:val="auto"/>
                      <w:sz w:val="21"/>
                      <w:szCs w:val="21"/>
                      <w:vertAlign w:val="baseline"/>
                      <w:lang w:val="en-US" w:eastAsia="zh-CN" w:bidi="ar-SA"/>
                    </w:rPr>
                  </w:pPr>
                  <w:r>
                    <w:rPr>
                      <w:rFonts w:hint="default" w:ascii="Times New Roman" w:hAnsi="Times New Roman" w:cs="Times New Roman"/>
                      <w:bCs/>
                      <w:color w:val="auto"/>
                      <w:sz w:val="21"/>
                      <w:szCs w:val="21"/>
                      <w:vertAlign w:val="baseline"/>
                      <w:lang w:val="en-US" w:eastAsia="zh-CN"/>
                    </w:rPr>
                    <w:t>符合</w:t>
                  </w:r>
                </w:p>
              </w:tc>
            </w:tr>
            <w:tr w14:paraId="63DD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restart"/>
                  <w:shd w:val="clear" w:color="auto" w:fill="auto"/>
                  <w:vAlign w:val="center"/>
                </w:tcPr>
                <w:p w14:paraId="1A6648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bidi="ar-SA"/>
                    </w:rPr>
                    <w:t>米107-16M</w:t>
                  </w:r>
                </w:p>
              </w:tc>
              <w:tc>
                <w:tcPr>
                  <w:tcW w:w="1817" w:type="pct"/>
                  <w:shd w:val="clear" w:color="auto" w:fill="auto"/>
                  <w:vAlign w:val="center"/>
                </w:tcPr>
                <w:p w14:paraId="459832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榆阳机场电磁环境保护区分析</w:t>
                  </w:r>
                </w:p>
              </w:tc>
              <w:tc>
                <w:tcPr>
                  <w:tcW w:w="1121" w:type="pct"/>
                  <w:shd w:val="clear" w:color="auto" w:fill="auto"/>
                  <w:vAlign w:val="center"/>
                </w:tcPr>
                <w:p w14:paraId="4D96AE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40498F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09B0F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4F3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0EF861A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6603F8A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榆阳机场净空区域分析</w:t>
                  </w:r>
                </w:p>
              </w:tc>
              <w:tc>
                <w:tcPr>
                  <w:tcW w:w="1121" w:type="pct"/>
                  <w:shd w:val="clear" w:color="auto" w:fill="auto"/>
                  <w:vAlign w:val="center"/>
                </w:tcPr>
                <w:p w14:paraId="50016EB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1A00990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4F53CC5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253B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CFE92B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01B7A15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矿业权现状2023分析</w:t>
                  </w:r>
                </w:p>
              </w:tc>
              <w:tc>
                <w:tcPr>
                  <w:tcW w:w="1121" w:type="pct"/>
                  <w:shd w:val="clear" w:color="auto" w:fill="auto"/>
                  <w:vAlign w:val="center"/>
                </w:tcPr>
                <w:p w14:paraId="3A5090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6363F4C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AB4BEF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2A0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A6F5A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0306FD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林地规划分析</w:t>
                  </w:r>
                </w:p>
              </w:tc>
              <w:tc>
                <w:tcPr>
                  <w:tcW w:w="1121" w:type="pct"/>
                  <w:shd w:val="clear" w:color="auto" w:fill="auto"/>
                  <w:vAlign w:val="center"/>
                </w:tcPr>
                <w:p w14:paraId="5F0EBA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占用林地0.0055公顷</w:t>
                  </w:r>
                </w:p>
              </w:tc>
              <w:tc>
                <w:tcPr>
                  <w:tcW w:w="931" w:type="pct"/>
                  <w:shd w:val="clear" w:color="auto" w:fill="auto"/>
                  <w:vAlign w:val="center"/>
                </w:tcPr>
                <w:p w14:paraId="11DBF5C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4078A8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1F26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602C126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014A2CE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长城文物保护线分析</w:t>
                  </w:r>
                </w:p>
              </w:tc>
              <w:tc>
                <w:tcPr>
                  <w:tcW w:w="1121" w:type="pct"/>
                  <w:shd w:val="clear" w:color="auto" w:fill="auto"/>
                  <w:vAlign w:val="center"/>
                </w:tcPr>
                <w:p w14:paraId="02C8384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1573672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354DEC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0407B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35221C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0DE88F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生态保护红线分析</w:t>
                  </w:r>
                </w:p>
              </w:tc>
              <w:tc>
                <w:tcPr>
                  <w:tcW w:w="1121" w:type="pct"/>
                  <w:shd w:val="clear" w:color="auto" w:fill="auto"/>
                  <w:vAlign w:val="center"/>
                </w:tcPr>
                <w:p w14:paraId="5360828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2A3CB01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5AFFBEA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4F4E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2E39593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58ABE1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永久基本农田分析</w:t>
                  </w:r>
                </w:p>
              </w:tc>
              <w:tc>
                <w:tcPr>
                  <w:tcW w:w="1121" w:type="pct"/>
                  <w:shd w:val="clear" w:color="auto" w:fill="auto"/>
                  <w:vAlign w:val="center"/>
                </w:tcPr>
                <w:p w14:paraId="507EC71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不涉及</w:t>
                  </w:r>
                </w:p>
              </w:tc>
              <w:tc>
                <w:tcPr>
                  <w:tcW w:w="931" w:type="pct"/>
                  <w:shd w:val="clear" w:color="auto" w:fill="auto"/>
                  <w:vAlign w:val="center"/>
                </w:tcPr>
                <w:p w14:paraId="151C28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w:t>
                  </w:r>
                </w:p>
              </w:tc>
              <w:tc>
                <w:tcPr>
                  <w:tcW w:w="428" w:type="pct"/>
                  <w:shd w:val="clear" w:color="auto" w:fill="auto"/>
                  <w:vAlign w:val="center"/>
                </w:tcPr>
                <w:p w14:paraId="06AA2C3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030C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 w:type="pct"/>
                  <w:vMerge w:val="continue"/>
                  <w:shd w:val="clear" w:color="auto" w:fill="auto"/>
                  <w:vAlign w:val="center"/>
                </w:tcPr>
                <w:p w14:paraId="5556C41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bidi="ar-SA"/>
                    </w:rPr>
                  </w:pPr>
                </w:p>
              </w:tc>
              <w:tc>
                <w:tcPr>
                  <w:tcW w:w="1817" w:type="pct"/>
                  <w:shd w:val="clear" w:color="auto" w:fill="auto"/>
                  <w:vAlign w:val="center"/>
                </w:tcPr>
                <w:p w14:paraId="42E4D00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土地利用现状2021(三调)分析</w:t>
                  </w:r>
                </w:p>
              </w:tc>
              <w:tc>
                <w:tcPr>
                  <w:tcW w:w="1121" w:type="pct"/>
                  <w:shd w:val="clear" w:color="auto" w:fill="auto"/>
                  <w:vAlign w:val="center"/>
                </w:tcPr>
                <w:p w14:paraId="5E777C9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种植园</w:t>
                  </w:r>
                  <w:r>
                    <w:rPr>
                      <w:rFonts w:hint="eastAsia" w:ascii="Times New Roman" w:hAnsi="Times New Roman" w:cs="Times New Roman"/>
                      <w:bCs/>
                      <w:color w:val="auto"/>
                      <w:sz w:val="21"/>
                      <w:szCs w:val="21"/>
                      <w:vertAlign w:val="baseline"/>
                      <w:lang w:val="en-US" w:eastAsia="zh-CN"/>
                    </w:rPr>
                    <w:t>用</w:t>
                  </w:r>
                  <w:r>
                    <w:rPr>
                      <w:rFonts w:hint="default" w:ascii="Times New Roman" w:hAnsi="Times New Roman" w:cs="Times New Roman"/>
                      <w:bCs/>
                      <w:color w:val="auto"/>
                      <w:sz w:val="21"/>
                      <w:szCs w:val="21"/>
                      <w:vertAlign w:val="baseline"/>
                      <w:lang w:val="en-US" w:eastAsia="zh-CN"/>
                    </w:rPr>
                    <w:t>地</w:t>
                  </w:r>
                  <w:r>
                    <w:rPr>
                      <w:rFonts w:hint="eastAsia" w:ascii="Times New Roman" w:hAnsi="Times New Roman" w:cs="Times New Roman"/>
                      <w:bCs/>
                      <w:color w:val="auto"/>
                      <w:sz w:val="21"/>
                      <w:szCs w:val="21"/>
                      <w:vertAlign w:val="baseline"/>
                      <w:lang w:val="en-US" w:eastAsia="zh-CN"/>
                    </w:rPr>
                    <w:t>1.2677</w:t>
                  </w:r>
                  <w:r>
                    <w:rPr>
                      <w:rFonts w:hint="default" w:ascii="Times New Roman" w:hAnsi="Times New Roman" w:cs="Times New Roman"/>
                      <w:bCs/>
                      <w:color w:val="auto"/>
                      <w:sz w:val="21"/>
                      <w:szCs w:val="21"/>
                      <w:vertAlign w:val="baseline"/>
                      <w:lang w:val="en-US" w:eastAsia="zh-CN"/>
                    </w:rPr>
                    <w:t>公顷、草地</w:t>
                  </w:r>
                  <w:r>
                    <w:rPr>
                      <w:rFonts w:hint="eastAsia" w:ascii="Times New Roman" w:hAnsi="Times New Roman" w:cs="Times New Roman"/>
                      <w:bCs/>
                      <w:color w:val="auto"/>
                      <w:sz w:val="21"/>
                      <w:szCs w:val="21"/>
                      <w:vertAlign w:val="baseline"/>
                      <w:lang w:val="en-US" w:eastAsia="zh-CN"/>
                    </w:rPr>
                    <w:t>0.2693</w:t>
                  </w:r>
                  <w:r>
                    <w:rPr>
                      <w:rFonts w:hint="default" w:ascii="Times New Roman" w:hAnsi="Times New Roman" w:cs="Times New Roman"/>
                      <w:bCs/>
                      <w:color w:val="auto"/>
                      <w:sz w:val="21"/>
                      <w:szCs w:val="21"/>
                      <w:vertAlign w:val="baseline"/>
                      <w:lang w:val="en-US" w:eastAsia="zh-CN"/>
                    </w:rPr>
                    <w:t>公顷</w:t>
                  </w:r>
                </w:p>
              </w:tc>
              <w:tc>
                <w:tcPr>
                  <w:tcW w:w="931" w:type="pct"/>
                  <w:shd w:val="clear" w:color="auto" w:fill="auto"/>
                  <w:vAlign w:val="center"/>
                </w:tcPr>
                <w:p w14:paraId="4CEE0A7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办理</w:t>
                  </w:r>
                  <w:r>
                    <w:rPr>
                      <w:rFonts w:hint="default" w:ascii="Times New Roman" w:hAnsi="Times New Roman" w:cs="Times New Roman"/>
                      <w:bCs/>
                      <w:color w:val="auto"/>
                      <w:sz w:val="21"/>
                      <w:szCs w:val="21"/>
                      <w:vertAlign w:val="baseline"/>
                      <w:lang w:val="en-US" w:eastAsia="zh-CN"/>
                    </w:rPr>
                    <w:t>相关用地手续</w:t>
                  </w:r>
                </w:p>
              </w:tc>
              <w:tc>
                <w:tcPr>
                  <w:tcW w:w="428" w:type="pct"/>
                  <w:shd w:val="clear" w:color="auto" w:fill="auto"/>
                  <w:vAlign w:val="center"/>
                </w:tcPr>
                <w:p w14:paraId="53341C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bl>
          <w:p w14:paraId="33880BCA">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由上表可知，项目建设主要占用</w:t>
            </w:r>
            <w:r>
              <w:rPr>
                <w:rFonts w:hint="eastAsia" w:ascii="Times New Roman" w:hAnsi="Times New Roman" w:cs="Times New Roman"/>
                <w:color w:val="auto"/>
                <w:lang w:val="en-US" w:eastAsia="zh-CN"/>
              </w:rPr>
              <w:t>耕地、</w:t>
            </w:r>
            <w:r>
              <w:rPr>
                <w:rFonts w:hint="default" w:ascii="Times New Roman" w:hAnsi="Times New Roman" w:cs="Times New Roman"/>
                <w:color w:val="auto"/>
                <w:lang w:val="en-US" w:eastAsia="zh-CN"/>
              </w:rPr>
              <w:t>林地、</w:t>
            </w:r>
            <w:r>
              <w:rPr>
                <w:rFonts w:hint="eastAsia" w:ascii="Times New Roman" w:hAnsi="Times New Roman" w:cs="Times New Roman"/>
                <w:color w:val="auto"/>
                <w:lang w:val="en-US" w:eastAsia="zh-CN"/>
              </w:rPr>
              <w:t>种植</w:t>
            </w:r>
            <w:r>
              <w:rPr>
                <w:rFonts w:hint="default" w:ascii="Times New Roman" w:hAnsi="Times New Roman" w:cs="Times New Roman"/>
                <w:color w:val="auto"/>
                <w:lang w:val="en-US" w:eastAsia="zh-CN"/>
              </w:rPr>
              <w:t>园地</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草地</w:t>
            </w:r>
            <w:r>
              <w:rPr>
                <w:rFonts w:hint="eastAsia" w:ascii="Times New Roman" w:hAnsi="Times New Roman" w:cs="Times New Roman"/>
                <w:color w:val="auto"/>
                <w:lang w:val="en-US" w:eastAsia="zh-CN"/>
              </w:rPr>
              <w:t>以及交通运输用地</w:t>
            </w:r>
            <w:r>
              <w:rPr>
                <w:rFonts w:hint="default" w:ascii="Times New Roman" w:hAnsi="Times New Roman" w:cs="Times New Roman"/>
                <w:color w:val="auto"/>
                <w:lang w:val="en-US" w:eastAsia="zh-CN"/>
              </w:rPr>
              <w:t>，已与自然资源规划部门及林业局对接，勘探后如有开采价值依法办理自然资源规划部门相关手续。</w:t>
            </w:r>
          </w:p>
          <w:p w14:paraId="5A121A1C">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综上所述，项目建设基本符合榆林市投资项目选址“一张图”控制线报告要求。</w:t>
            </w:r>
          </w:p>
          <w:p w14:paraId="55235FA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3、项目与“三线一单”符合性分析</w:t>
            </w:r>
          </w:p>
          <w:p w14:paraId="1E0A13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陕西省“三线一单”生态环境分区管控应用技术指南：环境影响评价（试行）》（陕环办发〔2022〕76号文），建设项目环评文件涉及“三线一单”生态环境分区管控符合性分析采取“一图一表一说明”的表达方式，对照分析结果，论证建设的符合性。</w:t>
            </w:r>
          </w:p>
          <w:p w14:paraId="5639453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①一图</w:t>
            </w:r>
          </w:p>
          <w:p w14:paraId="5166E22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color w:val="auto"/>
                <w:lang w:val="en-US" w:eastAsia="zh-CN"/>
              </w:rPr>
            </w:pPr>
            <w:r>
              <w:rPr>
                <w:rFonts w:hint="default" w:ascii="Times New Roman" w:hAnsi="Times New Roman" w:eastAsia="宋体" w:cs="Times New Roman"/>
                <w:color w:val="auto"/>
                <w:sz w:val="24"/>
                <w:szCs w:val="24"/>
                <w:highlight w:val="none"/>
                <w:lang w:val="en-US" w:eastAsia="zh-CN"/>
              </w:rPr>
              <w:t>根据《榆林市“三线一单”生态环境分区管控方案》，结合“陕西省‘三线一单’数据应用管理平台”分析，本项目</w:t>
            </w:r>
            <w:r>
              <w:rPr>
                <w:rFonts w:hint="eastAsia" w:ascii="Times New Roman" w:hAnsi="Times New Roman" w:eastAsia="宋体" w:cs="Times New Roman"/>
                <w:color w:val="auto"/>
                <w:sz w:val="24"/>
                <w:szCs w:val="24"/>
                <w:highlight w:val="none"/>
                <w:lang w:val="en-US" w:eastAsia="zh-CN"/>
              </w:rPr>
              <w:t>米107-22MH、米107-16M、米107-32M均位于一般管控单元</w:t>
            </w:r>
            <w:r>
              <w:rPr>
                <w:rFonts w:hint="default" w:ascii="Times New Roman" w:hAnsi="Times New Roman" w:eastAsia="宋体" w:cs="Times New Roman"/>
                <w:color w:val="auto"/>
                <w:sz w:val="24"/>
                <w:szCs w:val="24"/>
                <w:highlight w:val="none"/>
                <w:lang w:val="en-US" w:eastAsia="zh-CN"/>
              </w:rPr>
              <w:t>，项目选址与榆林市“三线一单”生态环境分区管控的位置关系如下：</w:t>
            </w:r>
            <w:r>
              <w:rPr>
                <w:color w:val="auto"/>
              </w:rPr>
              <w:drawing>
                <wp:inline distT="0" distB="0" distL="114300" distR="114300">
                  <wp:extent cx="3629025" cy="585787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629025" cy="5857875"/>
                          </a:xfrm>
                          <a:prstGeom prst="rect">
                            <a:avLst/>
                          </a:prstGeom>
                          <a:noFill/>
                          <a:ln>
                            <a:noFill/>
                          </a:ln>
                        </pic:spPr>
                      </pic:pic>
                    </a:graphicData>
                  </a:graphic>
                </wp:inline>
              </w:drawing>
            </w:r>
          </w:p>
          <w:p w14:paraId="365C28B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图1-1 本项目</w:t>
            </w:r>
            <w:r>
              <w:rPr>
                <w:rFonts w:hint="eastAsia" w:ascii="Times New Roman" w:hAnsi="Times New Roman" w:eastAsia="宋体" w:cs="Times New Roman"/>
                <w:b/>
                <w:bCs/>
                <w:color w:val="auto"/>
                <w:sz w:val="21"/>
                <w:szCs w:val="21"/>
                <w:highlight w:val="none"/>
                <w:lang w:val="en-US" w:eastAsia="zh-CN"/>
              </w:rPr>
              <w:t>米107-32M</w:t>
            </w:r>
            <w:r>
              <w:rPr>
                <w:rFonts w:hint="default" w:ascii="Times New Roman" w:hAnsi="Times New Roman" w:eastAsia="宋体" w:cs="Times New Roman"/>
                <w:b/>
                <w:bCs/>
                <w:color w:val="auto"/>
                <w:sz w:val="21"/>
                <w:szCs w:val="21"/>
                <w:highlight w:val="none"/>
                <w:lang w:val="en-US" w:eastAsia="zh-CN"/>
              </w:rPr>
              <w:t>同榆林市“三线一单”生态空间管控对照图</w:t>
            </w:r>
          </w:p>
          <w:p w14:paraId="180B54D9">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rPr>
                <w:rFonts w:hint="default" w:ascii="Times New Roman" w:hAnsi="Times New Roman" w:eastAsia="宋体" w:cs="Times New Roman"/>
                <w:color w:val="auto"/>
                <w:sz w:val="24"/>
                <w:szCs w:val="24"/>
                <w:highlight w:val="none"/>
                <w:lang w:val="en-US" w:eastAsia="zh-CN"/>
              </w:rPr>
            </w:pPr>
            <w:r>
              <w:rPr>
                <w:color w:val="auto"/>
              </w:rPr>
              <w:drawing>
                <wp:inline distT="0" distB="0" distL="114300" distR="114300">
                  <wp:extent cx="3495675" cy="556260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495675" cy="5562600"/>
                          </a:xfrm>
                          <a:prstGeom prst="rect">
                            <a:avLst/>
                          </a:prstGeom>
                          <a:noFill/>
                          <a:ln>
                            <a:noFill/>
                          </a:ln>
                        </pic:spPr>
                      </pic:pic>
                    </a:graphicData>
                  </a:graphic>
                </wp:inline>
              </w:drawing>
            </w:r>
          </w:p>
          <w:p w14:paraId="57C8C3C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图1-</w:t>
            </w:r>
            <w:r>
              <w:rPr>
                <w:rFonts w:hint="eastAsia"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lang w:val="en-US" w:eastAsia="zh-CN"/>
              </w:rPr>
              <w:t xml:space="preserve"> 本项目</w:t>
            </w:r>
            <w:r>
              <w:rPr>
                <w:rFonts w:hint="eastAsia" w:ascii="Times New Roman" w:hAnsi="Times New Roman" w:eastAsia="宋体" w:cs="Times New Roman"/>
                <w:b/>
                <w:bCs/>
                <w:color w:val="auto"/>
                <w:sz w:val="21"/>
                <w:szCs w:val="21"/>
                <w:highlight w:val="none"/>
                <w:lang w:val="en-US" w:eastAsia="zh-CN"/>
              </w:rPr>
              <w:t>米107-16M</w:t>
            </w:r>
            <w:r>
              <w:rPr>
                <w:rFonts w:hint="default" w:ascii="Times New Roman" w:hAnsi="Times New Roman" w:eastAsia="宋体" w:cs="Times New Roman"/>
                <w:b/>
                <w:bCs/>
                <w:color w:val="auto"/>
                <w:sz w:val="21"/>
                <w:szCs w:val="21"/>
                <w:highlight w:val="none"/>
                <w:lang w:val="en-US" w:eastAsia="zh-CN"/>
              </w:rPr>
              <w:t>同榆林市“三线一单”生态空间管控对照图</w:t>
            </w:r>
          </w:p>
          <w:p w14:paraId="06CB7E68">
            <w:pPr>
              <w:keepNext w:val="0"/>
              <w:keepLines w:val="0"/>
              <w:pageBreakBefore w:val="0"/>
              <w:widowControl w:val="0"/>
              <w:kinsoku/>
              <w:wordWrap/>
              <w:overflowPunct/>
              <w:topLinePunct w:val="0"/>
              <w:autoSpaceDE/>
              <w:autoSpaceDN/>
              <w:bidi w:val="0"/>
              <w:adjustRightInd/>
              <w:snapToGrid/>
              <w:spacing w:line="360" w:lineRule="auto"/>
              <w:ind w:firstLine="440" w:firstLineChars="200"/>
              <w:jc w:val="center"/>
              <w:textAlignment w:val="auto"/>
              <w:rPr>
                <w:color w:val="auto"/>
              </w:rPr>
            </w:pPr>
            <w:r>
              <w:rPr>
                <w:color w:val="auto"/>
              </w:rPr>
              <w:drawing>
                <wp:inline distT="0" distB="0" distL="114300" distR="114300">
                  <wp:extent cx="3667125" cy="589597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9"/>
                          <a:stretch>
                            <a:fillRect/>
                          </a:stretch>
                        </pic:blipFill>
                        <pic:spPr>
                          <a:xfrm>
                            <a:off x="0" y="0"/>
                            <a:ext cx="3667125" cy="5895975"/>
                          </a:xfrm>
                          <a:prstGeom prst="rect">
                            <a:avLst/>
                          </a:prstGeom>
                          <a:noFill/>
                          <a:ln>
                            <a:noFill/>
                          </a:ln>
                        </pic:spPr>
                      </pic:pic>
                    </a:graphicData>
                  </a:graphic>
                </wp:inline>
              </w:drawing>
            </w:r>
          </w:p>
          <w:p w14:paraId="2881854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1"/>
                <w:szCs w:val="21"/>
                <w:highlight w:val="none"/>
                <w:lang w:val="en-US" w:eastAsia="zh-CN"/>
              </w:rPr>
              <w:t>图1-</w:t>
            </w:r>
            <w:r>
              <w:rPr>
                <w:rFonts w:hint="eastAsia" w:ascii="Times New Roman" w:hAnsi="Times New Roman" w:eastAsia="宋体"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lang w:val="en-US" w:eastAsia="zh-CN"/>
              </w:rPr>
              <w:t>本项目</w:t>
            </w:r>
            <w:r>
              <w:rPr>
                <w:rFonts w:hint="eastAsia" w:ascii="Times New Roman" w:hAnsi="Times New Roman" w:eastAsia="宋体" w:cs="Times New Roman"/>
                <w:b/>
                <w:bCs/>
                <w:color w:val="auto"/>
                <w:sz w:val="21"/>
                <w:szCs w:val="21"/>
                <w:highlight w:val="none"/>
                <w:lang w:val="en-US" w:eastAsia="zh-CN"/>
              </w:rPr>
              <w:t>米107-22MH</w:t>
            </w:r>
            <w:r>
              <w:rPr>
                <w:rFonts w:hint="default" w:ascii="Times New Roman" w:hAnsi="Times New Roman" w:eastAsia="宋体" w:cs="Times New Roman"/>
                <w:b/>
                <w:bCs/>
                <w:color w:val="auto"/>
                <w:sz w:val="21"/>
                <w:szCs w:val="21"/>
                <w:highlight w:val="none"/>
                <w:lang w:val="en-US" w:eastAsia="zh-CN"/>
              </w:rPr>
              <w:t>同榆林市“三线一单”生态空间管控对照图</w:t>
            </w:r>
          </w:p>
          <w:p w14:paraId="62FDD8D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25003B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55D341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6EBC8C2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3960D0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2F9F3A7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420E611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1CA6B5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p>
          <w:p w14:paraId="056979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②一表</w:t>
            </w:r>
          </w:p>
          <w:p w14:paraId="2689639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表1-</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 xml:space="preserve"> 项目与榆林“三线一单”管控单元比对成果</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765"/>
              <w:gridCol w:w="1768"/>
              <w:gridCol w:w="1560"/>
              <w:gridCol w:w="1840"/>
            </w:tblGrid>
            <w:tr w14:paraId="36E9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noWrap w:val="0"/>
                  <w:vAlign w:val="center"/>
                </w:tcPr>
                <w:p w14:paraId="7199019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井号</w:t>
                  </w:r>
                </w:p>
              </w:tc>
              <w:tc>
                <w:tcPr>
                  <w:tcW w:w="595" w:type="pct"/>
                  <w:noWrap w:val="0"/>
                  <w:vAlign w:val="center"/>
                </w:tcPr>
                <w:p w14:paraId="423D8D8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项目</w:t>
                  </w:r>
                </w:p>
                <w:p w14:paraId="0019F11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名称</w:t>
                  </w:r>
                </w:p>
              </w:tc>
              <w:tc>
                <w:tcPr>
                  <w:tcW w:w="1302" w:type="pct"/>
                  <w:noWrap w:val="0"/>
                  <w:vAlign w:val="center"/>
                </w:tcPr>
                <w:p w14:paraId="0605B21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管控单元分类</w:t>
                  </w:r>
                </w:p>
              </w:tc>
              <w:tc>
                <w:tcPr>
                  <w:tcW w:w="1155" w:type="pct"/>
                  <w:noWrap w:val="0"/>
                  <w:vAlign w:val="center"/>
                </w:tcPr>
                <w:p w14:paraId="179DEB2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是否涉及</w:t>
                  </w:r>
                </w:p>
              </w:tc>
              <w:tc>
                <w:tcPr>
                  <w:tcW w:w="1353" w:type="pct"/>
                  <w:noWrap w:val="0"/>
                  <w:vAlign w:val="center"/>
                </w:tcPr>
                <w:p w14:paraId="14E3A58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分项面积</w:t>
                  </w:r>
                </w:p>
              </w:tc>
            </w:tr>
            <w:tr w14:paraId="73F9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restart"/>
                  <w:noWrap w:val="0"/>
                  <w:vAlign w:val="center"/>
                </w:tcPr>
                <w:p w14:paraId="4F4108C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米107-32M</w:t>
                  </w:r>
                </w:p>
              </w:tc>
              <w:tc>
                <w:tcPr>
                  <w:tcW w:w="595" w:type="pct"/>
                  <w:vMerge w:val="restart"/>
                  <w:noWrap w:val="0"/>
                  <w:vAlign w:val="center"/>
                </w:tcPr>
                <w:p w14:paraId="61FEE98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项目</w:t>
                  </w:r>
                </w:p>
                <w:p w14:paraId="4FA3D25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范围</w:t>
                  </w:r>
                </w:p>
              </w:tc>
              <w:tc>
                <w:tcPr>
                  <w:tcW w:w="1302" w:type="pct"/>
                  <w:noWrap w:val="0"/>
                  <w:vAlign w:val="center"/>
                </w:tcPr>
                <w:p w14:paraId="73170FB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674" w:type="dxa"/>
                  <w:noWrap w:val="0"/>
                  <w:vAlign w:val="center"/>
                </w:tcPr>
                <w:p w14:paraId="35B2315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否</w:t>
                  </w:r>
                </w:p>
              </w:tc>
              <w:tc>
                <w:tcPr>
                  <w:tcW w:w="1960" w:type="dxa"/>
                  <w:noWrap w:val="0"/>
                  <w:vAlign w:val="center"/>
                </w:tcPr>
                <w:p w14:paraId="4E5889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4354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38C4EAE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95" w:type="pct"/>
                  <w:vMerge w:val="continue"/>
                  <w:noWrap w:val="0"/>
                  <w:vAlign w:val="center"/>
                </w:tcPr>
                <w:p w14:paraId="2C1FCB8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302" w:type="pct"/>
                  <w:noWrap w:val="0"/>
                  <w:vAlign w:val="center"/>
                </w:tcPr>
                <w:p w14:paraId="5D5CB58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674" w:type="dxa"/>
                  <w:noWrap w:val="0"/>
                  <w:vAlign w:val="center"/>
                </w:tcPr>
                <w:p w14:paraId="0606339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960" w:type="dxa"/>
                  <w:noWrap w:val="0"/>
                  <w:vAlign w:val="center"/>
                </w:tcPr>
                <w:p w14:paraId="25D20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48BD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62681D4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95" w:type="pct"/>
                  <w:vMerge w:val="continue"/>
                  <w:noWrap w:val="0"/>
                  <w:vAlign w:val="center"/>
                </w:tcPr>
                <w:p w14:paraId="08A2474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302" w:type="pct"/>
                  <w:noWrap w:val="0"/>
                  <w:vAlign w:val="center"/>
                </w:tcPr>
                <w:p w14:paraId="2C1C730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674" w:type="dxa"/>
                  <w:noWrap w:val="0"/>
                  <w:vAlign w:val="center"/>
                </w:tcPr>
                <w:p w14:paraId="3BE158D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960" w:type="dxa"/>
                  <w:noWrap w:val="0"/>
                  <w:vAlign w:val="center"/>
                </w:tcPr>
                <w:p w14:paraId="4F8AA6F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14870.16平方米</w:t>
                  </w:r>
                </w:p>
              </w:tc>
            </w:tr>
            <w:tr w14:paraId="3BC6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restart"/>
                  <w:noWrap w:val="0"/>
                  <w:vAlign w:val="center"/>
                </w:tcPr>
                <w:p w14:paraId="1FCA5B8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rPr>
                  </w:pPr>
                  <w:r>
                    <w:rPr>
                      <w:rFonts w:hint="eastAsia" w:ascii="Times New Roman" w:hAnsi="Times New Roman" w:eastAsia="宋体" w:cs="Times New Roman"/>
                      <w:bCs/>
                      <w:color w:val="auto"/>
                      <w:sz w:val="21"/>
                      <w:szCs w:val="21"/>
                      <w:vertAlign w:val="baseline"/>
                      <w:lang w:val="en-US" w:eastAsia="zh-CN"/>
                    </w:rPr>
                    <w:t>米107-16M</w:t>
                  </w:r>
                </w:p>
              </w:tc>
              <w:tc>
                <w:tcPr>
                  <w:tcW w:w="595" w:type="pct"/>
                  <w:vMerge w:val="restart"/>
                  <w:noWrap w:val="0"/>
                  <w:vAlign w:val="center"/>
                </w:tcPr>
                <w:p w14:paraId="2A1CF9C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项目范围</w:t>
                  </w:r>
                </w:p>
              </w:tc>
              <w:tc>
                <w:tcPr>
                  <w:tcW w:w="1302" w:type="pct"/>
                  <w:noWrap w:val="0"/>
                  <w:vAlign w:val="center"/>
                </w:tcPr>
                <w:p w14:paraId="4AD874B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155" w:type="pct"/>
                  <w:noWrap w:val="0"/>
                  <w:vAlign w:val="center"/>
                </w:tcPr>
                <w:p w14:paraId="2FABAF4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否</w:t>
                  </w:r>
                </w:p>
              </w:tc>
              <w:tc>
                <w:tcPr>
                  <w:tcW w:w="1353" w:type="pct"/>
                  <w:noWrap w:val="0"/>
                  <w:vAlign w:val="center"/>
                </w:tcPr>
                <w:p w14:paraId="15849A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3E26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12A87BF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95" w:type="pct"/>
                  <w:vMerge w:val="continue"/>
                  <w:noWrap w:val="0"/>
                  <w:vAlign w:val="center"/>
                </w:tcPr>
                <w:p w14:paraId="6693092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302" w:type="pct"/>
                  <w:noWrap w:val="0"/>
                  <w:vAlign w:val="center"/>
                </w:tcPr>
                <w:p w14:paraId="0741757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155" w:type="pct"/>
                  <w:noWrap w:val="0"/>
                  <w:vAlign w:val="center"/>
                </w:tcPr>
                <w:p w14:paraId="76CCCD3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353" w:type="pct"/>
                  <w:noWrap w:val="0"/>
                  <w:vAlign w:val="center"/>
                </w:tcPr>
                <w:p w14:paraId="6F1ABB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4CD1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05A533D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595" w:type="pct"/>
                  <w:vMerge w:val="continue"/>
                  <w:noWrap w:val="0"/>
                  <w:vAlign w:val="center"/>
                </w:tcPr>
                <w:p w14:paraId="58D60EE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302" w:type="pct"/>
                  <w:noWrap w:val="0"/>
                  <w:vAlign w:val="center"/>
                </w:tcPr>
                <w:p w14:paraId="079DACA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155" w:type="pct"/>
                  <w:noWrap w:val="0"/>
                  <w:vAlign w:val="center"/>
                </w:tcPr>
                <w:p w14:paraId="593904D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353" w:type="pct"/>
                  <w:noWrap w:val="0"/>
                  <w:vAlign w:val="center"/>
                </w:tcPr>
                <w:p w14:paraId="7D4F003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15368.01平方米</w:t>
                  </w:r>
                </w:p>
              </w:tc>
            </w:tr>
            <w:tr w14:paraId="3E5D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restart"/>
                  <w:noWrap w:val="0"/>
                  <w:vAlign w:val="center"/>
                </w:tcPr>
                <w:p w14:paraId="109EF41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rPr>
                  </w:pPr>
                  <w:r>
                    <w:rPr>
                      <w:rFonts w:hint="eastAsia" w:ascii="Times New Roman" w:hAnsi="Times New Roman" w:eastAsia="宋体" w:cs="Times New Roman"/>
                      <w:bCs/>
                      <w:color w:val="auto"/>
                      <w:sz w:val="21"/>
                      <w:szCs w:val="21"/>
                      <w:vertAlign w:val="baseline"/>
                      <w:lang w:val="en-US" w:eastAsia="zh-CN"/>
                    </w:rPr>
                    <w:t>米107-22MH</w:t>
                  </w:r>
                </w:p>
              </w:tc>
              <w:tc>
                <w:tcPr>
                  <w:tcW w:w="862" w:type="dxa"/>
                  <w:vMerge w:val="restart"/>
                  <w:noWrap w:val="0"/>
                  <w:vAlign w:val="center"/>
                </w:tcPr>
                <w:p w14:paraId="6E331C6C">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r>
                    <w:rPr>
                      <w:rFonts w:hint="eastAsia" w:ascii="Times New Roman" w:hAnsi="Times New Roman" w:eastAsia="宋体" w:cs="Times New Roman"/>
                      <w:bCs/>
                      <w:color w:val="auto"/>
                      <w:sz w:val="21"/>
                      <w:szCs w:val="21"/>
                      <w:vertAlign w:val="baseline"/>
                      <w:lang w:val="en-US" w:eastAsia="zh-CN"/>
                    </w:rPr>
                    <w:t>项目范围</w:t>
                  </w:r>
                </w:p>
              </w:tc>
              <w:tc>
                <w:tcPr>
                  <w:tcW w:w="1887" w:type="dxa"/>
                  <w:noWrap w:val="0"/>
                  <w:vAlign w:val="center"/>
                </w:tcPr>
                <w:p w14:paraId="09A43C3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优先保护单元</w:t>
                  </w:r>
                </w:p>
              </w:tc>
              <w:tc>
                <w:tcPr>
                  <w:tcW w:w="1674" w:type="dxa"/>
                  <w:noWrap w:val="0"/>
                  <w:vAlign w:val="center"/>
                </w:tcPr>
                <w:p w14:paraId="519D6C48">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否</w:t>
                  </w:r>
                </w:p>
              </w:tc>
              <w:tc>
                <w:tcPr>
                  <w:tcW w:w="1960" w:type="dxa"/>
                  <w:noWrap w:val="0"/>
                  <w:vAlign w:val="center"/>
                </w:tcPr>
                <w:p w14:paraId="11D54E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1F54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185C48F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62" w:type="dxa"/>
                  <w:vMerge w:val="continue"/>
                  <w:noWrap w:val="0"/>
                  <w:vAlign w:val="center"/>
                </w:tcPr>
                <w:p w14:paraId="6FDD2C1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887" w:type="dxa"/>
                  <w:noWrap w:val="0"/>
                  <w:vAlign w:val="center"/>
                </w:tcPr>
                <w:p w14:paraId="29BF823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重点管控单元</w:t>
                  </w:r>
                </w:p>
              </w:tc>
              <w:tc>
                <w:tcPr>
                  <w:tcW w:w="1674" w:type="dxa"/>
                  <w:noWrap w:val="0"/>
                  <w:vAlign w:val="center"/>
                </w:tcPr>
                <w:p w14:paraId="65C49D4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否</w:t>
                  </w:r>
                </w:p>
              </w:tc>
              <w:tc>
                <w:tcPr>
                  <w:tcW w:w="1960" w:type="dxa"/>
                  <w:noWrap w:val="0"/>
                  <w:vAlign w:val="center"/>
                </w:tcPr>
                <w:p w14:paraId="1122C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Cs/>
                      <w:color w:val="auto"/>
                      <w:sz w:val="21"/>
                      <w:szCs w:val="21"/>
                      <w:vertAlign w:val="baseline"/>
                      <w:lang w:val="en-US" w:eastAsia="zh-CN"/>
                    </w:rPr>
                    <w:t>0平方米</w:t>
                  </w:r>
                </w:p>
              </w:tc>
            </w:tr>
            <w:tr w14:paraId="58BE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3" w:type="pct"/>
                  <w:vMerge w:val="continue"/>
                  <w:noWrap w:val="0"/>
                  <w:vAlign w:val="center"/>
                </w:tcPr>
                <w:p w14:paraId="78F8E52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862" w:type="dxa"/>
                  <w:vMerge w:val="continue"/>
                  <w:noWrap w:val="0"/>
                  <w:vAlign w:val="center"/>
                </w:tcPr>
                <w:p w14:paraId="363030E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rPr>
                  </w:pPr>
                </w:p>
              </w:tc>
              <w:tc>
                <w:tcPr>
                  <w:tcW w:w="1887" w:type="dxa"/>
                  <w:noWrap w:val="0"/>
                  <w:vAlign w:val="center"/>
                </w:tcPr>
                <w:p w14:paraId="05730E5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一般管控单元</w:t>
                  </w:r>
                </w:p>
              </w:tc>
              <w:tc>
                <w:tcPr>
                  <w:tcW w:w="1674" w:type="dxa"/>
                  <w:noWrap w:val="0"/>
                  <w:vAlign w:val="center"/>
                </w:tcPr>
                <w:p w14:paraId="2F22913B">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是</w:t>
                  </w:r>
                </w:p>
              </w:tc>
              <w:tc>
                <w:tcPr>
                  <w:tcW w:w="1960" w:type="dxa"/>
                  <w:noWrap w:val="0"/>
                  <w:vAlign w:val="center"/>
                </w:tcPr>
                <w:p w14:paraId="28CBFED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22796.96平方米</w:t>
                  </w:r>
                </w:p>
              </w:tc>
            </w:tr>
          </w:tbl>
          <w:p w14:paraId="4C314D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本项目与“三线一单”符合性分析</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4744"/>
              <w:gridCol w:w="865"/>
            </w:tblGrid>
            <w:tr w14:paraId="710D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6A15B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“三线一单”</w:t>
                  </w:r>
                </w:p>
              </w:tc>
              <w:tc>
                <w:tcPr>
                  <w:tcW w:w="3346" w:type="pct"/>
                  <w:vAlign w:val="center"/>
                </w:tcPr>
                <w:p w14:paraId="6087D7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w:t>
                  </w:r>
                </w:p>
              </w:tc>
              <w:tc>
                <w:tcPr>
                  <w:tcW w:w="610" w:type="pct"/>
                  <w:vAlign w:val="center"/>
                </w:tcPr>
                <w:p w14:paraId="2B24C0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相符性</w:t>
                  </w:r>
                </w:p>
              </w:tc>
            </w:tr>
            <w:tr w14:paraId="253F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3E8A73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生态保护红线</w:t>
                  </w:r>
                </w:p>
              </w:tc>
              <w:tc>
                <w:tcPr>
                  <w:tcW w:w="3346" w:type="pct"/>
                  <w:vAlign w:val="center"/>
                </w:tcPr>
                <w:p w14:paraId="1C373E6C">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根据《榆林市投资项目选址“一张图”控制线检测报告》及现场调查结果，本项目三个井场</w:t>
                  </w:r>
                  <w:r>
                    <w:rPr>
                      <w:rFonts w:hint="default" w:ascii="Times New Roman" w:hAnsi="Times New Roman" w:eastAsia="宋体" w:cs="Times New Roman"/>
                      <w:color w:val="auto"/>
                      <w:sz w:val="21"/>
                      <w:szCs w:val="21"/>
                      <w:vertAlign w:val="baseline"/>
                      <w:lang w:val="en-US" w:eastAsia="zh-CN"/>
                    </w:rPr>
                    <w:t>周围无特殊重要生态功能区，不涉及自然保护区、饮用水源保护区、风景名胜区等环境敏感区域，本项目不涉及生态红线。</w:t>
                  </w:r>
                </w:p>
              </w:tc>
              <w:tc>
                <w:tcPr>
                  <w:tcW w:w="610" w:type="pct"/>
                  <w:vAlign w:val="center"/>
                </w:tcPr>
                <w:p w14:paraId="0AE838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782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877D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环境质量底线</w:t>
                  </w:r>
                </w:p>
              </w:tc>
              <w:tc>
                <w:tcPr>
                  <w:tcW w:w="3346" w:type="pct"/>
                  <w:vAlign w:val="center"/>
                </w:tcPr>
                <w:p w14:paraId="04A32471">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根据陕西省环保厅发布的全省环保快报可知，</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4年佳县空气中臭氧超标，属于环境空气质量不达标区。本项目施工期较短，施工过程中采用电驱动，不产生废气，污废水不外排，废水收集罐四周及池底均做了防渗处理。因此，不会改变区域地表水、地下水的功能，项目的建设符合榆林市的环境质量底线要求。</w:t>
                  </w:r>
                </w:p>
              </w:tc>
              <w:tc>
                <w:tcPr>
                  <w:tcW w:w="610" w:type="pct"/>
                  <w:vAlign w:val="center"/>
                </w:tcPr>
                <w:p w14:paraId="14C94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689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5DE1FE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资源利用上线</w:t>
                  </w:r>
                </w:p>
              </w:tc>
              <w:tc>
                <w:tcPr>
                  <w:tcW w:w="3346" w:type="pct"/>
                  <w:vAlign w:val="center"/>
                </w:tcPr>
                <w:p w14:paraId="44BCF70A">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本项目两个井场为非生产类项目，不涉及资源利用，不触及榆林市资源利用上线。</w:t>
                  </w:r>
                </w:p>
              </w:tc>
              <w:tc>
                <w:tcPr>
                  <w:tcW w:w="610" w:type="pct"/>
                  <w:vAlign w:val="center"/>
                </w:tcPr>
                <w:p w14:paraId="3D758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B94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 w:type="pct"/>
                  <w:vAlign w:val="center"/>
                </w:tcPr>
                <w:p w14:paraId="1F8C4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环境准入负面清单</w:t>
                  </w:r>
                </w:p>
              </w:tc>
              <w:tc>
                <w:tcPr>
                  <w:tcW w:w="3346" w:type="pct"/>
                  <w:vAlign w:val="center"/>
                </w:tcPr>
                <w:p w14:paraId="49409DA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本项目符合国家产业政策，工程位于榆林市佳县，不属于《陕西省国家重点生态功能区产业准入负面清单(试行)》(陕发改规划〔</w:t>
                  </w:r>
                  <w:r>
                    <w:rPr>
                      <w:rFonts w:hint="default" w:ascii="Times New Roman" w:hAnsi="Times New Roman" w:eastAsia="宋体" w:cs="Times New Roman"/>
                      <w:color w:val="auto"/>
                      <w:sz w:val="21"/>
                      <w:szCs w:val="21"/>
                      <w:vertAlign w:val="baseline"/>
                      <w:lang w:val="en-US" w:eastAsia="zh-CN"/>
                    </w:rPr>
                    <w:t>2018</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213</w:t>
                  </w:r>
                  <w:r>
                    <w:rPr>
                      <w:rFonts w:hint="eastAsia" w:ascii="Times New Roman" w:hAnsi="Times New Roman" w:eastAsia="宋体" w:cs="Times New Roman"/>
                      <w:color w:val="auto"/>
                      <w:sz w:val="21"/>
                      <w:szCs w:val="21"/>
                      <w:vertAlign w:val="baseline"/>
                      <w:lang w:val="en-US" w:eastAsia="zh-CN"/>
                    </w:rPr>
                    <w:t>号)中重点生态功能区，不属于《榆林市生态环境准入清单（</w:t>
                  </w:r>
                  <w:r>
                    <w:rPr>
                      <w:rFonts w:hint="default" w:ascii="Times New Roman" w:hAnsi="Times New Roman" w:eastAsia="宋体" w:cs="Times New Roman"/>
                      <w:color w:val="auto"/>
                      <w:sz w:val="21"/>
                      <w:szCs w:val="21"/>
                      <w:vertAlign w:val="baseline"/>
                      <w:lang w:val="en-US" w:eastAsia="zh-CN"/>
                    </w:rPr>
                    <w:t xml:space="preserve">2023 </w:t>
                  </w:r>
                  <w:r>
                    <w:rPr>
                      <w:rFonts w:hint="eastAsia" w:ascii="Times New Roman" w:hAnsi="Times New Roman" w:eastAsia="宋体" w:cs="Times New Roman"/>
                      <w:color w:val="auto"/>
                      <w:sz w:val="21"/>
                      <w:szCs w:val="21"/>
                      <w:vertAlign w:val="baseline"/>
                      <w:lang w:val="en-US" w:eastAsia="zh-CN"/>
                    </w:rPr>
                    <w:t>年）》中禁止建设活动。</w:t>
                  </w:r>
                </w:p>
              </w:tc>
              <w:tc>
                <w:tcPr>
                  <w:tcW w:w="610" w:type="pct"/>
                  <w:vAlign w:val="center"/>
                </w:tcPr>
                <w:p w14:paraId="47B90A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558AB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米107-22MH、米107-16M、米107-32M井场</w:t>
            </w:r>
            <w:r>
              <w:rPr>
                <w:rFonts w:hint="default" w:ascii="Times New Roman" w:hAnsi="Times New Roman" w:eastAsia="宋体" w:cs="Times New Roman"/>
                <w:b/>
                <w:bCs/>
                <w:color w:val="auto"/>
                <w:sz w:val="21"/>
                <w:szCs w:val="21"/>
                <w:vertAlign w:val="baseline"/>
                <w:lang w:val="en-US" w:eastAsia="zh-CN"/>
              </w:rPr>
              <w:t>与榆林市生态环境分区管控准入要求符合性分析表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
              <w:gridCol w:w="427"/>
              <w:gridCol w:w="427"/>
              <w:gridCol w:w="427"/>
              <w:gridCol w:w="427"/>
              <w:gridCol w:w="3384"/>
              <w:gridCol w:w="1018"/>
              <w:gridCol w:w="427"/>
            </w:tblGrid>
            <w:tr w14:paraId="7BA3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noWrap w:val="0"/>
                  <w:vAlign w:val="center"/>
                </w:tcPr>
                <w:p w14:paraId="4422291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环境管控单元</w:t>
                  </w:r>
                </w:p>
              </w:tc>
              <w:tc>
                <w:tcPr>
                  <w:tcW w:w="294" w:type="pct"/>
                  <w:noWrap w:val="0"/>
                  <w:vAlign w:val="center"/>
                </w:tcPr>
                <w:p w14:paraId="2C1E97B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区县</w:t>
                  </w:r>
                </w:p>
              </w:tc>
              <w:tc>
                <w:tcPr>
                  <w:tcW w:w="294" w:type="pct"/>
                  <w:noWrap w:val="0"/>
                  <w:vAlign w:val="center"/>
                </w:tcPr>
                <w:p w14:paraId="6439509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市区</w:t>
                  </w:r>
                </w:p>
              </w:tc>
              <w:tc>
                <w:tcPr>
                  <w:tcW w:w="294" w:type="pct"/>
                  <w:noWrap w:val="0"/>
                  <w:vAlign w:val="center"/>
                </w:tcPr>
                <w:p w14:paraId="267CED1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val="0"/>
                      <w:color w:val="auto"/>
                      <w:sz w:val="21"/>
                      <w:szCs w:val="21"/>
                      <w:vertAlign w:val="baseline"/>
                      <w:lang w:val="en-US" w:eastAsia="zh-CN"/>
                    </w:rPr>
                  </w:pPr>
                  <w:r>
                    <w:rPr>
                      <w:rFonts w:hint="eastAsia" w:ascii="Times New Roman" w:hAnsi="Times New Roman" w:cs="Times New Roman"/>
                      <w:b/>
                      <w:bCs w:val="0"/>
                      <w:color w:val="auto"/>
                      <w:sz w:val="21"/>
                      <w:szCs w:val="21"/>
                      <w:vertAlign w:val="baseline"/>
                      <w:lang w:val="en-US" w:eastAsia="zh-CN"/>
                    </w:rPr>
                    <w:t>单元要素属性</w:t>
                  </w:r>
                </w:p>
              </w:tc>
              <w:tc>
                <w:tcPr>
                  <w:tcW w:w="294" w:type="pct"/>
                  <w:noWrap w:val="0"/>
                  <w:vAlign w:val="center"/>
                </w:tcPr>
                <w:p w14:paraId="105F305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管控要求分类</w:t>
                  </w:r>
                </w:p>
              </w:tc>
              <w:tc>
                <w:tcPr>
                  <w:tcW w:w="2397" w:type="pct"/>
                  <w:noWrap w:val="0"/>
                  <w:vAlign w:val="center"/>
                </w:tcPr>
                <w:p w14:paraId="0A95E1D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管控要求</w:t>
                  </w:r>
                </w:p>
              </w:tc>
              <w:tc>
                <w:tcPr>
                  <w:tcW w:w="729" w:type="pct"/>
                  <w:noWrap w:val="0"/>
                  <w:vAlign w:val="center"/>
                </w:tcPr>
                <w:p w14:paraId="43AAE0A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本项目</w:t>
                  </w:r>
                </w:p>
              </w:tc>
              <w:tc>
                <w:tcPr>
                  <w:tcW w:w="296" w:type="pct"/>
                  <w:noWrap w:val="0"/>
                  <w:vAlign w:val="center"/>
                </w:tcPr>
                <w:p w14:paraId="532C3A7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cs="Times New Roman"/>
                      <w:b/>
                      <w:bCs w:val="0"/>
                      <w:color w:val="auto"/>
                      <w:sz w:val="21"/>
                      <w:szCs w:val="21"/>
                      <w:vertAlign w:val="baseline"/>
                      <w:lang w:val="en-US" w:eastAsia="zh-CN"/>
                    </w:rPr>
                    <w:t>符合性</w:t>
                  </w:r>
                </w:p>
              </w:tc>
            </w:tr>
            <w:tr w14:paraId="320E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noWrap w:val="0"/>
                  <w:vAlign w:val="center"/>
                </w:tcPr>
                <w:p w14:paraId="0DFE760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陕西省榆林市</w:t>
                  </w:r>
                  <w:r>
                    <w:rPr>
                      <w:rFonts w:hint="eastAsia" w:ascii="Times New Roman" w:hAnsi="Times New Roman" w:eastAsia="宋体" w:cs="Times New Roman"/>
                      <w:bCs/>
                      <w:color w:val="auto"/>
                      <w:sz w:val="21"/>
                      <w:szCs w:val="21"/>
                      <w:vertAlign w:val="baseline"/>
                      <w:lang w:val="en-US" w:eastAsia="zh-CN"/>
                    </w:rPr>
                    <w:t>佳县一般</w:t>
                  </w:r>
                  <w:r>
                    <w:rPr>
                      <w:rFonts w:hint="default" w:ascii="Times New Roman" w:hAnsi="Times New Roman" w:eastAsia="宋体" w:cs="Times New Roman"/>
                      <w:bCs/>
                      <w:color w:val="auto"/>
                      <w:sz w:val="21"/>
                      <w:szCs w:val="21"/>
                      <w:vertAlign w:val="baseline"/>
                      <w:lang w:val="en-US" w:eastAsia="zh-CN"/>
                    </w:rPr>
                    <w:t>管控单元</w:t>
                  </w:r>
                  <w:r>
                    <w:rPr>
                      <w:rFonts w:hint="eastAsia" w:ascii="Times New Roman" w:hAnsi="Times New Roman" w:eastAsia="宋体" w:cs="Times New Roman"/>
                      <w:bCs/>
                      <w:color w:val="auto"/>
                      <w:sz w:val="21"/>
                      <w:szCs w:val="21"/>
                      <w:vertAlign w:val="baseline"/>
                      <w:lang w:val="en-US" w:eastAsia="zh-CN"/>
                    </w:rPr>
                    <w:t>1</w:t>
                  </w:r>
                </w:p>
              </w:tc>
              <w:tc>
                <w:tcPr>
                  <w:tcW w:w="294" w:type="pct"/>
                  <w:vMerge w:val="restart"/>
                  <w:noWrap w:val="0"/>
                  <w:vAlign w:val="center"/>
                </w:tcPr>
                <w:p w14:paraId="17B37BE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榆林市</w:t>
                  </w:r>
                </w:p>
              </w:tc>
              <w:tc>
                <w:tcPr>
                  <w:tcW w:w="294" w:type="pct"/>
                  <w:vMerge w:val="restart"/>
                  <w:noWrap w:val="0"/>
                  <w:vAlign w:val="center"/>
                </w:tcPr>
                <w:p w14:paraId="7D4CE047">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佳县</w:t>
                  </w:r>
                </w:p>
              </w:tc>
              <w:tc>
                <w:tcPr>
                  <w:tcW w:w="294" w:type="pct"/>
                  <w:vMerge w:val="restart"/>
                  <w:noWrap w:val="0"/>
                  <w:vAlign w:val="center"/>
                </w:tcPr>
                <w:p w14:paraId="01F6EF1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无</w:t>
                  </w:r>
                </w:p>
              </w:tc>
              <w:tc>
                <w:tcPr>
                  <w:tcW w:w="294" w:type="pct"/>
                  <w:noWrap w:val="0"/>
                  <w:vAlign w:val="center"/>
                </w:tcPr>
                <w:p w14:paraId="49506A9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空间布局约束</w:t>
                  </w:r>
                </w:p>
              </w:tc>
              <w:tc>
                <w:tcPr>
                  <w:tcW w:w="2397" w:type="pct"/>
                  <w:noWrap w:val="0"/>
                  <w:vAlign w:val="center"/>
                </w:tcPr>
                <w:p w14:paraId="4E9A6FF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1.执行榆林市生态环境要素分区总体准入清单中“6.1 一般管控单元总</w:t>
                  </w:r>
                </w:p>
                <w:p w14:paraId="3AD64CC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体要求”准入要求。</w:t>
                  </w:r>
                </w:p>
                <w:p w14:paraId="2BC2E59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2.农用地优先保护区执行榆林市生态环境要素分区总体准入清单中“4.2农用地优先保护区”准入要求。</w:t>
                  </w:r>
                </w:p>
                <w:p w14:paraId="7869ABB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3.江河湖库岸线优先保护区执行榆林市生态环境要素分区总体准入清</w:t>
                  </w:r>
                </w:p>
                <w:p w14:paraId="21DA7E2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单中“4.3 江河湖库岸线优先保护区”准入要求。</w:t>
                  </w:r>
                </w:p>
                <w:p w14:paraId="2B86DBA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4.荒漠化沙化土地优先保护区执行榆林市生态环境要素分区总体准入</w:t>
                  </w:r>
                </w:p>
                <w:p w14:paraId="5BBAA30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清单中“4.4 荒漠化沙化土地优先保护区”准入要求。</w:t>
                  </w:r>
                </w:p>
                <w:p w14:paraId="213A48C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5.江河湖库岸线重点管控区执行榆林市生态环境要素分区总体准入清</w:t>
                  </w:r>
                </w:p>
                <w:p w14:paraId="3649AC1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Cs/>
                      <w:color w:val="auto"/>
                      <w:sz w:val="21"/>
                      <w:szCs w:val="21"/>
                      <w:vertAlign w:val="baseline"/>
                    </w:rPr>
                  </w:pPr>
                  <w:r>
                    <w:rPr>
                      <w:rFonts w:hint="default" w:ascii="Times New Roman" w:hAnsi="Times New Roman" w:eastAsia="宋体" w:cs="Times New Roman"/>
                      <w:color w:val="auto"/>
                      <w:kern w:val="0"/>
                      <w:sz w:val="21"/>
                      <w:szCs w:val="21"/>
                      <w:lang w:val="en-US" w:eastAsia="zh-CN" w:bidi="ar"/>
                    </w:rPr>
                    <w:t>单中“5.14 江河湖库岸线重点管控区”中的“空间布局约束”准入要求</w:t>
                  </w:r>
                  <w:r>
                    <w:rPr>
                      <w:rFonts w:hint="eastAsia" w:ascii="Times New Roman" w:hAnsi="Times New Roman" w:eastAsia="宋体" w:cs="Times New Roman"/>
                      <w:color w:val="auto"/>
                      <w:kern w:val="0"/>
                      <w:sz w:val="21"/>
                      <w:szCs w:val="21"/>
                      <w:lang w:val="en-US" w:eastAsia="zh-CN" w:bidi="ar"/>
                    </w:rPr>
                    <w:t>。</w:t>
                  </w:r>
                </w:p>
              </w:tc>
              <w:tc>
                <w:tcPr>
                  <w:tcW w:w="729" w:type="pct"/>
                  <w:shd w:val="clear" w:color="auto" w:fill="auto"/>
                  <w:noWrap w:val="0"/>
                  <w:vAlign w:val="center"/>
                </w:tcPr>
                <w:p w14:paraId="53947414">
                  <w:pPr>
                    <w:pStyle w:val="11"/>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z w:val="21"/>
                      <w:szCs w:val="21"/>
                      <w:vertAlign w:val="baseline"/>
                      <w:lang w:val="en-US" w:eastAsia="zh-CN" w:bidi="ar-SA"/>
                    </w:rPr>
                  </w:pPr>
                  <w:r>
                    <w:rPr>
                      <w:rFonts w:hint="eastAsia" w:ascii="Times New Roman" w:hAnsi="Times New Roman" w:eastAsia="宋体" w:cs="Times New Roman"/>
                      <w:bCs/>
                      <w:color w:val="auto"/>
                      <w:sz w:val="21"/>
                      <w:szCs w:val="21"/>
                      <w:vertAlign w:val="baseline"/>
                      <w:lang w:val="en-US" w:eastAsia="zh-CN"/>
                    </w:rPr>
                    <w:t>1、</w:t>
                  </w:r>
                  <w:r>
                    <w:rPr>
                      <w:rFonts w:hint="default" w:ascii="Times New Roman" w:hAnsi="Times New Roman" w:eastAsia="宋体" w:cs="Times New Roman"/>
                      <w:bCs/>
                      <w:color w:val="auto"/>
                      <w:sz w:val="21"/>
                      <w:szCs w:val="21"/>
                      <w:vertAlign w:val="baseline"/>
                      <w:lang w:val="en-US" w:eastAsia="zh-CN"/>
                    </w:rPr>
                    <w:t>本项目属于天然气</w:t>
                  </w:r>
                  <w:r>
                    <w:rPr>
                      <w:rFonts w:hint="eastAsia" w:ascii="Times New Roman" w:hAnsi="Times New Roman" w:eastAsia="宋体" w:cs="Times New Roman"/>
                      <w:bCs/>
                      <w:color w:val="auto"/>
                      <w:sz w:val="21"/>
                      <w:szCs w:val="21"/>
                      <w:vertAlign w:val="baseline"/>
                      <w:lang w:val="en-US" w:eastAsia="zh-CN"/>
                    </w:rPr>
                    <w:t>评价井钻井</w:t>
                  </w:r>
                  <w:r>
                    <w:rPr>
                      <w:rFonts w:hint="default" w:ascii="Times New Roman" w:hAnsi="Times New Roman" w:eastAsia="宋体" w:cs="Times New Roman"/>
                      <w:bCs/>
                      <w:color w:val="auto"/>
                      <w:sz w:val="21"/>
                      <w:szCs w:val="21"/>
                      <w:vertAlign w:val="baseline"/>
                      <w:lang w:val="en-US" w:eastAsia="zh-CN"/>
                    </w:rPr>
                    <w:t>项目，</w:t>
                  </w:r>
                  <w:r>
                    <w:rPr>
                      <w:rFonts w:hint="eastAsia" w:ascii="Times New Roman" w:hAnsi="Times New Roman" w:eastAsia="宋体" w:cs="Times New Roman"/>
                      <w:bCs/>
                      <w:color w:val="auto"/>
                      <w:sz w:val="21"/>
                      <w:szCs w:val="21"/>
                      <w:vertAlign w:val="baseline"/>
                      <w:lang w:val="en-US" w:eastAsia="zh-CN"/>
                    </w:rPr>
                    <w:t>位于一般管控单元内；2、本项目不涉及农用地优先保护区；3、本项目不涉及</w:t>
                  </w:r>
                  <w:r>
                    <w:rPr>
                      <w:rFonts w:hint="default" w:ascii="Times New Roman" w:hAnsi="Times New Roman" w:eastAsia="宋体" w:cs="Times New Roman"/>
                      <w:color w:val="auto"/>
                      <w:kern w:val="0"/>
                      <w:sz w:val="21"/>
                      <w:szCs w:val="21"/>
                      <w:lang w:val="en-US" w:eastAsia="zh-CN" w:bidi="ar"/>
                    </w:rPr>
                    <w:t>江河湖库岸线优先保护区</w:t>
                  </w:r>
                  <w:r>
                    <w:rPr>
                      <w:rFonts w:hint="eastAsia" w:ascii="Times New Roman" w:hAnsi="Times New Roman" w:eastAsia="宋体" w:cs="Times New Roman"/>
                      <w:color w:val="auto"/>
                      <w:kern w:val="0"/>
                      <w:sz w:val="21"/>
                      <w:szCs w:val="21"/>
                      <w:lang w:val="en-US" w:eastAsia="zh-CN" w:bidi="ar"/>
                    </w:rPr>
                    <w:t>；4、本项目位于黄土（丘陵）覆沙治理区，本次提出了防沙治沙相关要求；5、本项目不涉及</w:t>
                  </w:r>
                  <w:r>
                    <w:rPr>
                      <w:rFonts w:hint="default" w:ascii="Times New Roman" w:hAnsi="Times New Roman" w:eastAsia="宋体" w:cs="Times New Roman"/>
                      <w:color w:val="auto"/>
                      <w:kern w:val="0"/>
                      <w:sz w:val="21"/>
                      <w:szCs w:val="21"/>
                      <w:lang w:val="en-US" w:eastAsia="zh-CN" w:bidi="ar"/>
                    </w:rPr>
                    <w:t>江河湖库岸线重点管控区</w:t>
                  </w:r>
                </w:p>
              </w:tc>
              <w:tc>
                <w:tcPr>
                  <w:tcW w:w="296" w:type="pct"/>
                  <w:noWrap w:val="0"/>
                  <w:vAlign w:val="center"/>
                </w:tcPr>
                <w:p w14:paraId="442C2AB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符合</w:t>
                  </w:r>
                </w:p>
              </w:tc>
            </w:tr>
            <w:tr w14:paraId="72570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732EBD5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0AFF705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47FA870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vMerge w:val="continue"/>
                  <w:noWrap w:val="0"/>
                  <w:vAlign w:val="center"/>
                </w:tcPr>
                <w:p w14:paraId="0FF74A3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noWrap w:val="0"/>
                  <w:vAlign w:val="center"/>
                </w:tcPr>
                <w:p w14:paraId="42A7756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污染物排放管控</w:t>
                  </w:r>
                </w:p>
              </w:tc>
              <w:tc>
                <w:tcPr>
                  <w:tcW w:w="2397" w:type="pct"/>
                  <w:noWrap w:val="0"/>
                  <w:vAlign w:val="center"/>
                </w:tcPr>
                <w:p w14:paraId="2CF95059">
                  <w:pPr>
                    <w:keepNext w:val="0"/>
                    <w:keepLines w:val="0"/>
                    <w:widowControl/>
                    <w:suppressLineNumbers w:val="0"/>
                    <w:jc w:val="center"/>
                    <w:rPr>
                      <w:rFonts w:hint="default" w:ascii="Times New Roman" w:hAnsi="Times New Roman" w:cs="Times New Roman"/>
                      <w:bCs/>
                      <w:color w:val="auto"/>
                      <w:sz w:val="21"/>
                      <w:szCs w:val="21"/>
                      <w:vertAlign w:val="baseline"/>
                    </w:rPr>
                  </w:pPr>
                  <w:r>
                    <w:rPr>
                      <w:rFonts w:hint="eastAsia" w:ascii="Times New Roman" w:hAnsi="Times New Roman" w:eastAsia="宋体" w:cs="Times New Roman"/>
                      <w:color w:val="auto"/>
                      <w:kern w:val="0"/>
                      <w:sz w:val="21"/>
                      <w:szCs w:val="21"/>
                      <w:lang w:val="en-US" w:eastAsia="zh-CN" w:bidi="ar"/>
                    </w:rPr>
                    <w:t>/</w:t>
                  </w:r>
                </w:p>
              </w:tc>
              <w:tc>
                <w:tcPr>
                  <w:tcW w:w="729" w:type="pct"/>
                  <w:noWrap w:val="0"/>
                  <w:vAlign w:val="center"/>
                </w:tcPr>
                <w:p w14:paraId="2A834F07">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w:t>
                  </w:r>
                </w:p>
              </w:tc>
              <w:tc>
                <w:tcPr>
                  <w:tcW w:w="296" w:type="pct"/>
                  <w:noWrap w:val="0"/>
                  <w:vAlign w:val="center"/>
                </w:tcPr>
                <w:p w14:paraId="6AB03C8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r>
                    <w:rPr>
                      <w:rFonts w:hint="eastAsia" w:ascii="Times New Roman" w:hAnsi="Times New Roman" w:cs="Times New Roman"/>
                      <w:bCs/>
                      <w:color w:val="auto"/>
                      <w:sz w:val="21"/>
                      <w:szCs w:val="21"/>
                      <w:vertAlign w:val="baseline"/>
                      <w:lang w:val="en-US" w:eastAsia="zh-CN"/>
                    </w:rPr>
                    <w:t>/</w:t>
                  </w:r>
                </w:p>
              </w:tc>
            </w:tr>
            <w:tr w14:paraId="20F9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396" w:type="pct"/>
                  <w:vMerge w:val="continue"/>
                  <w:noWrap w:val="0"/>
                  <w:vAlign w:val="center"/>
                </w:tcPr>
                <w:p w14:paraId="0FFF58A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09A9F764">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0F576875">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vMerge w:val="continue"/>
                  <w:noWrap w:val="0"/>
                  <w:vAlign w:val="center"/>
                </w:tcPr>
                <w:p w14:paraId="66937CCD">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noWrap w:val="0"/>
                  <w:vAlign w:val="center"/>
                </w:tcPr>
                <w:p w14:paraId="7B25234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环境风险防控</w:t>
                  </w:r>
                </w:p>
              </w:tc>
              <w:tc>
                <w:tcPr>
                  <w:tcW w:w="2397" w:type="pct"/>
                  <w:noWrap w:val="0"/>
                  <w:vAlign w:val="center"/>
                </w:tcPr>
                <w:p w14:paraId="7B8BC021">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9" w:type="pct"/>
                  <w:noWrap w:val="0"/>
                  <w:vAlign w:val="center"/>
                </w:tcPr>
                <w:p w14:paraId="3CB933D9">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20F9EF9A">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r w14:paraId="7B729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396" w:type="pct"/>
                  <w:vMerge w:val="continue"/>
                  <w:noWrap w:val="0"/>
                  <w:vAlign w:val="center"/>
                </w:tcPr>
                <w:p w14:paraId="34EA1850">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56225F06">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rPr>
                  </w:pPr>
                </w:p>
              </w:tc>
              <w:tc>
                <w:tcPr>
                  <w:tcW w:w="294" w:type="pct"/>
                  <w:vMerge w:val="continue"/>
                  <w:noWrap w:val="0"/>
                  <w:vAlign w:val="center"/>
                </w:tcPr>
                <w:p w14:paraId="6C14130E">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vMerge w:val="continue"/>
                  <w:noWrap w:val="0"/>
                  <w:vAlign w:val="center"/>
                </w:tcPr>
                <w:p w14:paraId="64E1BDE3">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p>
              </w:tc>
              <w:tc>
                <w:tcPr>
                  <w:tcW w:w="294" w:type="pct"/>
                  <w:noWrap w:val="0"/>
                  <w:vAlign w:val="center"/>
                </w:tcPr>
                <w:p w14:paraId="33F9198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default" w:ascii="Times New Roman" w:hAnsi="Times New Roman" w:cs="Times New Roman"/>
                      <w:bCs/>
                      <w:color w:val="auto"/>
                      <w:sz w:val="21"/>
                      <w:szCs w:val="21"/>
                      <w:vertAlign w:val="baseline"/>
                      <w:lang w:val="en-US" w:eastAsia="zh-CN"/>
                    </w:rPr>
                    <w:t>资源开发效率要求</w:t>
                  </w:r>
                </w:p>
              </w:tc>
              <w:tc>
                <w:tcPr>
                  <w:tcW w:w="2397" w:type="pct"/>
                  <w:noWrap w:val="0"/>
                  <w:vAlign w:val="center"/>
                </w:tcPr>
                <w:p w14:paraId="59EDA6B2">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vertAlign w:val="baseline"/>
                      <w:lang w:val="en-US" w:eastAsia="zh-CN"/>
                    </w:rPr>
                    <w:t>/</w:t>
                  </w:r>
                </w:p>
              </w:tc>
              <w:tc>
                <w:tcPr>
                  <w:tcW w:w="729" w:type="pct"/>
                  <w:noWrap w:val="0"/>
                  <w:vAlign w:val="center"/>
                </w:tcPr>
                <w:p w14:paraId="3BE9B9A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c>
                <w:tcPr>
                  <w:tcW w:w="296" w:type="pct"/>
                  <w:noWrap w:val="0"/>
                  <w:vAlign w:val="center"/>
                </w:tcPr>
                <w:p w14:paraId="1A0699CF">
                  <w:pPr>
                    <w:pStyle w:val="11"/>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vertAlign w:val="baseline"/>
                      <w:lang w:val="en-US" w:eastAsia="zh-CN"/>
                    </w:rPr>
                  </w:pPr>
                  <w:r>
                    <w:rPr>
                      <w:rFonts w:hint="eastAsia" w:ascii="Times New Roman" w:hAnsi="Times New Roman" w:cs="Times New Roman"/>
                      <w:bCs/>
                      <w:color w:val="auto"/>
                      <w:sz w:val="21"/>
                      <w:szCs w:val="21"/>
                      <w:vertAlign w:val="baseline"/>
                      <w:lang w:val="en-US" w:eastAsia="zh-CN"/>
                    </w:rPr>
                    <w:t>/</w:t>
                  </w:r>
                </w:p>
              </w:tc>
            </w:tr>
          </w:tbl>
          <w:p w14:paraId="085A1368">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③一说明</w:t>
            </w:r>
          </w:p>
          <w:p w14:paraId="3ECB47A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cs="Times New Roman"/>
                <w:bCs/>
                <w:color w:val="auto"/>
                <w:sz w:val="24"/>
                <w:szCs w:val="24"/>
              </w:rPr>
              <w:t>本项目位于榆林市“三线一单”生态环境分区中</w:t>
            </w:r>
            <w:r>
              <w:rPr>
                <w:rFonts w:hint="eastAsia" w:ascii="Times New Roman" w:hAnsi="Times New Roman" w:eastAsia="宋体" w:cs="Times New Roman"/>
                <w:bCs/>
                <w:color w:val="auto"/>
                <w:sz w:val="24"/>
                <w:szCs w:val="24"/>
                <w:vertAlign w:val="baseline"/>
                <w:lang w:val="en-US" w:eastAsia="zh-CN"/>
              </w:rPr>
              <w:t>佳县一般管控单元</w:t>
            </w:r>
            <w:r>
              <w:rPr>
                <w:rFonts w:hint="default" w:ascii="Times New Roman" w:hAnsi="Times New Roman" w:cs="Times New Roman"/>
                <w:bCs/>
                <w:color w:val="auto"/>
                <w:sz w:val="24"/>
                <w:szCs w:val="24"/>
              </w:rPr>
              <w:t>，对照表1-</w:t>
            </w:r>
            <w:r>
              <w:rPr>
                <w:rFonts w:hint="eastAsia" w:ascii="Times New Roman" w:hAnsi="Times New Roman" w:cs="Times New Roman"/>
                <w:bCs/>
                <w:color w:val="auto"/>
                <w:sz w:val="24"/>
                <w:szCs w:val="24"/>
                <w:lang w:val="en-US" w:eastAsia="zh-CN"/>
              </w:rPr>
              <w:t>5</w:t>
            </w:r>
            <w:r>
              <w:rPr>
                <w:rFonts w:hint="default" w:ascii="Times New Roman" w:hAnsi="Times New Roman" w:cs="Times New Roman"/>
                <w:bCs/>
                <w:color w:val="auto"/>
                <w:sz w:val="24"/>
                <w:szCs w:val="24"/>
              </w:rPr>
              <w:t>中的管控要求，建设项目符合榆林市生态环境准入清单各管控单元的环境分区管控的要求。</w:t>
            </w:r>
          </w:p>
          <w:p w14:paraId="2BE362B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4、其他符合性分析</w:t>
            </w:r>
          </w:p>
          <w:p w14:paraId="688CFAD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项目与相关政策的符合性分析见下表：</w:t>
            </w:r>
          </w:p>
          <w:p w14:paraId="5ABA96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w:t>
            </w:r>
            <w:r>
              <w:rPr>
                <w:rFonts w:hint="eastAsia" w:ascii="Times New Roman" w:hAnsi="Times New Roman" w:eastAsia="宋体" w:cs="Times New Roman"/>
                <w:b/>
                <w:bCs/>
                <w:color w:val="auto"/>
                <w:sz w:val="21"/>
                <w:szCs w:val="21"/>
                <w:vertAlign w:val="baseline"/>
                <w:lang w:val="en-US" w:eastAsia="zh-CN"/>
              </w:rPr>
              <w:t>7</w:t>
            </w:r>
            <w:r>
              <w:rPr>
                <w:rFonts w:hint="default" w:ascii="Times New Roman" w:hAnsi="Times New Roman" w:eastAsia="宋体" w:cs="Times New Roman"/>
                <w:b/>
                <w:bCs/>
                <w:color w:val="auto"/>
                <w:sz w:val="21"/>
                <w:szCs w:val="21"/>
                <w:vertAlign w:val="baseline"/>
                <w:lang w:val="en-US" w:eastAsia="zh-CN"/>
              </w:rPr>
              <w:t xml:space="preserve"> 项目与相关政策符合性分析一览表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234"/>
              <w:gridCol w:w="2320"/>
              <w:gridCol w:w="1675"/>
              <w:gridCol w:w="427"/>
            </w:tblGrid>
            <w:tr w14:paraId="21D4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7533D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1577" w:type="pct"/>
                  <w:vAlign w:val="center"/>
                </w:tcPr>
                <w:p w14:paraId="4382CF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政策名称</w:t>
                  </w:r>
                </w:p>
              </w:tc>
              <w:tc>
                <w:tcPr>
                  <w:tcW w:w="1637" w:type="pct"/>
                  <w:vAlign w:val="center"/>
                </w:tcPr>
                <w:p w14:paraId="5E4CB4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政策要求（摘录）</w:t>
                  </w:r>
                </w:p>
              </w:tc>
              <w:tc>
                <w:tcPr>
                  <w:tcW w:w="1182" w:type="pct"/>
                  <w:vAlign w:val="center"/>
                </w:tcPr>
                <w:p w14:paraId="58447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301" w:type="pct"/>
                  <w:vAlign w:val="center"/>
                </w:tcPr>
                <w:p w14:paraId="6075F8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1F76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445368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p>
              </w:tc>
              <w:tc>
                <w:tcPr>
                  <w:tcW w:w="1577" w:type="pct"/>
                  <w:vAlign w:val="center"/>
                </w:tcPr>
                <w:p w14:paraId="1A8D24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《中华人民共和国防沙治沙法</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w:t>
                  </w:r>
                  <w:r>
                    <w:rPr>
                      <w:rFonts w:hint="eastAsia" w:ascii="Times New Roman" w:hAnsi="Times New Roman" w:eastAsia="宋体" w:cs="Times New Roman"/>
                      <w:color w:val="auto"/>
                      <w:sz w:val="21"/>
                      <w:szCs w:val="21"/>
                      <w:vertAlign w:val="baseline"/>
                      <w:lang w:val="en-US" w:eastAsia="zh-CN"/>
                    </w:rPr>
                    <w:t>0</w:t>
                  </w:r>
                  <w:r>
                    <w:rPr>
                      <w:rFonts w:hint="default" w:ascii="Times New Roman" w:hAnsi="Times New Roman" w:eastAsia="宋体" w:cs="Times New Roman"/>
                      <w:color w:val="auto"/>
                      <w:sz w:val="21"/>
                      <w:szCs w:val="21"/>
                      <w:vertAlign w:val="baseline"/>
                      <w:lang w:val="en-US" w:eastAsia="zh-CN"/>
                    </w:rPr>
                    <w:t>18修正</w:t>
                  </w:r>
                  <w:r>
                    <w:rPr>
                      <w:rFonts w:hint="eastAsia" w:ascii="Times New Roman" w:hAnsi="Times New Roman" w:eastAsia="宋体" w:cs="Times New Roman"/>
                      <w:color w:val="auto"/>
                      <w:sz w:val="21"/>
                      <w:szCs w:val="21"/>
                      <w:vertAlign w:val="baseline"/>
                      <w:lang w:val="en-US" w:eastAsia="zh-CN"/>
                    </w:rPr>
                    <w:t>）》</w:t>
                  </w:r>
                </w:p>
              </w:tc>
              <w:tc>
                <w:tcPr>
                  <w:tcW w:w="1637" w:type="pct"/>
                  <w:vAlign w:val="center"/>
                </w:tcPr>
                <w:p w14:paraId="4FA5012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第二十一条 在沙化土地范围内从事开发建设活动的，必须事先就该项目可能对当地及相关地区生态产生的影响进行环境影响评价，依法提交环境影响报告；环境影响报告应当包括有关防沙治沙的内容。</w:t>
                  </w:r>
                </w:p>
              </w:tc>
              <w:tc>
                <w:tcPr>
                  <w:tcW w:w="1182" w:type="pct"/>
                  <w:vAlign w:val="center"/>
                </w:tcPr>
                <w:p w14:paraId="18805D4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本项目位于毛乌素沙地治理区。本次提出</w:t>
                  </w:r>
                  <w:r>
                    <w:rPr>
                      <w:rFonts w:hint="eastAsia" w:ascii="Times New Roman" w:hAnsi="Times New Roman" w:eastAsia="宋体" w:cs="Times New Roman"/>
                      <w:color w:val="auto"/>
                      <w:sz w:val="21"/>
                      <w:szCs w:val="21"/>
                      <w:vertAlign w:val="baseline"/>
                      <w:lang w:val="en-US" w:eastAsia="zh-CN"/>
                    </w:rPr>
                    <w:t>了</w:t>
                  </w:r>
                  <w:r>
                    <w:rPr>
                      <w:rFonts w:hint="default" w:ascii="Times New Roman" w:hAnsi="Times New Roman" w:eastAsia="宋体" w:cs="Times New Roman"/>
                      <w:color w:val="auto"/>
                      <w:sz w:val="21"/>
                      <w:szCs w:val="21"/>
                      <w:vertAlign w:val="baseline"/>
                      <w:lang w:val="en-US" w:eastAsia="zh-CN"/>
                    </w:rPr>
                    <w:t>保持水土、防治土地荒漠化及土地沙化的防治措施。</w:t>
                  </w:r>
                </w:p>
              </w:tc>
              <w:tc>
                <w:tcPr>
                  <w:tcW w:w="301" w:type="pct"/>
                  <w:vAlign w:val="center"/>
                </w:tcPr>
                <w:p w14:paraId="1DAB6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578A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72F6C7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2</w:t>
                  </w:r>
                </w:p>
              </w:tc>
              <w:tc>
                <w:tcPr>
                  <w:tcW w:w="1577" w:type="pct"/>
                  <w:vMerge w:val="restart"/>
                  <w:vAlign w:val="center"/>
                </w:tcPr>
                <w:p w14:paraId="3877B8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《陕西省煤炭石油天然气开发生态环境保护条例》</w:t>
                  </w:r>
                </w:p>
              </w:tc>
              <w:tc>
                <w:tcPr>
                  <w:tcW w:w="1637" w:type="pct"/>
                  <w:vAlign w:val="center"/>
                </w:tcPr>
                <w:p w14:paraId="2D77577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第十二条 省人民政府及其有关行政主管部门在编制能源产业发展规划和矿产资源开发规划时，应当按照本省国土空间规划、生态环境保护规划以及本省确定的生态保护红线、环境质量底线、资源利用上线和生态环境准入清单要求，合理确定煤炭、石油、天然气开发区域、规模和强度</w:t>
                  </w:r>
                </w:p>
              </w:tc>
              <w:tc>
                <w:tcPr>
                  <w:tcW w:w="1182" w:type="pct"/>
                  <w:vAlign w:val="center"/>
                </w:tcPr>
                <w:p w14:paraId="28C5109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本项目不涉及生态红线，项目满足环境质量底线、资源利用上线和生态环境准入清单要求</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66975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8D0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38BC7B0E">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74DB4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B0EDD1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第十三条 禁止在居民区和国务院或者省人民政府划定的重要水源涵养区、饮用水水源保护区，国家公园，自然保护区，风景名胜区、森林公园、地质公园、草原公园、湿地公园等自然公园、文物保护单位等区域内进行煤炭、石油、天然气开发</w:t>
                  </w:r>
                </w:p>
              </w:tc>
              <w:tc>
                <w:tcPr>
                  <w:tcW w:w="1182" w:type="pct"/>
                  <w:vAlign w:val="center"/>
                </w:tcPr>
                <w:p w14:paraId="6F14FF0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本项目位于榆林市</w:t>
                  </w:r>
                  <w:r>
                    <w:rPr>
                      <w:rFonts w:hint="eastAsia" w:ascii="Times New Roman" w:hAnsi="Times New Roman" w:eastAsia="宋体" w:cs="Times New Roman"/>
                      <w:color w:val="auto"/>
                      <w:sz w:val="21"/>
                      <w:szCs w:val="21"/>
                      <w:vertAlign w:val="baseline"/>
                      <w:lang w:val="en-US" w:eastAsia="zh-CN"/>
                    </w:rPr>
                    <w:t>佳县金明寺镇</w:t>
                  </w:r>
                  <w:r>
                    <w:rPr>
                      <w:rFonts w:hint="default" w:ascii="Times New Roman" w:hAnsi="Times New Roman" w:eastAsia="宋体" w:cs="Times New Roman"/>
                      <w:color w:val="auto"/>
                      <w:sz w:val="21"/>
                      <w:szCs w:val="21"/>
                      <w:vertAlign w:val="baseline"/>
                      <w:lang w:val="en-US" w:eastAsia="zh-CN"/>
                    </w:rPr>
                    <w:t>，勘探后</w:t>
                  </w:r>
                  <w:r>
                    <w:rPr>
                      <w:rFonts w:hint="eastAsia" w:ascii="Times New Roman" w:hAnsi="Times New Roman" w:eastAsia="宋体" w:cs="Times New Roman"/>
                      <w:color w:val="auto"/>
                      <w:sz w:val="21"/>
                      <w:szCs w:val="21"/>
                      <w:vertAlign w:val="baseline"/>
                      <w:lang w:val="en-US" w:eastAsia="zh-CN"/>
                    </w:rPr>
                    <w:t>若</w:t>
                  </w:r>
                  <w:r>
                    <w:rPr>
                      <w:rFonts w:hint="default" w:ascii="Times New Roman" w:hAnsi="Times New Roman" w:eastAsia="宋体" w:cs="Times New Roman"/>
                      <w:color w:val="auto"/>
                      <w:sz w:val="21"/>
                      <w:szCs w:val="21"/>
                      <w:vertAlign w:val="baseline"/>
                      <w:lang w:val="en-US" w:eastAsia="zh-CN"/>
                    </w:rPr>
                    <w:t>采取永久封井，</w:t>
                  </w:r>
                  <w:r>
                    <w:rPr>
                      <w:rFonts w:hint="eastAsia" w:ascii="Times New Roman" w:hAnsi="Times New Roman" w:eastAsia="宋体" w:cs="Times New Roman"/>
                      <w:color w:val="auto"/>
                      <w:sz w:val="21"/>
                      <w:szCs w:val="21"/>
                      <w:vertAlign w:val="baseline"/>
                      <w:lang w:val="en-US" w:eastAsia="zh-CN"/>
                    </w:rPr>
                    <w:t>则项目为临时占地；若</w:t>
                  </w:r>
                  <w:r>
                    <w:rPr>
                      <w:rFonts w:hint="default" w:ascii="Times New Roman" w:hAnsi="Times New Roman" w:eastAsia="宋体" w:cs="Times New Roman"/>
                      <w:color w:val="auto"/>
                      <w:sz w:val="21"/>
                      <w:szCs w:val="21"/>
                      <w:vertAlign w:val="baseline"/>
                      <w:lang w:val="en-US" w:eastAsia="zh-CN"/>
                    </w:rPr>
                    <w:t>采取临时封井，除预留转成生产井所需的面积</w:t>
                  </w:r>
                  <w:r>
                    <w:rPr>
                      <w:rFonts w:hint="eastAsia" w:ascii="Times New Roman" w:hAnsi="Times New Roman" w:eastAsia="宋体" w:cs="Times New Roman"/>
                      <w:color w:val="auto"/>
                      <w:sz w:val="21"/>
                      <w:szCs w:val="21"/>
                      <w:vertAlign w:val="baseline"/>
                      <w:lang w:val="en-US" w:eastAsia="zh-CN"/>
                    </w:rPr>
                    <w:t>为永久占地</w:t>
                  </w:r>
                  <w:r>
                    <w:rPr>
                      <w:rFonts w:hint="default" w:ascii="Times New Roman" w:hAnsi="Times New Roman" w:eastAsia="宋体" w:cs="Times New Roman"/>
                      <w:color w:val="auto"/>
                      <w:sz w:val="21"/>
                      <w:szCs w:val="21"/>
                      <w:vertAlign w:val="baseline"/>
                      <w:lang w:val="en-US" w:eastAsia="zh-CN"/>
                    </w:rPr>
                    <w:t>，其他区域</w:t>
                  </w:r>
                  <w:r>
                    <w:rPr>
                      <w:rFonts w:hint="eastAsia" w:ascii="Times New Roman" w:hAnsi="Times New Roman" w:eastAsia="宋体" w:cs="Times New Roman"/>
                      <w:color w:val="auto"/>
                      <w:sz w:val="21"/>
                      <w:szCs w:val="21"/>
                      <w:vertAlign w:val="baseline"/>
                      <w:lang w:val="en-US" w:eastAsia="zh-CN"/>
                    </w:rPr>
                    <w:t>为临时占地</w:t>
                  </w:r>
                  <w:r>
                    <w:rPr>
                      <w:rFonts w:hint="default" w:ascii="Times New Roman" w:hAnsi="Times New Roman" w:eastAsia="宋体" w:cs="Times New Roman"/>
                      <w:color w:val="auto"/>
                      <w:sz w:val="21"/>
                      <w:szCs w:val="21"/>
                      <w:vertAlign w:val="baseline"/>
                      <w:lang w:val="en-US" w:eastAsia="zh-CN"/>
                    </w:rPr>
                    <w:t>，不涉及重要水源涵养区、饮用水水源保护区，国家公园、自然保护区、风景名胜区、森林公园、地质公园、草原公园、湿地公园等自然公园、文物保护单位等区域。</w:t>
                  </w:r>
                </w:p>
              </w:tc>
              <w:tc>
                <w:tcPr>
                  <w:tcW w:w="301" w:type="pct"/>
                  <w:vAlign w:val="center"/>
                </w:tcPr>
                <w:p w14:paraId="79C9C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9E9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D69711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00AD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7275F6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第十六条 新建、扩建、改建煤炭、石油、天然气开发建设项目，建设单位应当在项目开工建设前编制环境影响评价文件，按照建设项目环境影响评价分级管理目录规定，报有审批权的生态环境行政主管部门审批。实行相对集中行政许可权的地方，审批机关应当将审批文件同时抄送项目所在地同级生态环境行政主管部门</w:t>
                  </w:r>
                </w:p>
              </w:tc>
              <w:tc>
                <w:tcPr>
                  <w:tcW w:w="1182" w:type="pct"/>
                  <w:vAlign w:val="center"/>
                </w:tcPr>
                <w:p w14:paraId="64A5F9FF">
                  <w:pPr>
                    <w:keepNext w:val="0"/>
                    <w:keepLines w:val="0"/>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长庆油田分公司天然气评价项目部已正式委托我公司进行环境影响评价工作，拟上报榆林市生态环境局</w:t>
                  </w:r>
                  <w:r>
                    <w:rPr>
                      <w:rFonts w:hint="eastAsia" w:ascii="Times New Roman" w:hAnsi="Times New Roman" w:eastAsia="宋体" w:cs="Times New Roman"/>
                      <w:color w:val="auto"/>
                      <w:sz w:val="21"/>
                      <w:szCs w:val="21"/>
                      <w:vertAlign w:val="baseline"/>
                      <w:lang w:val="en-US" w:eastAsia="zh-CN"/>
                    </w:rPr>
                    <w:t>佳县</w:t>
                  </w:r>
                  <w:r>
                    <w:rPr>
                      <w:rFonts w:hint="default" w:ascii="Times New Roman" w:hAnsi="Times New Roman" w:eastAsia="宋体" w:cs="Times New Roman"/>
                      <w:color w:val="auto"/>
                      <w:sz w:val="21"/>
                      <w:szCs w:val="21"/>
                      <w:vertAlign w:val="baseline"/>
                      <w:lang w:val="en-US" w:eastAsia="zh-CN"/>
                    </w:rPr>
                    <w:t>分局审批</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775230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522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499958C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2BE509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5E323D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第二十六条 石油、天然气开发单位应当对开采过程中产生的钻井废水、压裂返排液、采出水按照国家有关规定进行无害化处理，经处理达到标准的，按照经批准的环境影响评价文件要求排放或者回注。石油采出水应当同层回注，不得外排</w:t>
                  </w:r>
                </w:p>
              </w:tc>
              <w:tc>
                <w:tcPr>
                  <w:tcW w:w="1182" w:type="pct"/>
                  <w:shd w:val="clear" w:color="auto" w:fill="auto"/>
                  <w:vAlign w:val="center"/>
                </w:tcPr>
                <w:p w14:paraId="7B67D67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本项目天然气勘探过程产生的钻井废水、压裂返排液</w:t>
                  </w:r>
                  <w:r>
                    <w:rPr>
                      <w:rFonts w:hint="eastAsia" w:ascii="Times New Roman" w:hAnsi="Times New Roman" w:eastAsia="宋体" w:cs="Times New Roman"/>
                      <w:color w:val="auto"/>
                      <w:sz w:val="21"/>
                      <w:szCs w:val="21"/>
                      <w:vertAlign w:val="baseline"/>
                      <w:lang w:val="en-US" w:eastAsia="zh-CN"/>
                    </w:rPr>
                    <w:t>收集暂存于井场内各类收集罐中，定期由陕西榆佳环保科技有限公司拉运处置，陕西榆佳环保科技有限公司采用“二级酸析反应沉淀+液碱+CO</w:t>
                  </w:r>
                  <w:r>
                    <w:rPr>
                      <w:rFonts w:hint="eastAsia" w:ascii="Times New Roman" w:hAnsi="Times New Roman" w:eastAsia="宋体" w:cs="Times New Roman"/>
                      <w:color w:val="auto"/>
                      <w:sz w:val="21"/>
                      <w:szCs w:val="21"/>
                      <w:vertAlign w:val="subscript"/>
                      <w:lang w:val="en-US" w:eastAsia="zh-CN"/>
                    </w:rPr>
                    <w:t>2</w:t>
                  </w:r>
                  <w:r>
                    <w:rPr>
                      <w:rFonts w:hint="eastAsia" w:ascii="Times New Roman" w:hAnsi="Times New Roman" w:eastAsia="宋体" w:cs="Times New Roman"/>
                      <w:color w:val="auto"/>
                      <w:sz w:val="21"/>
                      <w:szCs w:val="21"/>
                      <w:vertAlign w:val="baseline"/>
                      <w:lang w:val="en-US" w:eastAsia="zh-CN"/>
                    </w:rPr>
                    <w:t>+隔膜压滤+精密过滤+紫外杀菌”工艺处理后回用于气田开采配置压裂液及钻井泥浆</w:t>
                  </w:r>
                  <w:r>
                    <w:rPr>
                      <w:rFonts w:hint="default" w:ascii="Times New Roman" w:hAnsi="Times New Roman" w:eastAsia="宋体" w:cs="Times New Roman"/>
                      <w:color w:val="auto"/>
                      <w:sz w:val="21"/>
                      <w:szCs w:val="21"/>
                      <w:vertAlign w:val="baseline"/>
                      <w:lang w:val="en-US" w:eastAsia="zh-CN"/>
                    </w:rPr>
                    <w:t>。</w:t>
                  </w:r>
                </w:p>
              </w:tc>
              <w:tc>
                <w:tcPr>
                  <w:tcW w:w="301" w:type="pct"/>
                  <w:vAlign w:val="center"/>
                </w:tcPr>
                <w:p w14:paraId="3848F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31D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8C97DF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BE11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0C92C0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第二十九条 煤炭、石油、天然气开发单位收集、贮存、运输、利用和处置危险废物，应当严格执行国家和本省有关规定，不得将危险废物交由不具备资质的单位处置</w:t>
                  </w:r>
                </w:p>
              </w:tc>
              <w:tc>
                <w:tcPr>
                  <w:tcW w:w="1182" w:type="pct"/>
                  <w:vAlign w:val="center"/>
                </w:tcPr>
                <w:p w14:paraId="798282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本项目产生的危险废物委托有资质单位处理</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32034D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41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4EB93F3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0D1DB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7B8E46FF">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石油、天然气开发单位对开采过程中产生的废弃泥浆、岩屑等工业固体废物应当集中收集、处置</w:t>
                  </w:r>
                </w:p>
              </w:tc>
              <w:tc>
                <w:tcPr>
                  <w:tcW w:w="1182" w:type="pct"/>
                  <w:vAlign w:val="center"/>
                </w:tcPr>
                <w:p w14:paraId="1C5E8EEE">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本项目施工场地设有移动式</w:t>
                  </w:r>
                  <w:r>
                    <w:rPr>
                      <w:rFonts w:hint="default" w:ascii="Times New Roman" w:hAnsi="Times New Roman" w:eastAsia="宋体" w:cs="Times New Roman"/>
                      <w:color w:val="auto"/>
                      <w:sz w:val="21"/>
                      <w:szCs w:val="21"/>
                    </w:rPr>
                    <w:t>泥饼和岩屑收集罐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对产生的废弃泥浆和岩屑进行集中收集，待施工结束后，</w:t>
                  </w:r>
                  <w:r>
                    <w:rPr>
                      <w:rFonts w:hint="default" w:ascii="Times New Roman" w:hAnsi="Times New Roman" w:eastAsia="宋体" w:cs="Times New Roman"/>
                      <w:color w:val="auto"/>
                      <w:sz w:val="21"/>
                      <w:szCs w:val="21"/>
                      <w:vertAlign w:val="baseline"/>
                      <w:lang w:val="en-US" w:eastAsia="zh-CN"/>
                    </w:rPr>
                    <w:t>项目开工前</w:t>
                  </w:r>
                  <w:r>
                    <w:rPr>
                      <w:rFonts w:hint="eastAsia" w:ascii="Times New Roman" w:hAnsi="Times New Roman" w:eastAsia="宋体" w:cs="Times New Roman"/>
                      <w:color w:val="auto"/>
                      <w:sz w:val="21"/>
                      <w:szCs w:val="21"/>
                      <w:vertAlign w:val="baseline"/>
                      <w:lang w:val="en-US" w:eastAsia="zh-CN"/>
                    </w:rPr>
                    <w:t>已同陕西德禾鑫盛环保科技有限公司</w:t>
                  </w:r>
                  <w:r>
                    <w:rPr>
                      <w:rFonts w:hint="default" w:ascii="Times New Roman" w:hAnsi="Times New Roman" w:eastAsia="宋体" w:cs="Times New Roman"/>
                      <w:color w:val="auto"/>
                      <w:sz w:val="21"/>
                      <w:szCs w:val="21"/>
                      <w:vertAlign w:val="baseline"/>
                      <w:lang w:val="en-US" w:eastAsia="zh-CN"/>
                    </w:rPr>
                    <w:t>签订处置合同，</w:t>
                  </w:r>
                  <w:r>
                    <w:rPr>
                      <w:rFonts w:hint="eastAsia" w:ascii="Times New Roman" w:hAnsi="Times New Roman" w:eastAsia="宋体" w:cs="Times New Roman"/>
                      <w:color w:val="auto"/>
                      <w:sz w:val="21"/>
                      <w:szCs w:val="21"/>
                      <w:vertAlign w:val="baseline"/>
                      <w:lang w:val="en-US" w:eastAsia="zh-CN"/>
                    </w:rPr>
                    <w:t>已</w:t>
                  </w:r>
                  <w:r>
                    <w:rPr>
                      <w:rFonts w:hint="default" w:ascii="Times New Roman" w:hAnsi="Times New Roman" w:eastAsia="宋体" w:cs="Times New Roman"/>
                      <w:color w:val="auto"/>
                      <w:sz w:val="21"/>
                      <w:szCs w:val="21"/>
                      <w:vertAlign w:val="baseline"/>
                      <w:lang w:val="en-US" w:eastAsia="zh-CN"/>
                    </w:rPr>
                    <w:t>明确处置责任及去向</w:t>
                  </w:r>
                  <w:r>
                    <w:rPr>
                      <w:rFonts w:hint="eastAsia" w:cs="Times New Roman"/>
                      <w:color w:val="auto"/>
                      <w:sz w:val="21"/>
                      <w:szCs w:val="21"/>
                      <w:lang w:val="en-US" w:eastAsia="zh-CN"/>
                    </w:rPr>
                    <w:t>。</w:t>
                  </w:r>
                </w:p>
              </w:tc>
              <w:tc>
                <w:tcPr>
                  <w:tcW w:w="301" w:type="pct"/>
                  <w:vAlign w:val="center"/>
                </w:tcPr>
                <w:p w14:paraId="38707935">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21AA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3157EE5B">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C177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5397AC69">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天然气井选点测试放喷，应当综合考虑气候、风向、安全等因素合理选点，远离居民区和建筑物，排出的气体应当点燃焚烧</w:t>
                  </w:r>
                </w:p>
              </w:tc>
              <w:tc>
                <w:tcPr>
                  <w:tcW w:w="1182" w:type="pct"/>
                  <w:vAlign w:val="center"/>
                </w:tcPr>
                <w:p w14:paraId="64CD010A">
                  <w:pPr>
                    <w:pStyle w:val="27"/>
                    <w:keepNext w:val="0"/>
                    <w:keepLines w:val="0"/>
                    <w:pageBreakBefore w:val="0"/>
                    <w:widowControl w:val="0"/>
                    <w:kinsoku/>
                    <w:wordWrap/>
                    <w:overflowPunct/>
                    <w:topLinePunct w:val="0"/>
                    <w:autoSpaceDE/>
                    <w:autoSpaceDN/>
                    <w:bidi w:val="0"/>
                    <w:adjustRightInd/>
                    <w:snapToGrid/>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测试放喷的天然气经专用放喷管线引至</w:t>
                  </w:r>
                  <w:r>
                    <w:rPr>
                      <w:rFonts w:hint="eastAsia" w:cs="Times New Roman"/>
                      <w:color w:val="auto"/>
                      <w:sz w:val="21"/>
                      <w:szCs w:val="21"/>
                      <w:lang w:val="en-US" w:eastAsia="zh-CN"/>
                    </w:rPr>
                    <w:t>放喷池</w:t>
                  </w:r>
                  <w:r>
                    <w:rPr>
                      <w:rFonts w:hint="default" w:ascii="Times New Roman" w:hAnsi="Times New Roman" w:eastAsia="宋体" w:cs="Times New Roman"/>
                      <w:color w:val="auto"/>
                      <w:sz w:val="21"/>
                      <w:szCs w:val="21"/>
                      <w:lang w:val="en-US" w:eastAsia="zh-CN"/>
                    </w:rPr>
                    <w:t>后点火燃烧，放喷时要选择合适的时间，在天气晴朗，且风较大的天气进行，便于废气扩散</w:t>
                  </w:r>
                  <w:r>
                    <w:rPr>
                      <w:rFonts w:hint="eastAsia" w:cs="Times New Roman"/>
                      <w:color w:val="auto"/>
                      <w:sz w:val="21"/>
                      <w:szCs w:val="21"/>
                      <w:lang w:val="en-US" w:eastAsia="zh-CN"/>
                    </w:rPr>
                    <w:t>。</w:t>
                  </w:r>
                </w:p>
              </w:tc>
              <w:tc>
                <w:tcPr>
                  <w:tcW w:w="301" w:type="pct"/>
                  <w:vAlign w:val="center"/>
                </w:tcPr>
                <w:p w14:paraId="2710B7DD">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22C4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6F9AC8E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8EF9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75001514">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煤炭、石油、天然气勘探开发中使用放射性同位素和射线装置的，应当依照放射性污染防治法律、法规的规定办理辐射安全许可证。放射性同位素和放射性废物的运输、储存、保管和封装等活动，按照放射性污染防治法律、法规的相关规定执行</w:t>
                  </w:r>
                </w:p>
              </w:tc>
              <w:tc>
                <w:tcPr>
                  <w:tcW w:w="1182" w:type="pct"/>
                  <w:vAlign w:val="center"/>
                </w:tcPr>
                <w:p w14:paraId="6E83C9F5">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本次天然气勘探不使用放射性同位素和射线装置</w:t>
                  </w:r>
                  <w:r>
                    <w:rPr>
                      <w:rFonts w:hint="eastAsia" w:cs="Times New Roman"/>
                      <w:color w:val="auto"/>
                      <w:sz w:val="21"/>
                      <w:szCs w:val="21"/>
                      <w:lang w:val="en-US" w:eastAsia="zh-CN"/>
                    </w:rPr>
                    <w:t>。</w:t>
                  </w:r>
                </w:p>
              </w:tc>
              <w:tc>
                <w:tcPr>
                  <w:tcW w:w="301" w:type="pct"/>
                  <w:vAlign w:val="center"/>
                </w:tcPr>
                <w:p w14:paraId="27CA8C5E">
                  <w:pPr>
                    <w:keepNext w:val="0"/>
                    <w:keepLines w:val="0"/>
                    <w:pageBreakBefore w:val="0"/>
                    <w:kinsoku/>
                    <w:wordWrap/>
                    <w:overflowPunct/>
                    <w:topLinePunct w:val="0"/>
                    <w:autoSpaceDE/>
                    <w:autoSpaceDN/>
                    <w:bidi w:val="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符合</w:t>
                  </w:r>
                </w:p>
              </w:tc>
            </w:tr>
            <w:tr w14:paraId="1E77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525D5C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3</w:t>
                  </w:r>
                </w:p>
              </w:tc>
              <w:tc>
                <w:tcPr>
                  <w:tcW w:w="1577" w:type="pct"/>
                  <w:vMerge w:val="restart"/>
                  <w:vAlign w:val="center"/>
                </w:tcPr>
                <w:p w14:paraId="566551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《石油天然气开采业污染防治技术政策》</w:t>
                  </w:r>
                </w:p>
              </w:tc>
              <w:tc>
                <w:tcPr>
                  <w:tcW w:w="1637" w:type="pct"/>
                  <w:vAlign w:val="center"/>
                </w:tcPr>
                <w:p w14:paraId="3643A59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在环境敏感区进行石油天然气勘探、开采的，要在开发前对生态、环境影响进行充分论证，并严格执行环境影响评价文件的要求，积极采取缓解生态、环境破坏的措施</w:t>
                  </w:r>
                </w:p>
              </w:tc>
              <w:tc>
                <w:tcPr>
                  <w:tcW w:w="1182" w:type="pct"/>
                  <w:vAlign w:val="center"/>
                </w:tcPr>
                <w:p w14:paraId="1C68DC3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本项目在钻井前进行环境影响评价，并积极采取生态保护与恢复措施</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3EFFB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E47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4331E24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3B9258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03F0B6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在油气勘探过程中，宜使用环保型炸药和可控震源，应采取防渗等措施预防燃料泄漏对环境的污染</w:t>
                  </w:r>
                </w:p>
              </w:tc>
              <w:tc>
                <w:tcPr>
                  <w:tcW w:w="1182" w:type="pct"/>
                  <w:vAlign w:val="center"/>
                </w:tcPr>
                <w:p w14:paraId="240DB1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项目属于气探井工程，勘探方式为钻探井，钻机采用</w:t>
                  </w:r>
                  <w:r>
                    <w:rPr>
                      <w:rFonts w:hint="eastAsia" w:ascii="Times New Roman" w:hAnsi="Times New Roman" w:eastAsia="宋体" w:cs="Times New Roman"/>
                      <w:color w:val="auto"/>
                      <w:sz w:val="21"/>
                      <w:szCs w:val="21"/>
                      <w:vertAlign w:val="baseline"/>
                      <w:lang w:val="en-US" w:eastAsia="zh-CN"/>
                    </w:rPr>
                    <w:t>电驱动机</w:t>
                  </w:r>
                </w:p>
              </w:tc>
              <w:tc>
                <w:tcPr>
                  <w:tcW w:w="301" w:type="pct"/>
                  <w:vAlign w:val="center"/>
                </w:tcPr>
                <w:p w14:paraId="1D7EF4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CC8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6BCE4370">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9DF9B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6222225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钻井过程中，鼓励采用环境友好的钻井液体系；配备完善的固控设备，钻井液循环率达到95%以上；钻井过程产生的废水应回用</w:t>
                  </w:r>
                </w:p>
              </w:tc>
              <w:tc>
                <w:tcPr>
                  <w:tcW w:w="1182" w:type="pct"/>
                  <w:vAlign w:val="center"/>
                </w:tcPr>
                <w:p w14:paraId="64B688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本项目使用水基钻井泥浆，钻井废水用于配置泥浆，循环使用，钻井液循环使用率要求达到95%以上</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5AA2B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B4D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ACF3F21">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76CDA5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32CE3CF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1182" w:type="pct"/>
                  <w:vAlign w:val="center"/>
                </w:tcPr>
                <w:p w14:paraId="41C30F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本项目压裂返排液等交</w:t>
                  </w:r>
                  <w:r>
                    <w:rPr>
                      <w:rFonts w:hint="eastAsia" w:ascii="Times New Roman" w:hAnsi="Times New Roman" w:eastAsia="宋体" w:cs="Times New Roman"/>
                      <w:color w:val="auto"/>
                      <w:sz w:val="21"/>
                      <w:szCs w:val="21"/>
                      <w:highlight w:val="none"/>
                      <w:vertAlign w:val="baseline"/>
                      <w:lang w:val="en-US" w:eastAsia="zh-CN"/>
                    </w:rPr>
                    <w:t>陕西榆佳环保科技有限公司处置</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bidi="ar"/>
                    </w:rPr>
                    <w:t>压裂作业和试气过程采取防喷、地面管线防刺、防漏、防溢等措施。本项目勘探过程中不涉及酸化作业</w:t>
                  </w:r>
                  <w:r>
                    <w:rPr>
                      <w:rFonts w:hint="eastAsia" w:ascii="Times New Roman" w:hAnsi="Times New Roman" w:eastAsia="宋体" w:cs="Times New Roman"/>
                      <w:color w:val="auto"/>
                      <w:kern w:val="0"/>
                      <w:sz w:val="21"/>
                      <w:szCs w:val="21"/>
                      <w:highlight w:val="none"/>
                      <w:lang w:val="en-US" w:eastAsia="zh-CN" w:bidi="ar"/>
                    </w:rPr>
                    <w:t>。</w:t>
                  </w:r>
                </w:p>
              </w:tc>
              <w:tc>
                <w:tcPr>
                  <w:tcW w:w="301" w:type="pct"/>
                  <w:vAlign w:val="center"/>
                </w:tcPr>
                <w:p w14:paraId="230D5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796F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5DC8AED7">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76096B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AE7B08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油气田企业应对勘探开发过程进行环境风险因素识别，制定突发环境事件应急预案并定期进行演练。应开展特征污染物监测工作，采取环境风险防范和应急措施，防止发生由突发性油气泄漏产生的环境事故</w:t>
                  </w:r>
                </w:p>
              </w:tc>
              <w:tc>
                <w:tcPr>
                  <w:tcW w:w="1182" w:type="pct"/>
                  <w:vAlign w:val="center"/>
                </w:tcPr>
                <w:p w14:paraId="3A550B3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本项目突发环境事件应急预案纳入中国石油天然气股份有限公司长庆油田分公司突发环境事件应急预案中。</w:t>
                  </w:r>
                </w:p>
              </w:tc>
              <w:tc>
                <w:tcPr>
                  <w:tcW w:w="301" w:type="pct"/>
                  <w:vAlign w:val="center"/>
                </w:tcPr>
                <w:p w14:paraId="6DD31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55F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17F168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4</w:t>
                  </w:r>
                </w:p>
              </w:tc>
              <w:tc>
                <w:tcPr>
                  <w:tcW w:w="1577" w:type="pct"/>
                  <w:vMerge w:val="restart"/>
                  <w:vAlign w:val="center"/>
                </w:tcPr>
                <w:p w14:paraId="53219D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《生态环境部关于进一步加强石油天然气行业环境影响评价管理的通知》</w:t>
                  </w:r>
                </w:p>
              </w:tc>
              <w:tc>
                <w:tcPr>
                  <w:tcW w:w="1637" w:type="pct"/>
                  <w:vAlign w:val="center"/>
                </w:tcPr>
                <w:p w14:paraId="554C6A1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规划环评应当结合油气开发区域的资源环境特征、主体功能区规划、自然保护地、生态保护红线管控等要求，切实维护生态系统完整性和稳定性，明确禁止开发区域和规划实施的资源环境制约因素，合理确定开发方案，明确预防和减轻不良环境影响的对策措施</w:t>
                  </w:r>
                </w:p>
              </w:tc>
              <w:tc>
                <w:tcPr>
                  <w:tcW w:w="1182" w:type="pct"/>
                  <w:vAlign w:val="center"/>
                </w:tcPr>
                <w:p w14:paraId="2A17BB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本项目不涉及生态红线</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3CBA1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40918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62DB6D8B">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941B2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68B5FEB5">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（五）</w:t>
                  </w:r>
                  <w:r>
                    <w:rPr>
                      <w:rFonts w:hint="default" w:ascii="Times New Roman" w:hAnsi="Times New Roman" w:eastAsia="宋体" w:cs="Times New Roman"/>
                      <w:color w:val="auto"/>
                      <w:kern w:val="0"/>
                      <w:sz w:val="21"/>
                      <w:szCs w:val="21"/>
                      <w:lang w:val="en-US" w:eastAsia="zh-CN" w:bidi="ar"/>
                    </w:rPr>
                    <w:t>未确定产能建设规模的陆地油气开采新区块，建设勘探井应当依法编制环境影响报告表</w:t>
                  </w:r>
                </w:p>
              </w:tc>
              <w:tc>
                <w:tcPr>
                  <w:tcW w:w="1182" w:type="pct"/>
                  <w:vAlign w:val="center"/>
                </w:tcPr>
                <w:p w14:paraId="3E23DBB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本项目区块不属于新区块，已取得采矿许可证，区块内滚动开发，为给后期产能项目提供依据设本次评价井，并委托编制环境影响报告表。</w:t>
                  </w:r>
                </w:p>
              </w:tc>
              <w:tc>
                <w:tcPr>
                  <w:tcW w:w="301" w:type="pct"/>
                  <w:vAlign w:val="center"/>
                </w:tcPr>
                <w:p w14:paraId="186527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20E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55D4B4F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050C9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2E8ED95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（七）</w:t>
                  </w:r>
                  <w:r>
                    <w:rPr>
                      <w:rFonts w:hint="default" w:ascii="Times New Roman" w:hAnsi="Times New Roman" w:eastAsia="宋体" w:cs="Times New Roman"/>
                      <w:color w:val="auto"/>
                      <w:kern w:val="0"/>
                      <w:sz w:val="21"/>
                      <w:szCs w:val="21"/>
                      <w:lang w:val="en-US" w:eastAsia="zh-CN" w:bidi="ar"/>
                    </w:rPr>
                    <w:t>涉及向地表水体排放污染物的陆地油气开采项目，应当符合国家和地方污染物排放标准，满足重点污染物排放总量控制要求</w:t>
                  </w:r>
                </w:p>
              </w:tc>
              <w:tc>
                <w:tcPr>
                  <w:tcW w:w="1182" w:type="pct"/>
                  <w:vAlign w:val="center"/>
                </w:tcPr>
                <w:p w14:paraId="38A0FF4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本项目生活污水和施工废水均不外排</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31DD91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430D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B69D36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C666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34ADB86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（九）</w:t>
                  </w:r>
                  <w:r>
                    <w:rPr>
                      <w:rFonts w:hint="default" w:ascii="Times New Roman" w:hAnsi="Times New Roman" w:eastAsia="宋体" w:cs="Times New Roman"/>
                      <w:color w:val="auto"/>
                      <w:kern w:val="0"/>
                      <w:sz w:val="21"/>
                      <w:szCs w:val="21"/>
                      <w:lang w:val="en-US" w:eastAsia="zh-CN" w:bidi="ar"/>
                    </w:rPr>
                    <w:t>油气开采产生的废弃油基泥浆、含油钻屑及其他固体废物，应当遵循减量化、资源化、无害化原则，按照国家和地方有关固体废物的管理规定进行处置</w:t>
                  </w:r>
                </w:p>
              </w:tc>
              <w:tc>
                <w:tcPr>
                  <w:tcW w:w="1182" w:type="pct"/>
                  <w:vAlign w:val="center"/>
                </w:tcPr>
                <w:p w14:paraId="6CA0EC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本项目采用水基泥浆钻井液，不产生废弃油基泥浆、含油钻屑</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2C4B3F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A41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538A54BF">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050BE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1231DFC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w:t>
                  </w:r>
                  <w:r>
                    <w:rPr>
                      <w:rFonts w:hint="default" w:ascii="Times New Roman" w:hAnsi="Times New Roman" w:eastAsia="宋体" w:cs="Times New Roman"/>
                      <w:color w:val="auto"/>
                      <w:kern w:val="0"/>
                      <w:sz w:val="21"/>
                      <w:szCs w:val="21"/>
                      <w:lang w:val="en-US" w:eastAsia="zh-CN" w:bidi="ar"/>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w:t>
                  </w:r>
                </w:p>
              </w:tc>
              <w:tc>
                <w:tcPr>
                  <w:tcW w:w="1182" w:type="pct"/>
                  <w:vAlign w:val="center"/>
                </w:tcPr>
                <w:p w14:paraId="02BAAE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本项目采用电驱动钻井，钻井过程中不会产生有机废气及恶臭气体</w:t>
                  </w:r>
                </w:p>
              </w:tc>
              <w:tc>
                <w:tcPr>
                  <w:tcW w:w="301" w:type="pct"/>
                  <w:vAlign w:val="center"/>
                </w:tcPr>
                <w:p w14:paraId="4A9A1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587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212F714C">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2F84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29940B3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（十一）</w:t>
                  </w:r>
                  <w:r>
                    <w:rPr>
                      <w:rFonts w:hint="default" w:ascii="Times New Roman" w:hAnsi="Times New Roman" w:eastAsia="宋体" w:cs="Times New Roman"/>
                      <w:color w:val="auto"/>
                      <w:kern w:val="0"/>
                      <w:sz w:val="21"/>
                      <w:szCs w:val="21"/>
                      <w:lang w:val="en-US" w:eastAsia="zh-CN" w:bidi="ar"/>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182" w:type="pct"/>
                  <w:vAlign w:val="center"/>
                </w:tcPr>
                <w:p w14:paraId="462789A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项目选址合理，施工期较短，项目地周边100m范围内无环境敏感目标。项目选用低噪声设备，勘探结束后进行生态恢复</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093CDE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9EE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41F689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5</w:t>
                  </w:r>
                </w:p>
              </w:tc>
              <w:tc>
                <w:tcPr>
                  <w:tcW w:w="1577" w:type="pct"/>
                  <w:vMerge w:val="restart"/>
                  <w:vAlign w:val="center"/>
                </w:tcPr>
                <w:p w14:paraId="17DA5D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《陕西省石油天然气开采项目环境影响评价文件审批要点》</w:t>
                  </w:r>
                </w:p>
              </w:tc>
              <w:tc>
                <w:tcPr>
                  <w:tcW w:w="1637" w:type="pct"/>
                  <w:vAlign w:val="center"/>
                </w:tcPr>
                <w:p w14:paraId="181A94B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禁止在居民区和国务院或者省人民政府划定的重要水源涵养区、饮用水水源保护区，国家公园，自然保护区，风景名胜区、森林公园、地质公园、湿地公园等自然公园、文物保护单位等区域内进行石油、天然气开发</w:t>
                  </w:r>
                </w:p>
              </w:tc>
              <w:tc>
                <w:tcPr>
                  <w:tcW w:w="1182" w:type="pct"/>
                  <w:vAlign w:val="center"/>
                </w:tcPr>
                <w:p w14:paraId="2EC73B4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rPr>
                    <w:t>本</w:t>
                  </w:r>
                  <w:r>
                    <w:rPr>
                      <w:rFonts w:hint="default" w:ascii="Times New Roman" w:hAnsi="Times New Roman" w:eastAsia="宋体" w:cs="Times New Roman"/>
                      <w:color w:val="auto"/>
                      <w:sz w:val="21"/>
                      <w:szCs w:val="21"/>
                      <w:vertAlign w:val="baseline"/>
                      <w:lang w:val="en-US" w:eastAsia="zh-CN"/>
                    </w:rPr>
                    <w:t>项目不涉及生态红线，不涉及水源涵养区、饮用水水源保护区，国家公园，自然保护区，风景名胜区、森林公园、地质公园、湿地公园等自然公园、文物保护单位等</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68E5E6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510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5F0F3663">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693F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8E617A5">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油气开采企业应对永久停用、拆除或弃置的各类井、管道等工程设施落实封堵、土壤及地下水修复、生态修复等措施</w:t>
                  </w:r>
                </w:p>
              </w:tc>
              <w:tc>
                <w:tcPr>
                  <w:tcW w:w="1182" w:type="pct"/>
                  <w:vAlign w:val="center"/>
                </w:tcPr>
                <w:p w14:paraId="7DBA320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w:t>
                  </w:r>
                  <w:r>
                    <w:rPr>
                      <w:rFonts w:hint="eastAsia" w:ascii="Times New Roman" w:hAnsi="Times New Roman" w:eastAsia="宋体" w:cs="Times New Roman"/>
                      <w:color w:val="auto"/>
                      <w:sz w:val="21"/>
                      <w:szCs w:val="21"/>
                      <w:vertAlign w:val="baseline"/>
                      <w:lang w:val="en-US" w:eastAsia="zh-CN"/>
                    </w:rPr>
                    <w:t>评价井建设</w:t>
                  </w:r>
                  <w:r>
                    <w:rPr>
                      <w:rFonts w:hint="default" w:ascii="Times New Roman" w:hAnsi="Times New Roman" w:eastAsia="宋体" w:cs="Times New Roman"/>
                      <w:color w:val="auto"/>
                      <w:sz w:val="21"/>
                      <w:szCs w:val="21"/>
                      <w:vertAlign w:val="baseline"/>
                      <w:lang w:val="en-US" w:eastAsia="zh-CN"/>
                    </w:rPr>
                    <w:t>项目，当勘探井不具有开发价值时，采取永久封井，对井场临时占地以及进场道路恢复原状；当勘探井具有开发价值时，采取临时封井，除预留转成生产井所需的面积外，保留临时拓宽道路，其他区域恢复原有植被和生态景观，使区域生态景观和谐一致</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44628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A61C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A4EC405">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28EC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99C5C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涉及废水回注的油气开采项目，应当论证回注的环境可行性，不得回注与油气开采无关的废水</w:t>
                  </w:r>
                </w:p>
              </w:tc>
              <w:tc>
                <w:tcPr>
                  <w:tcW w:w="1182" w:type="pct"/>
                  <w:vAlign w:val="center"/>
                </w:tcPr>
                <w:p w14:paraId="2A92DA8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本项目为天然气勘探项目，不涉及废水回注</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0CB74C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8B0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7E11CFB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6</w:t>
                  </w:r>
                </w:p>
              </w:tc>
              <w:tc>
                <w:tcPr>
                  <w:tcW w:w="1577" w:type="pct"/>
                  <w:vAlign w:val="center"/>
                </w:tcPr>
                <w:p w14:paraId="782D91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《陕西省加强陕北地区环境保护的若干意见》</w:t>
                  </w:r>
                </w:p>
              </w:tc>
              <w:tc>
                <w:tcPr>
                  <w:tcW w:w="1637" w:type="pct"/>
                  <w:vAlign w:val="center"/>
                </w:tcPr>
                <w:p w14:paraId="3D2EF4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城市规划区、生态防护区、试验区、自然保护区内不得开采煤、气、油、盐；城市饮用水水源一、二级保护区、革命圣地遗址、风景名胜区等具有特殊保护价值的地区，不得新建各类有污染的项目</w:t>
                  </w:r>
                </w:p>
              </w:tc>
              <w:tc>
                <w:tcPr>
                  <w:tcW w:w="1182" w:type="pct"/>
                  <w:vAlign w:val="center"/>
                </w:tcPr>
                <w:p w14:paraId="4A54A85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项目建设内容不在城市规划区、生态防护区、试验区、自然保护区、一二级水源保护区内、革命圣地遗址、风景名胜区等具有特殊保护价值的地区内</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51494D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FD3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73E807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7</w:t>
                  </w:r>
                </w:p>
              </w:tc>
              <w:tc>
                <w:tcPr>
                  <w:tcW w:w="1577" w:type="pct"/>
                  <w:vAlign w:val="center"/>
                </w:tcPr>
                <w:p w14:paraId="3A6036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《陕西省防沙治沙规划（2021-2030年）》</w:t>
                  </w:r>
                </w:p>
              </w:tc>
              <w:tc>
                <w:tcPr>
                  <w:tcW w:w="1637" w:type="pct"/>
                  <w:shd w:val="clear" w:color="auto" w:fill="auto"/>
                  <w:vAlign w:val="center"/>
                </w:tcPr>
                <w:p w14:paraId="67301D72">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（四）黄土(丘陵)覆沙治理区</w:t>
                  </w:r>
                </w:p>
                <w:p w14:paraId="0A15B6B5">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区地处长城沿线毛乌素沙地治理区东南，包括榆阳、横山、神木、府谷、佳县5个县(市、区)46个乡镇，总面积920091.25公顷，占规划总面积的25.02%，其中沙化土地面积57931.05公顷。本区为沙地与黄土梁峁的过渡带，沟壑纵横深切，梁涧兼存，尤其是黄河沿线石质山区地势陡峭，侵蚀模数大;该区气候干燥，有效降水少，植被覆盖率低，水蚀、风蚀荒漠化并存。</w:t>
                  </w:r>
                </w:p>
                <w:p w14:paraId="66E8565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主攻方向</w:t>
                  </w:r>
                  <w:r>
                    <w:rPr>
                      <w:rFonts w:hint="eastAsia" w:ascii="Times New Roman" w:hAnsi="Times New Roman" w:eastAsia="宋体"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保持水土，防治土地荒漠化和沙化。加强困难立地造林和飞播造林技术研究示范。重点营造防风固沙林和水土保持林，发展兼有生态经济功用的树种，加大经济林提质增效力度。环城市矿区、乡镇、村庄营造景观防护林，农田、河道营造农田防护林、护岸林，加快绿化速度，提高植被覆盖度</w:t>
                  </w:r>
                  <w:r>
                    <w:rPr>
                      <w:rFonts w:hint="eastAsia" w:ascii="Times New Roman" w:hAnsi="Times New Roman" w:eastAsia="宋体" w:cs="Times New Roman"/>
                      <w:color w:val="auto"/>
                      <w:kern w:val="0"/>
                      <w:sz w:val="21"/>
                      <w:szCs w:val="21"/>
                      <w:lang w:val="en-US" w:eastAsia="zh-CN" w:bidi="ar"/>
                    </w:rPr>
                    <w:t>。</w:t>
                  </w:r>
                </w:p>
              </w:tc>
              <w:tc>
                <w:tcPr>
                  <w:tcW w:w="1182" w:type="pct"/>
                  <w:shd w:val="clear" w:color="auto" w:fill="auto"/>
                  <w:vAlign w:val="center"/>
                </w:tcPr>
                <w:p w14:paraId="2D22F37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本项目位于佳县。根据陕西省防沙治沙规划（2021-2030年）附表5，本项目位于黄土（丘陵）覆沙治理区，不涉及沙化土地封禁保区。本报告已提出保持水土、防治土地荒漠化及土地沙化的防治措施。</w:t>
                  </w:r>
                </w:p>
              </w:tc>
              <w:tc>
                <w:tcPr>
                  <w:tcW w:w="301" w:type="pct"/>
                  <w:vAlign w:val="center"/>
                </w:tcPr>
                <w:p w14:paraId="49CD78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BBD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25B2C4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8</w:t>
                  </w:r>
                </w:p>
              </w:tc>
              <w:tc>
                <w:tcPr>
                  <w:tcW w:w="1577" w:type="pct"/>
                  <w:vAlign w:val="center"/>
                </w:tcPr>
                <w:p w14:paraId="6054E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《陕西省固体废物污染防治专项整治行动方案》</w:t>
                  </w:r>
                </w:p>
              </w:tc>
              <w:tc>
                <w:tcPr>
                  <w:tcW w:w="1637" w:type="pct"/>
                  <w:vAlign w:val="center"/>
                </w:tcPr>
                <w:p w14:paraId="75C452B0">
                  <w:pPr>
                    <w:keepNext w:val="0"/>
                    <w:keepLines w:val="0"/>
                    <w:pageBreakBefore w:val="0"/>
                    <w:widowControl/>
                    <w:suppressLineNumbers w:val="0"/>
                    <w:kinsoku/>
                    <w:wordWrap/>
                    <w:overflowPunct/>
                    <w:topLinePunct w:val="0"/>
                    <w:autoSpaceDE/>
                    <w:autoSpaceDN/>
                    <w:bidi w:val="0"/>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落实产废企业污染防治主体责任。固体废物产生企业要对固体废物处置全过程负责，细化管理台账、落实申报登记制度，如实申报固体废物利用处置最终去向，实行申报登记信息承诺制，向社会公开固体废物产生种类、数量、利用、处置情况及承诺书等信息，接受社会监督</w:t>
                  </w:r>
                </w:p>
              </w:tc>
              <w:tc>
                <w:tcPr>
                  <w:tcW w:w="1182" w:type="pct"/>
                  <w:vAlign w:val="center"/>
                </w:tcPr>
                <w:p w14:paraId="535D396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项目产生的废弃岩屑、泥饼运输过程实施全程GPS定位及监控，严禁运输过程中随意掩埋、抛洒废弃钻井岩屑、泥饼。</w:t>
                  </w:r>
                  <w:r>
                    <w:rPr>
                      <w:rFonts w:hint="eastAsia" w:ascii="Times New Roman" w:hAnsi="Times New Roman" w:eastAsia="宋体" w:cs="Times New Roman"/>
                      <w:color w:val="auto"/>
                      <w:sz w:val="21"/>
                      <w:szCs w:val="21"/>
                      <w:vertAlign w:val="baseline"/>
                      <w:lang w:val="en-US" w:eastAsia="zh-CN"/>
                    </w:rPr>
                    <w:t>陕西德禾鑫盛环保科技有限公司</w:t>
                  </w:r>
                  <w:r>
                    <w:rPr>
                      <w:rFonts w:hint="default" w:ascii="Times New Roman" w:hAnsi="Times New Roman" w:eastAsia="宋体" w:cs="Times New Roman"/>
                      <w:color w:val="auto"/>
                      <w:sz w:val="21"/>
                      <w:szCs w:val="21"/>
                      <w:vertAlign w:val="baseline"/>
                      <w:lang w:val="en-US" w:eastAsia="zh-CN"/>
                    </w:rPr>
                    <w:t>负责废弃泥饼、岩屑从产生地至合法处置场之间的运输以及运输过程中的污染防治，并应按照规定向榆林市生态环境局佳县分局提供废物的产生量、实际流向和处置等有关资料。</w:t>
                  </w:r>
                </w:p>
              </w:tc>
              <w:tc>
                <w:tcPr>
                  <w:tcW w:w="301" w:type="pct"/>
                  <w:vAlign w:val="center"/>
                </w:tcPr>
                <w:p w14:paraId="07C254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7F7B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4F90B1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9</w:t>
                  </w:r>
                </w:p>
              </w:tc>
              <w:tc>
                <w:tcPr>
                  <w:tcW w:w="1577" w:type="pct"/>
                  <w:vAlign w:val="center"/>
                </w:tcPr>
                <w:p w14:paraId="2D20B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《榆林市油田开采废弃物不落地集中处置推广项目建设管理指南（试行）的通知》</w:t>
                  </w:r>
                </w:p>
              </w:tc>
              <w:tc>
                <w:tcPr>
                  <w:tcW w:w="1637" w:type="pct"/>
                  <w:vAlign w:val="center"/>
                </w:tcPr>
                <w:p w14:paraId="57614FA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油气钻井现场配备移动式泥浆罐（槽）、振动筛、废弃泥浆混凝压滤机等预处理设备，泥渣、岩屑堆放场完成底部防渗处理，设置50公分防水围堰及堆场遮盖防雨设施。废弃泥浆岩屑经破乳、混凝、压滤后，含水率不高于50%，固相、液相废弃物在井场完井后10天内必须运往推广区域集中处置场所。废弃泥浆上清液、压裂返排液、渗滤收集液统一收集，送联合站、试点项目或集中处置站处理后回用于配制钻井液或压裂液，剩余部分由回注井实施同层达标回注</w:t>
                  </w:r>
                </w:p>
              </w:tc>
              <w:tc>
                <w:tcPr>
                  <w:tcW w:w="1182" w:type="pct"/>
                  <w:vAlign w:val="center"/>
                </w:tcPr>
                <w:p w14:paraId="24EF77C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每个</w:t>
                  </w:r>
                  <w:r>
                    <w:rPr>
                      <w:rFonts w:hint="default" w:ascii="Times New Roman" w:hAnsi="Times New Roman" w:eastAsia="宋体" w:cs="Times New Roman"/>
                      <w:color w:val="auto"/>
                      <w:sz w:val="21"/>
                      <w:szCs w:val="21"/>
                      <w:vertAlign w:val="baseline"/>
                      <w:lang w:val="en-US" w:eastAsia="zh-CN"/>
                    </w:rPr>
                    <w:t>气井</w:t>
                  </w:r>
                  <w:r>
                    <w:rPr>
                      <w:rFonts w:hint="eastAsia" w:ascii="Times New Roman" w:hAnsi="Times New Roman" w:eastAsia="宋体" w:cs="Times New Roman"/>
                      <w:color w:val="auto"/>
                      <w:sz w:val="21"/>
                      <w:szCs w:val="21"/>
                      <w:vertAlign w:val="baseline"/>
                      <w:lang w:val="en-US" w:eastAsia="zh-CN"/>
                    </w:rPr>
                    <w:t>钻井</w:t>
                  </w:r>
                  <w:r>
                    <w:rPr>
                      <w:rFonts w:hint="default" w:ascii="Times New Roman" w:hAnsi="Times New Roman" w:eastAsia="宋体" w:cs="Times New Roman"/>
                      <w:color w:val="auto"/>
                      <w:sz w:val="21"/>
                      <w:szCs w:val="21"/>
                      <w:vertAlign w:val="baseline"/>
                      <w:lang w:val="en-US" w:eastAsia="zh-CN"/>
                    </w:rPr>
                    <w:t>现场设置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个100m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移动式泥饼和岩屑收集罐，收集罐底部进行防渗处理并设置围堰。</w:t>
                  </w:r>
                  <w:r>
                    <w:rPr>
                      <w:rFonts w:hint="default" w:ascii="Times New Roman" w:hAnsi="Times New Roman" w:eastAsia="宋体" w:cs="Times New Roman"/>
                      <w:color w:val="auto"/>
                      <w:kern w:val="0"/>
                      <w:sz w:val="21"/>
                      <w:szCs w:val="21"/>
                      <w:lang w:val="en-US" w:eastAsia="zh-CN" w:bidi="ar"/>
                    </w:rPr>
                    <w:t>压裂返排液、钻井废水等</w:t>
                  </w:r>
                  <w:r>
                    <w:rPr>
                      <w:rFonts w:hint="eastAsia" w:ascii="Times New Roman" w:hAnsi="Times New Roman" w:eastAsia="宋体" w:cs="Times New Roman"/>
                      <w:color w:val="auto"/>
                      <w:kern w:val="0"/>
                      <w:sz w:val="21"/>
                      <w:szCs w:val="21"/>
                      <w:lang w:val="en-US" w:eastAsia="zh-CN" w:bidi="ar"/>
                    </w:rPr>
                    <w:t>交</w:t>
                  </w:r>
                  <w:r>
                    <w:rPr>
                      <w:rFonts w:hint="eastAsia" w:ascii="Times New Roman" w:hAnsi="Times New Roman" w:eastAsia="宋体" w:cs="Times New Roman"/>
                      <w:color w:val="auto"/>
                      <w:sz w:val="21"/>
                      <w:szCs w:val="21"/>
                      <w:vertAlign w:val="baseline"/>
                      <w:lang w:val="en-US" w:eastAsia="zh-CN"/>
                    </w:rPr>
                    <w:t>陕西榆佳环保科技有限公司处置</w:t>
                  </w:r>
                  <w:r>
                    <w:rPr>
                      <w:rFonts w:hint="eastAsia" w:ascii="Times New Roman" w:hAnsi="Times New Roman" w:eastAsia="宋体" w:cs="Times New Roman"/>
                      <w:color w:val="auto"/>
                      <w:kern w:val="0"/>
                      <w:sz w:val="21"/>
                      <w:szCs w:val="21"/>
                      <w:lang w:val="en-US" w:eastAsia="zh-CN" w:bidi="ar"/>
                    </w:rPr>
                    <w:t>。</w:t>
                  </w:r>
                </w:p>
              </w:tc>
              <w:tc>
                <w:tcPr>
                  <w:tcW w:w="301" w:type="pct"/>
                  <w:vAlign w:val="center"/>
                </w:tcPr>
                <w:p w14:paraId="56A49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5ED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Align w:val="center"/>
                </w:tcPr>
                <w:p w14:paraId="4FEBC1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10</w:t>
                  </w:r>
                </w:p>
              </w:tc>
              <w:tc>
                <w:tcPr>
                  <w:tcW w:w="1577" w:type="pct"/>
                  <w:vAlign w:val="center"/>
                </w:tcPr>
                <w:p w14:paraId="757F5B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《榆林市油（气）开采废弃物处置环保暂行管理办法》</w:t>
                  </w:r>
                </w:p>
              </w:tc>
              <w:tc>
                <w:tcPr>
                  <w:tcW w:w="1637" w:type="pct"/>
                  <w:vAlign w:val="center"/>
                </w:tcPr>
                <w:p w14:paraId="2BEAD5E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要在钻井前配备废弃钻井泥浆岩屑地上移动式收集设施，对钻井过程中废弃钻井泥浆岩屑进行不落地收集，收集设施不得混合收集其它废弃物；废弃钻井泥浆岩屑需在油（气）井完井后3天内，由防渗漏、防抛洒、防扬尘的运输车辆统一运送至油（气）开采废弃物集中处置场所处置</w:t>
                  </w:r>
                </w:p>
              </w:tc>
              <w:tc>
                <w:tcPr>
                  <w:tcW w:w="1182" w:type="pct"/>
                  <w:vAlign w:val="center"/>
                </w:tcPr>
                <w:p w14:paraId="1D2022F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每个气井现场均</w:t>
                  </w:r>
                  <w:r>
                    <w:rPr>
                      <w:rFonts w:hint="default" w:ascii="Times New Roman" w:hAnsi="Times New Roman" w:eastAsia="宋体" w:cs="Times New Roman"/>
                      <w:color w:val="auto"/>
                      <w:sz w:val="21"/>
                      <w:szCs w:val="21"/>
                      <w:vertAlign w:val="baseline"/>
                      <w:lang w:val="en-US" w:eastAsia="zh-CN"/>
                    </w:rPr>
                    <w:t>设置</w:t>
                  </w:r>
                  <w:r>
                    <w:rPr>
                      <w:rFonts w:hint="eastAsia" w:ascii="Times New Roman" w:hAnsi="Times New Roman" w:eastAsia="宋体"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100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移动式泥饼和岩屑收集罐，</w:t>
                  </w:r>
                  <w:r>
                    <w:rPr>
                      <w:rFonts w:hint="eastAsia" w:ascii="Times New Roman" w:hAnsi="Times New Roman" w:eastAsia="宋体" w:cs="Times New Roman"/>
                      <w:b w:val="0"/>
                      <w:bCs w:val="0"/>
                      <w:color w:val="auto"/>
                      <w:sz w:val="21"/>
                      <w:szCs w:val="21"/>
                      <w:vertAlign w:val="baseline"/>
                      <w:lang w:val="en-US" w:eastAsia="zh-CN"/>
                    </w:rPr>
                    <w:t>定期由</w:t>
                  </w:r>
                  <w:r>
                    <w:rPr>
                      <w:rFonts w:hint="eastAsia" w:ascii="Times New Roman" w:hAnsi="Times New Roman" w:eastAsia="宋体" w:cs="Times New Roman"/>
                      <w:color w:val="auto"/>
                      <w:sz w:val="21"/>
                      <w:szCs w:val="21"/>
                      <w:vertAlign w:val="baseline"/>
                      <w:lang w:val="en-US" w:eastAsia="zh-CN"/>
                    </w:rPr>
                    <w:t>陕西德禾鑫盛环保科技有限公司拉运处置</w:t>
                  </w:r>
                  <w:r>
                    <w:rPr>
                      <w:rFonts w:hint="eastAsia" w:ascii="Times New Roman" w:hAnsi="Times New Roman" w:eastAsia="宋体" w:cs="Times New Roman"/>
                      <w:b w:val="0"/>
                      <w:bCs w:val="0"/>
                      <w:color w:val="auto"/>
                      <w:sz w:val="21"/>
                      <w:szCs w:val="21"/>
                      <w:vertAlign w:val="baseline"/>
                      <w:lang w:val="en-US" w:eastAsia="zh-CN"/>
                    </w:rPr>
                    <w:t>。</w:t>
                  </w:r>
                </w:p>
              </w:tc>
              <w:tc>
                <w:tcPr>
                  <w:tcW w:w="301" w:type="pct"/>
                  <w:vAlign w:val="center"/>
                </w:tcPr>
                <w:p w14:paraId="48C244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2F4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2179F0E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1</w:t>
                  </w:r>
                </w:p>
              </w:tc>
              <w:tc>
                <w:tcPr>
                  <w:tcW w:w="1577" w:type="pct"/>
                  <w:vMerge w:val="restart"/>
                  <w:vAlign w:val="center"/>
                </w:tcPr>
                <w:p w14:paraId="0615EF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《陆上石油天然气开采钻井废物处置污染控制技术要求》</w:t>
                  </w:r>
                </w:p>
              </w:tc>
              <w:tc>
                <w:tcPr>
                  <w:tcW w:w="1637" w:type="pct"/>
                  <w:vAlign w:val="center"/>
                </w:tcPr>
                <w:p w14:paraId="59E74A3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钻井废物的收集、贮存、利用、处置，以及处钻井废物处置工程的选址、设计、施工、验收和运行应符合国家和地方固体废物污染防治法律法规与标准要求</w:t>
                  </w:r>
                </w:p>
              </w:tc>
              <w:tc>
                <w:tcPr>
                  <w:tcW w:w="1182" w:type="pct"/>
                  <w:vAlign w:val="center"/>
                </w:tcPr>
                <w:p w14:paraId="1A0EF8F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本项目属于</w:t>
                  </w:r>
                  <w:r>
                    <w:rPr>
                      <w:rFonts w:hint="eastAsia" w:ascii="Times New Roman" w:hAnsi="Times New Roman" w:eastAsia="宋体" w:cs="Times New Roman"/>
                      <w:color w:val="auto"/>
                      <w:sz w:val="21"/>
                      <w:szCs w:val="21"/>
                      <w:vertAlign w:val="baseline"/>
                      <w:lang w:val="en-US" w:eastAsia="zh-CN"/>
                    </w:rPr>
                    <w:t>天然气评价井</w:t>
                  </w:r>
                  <w:r>
                    <w:rPr>
                      <w:rFonts w:hint="default" w:ascii="Times New Roman" w:hAnsi="Times New Roman" w:eastAsia="宋体" w:cs="Times New Roman"/>
                      <w:color w:val="auto"/>
                      <w:sz w:val="21"/>
                      <w:szCs w:val="21"/>
                      <w:vertAlign w:val="baseline"/>
                      <w:lang w:val="en-US" w:eastAsia="zh-CN"/>
                    </w:rPr>
                    <w:t>探井项目，仅涉及施工期，钻井产生的污染物均有妥善处置去向，不会对周边环境产生不良影响。项目钻井废水、洗井废水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p>
              </w:tc>
              <w:tc>
                <w:tcPr>
                  <w:tcW w:w="301" w:type="pct"/>
                  <w:vAlign w:val="center"/>
                </w:tcPr>
                <w:p w14:paraId="64DF31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5B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CEABD3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4C6F25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C3C05F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钻井废水处置过程中使用环境友好的原材料与添加剂</w:t>
                  </w:r>
                </w:p>
              </w:tc>
              <w:tc>
                <w:tcPr>
                  <w:tcW w:w="1182" w:type="pct"/>
                  <w:vAlign w:val="center"/>
                </w:tcPr>
                <w:p w14:paraId="1DCBC1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本项目气探井长庆油田分公司开发范围内，探井结束后，具备开采价值交由长庆油田分公司</w:t>
                  </w:r>
                  <w:r>
                    <w:rPr>
                      <w:rFonts w:hint="eastAsia" w:ascii="Times New Roman" w:hAnsi="Times New Roman" w:eastAsia="宋体" w:cs="Times New Roman"/>
                      <w:color w:val="auto"/>
                      <w:sz w:val="21"/>
                      <w:szCs w:val="21"/>
                      <w:highlight w:val="none"/>
                      <w:vertAlign w:val="baseline"/>
                      <w:lang w:val="en-US" w:eastAsia="zh-CN"/>
                    </w:rPr>
                    <w:t>第二采气厂</w:t>
                  </w:r>
                  <w:r>
                    <w:rPr>
                      <w:rFonts w:hint="default" w:ascii="Times New Roman" w:hAnsi="Times New Roman" w:eastAsia="宋体" w:cs="Times New Roman"/>
                      <w:color w:val="auto"/>
                      <w:sz w:val="21"/>
                      <w:szCs w:val="21"/>
                      <w:highlight w:val="none"/>
                      <w:vertAlign w:val="baseline"/>
                      <w:lang w:val="en-US" w:eastAsia="zh-CN"/>
                    </w:rPr>
                    <w:t>进行</w:t>
                  </w:r>
                  <w:r>
                    <w:rPr>
                      <w:rFonts w:hint="eastAsia" w:ascii="Times New Roman" w:hAnsi="Times New Roman" w:eastAsia="宋体" w:cs="Times New Roman"/>
                      <w:color w:val="auto"/>
                      <w:sz w:val="21"/>
                      <w:szCs w:val="21"/>
                      <w:highlight w:val="none"/>
                      <w:vertAlign w:val="baseline"/>
                      <w:lang w:val="en-US" w:eastAsia="zh-CN"/>
                    </w:rPr>
                    <w:t>评价井</w:t>
                  </w:r>
                  <w:r>
                    <w:rPr>
                      <w:rFonts w:hint="default" w:ascii="Times New Roman" w:hAnsi="Times New Roman" w:eastAsia="宋体" w:cs="Times New Roman"/>
                      <w:color w:val="auto"/>
                      <w:sz w:val="21"/>
                      <w:szCs w:val="21"/>
                      <w:highlight w:val="none"/>
                      <w:vertAlign w:val="baseline"/>
                      <w:lang w:val="en-US" w:eastAsia="zh-CN"/>
                    </w:rPr>
                    <w:t>的开发</w:t>
                  </w:r>
                  <w:r>
                    <w:rPr>
                      <w:rFonts w:hint="eastAsia" w:ascii="Times New Roman" w:hAnsi="Times New Roman" w:eastAsia="宋体" w:cs="Times New Roman"/>
                      <w:color w:val="auto"/>
                      <w:sz w:val="21"/>
                      <w:szCs w:val="21"/>
                      <w:highlight w:val="none"/>
                      <w:vertAlign w:val="baseline"/>
                      <w:lang w:val="en-US" w:eastAsia="zh-CN"/>
                    </w:rPr>
                    <w:t>维护</w:t>
                  </w:r>
                  <w:r>
                    <w:rPr>
                      <w:rFonts w:hint="default" w:ascii="Times New Roman" w:hAnsi="Times New Roman" w:eastAsia="宋体" w:cs="Times New Roman"/>
                      <w:color w:val="auto"/>
                      <w:sz w:val="21"/>
                      <w:szCs w:val="21"/>
                      <w:highlight w:val="none"/>
                      <w:vertAlign w:val="baseline"/>
                      <w:lang w:val="en-US" w:eastAsia="zh-CN"/>
                    </w:rPr>
                    <w:t>，废弃泥浆、钻井岩屑交由</w:t>
                  </w:r>
                  <w:r>
                    <w:rPr>
                      <w:rFonts w:hint="eastAsia"/>
                      <w:color w:val="auto"/>
                      <w:sz w:val="21"/>
                      <w:szCs w:val="21"/>
                      <w:highlight w:val="none"/>
                      <w:lang w:val="en-US" w:eastAsia="zh-CN"/>
                    </w:rPr>
                    <w:t>陕西德禾鑫盛环保科技有限公司外运处理</w:t>
                  </w:r>
                  <w:r>
                    <w:rPr>
                      <w:rFonts w:hint="eastAsia" w:ascii="Times New Roman" w:hAnsi="Times New Roman" w:eastAsia="宋体" w:cs="Times New Roman"/>
                      <w:color w:val="auto"/>
                      <w:sz w:val="21"/>
                      <w:szCs w:val="21"/>
                      <w:highlight w:val="none"/>
                      <w:vertAlign w:val="baseline"/>
                      <w:lang w:val="en-US" w:eastAsia="zh-CN"/>
                    </w:rPr>
                    <w:t>。</w:t>
                  </w:r>
                </w:p>
              </w:tc>
              <w:tc>
                <w:tcPr>
                  <w:tcW w:w="301" w:type="pct"/>
                  <w:vAlign w:val="center"/>
                </w:tcPr>
                <w:p w14:paraId="1619F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736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97C46AD">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4160F2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2068958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对水基钻井液体系钻井废物宜实施固液分离处置，优先考虑钻井液回收</w:t>
                  </w:r>
                </w:p>
              </w:tc>
              <w:tc>
                <w:tcPr>
                  <w:tcW w:w="1182" w:type="pct"/>
                  <w:vMerge w:val="restart"/>
                  <w:vAlign w:val="center"/>
                </w:tcPr>
                <w:p w14:paraId="76B76D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项目钻井废水、洗井废水</w:t>
                  </w:r>
                  <w:r>
                    <w:rPr>
                      <w:rFonts w:hint="eastAsia" w:ascii="Times New Roman" w:hAnsi="Times New Roman" w:eastAsia="宋体" w:cs="Times New Roman"/>
                      <w:color w:val="auto"/>
                      <w:sz w:val="21"/>
                      <w:szCs w:val="21"/>
                      <w:vertAlign w:val="baseline"/>
                      <w:lang w:val="en-US" w:eastAsia="zh-CN"/>
                    </w:rPr>
                    <w:t>委托</w:t>
                  </w:r>
                  <w:r>
                    <w:rPr>
                      <w:rFonts w:hint="eastAsia"/>
                      <w:color w:val="auto"/>
                      <w:sz w:val="21"/>
                      <w:szCs w:val="21"/>
                      <w:lang w:val="en-US" w:eastAsia="zh-CN"/>
                    </w:rPr>
                    <w:t>陕西榆佳环保科技有限公司外运处理</w:t>
                  </w:r>
                  <w:r>
                    <w:rPr>
                      <w:rFonts w:hint="eastAsia" w:ascii="Times New Roman" w:hAnsi="Times New Roman" w:eastAsia="宋体" w:cs="Times New Roman"/>
                      <w:color w:val="auto"/>
                      <w:sz w:val="21"/>
                      <w:szCs w:val="21"/>
                      <w:vertAlign w:val="baseline"/>
                      <w:lang w:val="en-US" w:eastAsia="zh-CN"/>
                    </w:rPr>
                    <w:t>；已签订</w:t>
                  </w:r>
                  <w:r>
                    <w:rPr>
                      <w:rFonts w:hint="default" w:ascii="Times New Roman" w:hAnsi="Times New Roman" w:eastAsia="宋体" w:cs="Times New Roman"/>
                      <w:color w:val="auto"/>
                      <w:sz w:val="21"/>
                      <w:szCs w:val="21"/>
                      <w:vertAlign w:val="baseline"/>
                      <w:lang w:val="en-US" w:eastAsia="zh-CN"/>
                    </w:rPr>
                    <w:t>压裂返排液裂液</w:t>
                  </w:r>
                  <w:r>
                    <w:rPr>
                      <w:rFonts w:hint="eastAsia" w:ascii="Times New Roman" w:hAnsi="Times New Roman" w:eastAsia="宋体" w:cs="Times New Roman"/>
                      <w:color w:val="auto"/>
                      <w:sz w:val="21"/>
                      <w:szCs w:val="21"/>
                      <w:vertAlign w:val="baseline"/>
                      <w:lang w:val="en-US" w:eastAsia="zh-CN"/>
                    </w:rPr>
                    <w:t>处置合同，钻井过程产生的各类废物均能够得到合理处置</w:t>
                  </w:r>
                  <w:r>
                    <w:rPr>
                      <w:rFonts w:hint="default" w:ascii="Times New Roman" w:hAnsi="Times New Roman" w:eastAsia="宋体" w:cs="Times New Roman"/>
                      <w:color w:val="auto"/>
                      <w:sz w:val="21"/>
                      <w:szCs w:val="21"/>
                      <w:vertAlign w:val="baseline"/>
                      <w:lang w:val="en-US" w:eastAsia="zh-CN"/>
                    </w:rPr>
                    <w:t>，对周边环境影响较小</w:t>
                  </w:r>
                </w:p>
              </w:tc>
              <w:tc>
                <w:tcPr>
                  <w:tcW w:w="301" w:type="pct"/>
                  <w:vAlign w:val="center"/>
                </w:tcPr>
                <w:p w14:paraId="6B5FF6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1FB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1F16BD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54B1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0F4A145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处置过程保护场地周边地表水，地下水、土壤、空气、植被以及野生动植物栖息环境，避免造成环境污染和生态破坏；对钻井废弃物宜采取现场不落地收集措施</w:t>
                  </w:r>
                </w:p>
              </w:tc>
              <w:tc>
                <w:tcPr>
                  <w:tcW w:w="1182" w:type="pct"/>
                  <w:vMerge w:val="continue"/>
                  <w:vAlign w:val="center"/>
                </w:tcPr>
                <w:p w14:paraId="273613B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301" w:type="pct"/>
                  <w:vAlign w:val="center"/>
                </w:tcPr>
                <w:p w14:paraId="7ADD88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1BA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2A8FA73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2</w:t>
                  </w:r>
                </w:p>
              </w:tc>
              <w:tc>
                <w:tcPr>
                  <w:tcW w:w="1577" w:type="pct"/>
                  <w:vMerge w:val="restart"/>
                  <w:vAlign w:val="center"/>
                </w:tcPr>
                <w:p w14:paraId="73B325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《石油天然气钻井井控技术规范》（GB/T31-33-2014）</w:t>
                  </w:r>
                </w:p>
              </w:tc>
              <w:tc>
                <w:tcPr>
                  <w:tcW w:w="1637" w:type="pct"/>
                  <w:vAlign w:val="center"/>
                </w:tcPr>
                <w:p w14:paraId="59E0889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油气井井口距高压线及其他永久性设施不小于</w:t>
                  </w:r>
                  <w:r>
                    <w:rPr>
                      <w:rFonts w:hint="default" w:ascii="Times New Roman" w:hAnsi="Times New Roman" w:eastAsia="宋体" w:cs="Times New Roman"/>
                      <w:color w:val="auto"/>
                      <w:kern w:val="0"/>
                      <w:sz w:val="21"/>
                      <w:szCs w:val="21"/>
                      <w:lang w:val="en-US" w:eastAsia="zh-CN" w:bidi="ar"/>
                    </w:rPr>
                    <w:t>75m</w:t>
                  </w:r>
                  <w:r>
                    <w:rPr>
                      <w:rFonts w:hint="eastAsia" w:ascii="Times New Roman" w:hAnsi="Times New Roman" w:eastAsia="宋体" w:cs="Times New Roman"/>
                      <w:color w:val="auto"/>
                      <w:kern w:val="0"/>
                      <w:sz w:val="21"/>
                      <w:szCs w:val="21"/>
                      <w:lang w:val="en-US" w:eastAsia="zh-CN" w:bidi="ar"/>
                    </w:rPr>
                    <w:t>；距民宅不小于</w:t>
                  </w:r>
                  <w:r>
                    <w:rPr>
                      <w:rFonts w:hint="default" w:ascii="Times New Roman" w:hAnsi="Times New Roman" w:eastAsia="宋体" w:cs="Times New Roman"/>
                      <w:color w:val="auto"/>
                      <w:kern w:val="0"/>
                      <w:sz w:val="21"/>
                      <w:szCs w:val="21"/>
                      <w:lang w:val="en-US" w:eastAsia="zh-CN" w:bidi="ar"/>
                    </w:rPr>
                    <w:t>100m</w:t>
                  </w:r>
                  <w:r>
                    <w:rPr>
                      <w:rFonts w:hint="eastAsia" w:ascii="Times New Roman" w:hAnsi="Times New Roman" w:eastAsia="宋体" w:cs="Times New Roman"/>
                      <w:color w:val="auto"/>
                      <w:kern w:val="0"/>
                      <w:sz w:val="21"/>
                      <w:szCs w:val="21"/>
                      <w:lang w:val="en-US" w:eastAsia="zh-CN" w:bidi="ar"/>
                    </w:rPr>
                    <w:t>；距铁路及高速公路不小于</w:t>
                  </w:r>
                  <w:r>
                    <w:rPr>
                      <w:rFonts w:hint="default" w:ascii="Times New Roman" w:hAnsi="Times New Roman" w:eastAsia="宋体" w:cs="Times New Roman"/>
                      <w:color w:val="auto"/>
                      <w:kern w:val="0"/>
                      <w:sz w:val="21"/>
                      <w:szCs w:val="21"/>
                      <w:lang w:val="en-US" w:eastAsia="zh-CN" w:bidi="ar"/>
                    </w:rPr>
                    <w:t>200m</w:t>
                  </w:r>
                  <w:r>
                    <w:rPr>
                      <w:rFonts w:hint="eastAsia" w:ascii="Times New Roman" w:hAnsi="Times New Roman" w:eastAsia="宋体" w:cs="Times New Roman"/>
                      <w:color w:val="auto"/>
                      <w:kern w:val="0"/>
                      <w:sz w:val="21"/>
                      <w:szCs w:val="21"/>
                      <w:lang w:val="en-US" w:eastAsia="zh-CN" w:bidi="ar"/>
                    </w:rPr>
                    <w:t>；距学校、医院、油库、人口密集及高危场所等不小于</w:t>
                  </w:r>
                  <w:r>
                    <w:rPr>
                      <w:rFonts w:hint="default" w:ascii="Times New Roman" w:hAnsi="Times New Roman" w:eastAsia="宋体" w:cs="Times New Roman"/>
                      <w:color w:val="auto"/>
                      <w:kern w:val="0"/>
                      <w:sz w:val="21"/>
                      <w:szCs w:val="21"/>
                      <w:lang w:val="en-US" w:eastAsia="zh-CN" w:bidi="ar"/>
                    </w:rPr>
                    <w:t>500m</w:t>
                  </w:r>
                </w:p>
              </w:tc>
              <w:tc>
                <w:tcPr>
                  <w:tcW w:w="1182" w:type="pct"/>
                  <w:vAlign w:val="center"/>
                </w:tcPr>
                <w:p w14:paraId="78F318C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本项目评价井拟建地附近75m内无高压线及其他永久性设施、100m内无民宅、200m内无铁路及高速公路、500m内无学校、医院、油库、人口密集及高危场所等。</w:t>
                  </w:r>
                </w:p>
              </w:tc>
              <w:tc>
                <w:tcPr>
                  <w:tcW w:w="301" w:type="pct"/>
                  <w:vAlign w:val="center"/>
                </w:tcPr>
                <w:p w14:paraId="444EB8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7B3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B12C97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2FDF5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5739F1E2">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油气井之间的井口间距不小于2m；高压油气井，高含硫油气井井口距其他井口之间的距离大于钻进本井所用钻机的钻台长度，且不小于8m</w:t>
                  </w:r>
                </w:p>
              </w:tc>
              <w:tc>
                <w:tcPr>
                  <w:tcW w:w="1182" w:type="pct"/>
                  <w:vAlign w:val="center"/>
                </w:tcPr>
                <w:p w14:paraId="46F698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项目仅新建3口天然气评价井，相聚最近的两口井井口之间相距3.47km。</w:t>
                  </w:r>
                </w:p>
              </w:tc>
              <w:tc>
                <w:tcPr>
                  <w:tcW w:w="301" w:type="pct"/>
                  <w:vAlign w:val="center"/>
                </w:tcPr>
                <w:p w14:paraId="0F9F1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93A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13586022">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6FF0F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A606FC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井筒与地下矿产采掘坑道、矿井通道之间的距离不小于100m</w:t>
                  </w:r>
                </w:p>
              </w:tc>
              <w:tc>
                <w:tcPr>
                  <w:tcW w:w="1182" w:type="pct"/>
                  <w:vAlign w:val="center"/>
                </w:tcPr>
                <w:p w14:paraId="4C9C71B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本项目附近无地下矿产采掘坑道。</w:t>
                  </w:r>
                </w:p>
              </w:tc>
              <w:tc>
                <w:tcPr>
                  <w:tcW w:w="301" w:type="pct"/>
                  <w:vAlign w:val="center"/>
                </w:tcPr>
                <w:p w14:paraId="475F2C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E1B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1" w:type="pct"/>
                  <w:vMerge w:val="restart"/>
                  <w:vAlign w:val="center"/>
                </w:tcPr>
                <w:p w14:paraId="2EFF7C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3</w:t>
                  </w:r>
                </w:p>
              </w:tc>
              <w:tc>
                <w:tcPr>
                  <w:tcW w:w="1577" w:type="pct"/>
                  <w:vMerge w:val="restart"/>
                  <w:vAlign w:val="center"/>
                </w:tcPr>
                <w:p w14:paraId="222AAC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《石油天然气工程项目用地控制指标》（国土资规【2016】14号）</w:t>
                  </w:r>
                </w:p>
              </w:tc>
              <w:tc>
                <w:tcPr>
                  <w:tcW w:w="1637" w:type="pct"/>
                  <w:vAlign w:val="center"/>
                </w:tcPr>
                <w:p w14:paraId="11C2CD59">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进井场道路用地指保证建井及生产期内通往井场的各型车辆安全通行，并能满足抢险车辆通行的新建或扩建道路所占用的土地。</w:t>
                  </w:r>
                </w:p>
                <w:p w14:paraId="39ED16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进井场道路用地按道路宽度乘以道路长度进行计算。进井场道路路基用地宽度指标不应大于</w:t>
                  </w:r>
                  <w:r>
                    <w:rPr>
                      <w:rFonts w:hint="default" w:ascii="Times New Roman" w:hAnsi="Times New Roman" w:eastAsia="宋体" w:cs="Times New Roman"/>
                      <w:color w:val="auto"/>
                      <w:kern w:val="0"/>
                      <w:sz w:val="21"/>
                      <w:szCs w:val="21"/>
                      <w:lang w:val="en-US" w:eastAsia="zh-CN" w:bidi="ar"/>
                    </w:rPr>
                    <w:t>4.5m</w:t>
                  </w:r>
                  <w:r>
                    <w:rPr>
                      <w:rFonts w:hint="eastAsia" w:ascii="Times New Roman" w:hAnsi="Times New Roman" w:eastAsia="宋体" w:cs="Times New Roman"/>
                      <w:color w:val="auto"/>
                      <w:kern w:val="0"/>
                      <w:sz w:val="21"/>
                      <w:szCs w:val="21"/>
                      <w:lang w:val="en-US" w:eastAsia="zh-CN" w:bidi="ar"/>
                    </w:rPr>
                    <w:t>，边沟、护坡、防洪坝、挡土墙、错车道等用地按实际情况计算</w:t>
                  </w:r>
                </w:p>
              </w:tc>
              <w:tc>
                <w:tcPr>
                  <w:tcW w:w="1182" w:type="pct"/>
                  <w:vAlign w:val="center"/>
                </w:tcPr>
                <w:p w14:paraId="3B6A671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lang w:val="en-US" w:eastAsia="zh-CN" w:bidi="ar"/>
                    </w:rPr>
                    <w:t>本项目米107-32M、米107-22MH利用现有井场道路；米107-16M新建进场道路260m，采用砂石路面，宽度为4m。</w:t>
                  </w:r>
                </w:p>
              </w:tc>
              <w:tc>
                <w:tcPr>
                  <w:tcW w:w="301" w:type="pct"/>
                  <w:vAlign w:val="center"/>
                </w:tcPr>
                <w:p w14:paraId="2BA6E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419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0A92FE6">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49015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2C7278CC">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采气井场用地指保证建井和生产期内钻井作业、井下作业和摆放各种采气设施所占用的土地</w:t>
                  </w:r>
                </w:p>
              </w:tc>
              <w:tc>
                <w:tcPr>
                  <w:tcW w:w="1182" w:type="pct"/>
                  <w:vAlign w:val="center"/>
                </w:tcPr>
                <w:p w14:paraId="453EB4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本项目井场临时占地可保证施工期内钻井作业和摆放各种采气设施。</w:t>
                  </w:r>
                </w:p>
              </w:tc>
              <w:tc>
                <w:tcPr>
                  <w:tcW w:w="301" w:type="pct"/>
                  <w:vAlign w:val="center"/>
                </w:tcPr>
                <w:p w14:paraId="495813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60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794942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bidi="ar-SA"/>
                    </w:rPr>
                    <w:t>1</w:t>
                  </w:r>
                  <w:r>
                    <w:rPr>
                      <w:rFonts w:hint="eastAsia" w:ascii="Times New Roman" w:hAnsi="Times New Roman" w:eastAsia="宋体" w:cs="Times New Roman"/>
                      <w:color w:val="auto"/>
                      <w:sz w:val="21"/>
                      <w:szCs w:val="21"/>
                      <w:vertAlign w:val="baseline"/>
                      <w:lang w:val="en-US" w:eastAsia="zh-CN" w:bidi="ar-SA"/>
                    </w:rPr>
                    <w:t>4</w:t>
                  </w:r>
                </w:p>
              </w:tc>
              <w:tc>
                <w:tcPr>
                  <w:tcW w:w="1577" w:type="pct"/>
                  <w:vMerge w:val="restart"/>
                  <w:vAlign w:val="center"/>
                </w:tcPr>
                <w:p w14:paraId="3CA611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榆林市生态环境局关于印发《榆林市油气开发压裂返排液处置管理规定》的通知（榆政环发【2023】71号）</w:t>
                  </w:r>
                </w:p>
              </w:tc>
              <w:tc>
                <w:tcPr>
                  <w:tcW w:w="1637" w:type="pct"/>
                  <w:vAlign w:val="center"/>
                </w:tcPr>
                <w:p w14:paraId="7286FFB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油气开发企业是油气开发压裂返排液污染防治的责任主体，要将压裂返排液处置纳入油气开发项目生态环境保护总体规划及突发环境事件应急预案，制定油气开发压裂返排液治理方案</w:t>
                  </w:r>
                </w:p>
              </w:tc>
              <w:tc>
                <w:tcPr>
                  <w:tcW w:w="1182" w:type="pct"/>
                  <w:vAlign w:val="center"/>
                </w:tcPr>
                <w:p w14:paraId="03BD4C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本项目施工过程中将压裂返排液处置纳入油气开发项目生态环境保护总体规划及突发环境事件应急预案中，并且制定压裂返排液治理方案，能够确保压裂返排液得到合理处置</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1537E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755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F0BDB8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3DCE1C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368067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无法自行处置压裂返排液的油气开发企业或井下作业总包单位，可与第三方单位签订压裂返排液处置协议，处置协议应明确双方污染防治责任</w:t>
                  </w:r>
                </w:p>
              </w:tc>
              <w:tc>
                <w:tcPr>
                  <w:tcW w:w="1182" w:type="pct"/>
                  <w:vAlign w:val="center"/>
                </w:tcPr>
                <w:p w14:paraId="6705DA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已签订压裂返排液处置合同，合同中已明确双方污染防治责任。</w:t>
                  </w:r>
                </w:p>
              </w:tc>
              <w:tc>
                <w:tcPr>
                  <w:tcW w:w="301" w:type="pct"/>
                  <w:vAlign w:val="center"/>
                </w:tcPr>
                <w:p w14:paraId="27AA3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1874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2C42BCD8">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7D38F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31D4AE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开发压裂返排液处置项目的中水用于油田同层回注的，油田回注单位应制定中水回注计划，计划要与回注区域油气开发总体规划及生产回注方案相符，明确回注水质、水量、压强及回注时限等相关指标，其中回注水水质需符合国家相关行业或者企业标准</w:t>
                  </w:r>
                </w:p>
              </w:tc>
              <w:tc>
                <w:tcPr>
                  <w:tcW w:w="1182" w:type="pct"/>
                  <w:vAlign w:val="center"/>
                </w:tcPr>
                <w:p w14:paraId="4A8DBE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本项目不涉及中水回注</w:t>
                  </w:r>
                  <w:r>
                    <w:rPr>
                      <w:rFonts w:hint="eastAsia" w:ascii="Times New Roman" w:hAnsi="Times New Roman" w:eastAsia="宋体" w:cs="Times New Roman"/>
                      <w:color w:val="auto"/>
                      <w:sz w:val="21"/>
                      <w:szCs w:val="21"/>
                      <w:vertAlign w:val="baseline"/>
                      <w:lang w:val="en-US" w:eastAsia="zh-CN"/>
                    </w:rPr>
                    <w:t>。</w:t>
                  </w:r>
                </w:p>
              </w:tc>
              <w:tc>
                <w:tcPr>
                  <w:tcW w:w="301" w:type="pct"/>
                  <w:vAlign w:val="center"/>
                </w:tcPr>
                <w:p w14:paraId="187DA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55C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5F249A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5" w:leftChars="0" w:hanging="425"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bidi="ar-SA"/>
                    </w:rPr>
                    <w:t>15</w:t>
                  </w:r>
                </w:p>
              </w:tc>
              <w:tc>
                <w:tcPr>
                  <w:tcW w:w="1577" w:type="pct"/>
                  <w:vMerge w:val="restart"/>
                  <w:vAlign w:val="center"/>
                </w:tcPr>
                <w:p w14:paraId="37318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《榆林市2025年生态环境保护铁腕治污攻坚行动方案》(榆办字(2025)4号)</w:t>
                  </w:r>
                </w:p>
              </w:tc>
              <w:tc>
                <w:tcPr>
                  <w:tcW w:w="1637" w:type="pct"/>
                  <w:vAlign w:val="center"/>
                </w:tcPr>
                <w:p w14:paraId="26EDCD7C">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182" w:type="pct"/>
                  <w:vAlign w:val="center"/>
                </w:tcPr>
                <w:p w14:paraId="4E890659">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施工期间，项目施工场地严格落实周边围挡、物料裸土覆盖、土方开挖(拆迁)湿法作业、路面硬化、出入车辆清洗、渣土车辆密闭运输“六个百分之百”。</w:t>
                  </w:r>
                </w:p>
              </w:tc>
              <w:tc>
                <w:tcPr>
                  <w:tcW w:w="301" w:type="pct"/>
                  <w:vAlign w:val="center"/>
                </w:tcPr>
                <w:p w14:paraId="728B2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0EF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63411764">
                  <w:pPr>
                    <w:keepNext w:val="0"/>
                    <w:keepLines w:val="0"/>
                    <w:pageBreakBefore w:val="0"/>
                    <w:widowControl w:val="0"/>
                    <w:kinsoku/>
                    <w:wordWrap/>
                    <w:overflowPunct/>
                    <w:topLinePunct w:val="0"/>
                    <w:autoSpaceDE/>
                    <w:autoSpaceDN/>
                    <w:bidi w:val="0"/>
                    <w:adjustRightInd/>
                    <w:snapToGrid/>
                    <w:spacing w:line="240" w:lineRule="auto"/>
                    <w:ind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2FACC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2FC9014F">
                  <w:pPr>
                    <w:pStyle w:val="27"/>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四）机动车尾气管控行动。加强机动车污染源头控制，全面落实《关于预下达国Ⅲ及以下排放标准柴油货车淘汰计划(2023-2025年)的通知》(榆政交发【2023】195号)要求。逐步淘汰国Ш及以下排放标准柴油货车。根据省交通厅、省公安厅、省生态环境厅、省商务厅《关于补充明确国三及以下排放标准柴油货车淘汰年度任务的透知》(陕交函〔2024)1614号)要求，12月底前、完成2025年度淘汰任务量5283辆。完善“生态环境部门监测取证、公安交管部门拦车处罚、交通运输部门监督维修”的联合监管模式，各县市区、园区在货车主要通行路口、物流通道、集中停放地等。每月至少组织开展一次货车污染管控联合执法行动，重点检查柴油货车污染控制装置、OBD、污染物排放达标肯况，严厉查处超标排污行为。涉及大宗物科运输的重点业位。落实《陕西省重点用车企业环保门禁及视频监控系统建设技术指南》。全部建立门禁系统，实施移动源管控，鼓励加快非道路移动机械清洁能源替代。</w:t>
                  </w:r>
                </w:p>
              </w:tc>
              <w:tc>
                <w:tcPr>
                  <w:tcW w:w="1182" w:type="pct"/>
                  <w:vAlign w:val="center"/>
                </w:tcPr>
                <w:p w14:paraId="0884CC3C">
                  <w:pPr>
                    <w:pStyle w:val="27"/>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eastAsia"/>
                      <w:color w:val="auto"/>
                      <w:sz w:val="21"/>
                      <w:szCs w:val="21"/>
                      <w:lang w:val="en-US" w:eastAsia="zh-CN"/>
                    </w:rPr>
                    <w:t>项目施工期间，不使用Ⅲ及以下排放标准的柴油货车，使用检测合格且已编码挂牌的非道路移动机械</w:t>
                  </w:r>
                </w:p>
              </w:tc>
              <w:tc>
                <w:tcPr>
                  <w:tcW w:w="301" w:type="pct"/>
                  <w:vAlign w:val="center"/>
                </w:tcPr>
                <w:p w14:paraId="026ED0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7D8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301" w:type="pct"/>
                  <w:vMerge w:val="restart"/>
                  <w:vAlign w:val="center"/>
                </w:tcPr>
                <w:p w14:paraId="706851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045983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3F8A36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613DA0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Times New Roman" w:hAnsi="Times New Roman" w:eastAsia="宋体" w:cs="Times New Roman"/>
                      <w:color w:val="auto"/>
                      <w:sz w:val="21"/>
                      <w:szCs w:val="21"/>
                      <w:vertAlign w:val="baseline"/>
                      <w:lang w:val="en-US" w:eastAsia="zh-CN"/>
                    </w:rPr>
                  </w:pPr>
                </w:p>
                <w:p w14:paraId="78174C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1577" w:type="pct"/>
                  <w:vMerge w:val="restart"/>
                  <w:vAlign w:val="center"/>
                </w:tcPr>
                <w:p w14:paraId="35CD1DE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4EFA60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123551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sz w:val="21"/>
                      <w:szCs w:val="21"/>
                      <w:vertAlign w:val="baseline"/>
                      <w:lang w:val="en-US" w:eastAsia="zh-CN"/>
                    </w:rPr>
                  </w:pPr>
                </w:p>
                <w:p w14:paraId="3C2851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《佳县2025年生态环境保护铁腕治污攻坚行动方案</w:t>
                  </w:r>
                  <w:r>
                    <w:rPr>
                      <w:rFonts w:hint="default" w:ascii="Times New Roman" w:hAnsi="Times New Roman" w:eastAsia="宋体" w:cs="Times New Roman"/>
                      <w:color w:val="auto"/>
                      <w:sz w:val="21"/>
                      <w:szCs w:val="21"/>
                      <w:vertAlign w:val="baseline"/>
                      <w:lang w:val="en-US" w:eastAsia="zh-CN"/>
                    </w:rPr>
                    <w:t>》佳办</w:t>
                  </w:r>
                  <w:r>
                    <w:rPr>
                      <w:rFonts w:hint="eastAsia" w:ascii="Times New Roman" w:hAnsi="Times New Roman" w:eastAsia="宋体" w:cs="Times New Roman"/>
                      <w:color w:val="auto"/>
                      <w:sz w:val="21"/>
                      <w:szCs w:val="21"/>
                      <w:vertAlign w:val="baseline"/>
                      <w:lang w:val="en-US" w:eastAsia="zh-CN"/>
                    </w:rPr>
                    <w:t>字</w:t>
                  </w:r>
                  <w:r>
                    <w:rPr>
                      <w:rFonts w:hint="default" w:ascii="Times New Roman" w:hAnsi="Times New Roman" w:eastAsia="宋体" w:cs="Times New Roman"/>
                      <w:color w:val="auto"/>
                      <w:sz w:val="21"/>
                      <w:szCs w:val="21"/>
                      <w:vertAlign w:val="baseline"/>
                      <w:lang w:val="en-US" w:eastAsia="zh-CN"/>
                    </w:rPr>
                    <w:t>〔202</w:t>
                  </w:r>
                  <w:r>
                    <w:rPr>
                      <w:rFonts w:hint="eastAsia" w:ascii="Times New Roman" w:hAnsi="Times New Roman" w:eastAsia="宋体"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3</w:t>
                  </w:r>
                  <w:r>
                    <w:rPr>
                      <w:rFonts w:hint="default" w:ascii="Times New Roman" w:hAnsi="Times New Roman" w:eastAsia="宋体" w:cs="Times New Roman"/>
                      <w:color w:val="auto"/>
                      <w:sz w:val="21"/>
                      <w:szCs w:val="21"/>
                      <w:vertAlign w:val="baseline"/>
                      <w:lang w:val="en-US" w:eastAsia="zh-CN"/>
                    </w:rPr>
                    <w:t>号）</w:t>
                  </w:r>
                </w:p>
              </w:tc>
              <w:tc>
                <w:tcPr>
                  <w:tcW w:w="1637" w:type="pct"/>
                  <w:vAlign w:val="center"/>
                </w:tcPr>
                <w:p w14:paraId="4A9E4AF7">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eastAsia"/>
                      <w:color w:val="auto"/>
                      <w:sz w:val="21"/>
                      <w:szCs w:val="21"/>
                      <w:lang w:val="en-US" w:eastAsia="zh-CN"/>
                    </w:rPr>
                    <w:t>（一）扬尘整治精细化管控行动。严格落实企业主体业任和建筑工地扬尘管控“六个百分之百”措施，将防治扬尘污染费用纳入工程造价;成立联合检查专班，按月开展联合执法。并建立问题台账，对产生扬尘污染的工地按职责权属依法查处、对拒不改正的工地贵令停工整治。</w:t>
                  </w:r>
                </w:p>
              </w:tc>
              <w:tc>
                <w:tcPr>
                  <w:tcW w:w="1182" w:type="pct"/>
                  <w:vAlign w:val="center"/>
                </w:tcPr>
                <w:p w14:paraId="17183A9F">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本项目在勘探过程中将严格按照方案中各项扬尘控制措施进行施工，减缓施工期扬尘污染。</w:t>
                  </w:r>
                </w:p>
              </w:tc>
              <w:tc>
                <w:tcPr>
                  <w:tcW w:w="301" w:type="pct"/>
                  <w:vAlign w:val="center"/>
                </w:tcPr>
                <w:p w14:paraId="57A484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yellow"/>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14:paraId="5218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trPr>
              <w:tc>
                <w:tcPr>
                  <w:tcW w:w="301" w:type="pct"/>
                  <w:vMerge w:val="continue"/>
                  <w:vAlign w:val="center"/>
                </w:tcPr>
                <w:p w14:paraId="1AFC60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7707F1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420224DC">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(三)机动车尾气管控行动。加强机动车污染源头控制，全面落实《关于预下达国Ⅲ及以下排放标准柴油货车淘汰计划(2023-2025年)的通知》(榆政交发</w:t>
                  </w:r>
                  <w:r>
                    <w:rPr>
                      <w:rFonts w:hint="eastAsia" w:ascii="Times New Roman" w:hAnsi="Times New Roman" w:cs="Times New Roman"/>
                      <w:color w:val="auto"/>
                      <w:kern w:val="0"/>
                      <w:sz w:val="21"/>
                      <w:szCs w:val="21"/>
                      <w:lang w:val="en-US" w:eastAsia="zh-CN" w:bidi="ar-SA"/>
                    </w:rPr>
                    <w:t>【2023】</w:t>
                  </w:r>
                  <w:r>
                    <w:rPr>
                      <w:rFonts w:hint="default" w:ascii="Times New Roman" w:hAnsi="Times New Roman" w:eastAsia="宋体" w:cs="Times New Roman"/>
                      <w:color w:val="auto"/>
                      <w:kern w:val="0"/>
                      <w:sz w:val="21"/>
                      <w:szCs w:val="21"/>
                      <w:lang w:val="en-US" w:eastAsia="zh-CN" w:bidi="ar-SA"/>
                    </w:rPr>
                    <w:t>195号)要求逐步淘汰国Ⅲ及以下排放标准柴油货车。根据省交通厅、省公安厅、省生态环境厅、省商务厅《关于补充明确国三及以下排放标准柴油货车淘汰年度任务的通知》(陕交函【2024】1614号)要求及市政府下达任务，12月底前，完成2025年度淘汰任务。完善“生态环境部门监测取证、公安交管部门拦车处罚、交通运输部门监督维修”的联合监管模式，在货车主要通行路口、集中停放地等，每月至少组织开展一次货车污染管控联合执法行动，重点检查柴油货车污染控制装置、0BD、污染物排放达标情况，严厉查处超标排污行为。涉及大宗物料运输的重点单位，落实《陕西省重点用车企业环保门禁及视频监控系统建设技术指南》，全部建立门禁系统，实施移动源管控，鼓励加快非道路移动机械清洁能源替代。</w:t>
                  </w:r>
                </w:p>
              </w:tc>
              <w:tc>
                <w:tcPr>
                  <w:tcW w:w="1182" w:type="pct"/>
                  <w:vAlign w:val="center"/>
                </w:tcPr>
                <w:p w14:paraId="2A918553">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本项目在勘探过程中选用符合国家标准的非道路移动机械，定期对其进行维修、保养等，确保施工机械废气符合相关排放标准。</w:t>
                  </w:r>
                </w:p>
              </w:tc>
              <w:tc>
                <w:tcPr>
                  <w:tcW w:w="301" w:type="pct"/>
                  <w:vAlign w:val="center"/>
                </w:tcPr>
                <w:p w14:paraId="79B37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476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5BB3D9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1577" w:type="pct"/>
                  <w:vMerge w:val="restart"/>
                  <w:vAlign w:val="center"/>
                </w:tcPr>
                <w:p w14:paraId="2AD5F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《陕西省矿产资源总体规划》（2021-2025年）</w:t>
                  </w:r>
                </w:p>
              </w:tc>
              <w:tc>
                <w:tcPr>
                  <w:tcW w:w="1637" w:type="pct"/>
                  <w:vAlign w:val="center"/>
                </w:tcPr>
                <w:p w14:paraId="585C4867">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在鄂尔多斯盆地煤油气盐赋存区，加强石油、天然气、页岩气、煤层气等能源矿产的调查评价，加大石油、天然气勘探力度，稳步提高油气产能。</w:t>
                  </w:r>
                </w:p>
              </w:tc>
              <w:tc>
                <w:tcPr>
                  <w:tcW w:w="1182" w:type="pct"/>
                  <w:vMerge w:val="restart"/>
                  <w:vAlign w:val="center"/>
                </w:tcPr>
                <w:p w14:paraId="266FF6DD">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天然气勘探工程，选址位于陕西鄂尔多斯盆地米脂气田天然气开采范围内，该区域已开采多年，宁榆天然气评价组为判断该区块后期是否具备继续大规模开采的价值，并评估如何开采，在目前开采层位（</w:t>
                  </w:r>
                  <w:r>
                    <w:rPr>
                      <w:rFonts w:hint="eastAsia" w:cs="Times New Roman"/>
                      <w:color w:val="auto"/>
                      <w:sz w:val="21"/>
                      <w:szCs w:val="21"/>
                      <w:highlight w:val="none"/>
                      <w:lang w:val="en-US" w:eastAsia="zh-CN"/>
                    </w:rPr>
                    <w:t>太原组</w:t>
                  </w:r>
                  <w:r>
                    <w:rPr>
                      <w:rFonts w:hint="default" w:ascii="Times New Roman" w:hAnsi="Times New Roman" w:eastAsia="宋体" w:cs="Times New Roman"/>
                      <w:color w:val="auto"/>
                      <w:sz w:val="21"/>
                      <w:szCs w:val="21"/>
                      <w:highlight w:val="none"/>
                      <w:lang w:val="en-US" w:eastAsia="zh-CN"/>
                    </w:rPr>
                    <w:t>）加密勘探，为远期气田产能建设提供依据。</w:t>
                  </w:r>
                </w:p>
              </w:tc>
              <w:tc>
                <w:tcPr>
                  <w:tcW w:w="301" w:type="pct"/>
                  <w:vAlign w:val="center"/>
                </w:tcPr>
                <w:p w14:paraId="501BC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0D1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2FD750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767E28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6DE97966">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按照“稳油增气、常非并举”的部署，推进石油增储稳产天然气增储扩产、煤层气增储上产。加强鄂尔多斯盆地油气勘查，加大页岩气、煤层气等非常规油气勘查力度，形成新的资源接续区。</w:t>
                  </w:r>
                </w:p>
              </w:tc>
              <w:tc>
                <w:tcPr>
                  <w:tcW w:w="1182" w:type="pct"/>
                  <w:vMerge w:val="continue"/>
                  <w:vAlign w:val="center"/>
                </w:tcPr>
                <w:p w14:paraId="016FEB66">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301" w:type="pct"/>
                  <w:vAlign w:val="center"/>
                </w:tcPr>
                <w:p w14:paraId="712EF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C14F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C124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77" w:type="pct"/>
                  <w:vMerge w:val="continue"/>
                  <w:vAlign w:val="center"/>
                </w:tcPr>
                <w:p w14:paraId="7966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37" w:type="pct"/>
                  <w:vAlign w:val="center"/>
                </w:tcPr>
                <w:p w14:paraId="68D843E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严格勘查空间布局管控，生态保护红线范围内原则上禁止不符合管控要求的矿产资源勘查。</w:t>
                  </w:r>
                </w:p>
              </w:tc>
              <w:tc>
                <w:tcPr>
                  <w:tcW w:w="1182" w:type="pct"/>
                  <w:vMerge w:val="continue"/>
                  <w:vAlign w:val="center"/>
                </w:tcPr>
                <w:p w14:paraId="2A0D99C5">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p>
              </w:tc>
              <w:tc>
                <w:tcPr>
                  <w:tcW w:w="301" w:type="pct"/>
                  <w:vAlign w:val="center"/>
                </w:tcPr>
                <w:p w14:paraId="60B23A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2B50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059BC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1577" w:type="pct"/>
                  <w:vMerge w:val="restart"/>
                  <w:vAlign w:val="center"/>
                </w:tcPr>
                <w:p w14:paraId="458D7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《榆林市关于开展油气开采废弃物集中处置的通知》</w:t>
                  </w:r>
                </w:p>
              </w:tc>
              <w:tc>
                <w:tcPr>
                  <w:tcW w:w="1637" w:type="pct"/>
                  <w:vAlign w:val="center"/>
                </w:tcPr>
                <w:p w14:paraId="1A3146E5">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申报登记：根据《中华人民共和国固体废物污染环境防治法》及《中华人民共和国水污染防治法》相关规定，油气开发业主单位在井场钻井作业15日前，须向所在县区环保局报送《榆林市油气开采废弃物申报表》（见附件1），就单井油气开采废弃物产生情况及“三统一”实施计划进行申报，同时报市局备案； </w:t>
                  </w:r>
                </w:p>
              </w:tc>
              <w:tc>
                <w:tcPr>
                  <w:tcW w:w="1182" w:type="pct"/>
                  <w:vAlign w:val="center"/>
                </w:tcPr>
                <w:p w14:paraId="34F45D33">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本项目拟</w:t>
                  </w:r>
                  <w:r>
                    <w:rPr>
                      <w:rFonts w:hint="default" w:ascii="Times New Roman" w:hAnsi="Times New Roman" w:eastAsia="宋体" w:cs="Times New Roman"/>
                      <w:color w:val="auto"/>
                      <w:sz w:val="21"/>
                      <w:szCs w:val="21"/>
                      <w:lang w:val="en-US" w:eastAsia="zh-CN"/>
                    </w:rPr>
                    <w:t>在井场钻井作业15日前，</w:t>
                  </w:r>
                  <w:r>
                    <w:rPr>
                      <w:rFonts w:hint="eastAsia" w:cs="Times New Roman"/>
                      <w:color w:val="auto"/>
                      <w:sz w:val="21"/>
                      <w:szCs w:val="21"/>
                      <w:lang w:val="en-US" w:eastAsia="zh-CN"/>
                    </w:rPr>
                    <w:t>拟</w:t>
                  </w:r>
                  <w:r>
                    <w:rPr>
                      <w:rFonts w:hint="default" w:ascii="Times New Roman" w:hAnsi="Times New Roman" w:eastAsia="宋体" w:cs="Times New Roman"/>
                      <w:color w:val="auto"/>
                      <w:sz w:val="21"/>
                      <w:szCs w:val="21"/>
                      <w:lang w:val="en-US" w:eastAsia="zh-CN"/>
                    </w:rPr>
                    <w:t>向</w:t>
                  </w:r>
                  <w:r>
                    <w:rPr>
                      <w:rFonts w:hint="eastAsia" w:cs="Times New Roman"/>
                      <w:color w:val="auto"/>
                      <w:sz w:val="21"/>
                      <w:szCs w:val="21"/>
                      <w:lang w:val="en-US" w:eastAsia="zh-CN"/>
                    </w:rPr>
                    <w:t>榆林市佳县生态环境局</w:t>
                  </w:r>
                  <w:r>
                    <w:rPr>
                      <w:rFonts w:hint="default" w:ascii="Times New Roman" w:hAnsi="Times New Roman" w:eastAsia="宋体" w:cs="Times New Roman"/>
                      <w:color w:val="auto"/>
                      <w:sz w:val="21"/>
                      <w:szCs w:val="21"/>
                      <w:lang w:val="en-US" w:eastAsia="zh-CN"/>
                    </w:rPr>
                    <w:t>报送《榆林市油气开采废弃物申报表》就单井油气开采废弃物产生情况及“三统一”实施计划进行申报，同时报市局备案</w:t>
                  </w:r>
                  <w:r>
                    <w:rPr>
                      <w:rFonts w:hint="eastAsia" w:cs="Times New Roman"/>
                      <w:color w:val="auto"/>
                      <w:sz w:val="21"/>
                      <w:szCs w:val="21"/>
                      <w:lang w:val="en-US" w:eastAsia="zh-CN"/>
                    </w:rPr>
                    <w:t>。</w:t>
                  </w:r>
                </w:p>
              </w:tc>
              <w:tc>
                <w:tcPr>
                  <w:tcW w:w="301" w:type="pct"/>
                  <w:vAlign w:val="center"/>
                </w:tcPr>
                <w:p w14:paraId="4A0AF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90F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2BDB2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577" w:type="pct"/>
                  <w:vMerge w:val="continue"/>
                  <w:vAlign w:val="center"/>
                </w:tcPr>
                <w:p w14:paraId="2DD31C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37" w:type="pct"/>
                  <w:vAlign w:val="center"/>
                </w:tcPr>
                <w:p w14:paraId="15C3112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管理台帐：根据《陕西省煤炭石油天然气开发环境保护条例》及《陕西省固体废物污染环境防治条例》相关规定，油气开发业主单位要建立健全污染环境防治责任制度，采取油气开采废弃物防扬散、防流失、防渗漏或者其他防止污染环境的收集措施，分类贮存。</w:t>
                  </w:r>
                </w:p>
              </w:tc>
              <w:tc>
                <w:tcPr>
                  <w:tcW w:w="1182" w:type="pct"/>
                  <w:vAlign w:val="center"/>
                </w:tcPr>
                <w:p w14:paraId="777536E9">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中国石油天然气股份有限公司长庆油田分公司设质量安全环保科，设专职人员进行安全环保管理。在施工期制定安全环境管理制度，贯彻执行国家和地方各项环保方针，政策和法规，并采取油气开采废弃物防扬散、防流失、防渗漏或者其他防止污染环境的收集措施，分类贮存。</w:t>
                  </w:r>
                </w:p>
              </w:tc>
              <w:tc>
                <w:tcPr>
                  <w:tcW w:w="301" w:type="pct"/>
                  <w:vAlign w:val="center"/>
                </w:tcPr>
                <w:p w14:paraId="490D9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21E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22719D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577" w:type="pct"/>
                  <w:vMerge w:val="continue"/>
                  <w:vAlign w:val="center"/>
                </w:tcPr>
                <w:p w14:paraId="1479B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637" w:type="pct"/>
                  <w:vAlign w:val="center"/>
                </w:tcPr>
                <w:p w14:paraId="57AA3D1E">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处理处置：根据《中华人民共和国固体废物污染环境防治法》、《中华人民共和国水污染防治法》及《陕西省固体废物污染环境防治条例》相关规定，油气开发业主单位应对油气开采废弃物加以利用，对不能利用的，委托有资质单位进行规范化处置，严禁就地固化掩埋。</w:t>
                  </w:r>
                </w:p>
              </w:tc>
              <w:tc>
                <w:tcPr>
                  <w:tcW w:w="1182" w:type="pct"/>
                  <w:vAlign w:val="center"/>
                </w:tcPr>
                <w:p w14:paraId="31635C2B">
                  <w:pPr>
                    <w:pStyle w:val="27"/>
                    <w:keepNext w:val="0"/>
                    <w:keepLines w:val="0"/>
                    <w:pageBreakBefore w:val="0"/>
                    <w:kinsoku/>
                    <w:wordWrap/>
                    <w:overflowPunct/>
                    <w:topLinePunct w:val="0"/>
                    <w:autoSpaceDE/>
                    <w:autoSpaceDN/>
                    <w:bidi w:val="0"/>
                    <w:ind w:firstLine="0" w:firstLineChars="0"/>
                    <w:jc w:val="both"/>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项目泥浆上清液排入地上移动式污水罐，用于配制泥浆，循环使用，对钻井完不能利用的送至</w:t>
                  </w:r>
                  <w:r>
                    <w:rPr>
                      <w:rFonts w:hint="eastAsia"/>
                      <w:color w:val="auto"/>
                      <w:sz w:val="21"/>
                      <w:szCs w:val="21"/>
                      <w:lang w:val="en-US" w:eastAsia="zh-CN"/>
                    </w:rPr>
                    <w:t>陕西德禾鑫盛环保科技有限公司</w:t>
                  </w:r>
                  <w:r>
                    <w:rPr>
                      <w:rFonts w:hint="eastAsia" w:cs="Times New Roman"/>
                      <w:color w:val="auto"/>
                      <w:sz w:val="21"/>
                      <w:szCs w:val="21"/>
                      <w:lang w:val="en-US" w:eastAsia="zh-CN"/>
                    </w:rPr>
                    <w:t>处理</w:t>
                  </w:r>
                </w:p>
              </w:tc>
              <w:tc>
                <w:tcPr>
                  <w:tcW w:w="301" w:type="pct"/>
                  <w:vAlign w:val="center"/>
                </w:tcPr>
                <w:p w14:paraId="0F32A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84A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restart"/>
                  <w:vAlign w:val="center"/>
                </w:tcPr>
                <w:p w14:paraId="04EB8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1577" w:type="pct"/>
                  <w:vMerge w:val="restart"/>
                  <w:vAlign w:val="center"/>
                </w:tcPr>
                <w:p w14:paraId="722BAB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《榆林市矿产资源总体规划》（2021-2025年）</w:t>
                  </w:r>
                </w:p>
              </w:tc>
              <w:tc>
                <w:tcPr>
                  <w:tcW w:w="2320" w:type="dxa"/>
                  <w:vAlign w:val="center"/>
                </w:tcPr>
                <w:p w14:paraId="415E4DAB">
                  <w:pPr>
                    <w:pStyle w:val="27"/>
                    <w:keepNext w:val="0"/>
                    <w:keepLines w:val="0"/>
                    <w:pageBreakBefore w:val="0"/>
                    <w:numPr>
                      <w:ilvl w:val="0"/>
                      <w:numId w:val="3"/>
                    </w:numPr>
                    <w:kinsoku/>
                    <w:wordWrap/>
                    <w:overflowPunct/>
                    <w:topLinePunct w:val="0"/>
                    <w:autoSpaceDE/>
                    <w:autoSpaceDN/>
                    <w:bidi w:val="0"/>
                    <w:ind w:firstLine="0" w:firstLineChars="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统筹勘察开发保护区域布局</w:t>
                  </w:r>
                </w:p>
                <w:p w14:paraId="63917870">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加快神木、榆阳、米脂、佳县岩盐的勘察开发程度，大力推进煤、油、气、盐一体化格局发展。</w:t>
                  </w:r>
                </w:p>
              </w:tc>
              <w:tc>
                <w:tcPr>
                  <w:tcW w:w="1675" w:type="dxa"/>
                  <w:vAlign w:val="center"/>
                </w:tcPr>
                <w:p w14:paraId="6CFAEC22">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本项目位于佳县金明寺镇，为天然气勘探项目，符合“</w:t>
                  </w:r>
                  <w:r>
                    <w:rPr>
                      <w:rFonts w:hint="eastAsia" w:cs="Times New Roman"/>
                      <w:b w:val="0"/>
                      <w:bCs w:val="0"/>
                      <w:color w:val="auto"/>
                      <w:sz w:val="21"/>
                      <w:szCs w:val="21"/>
                      <w:lang w:val="en-US" w:eastAsia="zh-CN"/>
                    </w:rPr>
                    <w:t>大力推进煤、油、气、盐一体化格局发展</w:t>
                  </w:r>
                  <w:r>
                    <w:rPr>
                      <w:rFonts w:hint="eastAsia" w:cs="Times New Roman"/>
                      <w:color w:val="auto"/>
                      <w:sz w:val="21"/>
                      <w:szCs w:val="21"/>
                      <w:lang w:val="en-US" w:eastAsia="zh-CN"/>
                    </w:rPr>
                    <w:t>”要求</w:t>
                  </w:r>
                </w:p>
              </w:tc>
              <w:tc>
                <w:tcPr>
                  <w:tcW w:w="427" w:type="dxa"/>
                  <w:vAlign w:val="center"/>
                </w:tcPr>
                <w:p w14:paraId="2B96E4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8B49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750005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577" w:type="pct"/>
                  <w:vMerge w:val="continue"/>
                  <w:vAlign w:val="center"/>
                </w:tcPr>
                <w:p w14:paraId="09A90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320" w:type="dxa"/>
                  <w:vAlign w:val="center"/>
                </w:tcPr>
                <w:p w14:paraId="7BAECA4C">
                  <w:pPr>
                    <w:pStyle w:val="27"/>
                    <w:keepNext w:val="0"/>
                    <w:keepLines w:val="0"/>
                    <w:pageBreakBefore w:val="0"/>
                    <w:numPr>
                      <w:ilvl w:val="0"/>
                      <w:numId w:val="4"/>
                    </w:numPr>
                    <w:kinsoku/>
                    <w:wordWrap/>
                    <w:overflowPunct/>
                    <w:topLinePunct w:val="0"/>
                    <w:autoSpaceDE/>
                    <w:autoSpaceDN/>
                    <w:bidi w:val="0"/>
                    <w:jc w:val="both"/>
                    <w:rPr>
                      <w:rFonts w:hint="eastAsia" w:cs="Times New Roman"/>
                      <w:b/>
                      <w:bCs/>
                      <w:color w:val="auto"/>
                      <w:sz w:val="21"/>
                      <w:szCs w:val="21"/>
                      <w:lang w:val="en-US" w:eastAsia="zh-CN"/>
                    </w:rPr>
                  </w:pPr>
                  <w:r>
                    <w:rPr>
                      <w:rFonts w:hint="eastAsia" w:cs="Times New Roman"/>
                      <w:b/>
                      <w:bCs/>
                      <w:color w:val="auto"/>
                      <w:sz w:val="21"/>
                      <w:szCs w:val="21"/>
                      <w:lang w:val="en-US" w:eastAsia="zh-CN"/>
                    </w:rPr>
                    <w:t>明确矿产资源勘查开采调控方向</w:t>
                  </w:r>
                </w:p>
                <w:p w14:paraId="00B97779">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限制勘察高硫煤，勘察区块投放前应做好论证。结合国家战略性矿产、省市优势紧缺矿产的找矿目标及榆林煤、油、气、盐一体化发展格局，重点勘察石油、天然气、煤炭、煤层气、地热等矿产。</w:t>
                  </w:r>
                </w:p>
              </w:tc>
              <w:tc>
                <w:tcPr>
                  <w:tcW w:w="1675" w:type="dxa"/>
                  <w:vAlign w:val="center"/>
                </w:tcPr>
                <w:p w14:paraId="3CB080EF">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本项目位于佳县金明寺镇，为天然气勘探项目，符合“</w:t>
                  </w:r>
                  <w:r>
                    <w:rPr>
                      <w:rFonts w:hint="eastAsia" w:cs="Times New Roman"/>
                      <w:b w:val="0"/>
                      <w:bCs w:val="0"/>
                      <w:color w:val="auto"/>
                      <w:sz w:val="21"/>
                      <w:szCs w:val="21"/>
                      <w:lang w:val="en-US" w:eastAsia="zh-CN"/>
                    </w:rPr>
                    <w:t>重点勘察石油、天然气、煤炭、煤层气、地热等矿产</w:t>
                  </w:r>
                  <w:r>
                    <w:rPr>
                      <w:rFonts w:hint="eastAsia" w:cs="Times New Roman"/>
                      <w:color w:val="auto"/>
                      <w:sz w:val="21"/>
                      <w:szCs w:val="21"/>
                      <w:lang w:val="en-US" w:eastAsia="zh-CN"/>
                    </w:rPr>
                    <w:t>”要求</w:t>
                  </w:r>
                </w:p>
              </w:tc>
              <w:tc>
                <w:tcPr>
                  <w:tcW w:w="427" w:type="dxa"/>
                  <w:vAlign w:val="center"/>
                </w:tcPr>
                <w:p w14:paraId="32E7CF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769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 w:type="pct"/>
                  <w:vMerge w:val="continue"/>
                  <w:vAlign w:val="center"/>
                </w:tcPr>
                <w:p w14:paraId="07928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1577" w:type="pct"/>
                  <w:vMerge w:val="continue"/>
                  <w:vAlign w:val="center"/>
                </w:tcPr>
                <w:p w14:paraId="5FC201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p>
              </w:tc>
              <w:tc>
                <w:tcPr>
                  <w:tcW w:w="2320" w:type="dxa"/>
                  <w:vAlign w:val="center"/>
                </w:tcPr>
                <w:p w14:paraId="581E94F8">
                  <w:pPr>
                    <w:pStyle w:val="27"/>
                    <w:keepNext w:val="0"/>
                    <w:keepLines w:val="0"/>
                    <w:pageBreakBefore w:val="0"/>
                    <w:numPr>
                      <w:ilvl w:val="0"/>
                      <w:numId w:val="0"/>
                    </w:numPr>
                    <w:kinsoku/>
                    <w:wordWrap/>
                    <w:overflowPunct/>
                    <w:topLinePunct w:val="0"/>
                    <w:autoSpaceDE/>
                    <w:autoSpaceDN/>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cs="Times New Roman"/>
                      <w:b w:val="0"/>
                      <w:bCs w:val="0"/>
                      <w:color w:val="auto"/>
                      <w:sz w:val="21"/>
                      <w:szCs w:val="21"/>
                      <w:lang w:val="en-US" w:eastAsia="zh-CN"/>
                    </w:rPr>
                    <w:t>全面推进地质勘查全过程绿色勘查。勘查工作开展前应不断优化勘查设计，明确绿色勘查工作的具体内容、技术标准要求和保障措施，做好设计审查工作；勘查施工中应采用先进技术、方法、工艺、设备和新材料，积极开展勘查技术与管理的创新；勘查工作结束后，应鼓励提炼出可复制、能推广的绿色勘查经验。通过谋划在前、过程监管、事后总结将绿色勘查贯穿于勘查活动的全过程。</w:t>
                  </w:r>
                </w:p>
              </w:tc>
              <w:tc>
                <w:tcPr>
                  <w:tcW w:w="1675" w:type="dxa"/>
                  <w:vAlign w:val="center"/>
                </w:tcPr>
                <w:p w14:paraId="26723748">
                  <w:pPr>
                    <w:pStyle w:val="27"/>
                    <w:keepNext w:val="0"/>
                    <w:keepLines w:val="0"/>
                    <w:pageBreakBefore w:val="0"/>
                    <w:kinsoku/>
                    <w:wordWrap/>
                    <w:overflowPunct/>
                    <w:topLinePunct w:val="0"/>
                    <w:autoSpaceDE/>
                    <w:autoSpaceDN/>
                    <w:bidi w:val="0"/>
                    <w:ind w:firstLine="0" w:firstLineChars="0"/>
                    <w:jc w:val="both"/>
                    <w:rPr>
                      <w:rFonts w:hint="eastAsia" w:cs="Times New Roman"/>
                      <w:color w:val="auto"/>
                      <w:sz w:val="21"/>
                      <w:szCs w:val="21"/>
                      <w:lang w:val="en-US" w:eastAsia="zh-CN"/>
                    </w:rPr>
                  </w:pPr>
                  <w:r>
                    <w:rPr>
                      <w:rFonts w:hint="eastAsia" w:cs="Times New Roman"/>
                      <w:color w:val="auto"/>
                      <w:sz w:val="21"/>
                      <w:szCs w:val="21"/>
                      <w:lang w:val="en-US" w:eastAsia="zh-CN"/>
                    </w:rPr>
                    <w:t>本项目勘察过程中使用电驱动，属于清洁能源，钻进过程采用水基钻井液，勘探工程结束后对场地进行绿化恢复，符合绿色勘察要求。</w:t>
                  </w:r>
                </w:p>
              </w:tc>
              <w:tc>
                <w:tcPr>
                  <w:tcW w:w="427" w:type="dxa"/>
                  <w:vAlign w:val="center"/>
                </w:tcPr>
                <w:p w14:paraId="4BCCA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46A0972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5、与《钻前工程及井场布置技术要求》符合性分析</w:t>
            </w:r>
          </w:p>
          <w:p w14:paraId="55951F1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4"/>
                <w:szCs w:val="24"/>
                <w:vertAlign w:val="baseline"/>
                <w:lang w:val="en-US" w:eastAsia="zh-CN"/>
              </w:rPr>
              <w:t>根据《钻前工程及井场布置技术要求》（SY/T5466-2013）中3.2.2节规定，井口位置应满足“距高压线及其它永久性设施不小于75m，距民宅不小于100m，距铁路、高速公路不小于200m，距学校、医院和大型油库等密集型、高危性场所不小于500m”的规定。根据现场踏勘，项目井口75m范围内无高压线及其它永久性设施，100m范围内无居民住宅，200m范围内无高速公路、铁路，500m范围内无学校、医院和大型油库等人口密集性、高危性场所。项目气探井井口选址符合《钻前工程及井场布置技术要求》（SY/T5466-2013）中3.2.2节规定，具体分析见表1-9。</w:t>
            </w:r>
          </w:p>
          <w:p w14:paraId="349DD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表1-9   钻前工程及井场布置技术要求</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398"/>
              <w:gridCol w:w="2604"/>
              <w:gridCol w:w="1228"/>
            </w:tblGrid>
            <w:tr w14:paraId="2A7E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6" w:type="pct"/>
                  <w:gridSpan w:val="2"/>
                  <w:vAlign w:val="center"/>
                </w:tcPr>
                <w:p w14:paraId="1DDFD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《钻前工程及井场布置技术要求》（SY/T5466-2013）</w:t>
                  </w:r>
                </w:p>
              </w:tc>
              <w:tc>
                <w:tcPr>
                  <w:tcW w:w="1837" w:type="pct"/>
                  <w:vAlign w:val="center"/>
                </w:tcPr>
                <w:p w14:paraId="193718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866" w:type="pct"/>
                  <w:vAlign w:val="center"/>
                </w:tcPr>
                <w:p w14:paraId="42CFCF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符合性分析</w:t>
                  </w:r>
                </w:p>
              </w:tc>
            </w:tr>
            <w:tr w14:paraId="5FFE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2FEB2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3.1井场选择原则</w:t>
                  </w:r>
                </w:p>
              </w:tc>
              <w:tc>
                <w:tcPr>
                  <w:tcW w:w="1692" w:type="pct"/>
                  <w:vAlign w:val="center"/>
                </w:tcPr>
                <w:p w14:paraId="68A61E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井场应避开滑坡、泥石流等不良地质地段，在河滩、海滩地区应避开讯、潮期进行钻前施工</w:t>
                  </w:r>
                </w:p>
              </w:tc>
              <w:tc>
                <w:tcPr>
                  <w:tcW w:w="1837" w:type="pct"/>
                  <w:vAlign w:val="center"/>
                </w:tcPr>
                <w:p w14:paraId="264B1F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本项目井场选址不属于滑坡、泥石流等不良地段，也不属于河滩地区</w:t>
                  </w:r>
                  <w:r>
                    <w:rPr>
                      <w:rFonts w:hint="eastAsia" w:ascii="Times New Roman" w:hAnsi="Times New Roman" w:eastAsia="宋体" w:cs="Times New Roman"/>
                      <w:color w:val="auto"/>
                      <w:sz w:val="21"/>
                      <w:szCs w:val="21"/>
                      <w:vertAlign w:val="baseline"/>
                      <w:lang w:val="en-US" w:eastAsia="zh-CN"/>
                    </w:rPr>
                    <w:t>。</w:t>
                  </w:r>
                </w:p>
              </w:tc>
              <w:tc>
                <w:tcPr>
                  <w:tcW w:w="866" w:type="pct"/>
                  <w:vAlign w:val="center"/>
                </w:tcPr>
                <w:p w14:paraId="26AD5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0FA3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1F6C91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2" w:type="pct"/>
                  <w:vAlign w:val="center"/>
                </w:tcPr>
                <w:p w14:paraId="0DF7F87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满足防洪、防喷、防爆、防毒、防冻等安全要求</w:t>
                  </w:r>
                </w:p>
              </w:tc>
              <w:tc>
                <w:tcPr>
                  <w:tcW w:w="1837" w:type="pct"/>
                  <w:vAlign w:val="center"/>
                </w:tcPr>
                <w:p w14:paraId="415A1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本项目选址满足防洪、防喷、防爆、防毒、防冻等安全要求</w:t>
                  </w:r>
                  <w:r>
                    <w:rPr>
                      <w:rFonts w:hint="eastAsia" w:ascii="Times New Roman" w:hAnsi="Times New Roman" w:eastAsia="宋体" w:cs="Times New Roman"/>
                      <w:color w:val="auto"/>
                      <w:sz w:val="21"/>
                      <w:szCs w:val="21"/>
                      <w:vertAlign w:val="baseline"/>
                      <w:lang w:val="en-US" w:eastAsia="zh-CN"/>
                    </w:rPr>
                    <w:t>。</w:t>
                  </w:r>
                </w:p>
              </w:tc>
              <w:tc>
                <w:tcPr>
                  <w:tcW w:w="866" w:type="pct"/>
                  <w:vAlign w:val="center"/>
                </w:tcPr>
                <w:p w14:paraId="24E823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394A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restart"/>
                  <w:vAlign w:val="center"/>
                </w:tcPr>
                <w:p w14:paraId="3CB77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3.2井位的确定</w:t>
                  </w:r>
                </w:p>
              </w:tc>
              <w:tc>
                <w:tcPr>
                  <w:tcW w:w="1692" w:type="pct"/>
                  <w:vAlign w:val="center"/>
                </w:tcPr>
                <w:p w14:paraId="4B440F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油、气井井口距高压线及其他永久性设施不小于75m，距民宅不小于100m，距铁路、高速公路不小于200m，距学校、医院和大型油库等人口密集型、高危性场所不小于500m。</w:t>
                  </w:r>
                </w:p>
              </w:tc>
              <w:tc>
                <w:tcPr>
                  <w:tcW w:w="1837" w:type="pct"/>
                  <w:vAlign w:val="center"/>
                </w:tcPr>
                <w:p w14:paraId="708E906F">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w:t>
                  </w:r>
                  <w:r>
                    <w:rPr>
                      <w:rFonts w:hint="eastAsia" w:ascii="Times New Roman" w:hAnsi="Times New Roman" w:eastAsia="宋体" w:cs="Times New Roman"/>
                      <w:color w:val="auto"/>
                      <w:sz w:val="21"/>
                      <w:szCs w:val="21"/>
                      <w:vertAlign w:val="baseline"/>
                      <w:lang w:val="en-US" w:eastAsia="zh-CN"/>
                    </w:rPr>
                    <w:t>各个</w:t>
                  </w:r>
                  <w:r>
                    <w:rPr>
                      <w:rFonts w:hint="default" w:ascii="Times New Roman" w:hAnsi="Times New Roman" w:eastAsia="宋体" w:cs="Times New Roman"/>
                      <w:color w:val="auto"/>
                      <w:sz w:val="21"/>
                      <w:szCs w:val="21"/>
                      <w:vertAlign w:val="baseline"/>
                      <w:lang w:val="en-US" w:eastAsia="zh-CN"/>
                    </w:rPr>
                    <w:t>井场周围75m无高压线及其他永久性设施，100m范围内无民宅，200m范围内无铁路、高速公路，500米范围内无学校、医院和大型油库等人口密集性、高危性场所</w:t>
                  </w:r>
                  <w:r>
                    <w:rPr>
                      <w:rFonts w:hint="eastAsia" w:ascii="Times New Roman" w:hAnsi="Times New Roman" w:eastAsia="宋体" w:cs="Times New Roman"/>
                      <w:color w:val="auto"/>
                      <w:sz w:val="21"/>
                      <w:szCs w:val="21"/>
                      <w:vertAlign w:val="baseline"/>
                      <w:lang w:val="en-US" w:eastAsia="zh-CN"/>
                    </w:rPr>
                    <w:t>。本项目米107-32M井场距最近居民点240m，本项目米107-16M井场距最近居民点340m，本项目米107-32MH井场距最近居民点210m。</w:t>
                  </w:r>
                </w:p>
              </w:tc>
              <w:tc>
                <w:tcPr>
                  <w:tcW w:w="866" w:type="pct"/>
                  <w:vAlign w:val="center"/>
                </w:tcPr>
                <w:p w14:paraId="4618A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568AB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4" w:type="pct"/>
                  <w:vMerge w:val="continue"/>
                  <w:vAlign w:val="center"/>
                </w:tcPr>
                <w:p w14:paraId="47504D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2" w:type="pct"/>
                  <w:vAlign w:val="center"/>
                </w:tcPr>
                <w:p w14:paraId="721A82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在地下矿产采掘区钻井，井筒与采掘坑道、矿井坑道之间的距离不小于100m</w:t>
                  </w:r>
                </w:p>
              </w:tc>
              <w:tc>
                <w:tcPr>
                  <w:tcW w:w="1837" w:type="pct"/>
                  <w:vAlign w:val="center"/>
                </w:tcPr>
                <w:p w14:paraId="51A076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本项目钻井区不是地下矿产采掘区</w:t>
                  </w:r>
                  <w:r>
                    <w:rPr>
                      <w:rFonts w:hint="eastAsia" w:ascii="Times New Roman" w:hAnsi="Times New Roman" w:eastAsia="宋体" w:cs="Times New Roman"/>
                      <w:color w:val="auto"/>
                      <w:sz w:val="21"/>
                      <w:szCs w:val="21"/>
                      <w:vertAlign w:val="baseline"/>
                      <w:lang w:val="en-US" w:eastAsia="zh-CN"/>
                    </w:rPr>
                    <w:t>。</w:t>
                  </w:r>
                </w:p>
              </w:tc>
              <w:tc>
                <w:tcPr>
                  <w:tcW w:w="866" w:type="pct"/>
                  <w:vAlign w:val="center"/>
                </w:tcPr>
                <w:p w14:paraId="53366E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779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4" w:type="pct"/>
                  <w:vMerge w:val="continue"/>
                  <w:vAlign w:val="center"/>
                </w:tcPr>
                <w:p w14:paraId="479E71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692" w:type="pct"/>
                  <w:vAlign w:val="center"/>
                </w:tcPr>
                <w:p w14:paraId="5FFAB2D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井口距堤坝、水库的位置应根据国家水利部门的有关规定执行</w:t>
                  </w:r>
                </w:p>
              </w:tc>
              <w:tc>
                <w:tcPr>
                  <w:tcW w:w="1837" w:type="pct"/>
                  <w:vAlign w:val="center"/>
                </w:tcPr>
                <w:p w14:paraId="017E854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本项目井口周边不涉及堤坝、水库</w:t>
                  </w:r>
                  <w:r>
                    <w:rPr>
                      <w:rFonts w:hint="eastAsia" w:ascii="Times New Roman" w:hAnsi="Times New Roman" w:eastAsia="宋体" w:cs="Times New Roman"/>
                      <w:color w:val="auto"/>
                      <w:sz w:val="21"/>
                      <w:szCs w:val="21"/>
                      <w:vertAlign w:val="baseline"/>
                      <w:lang w:val="en-US" w:eastAsia="zh-CN"/>
                    </w:rPr>
                    <w:t>。</w:t>
                  </w:r>
                </w:p>
              </w:tc>
              <w:tc>
                <w:tcPr>
                  <w:tcW w:w="866" w:type="pct"/>
                  <w:vAlign w:val="center"/>
                </w:tcPr>
                <w:p w14:paraId="5C53C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33182E5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6、与《陕北油气田开采清洁文明井场验收标准》符合性分析</w:t>
            </w:r>
          </w:p>
          <w:p w14:paraId="6CDEA3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vertAlign w:val="baseline"/>
                <w:lang w:val="en-US" w:eastAsia="zh-CN"/>
              </w:rPr>
              <w:t>本项目与《陕北油气田开采清洁文明井场验收标准》（陕环办发【2016】31号）符合性分析见下表：</w:t>
            </w:r>
          </w:p>
          <w:p w14:paraId="12835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表1-10 与《陕北油气田开采清洁文明井场验收标准》符合性分析</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3317"/>
              <w:gridCol w:w="2475"/>
              <w:gridCol w:w="641"/>
            </w:tblGrid>
            <w:tr w14:paraId="0850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1" w:type="pct"/>
                  <w:gridSpan w:val="2"/>
                  <w:vAlign w:val="center"/>
                </w:tcPr>
                <w:p w14:paraId="56B82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陕环办发【2016】31号</w:t>
                  </w:r>
                </w:p>
              </w:tc>
              <w:tc>
                <w:tcPr>
                  <w:tcW w:w="1746" w:type="pct"/>
                  <w:vAlign w:val="center"/>
                </w:tcPr>
                <w:p w14:paraId="1059C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452" w:type="pct"/>
                  <w:vAlign w:val="center"/>
                </w:tcPr>
                <w:p w14:paraId="1123E1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05AB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restart"/>
                  <w:vAlign w:val="center"/>
                </w:tcPr>
                <w:p w14:paraId="657610A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一、钻探井场</w:t>
                  </w:r>
                </w:p>
              </w:tc>
              <w:tc>
                <w:tcPr>
                  <w:tcW w:w="2339" w:type="pct"/>
                  <w:vAlign w:val="center"/>
                </w:tcPr>
                <w:p w14:paraId="4FA512B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w:t>
                  </w:r>
                  <w:r>
                    <w:rPr>
                      <w:rFonts w:hint="default" w:ascii="Times New Roman" w:hAnsi="Times New Roman" w:eastAsia="宋体" w:cs="Times New Roman"/>
                      <w:color w:val="auto"/>
                      <w:kern w:val="0"/>
                      <w:sz w:val="21"/>
                      <w:szCs w:val="21"/>
                      <w:lang w:val="en-US" w:eastAsia="zh-CN" w:bidi="ar"/>
                    </w:rPr>
                    <w:t>钻井作业的泥浆池和泥浆槽必须采取防渗漏、防外溢措施。泥浆上清液应循环使用或处理达标后回注油层。钻井泥浆应当交由有资质单位处置，岩屑及其他废弃物要进行无害化处理</w:t>
                  </w:r>
                </w:p>
              </w:tc>
              <w:tc>
                <w:tcPr>
                  <w:tcW w:w="1746" w:type="pct"/>
                </w:tcPr>
                <w:p w14:paraId="3206A4F5">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本项目钻井作业的泥浆罐区、岩屑暂存池等区域进行重点防渗，四周用土堆成简易围堰，围堰内地面连同四周的土围堰整体铺设防渗材料（</w:t>
                  </w:r>
                  <w:r>
                    <w:rPr>
                      <w:rFonts w:hint="eastAsia" w:ascii="Times New Roman" w:hAnsi="Times New Roman" w:eastAsia="宋体" w:cs="Times New Roman"/>
                      <w:color w:val="auto"/>
                      <w:kern w:val="0"/>
                      <w:sz w:val="21"/>
                      <w:szCs w:val="21"/>
                      <w:lang w:val="en-US" w:eastAsia="zh-CN" w:bidi="ar"/>
                    </w:rPr>
                    <w:t>企业拟采取2mm膜防渗措施</w:t>
                  </w:r>
                  <w:r>
                    <w:rPr>
                      <w:rFonts w:hint="default" w:ascii="Times New Roman" w:hAnsi="Times New Roman" w:eastAsia="宋体" w:cs="Times New Roman"/>
                      <w:color w:val="auto"/>
                      <w:kern w:val="0"/>
                      <w:sz w:val="21"/>
                      <w:szCs w:val="21"/>
                      <w:lang w:val="en-US" w:eastAsia="zh-CN" w:bidi="ar"/>
                    </w:rPr>
                    <w:t>），HDPE膜敷设面积应适当扩大，覆盖围堰区外延1.0m；泥浆上清液回用于钻井液配液；废弃泥浆、钻井岩屑委托陕西德禾鑫盛环保科技有限公司处置；废油、含油废棉纱等其它危险废物委托资质单位处置。</w:t>
                  </w:r>
                </w:p>
              </w:tc>
              <w:tc>
                <w:tcPr>
                  <w:tcW w:w="452" w:type="pct"/>
                  <w:vAlign w:val="center"/>
                </w:tcPr>
                <w:p w14:paraId="7992A0BD">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8CA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tcPr>
                <w:p w14:paraId="628EB63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00D1878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w:t>
                  </w:r>
                  <w:r>
                    <w:rPr>
                      <w:rFonts w:hint="default" w:ascii="Times New Roman" w:hAnsi="Times New Roman" w:eastAsia="宋体" w:cs="Times New Roman"/>
                      <w:color w:val="auto"/>
                      <w:kern w:val="0"/>
                      <w:sz w:val="21"/>
                      <w:szCs w:val="21"/>
                      <w:lang w:val="en-US" w:eastAsia="zh-CN" w:bidi="ar"/>
                    </w:rPr>
                    <w:t>钻井作业必须采取防止污油外泄和渗漏等有效措施，污油要及时回收，废弃污油泥应当交由有资质单位处置</w:t>
                  </w:r>
                </w:p>
              </w:tc>
              <w:tc>
                <w:tcPr>
                  <w:tcW w:w="1746" w:type="pct"/>
                  <w:vAlign w:val="center"/>
                </w:tcPr>
                <w:p w14:paraId="6C7BB4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本项目采用水基钻井液，无废弃污油泥产生。</w:t>
                  </w:r>
                </w:p>
              </w:tc>
              <w:tc>
                <w:tcPr>
                  <w:tcW w:w="452" w:type="pct"/>
                  <w:vAlign w:val="center"/>
                </w:tcPr>
                <w:p w14:paraId="2E880F6E">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2BD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tcPr>
                <w:p w14:paraId="01B24DD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tcPr>
                <w:p w14:paraId="2FDA60DD">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w:t>
                  </w:r>
                  <w:r>
                    <w:rPr>
                      <w:rFonts w:hint="default" w:ascii="Times New Roman" w:hAnsi="Times New Roman" w:eastAsia="宋体" w:cs="Times New Roman"/>
                      <w:color w:val="auto"/>
                      <w:kern w:val="0"/>
                      <w:sz w:val="21"/>
                      <w:szCs w:val="21"/>
                      <w:lang w:val="en-US" w:eastAsia="zh-CN" w:bidi="ar"/>
                    </w:rPr>
                    <w:t>试油（气）作业必须采取防喷、导流等有效措施。试油(气)完成后，应在60日内完成泥浆处置、岩屑固化及善后处理</w:t>
                  </w:r>
                  <w:r>
                    <w:rPr>
                      <w:rFonts w:hint="eastAsia" w:ascii="Times New Roman" w:hAnsi="Times New Roman" w:eastAsia="宋体" w:cs="Times New Roman"/>
                      <w:color w:val="auto"/>
                      <w:kern w:val="0"/>
                      <w:sz w:val="21"/>
                      <w:szCs w:val="21"/>
                      <w:lang w:val="en-US" w:eastAsia="zh-CN" w:bidi="ar"/>
                    </w:rPr>
                    <w:t>。</w:t>
                  </w:r>
                </w:p>
              </w:tc>
              <w:tc>
                <w:tcPr>
                  <w:tcW w:w="1746" w:type="pct"/>
                </w:tcPr>
                <w:p w14:paraId="1D6E1AE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本项目试气作业采取有效的防喷措施。要求企业试气完成后，及时完成泥浆、岩屑等善后处理。</w:t>
                  </w:r>
                </w:p>
              </w:tc>
              <w:tc>
                <w:tcPr>
                  <w:tcW w:w="452" w:type="pct"/>
                  <w:vAlign w:val="center"/>
                </w:tcPr>
                <w:p w14:paraId="4ED1DEEB">
                  <w:pPr>
                    <w:keepNext w:val="0"/>
                    <w:keepLines w:val="0"/>
                    <w:widowControl/>
                    <w:suppressLineNumbers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4D29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restart"/>
                  <w:vAlign w:val="center"/>
                </w:tcPr>
                <w:p w14:paraId="40E64E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三、生态环境修复</w:t>
                  </w:r>
                </w:p>
              </w:tc>
              <w:tc>
                <w:tcPr>
                  <w:tcW w:w="2339" w:type="pct"/>
                  <w:vAlign w:val="center"/>
                </w:tcPr>
                <w:p w14:paraId="0A9E8A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井场的道路两侧和围墙内外宜绿化区域应实现林草覆盖，有效覆盖面积不低于98％</w:t>
                  </w:r>
                  <w:r>
                    <w:rPr>
                      <w:rFonts w:hint="eastAsia" w:ascii="Times New Roman" w:hAnsi="Times New Roman" w:eastAsia="宋体" w:cs="Times New Roman"/>
                      <w:color w:val="auto"/>
                      <w:kern w:val="0"/>
                      <w:sz w:val="21"/>
                      <w:szCs w:val="21"/>
                      <w:lang w:val="en-US" w:eastAsia="zh-CN" w:bidi="ar"/>
                    </w:rPr>
                    <w:t>。</w:t>
                  </w:r>
                </w:p>
              </w:tc>
              <w:tc>
                <w:tcPr>
                  <w:tcW w:w="1746" w:type="pct"/>
                  <w:vMerge w:val="restart"/>
                  <w:vAlign w:val="center"/>
                </w:tcPr>
                <w:p w14:paraId="2B1E944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本项目属于</w:t>
                  </w:r>
                  <w:r>
                    <w:rPr>
                      <w:rFonts w:hint="eastAsia" w:ascii="Times New Roman" w:hAnsi="Times New Roman" w:eastAsia="宋体" w:cs="Times New Roman"/>
                      <w:color w:val="auto"/>
                      <w:kern w:val="0"/>
                      <w:sz w:val="21"/>
                      <w:szCs w:val="21"/>
                      <w:lang w:val="en-US" w:eastAsia="zh-CN" w:bidi="ar"/>
                    </w:rPr>
                    <w:t>评价井钻</w:t>
                  </w:r>
                  <w:r>
                    <w:rPr>
                      <w:rFonts w:hint="default" w:ascii="Times New Roman" w:hAnsi="Times New Roman" w:eastAsia="宋体" w:cs="Times New Roman"/>
                      <w:color w:val="auto"/>
                      <w:kern w:val="0"/>
                      <w:sz w:val="21"/>
                      <w:szCs w:val="21"/>
                      <w:lang w:val="en-US" w:eastAsia="zh-CN" w:bidi="ar"/>
                    </w:rPr>
                    <w:t>井工程，施工期结束后</w:t>
                  </w:r>
                  <w:r>
                    <w:rPr>
                      <w:rFonts w:hint="eastAsia" w:ascii="Times New Roman" w:hAnsi="Times New Roman" w:eastAsia="宋体" w:cs="Times New Roman"/>
                      <w:color w:val="auto"/>
                      <w:kern w:val="0"/>
                      <w:sz w:val="21"/>
                      <w:szCs w:val="21"/>
                      <w:lang w:val="en-US" w:eastAsia="zh-CN" w:bidi="ar"/>
                    </w:rPr>
                    <w:t>。当勘探井不具有开发价值时，采取永久封井，对临时占地恢复原状；当勘探并具有开发价值时，采取临时封井，除预留转成生产井所需的面积外，其他区域恢复原有植被和生态景观，使区域生态景观和谐致。</w:t>
                  </w:r>
                </w:p>
              </w:tc>
              <w:tc>
                <w:tcPr>
                  <w:tcW w:w="452" w:type="pct"/>
                  <w:vAlign w:val="center"/>
                </w:tcPr>
                <w:p w14:paraId="23F5B9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90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vAlign w:val="center"/>
                </w:tcPr>
                <w:p w14:paraId="187A7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32F8D9C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关闭油（气）井应封堵油（气）层、封闭井口，并同步实施井场复垦还田或植树种草工程措施。</w:t>
                  </w:r>
                </w:p>
              </w:tc>
              <w:tc>
                <w:tcPr>
                  <w:tcW w:w="1746" w:type="pct"/>
                  <w:vMerge w:val="continue"/>
                </w:tcPr>
                <w:p w14:paraId="5424A48D">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452" w:type="pct"/>
                  <w:vAlign w:val="center"/>
                </w:tcPr>
                <w:p w14:paraId="3F680E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677C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restart"/>
                </w:tcPr>
                <w:p w14:paraId="09B3FA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四、清洁文明井场管理</w:t>
                  </w:r>
                </w:p>
              </w:tc>
              <w:tc>
                <w:tcPr>
                  <w:tcW w:w="2339" w:type="pct"/>
                  <w:vAlign w:val="center"/>
                </w:tcPr>
                <w:p w14:paraId="33A2590E">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井场应做到清洁卫生，无跑、冒、滴、漏现象，场外无油污、无垃圾，杜绝污染物乱堆乱放。</w:t>
                  </w:r>
                </w:p>
              </w:tc>
              <w:tc>
                <w:tcPr>
                  <w:tcW w:w="1746" w:type="pct"/>
                </w:tcPr>
                <w:p w14:paraId="41031D9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要求企业在勘探期井场做到清洁卫生，无跑、冒、滴、漏现象，场外无油污、无垃圾，杜绝污染物乱堆乱放。</w:t>
                  </w:r>
                </w:p>
              </w:tc>
              <w:tc>
                <w:tcPr>
                  <w:tcW w:w="452" w:type="pct"/>
                  <w:vAlign w:val="center"/>
                </w:tcPr>
                <w:p w14:paraId="38C2DE7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r w14:paraId="501B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 w:type="pct"/>
                  <w:vMerge w:val="continue"/>
                </w:tcPr>
                <w:p w14:paraId="702C514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p>
              </w:tc>
              <w:tc>
                <w:tcPr>
                  <w:tcW w:w="2339" w:type="pct"/>
                  <w:vAlign w:val="center"/>
                </w:tcPr>
                <w:p w14:paraId="0D07F3B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按照环境事故应急预案，要对井场操作人员进行应急培训，并储备相应抢险应急物资。</w:t>
                  </w:r>
                </w:p>
              </w:tc>
              <w:tc>
                <w:tcPr>
                  <w:tcW w:w="1746" w:type="pct"/>
                </w:tcPr>
                <w:p w14:paraId="0A1916B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企业已设立安全环保科，并针对单井由专人负责，对井场操作人员进行应急培训，并储备相应抢险应急物资。</w:t>
                  </w:r>
                </w:p>
              </w:tc>
              <w:tc>
                <w:tcPr>
                  <w:tcW w:w="452" w:type="pct"/>
                  <w:vAlign w:val="center"/>
                </w:tcPr>
                <w:p w14:paraId="74CF1C04">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符合</w:t>
                  </w:r>
                </w:p>
              </w:tc>
            </w:tr>
          </w:tbl>
          <w:p w14:paraId="710FAEFA">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7、与《绿色勘察指南》（T/CMAS0001-2018）符合性分析</w:t>
            </w:r>
          </w:p>
          <w:p w14:paraId="54637F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本项目与《绿色勘察指南》（T/CMAS0001-2018）符合性分析见表1-11。</w:t>
            </w:r>
          </w:p>
          <w:p w14:paraId="10D7B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表1-11 本项目与《绿色勘察指南》（T/CMAS0001-2018）符合性分析</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3327"/>
              <w:gridCol w:w="2815"/>
              <w:gridCol w:w="428"/>
            </w:tblGrid>
            <w:tr w14:paraId="2D33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61F4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49" w:type="pct"/>
                  <w:vAlign w:val="center"/>
                </w:tcPr>
                <w:p w14:paraId="003575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相关条款</w:t>
                  </w:r>
                </w:p>
              </w:tc>
              <w:tc>
                <w:tcPr>
                  <w:tcW w:w="1987" w:type="pct"/>
                  <w:vAlign w:val="center"/>
                </w:tcPr>
                <w:p w14:paraId="410333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本项目情况</w:t>
                  </w:r>
                </w:p>
              </w:tc>
              <w:tc>
                <w:tcPr>
                  <w:tcW w:w="300" w:type="pct"/>
                  <w:vAlign w:val="center"/>
                </w:tcPr>
                <w:p w14:paraId="35B270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符合性</w:t>
                  </w:r>
                </w:p>
              </w:tc>
            </w:tr>
            <w:tr w14:paraId="3D2A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38A47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2349" w:type="pct"/>
                  <w:vAlign w:val="center"/>
                </w:tcPr>
                <w:p w14:paraId="23C9ECA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施工剥离的适合复垦的表土，应当收集存放管理，作为施工结束后的复垦、复绿用土。宜将开挖的土石用于工程回填、路基建设及边坡填筑。需外运土石应指定位置并规范管理</w:t>
                  </w:r>
                </w:p>
              </w:tc>
              <w:tc>
                <w:tcPr>
                  <w:tcW w:w="1987" w:type="pct"/>
                  <w:vAlign w:val="center"/>
                </w:tcPr>
                <w:p w14:paraId="4FFDF89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项目施工剥离的适合复垦的表土，收集存放于临时堆土场，作为施工结束后的复垦、复绿用土。开挖的土石用于工程回填。本项目不需要外运土方。</w:t>
                  </w:r>
                </w:p>
              </w:tc>
              <w:tc>
                <w:tcPr>
                  <w:tcW w:w="300" w:type="pct"/>
                  <w:vAlign w:val="center"/>
                </w:tcPr>
                <w:p w14:paraId="6C8499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CD88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EAFCF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2349" w:type="pct"/>
                  <w:vAlign w:val="center"/>
                </w:tcPr>
                <w:p w14:paraId="3DFC1F0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施工中挖填形成的边坡及土石堆场边坡应做好支护或拦挡，预防崩塌、滑坡、泥石流等地质灾害，尽量减少土石压占土地面积。</w:t>
                  </w:r>
                </w:p>
              </w:tc>
              <w:tc>
                <w:tcPr>
                  <w:tcW w:w="1987" w:type="pct"/>
                  <w:vAlign w:val="center"/>
                </w:tcPr>
                <w:p w14:paraId="622F6FC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施工过程中尽量减少土石压占土地面积。挖填形成的边坡及土石堆场边坡做好拦挡，预防各类地质灾害。</w:t>
                  </w:r>
                </w:p>
              </w:tc>
              <w:tc>
                <w:tcPr>
                  <w:tcW w:w="300" w:type="pct"/>
                  <w:vAlign w:val="center"/>
                </w:tcPr>
                <w:p w14:paraId="5B56B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B9C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F5E2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2349" w:type="pct"/>
                  <w:vAlign w:val="center"/>
                </w:tcPr>
                <w:p w14:paraId="0AAD26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统筹规划勘察场地进入通道，充分利用已有可利用的公路、村道等</w:t>
                  </w:r>
                </w:p>
              </w:tc>
              <w:tc>
                <w:tcPr>
                  <w:tcW w:w="1987" w:type="pct"/>
                  <w:vMerge w:val="restart"/>
                  <w:vAlign w:val="center"/>
                </w:tcPr>
                <w:p w14:paraId="0D68B7E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项目充分利用已有公路、村道、油区道路等现有道路，不新增临时道路，减少植被破坏。</w:t>
                  </w:r>
                </w:p>
              </w:tc>
              <w:tc>
                <w:tcPr>
                  <w:tcW w:w="300" w:type="pct"/>
                  <w:vAlign w:val="center"/>
                </w:tcPr>
                <w:p w14:paraId="4B77F7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C2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9F13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2349" w:type="pct"/>
                  <w:vAlign w:val="center"/>
                </w:tcPr>
                <w:p w14:paraId="2DE3D64F">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在确保安全情况下，道路修筑尽可能减少占用土地、植物移植，以及对水环境和野生动物保护的影响。</w:t>
                  </w:r>
                </w:p>
              </w:tc>
              <w:tc>
                <w:tcPr>
                  <w:tcW w:w="1987" w:type="pct"/>
                  <w:vMerge w:val="continue"/>
                  <w:vAlign w:val="center"/>
                </w:tcPr>
                <w:p w14:paraId="59A40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00" w:type="pct"/>
                  <w:vAlign w:val="center"/>
                </w:tcPr>
                <w:p w14:paraId="70699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8DD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FA143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2349" w:type="pct"/>
                  <w:vAlign w:val="center"/>
                </w:tcPr>
                <w:p w14:paraId="4ED89965">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一般应按照现场施工设备、附属设施安装、施工操作、钻进液循环系统、材料物资存放、临建房屋等施工需要，依据现场地形条件进行分区布置，以满足减小环境影响和安全文明施工为原则，严格控制场地平整使用土地面积</w:t>
                  </w:r>
                </w:p>
              </w:tc>
              <w:tc>
                <w:tcPr>
                  <w:tcW w:w="1987" w:type="pct"/>
                  <w:vAlign w:val="center"/>
                </w:tcPr>
                <w:p w14:paraId="1F5416ED">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项目钻探施工场地按要求分区布设，满足安全距离要求同时严格控制占地面积，进行文明施工。</w:t>
                  </w:r>
                </w:p>
              </w:tc>
              <w:tc>
                <w:tcPr>
                  <w:tcW w:w="300" w:type="pct"/>
                  <w:vAlign w:val="center"/>
                </w:tcPr>
                <w:p w14:paraId="721834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41B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43987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2349" w:type="pct"/>
                  <w:vAlign w:val="center"/>
                </w:tcPr>
                <w:p w14:paraId="4F0C9EA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钻探设备安装及其施工操作场地，鼓励优先采用模块化的便携式探矿设备</w:t>
                  </w:r>
                </w:p>
              </w:tc>
              <w:tc>
                <w:tcPr>
                  <w:tcW w:w="1987" w:type="pct"/>
                  <w:vAlign w:val="center"/>
                </w:tcPr>
                <w:p w14:paraId="78B17AFC">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项目钻探设备模块化的便携式探矿设备。</w:t>
                  </w:r>
                </w:p>
              </w:tc>
              <w:tc>
                <w:tcPr>
                  <w:tcW w:w="300" w:type="pct"/>
                  <w:vAlign w:val="center"/>
                </w:tcPr>
                <w:p w14:paraId="1C854F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3AD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B23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2349" w:type="pct"/>
                  <w:vAlign w:val="center"/>
                </w:tcPr>
                <w:p w14:paraId="15C9BC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钻进液循环系统场地，清水池或浆液池及废浆液池可不与钻进施工机场同一场地布置，其开挖容积应按钻孔深度进行计算，不宜小于钻孔容积的2倍</w:t>
                  </w:r>
                </w:p>
              </w:tc>
              <w:tc>
                <w:tcPr>
                  <w:tcW w:w="1987" w:type="pct"/>
                  <w:vAlign w:val="center"/>
                </w:tcPr>
                <w:p w14:paraId="28ACFDD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项目采用最新要求的泥浆不落地成套设备，钻井泥浆采用泥浆罐收集并循环使用。</w:t>
                  </w:r>
                </w:p>
              </w:tc>
              <w:tc>
                <w:tcPr>
                  <w:tcW w:w="300" w:type="pct"/>
                  <w:vAlign w:val="center"/>
                </w:tcPr>
                <w:p w14:paraId="76B49C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7DE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4DE8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2349" w:type="pct"/>
                  <w:vAlign w:val="center"/>
                </w:tcPr>
                <w:p w14:paraId="271FFAEA">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照附属设备、设施安装及操作使用需求，在最大限度减少环境扰动前提下，依地形分区平整场地</w:t>
                  </w:r>
                </w:p>
              </w:tc>
              <w:tc>
                <w:tcPr>
                  <w:tcW w:w="1987" w:type="pct"/>
                  <w:vAlign w:val="center"/>
                </w:tcPr>
                <w:p w14:paraId="4F360D0C">
                  <w:pPr>
                    <w:keepNext w:val="0"/>
                    <w:keepLines w:val="0"/>
                    <w:widowControl/>
                    <w:suppressLineNumbers w:val="0"/>
                    <w:jc w:val="both"/>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岩心棚及材料库、备用管材物资堆场、值班休息房、油料堆场、废弃物资及垃圾场、工地厕所场地等附属设备设施场地按相关要求分区布设。</w:t>
                  </w:r>
                </w:p>
              </w:tc>
              <w:tc>
                <w:tcPr>
                  <w:tcW w:w="300" w:type="pct"/>
                  <w:vAlign w:val="center"/>
                </w:tcPr>
                <w:p w14:paraId="1C74D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985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94BBB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2349" w:type="pct"/>
                  <w:vAlign w:val="center"/>
                </w:tcPr>
                <w:p w14:paraId="2E473EC8">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钻探（钻井）施工场地应设置排水沟，确保现场无低洼积水。若施工机场边坡上方汇水面大或位于冲沟附近，应设置截水沟</w:t>
                  </w:r>
                </w:p>
              </w:tc>
              <w:tc>
                <w:tcPr>
                  <w:tcW w:w="1987" w:type="pct"/>
                  <w:vAlign w:val="center"/>
                </w:tcPr>
                <w:p w14:paraId="7C51AA77">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钻探（钻井）施工场地四周设置截排水沟对雨水进行引流，防止站场水土流失。</w:t>
                  </w:r>
                </w:p>
              </w:tc>
              <w:tc>
                <w:tcPr>
                  <w:tcW w:w="300" w:type="pct"/>
                  <w:vAlign w:val="center"/>
                </w:tcPr>
                <w:p w14:paraId="654ACC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E88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41CCD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2349" w:type="pct"/>
                  <w:vAlign w:val="center"/>
                </w:tcPr>
                <w:p w14:paraId="20B45239">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主要设备及配套技术应处于国内先进水平。施工设备应具备安、拆快捷、便于搬运，机械化、智能化程度高，施工操作安全简便、劳动强度低、生产效率高，工程质量好、节能、环保等特点。优先采用模块化、轻便化、小型化、集成度高的钻探施工及其配套设备</w:t>
                  </w:r>
                </w:p>
              </w:tc>
              <w:tc>
                <w:tcPr>
                  <w:tcW w:w="1987" w:type="pct"/>
                  <w:vAlign w:val="center"/>
                </w:tcPr>
                <w:p w14:paraId="061FCEAB">
                  <w:pPr>
                    <w:keepNext w:val="0"/>
                    <w:keepLines w:val="0"/>
                    <w:widowControl/>
                    <w:suppressLineNumbers w:val="0"/>
                    <w:jc w:val="left"/>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属于模块化、轻便化、小型化、集成度高的设备。且采用先进的泥浆收集循环利用成套设备。均具有机械化、智能化程度高，施工操作安全简便、劳动强度低、生产效率高，工程质量好、节能、环保等特点。</w:t>
                  </w:r>
                </w:p>
              </w:tc>
              <w:tc>
                <w:tcPr>
                  <w:tcW w:w="300" w:type="pct"/>
                  <w:vAlign w:val="center"/>
                </w:tcPr>
                <w:p w14:paraId="5376D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5F8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962AA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11</w:t>
                  </w:r>
                </w:p>
              </w:tc>
              <w:tc>
                <w:tcPr>
                  <w:tcW w:w="2349" w:type="pct"/>
                  <w:vAlign w:val="center"/>
                </w:tcPr>
                <w:p w14:paraId="7ABE2F7B">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技术工艺应先进合理，切合勘查施工要求，钻进效率高，质量优，节能减排，安全环保。积极采用定向钻探、绳索取心金刚石钻进、冲击回转钻进、空气潜孔钻进、不提钻换钻头等先进的钻探施工方法及技术工艺。除浅表层开孔外，尽量采用金刚石绳索取心、双层管或三层管钻进技术工艺</w:t>
                  </w:r>
                </w:p>
              </w:tc>
              <w:tc>
                <w:tcPr>
                  <w:tcW w:w="1987" w:type="pct"/>
                  <w:vAlign w:val="center"/>
                </w:tcPr>
                <w:p w14:paraId="6C725BA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项目采用目前先进的</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钻机及配套钻井设备，钻进效率高，质量优，节能减排，安全环保。</w:t>
                  </w:r>
                  <w:r>
                    <w:rPr>
                      <w:rFonts w:hint="default" w:ascii="Times New Roman" w:hAnsi="Times New Roman" w:eastAsia="宋体" w:cs="Times New Roman"/>
                      <w:color w:val="auto"/>
                      <w:kern w:val="0"/>
                      <w:sz w:val="21"/>
                      <w:szCs w:val="21"/>
                      <w:lang w:val="en-US" w:eastAsia="zh-CN" w:bidi="ar"/>
                    </w:rPr>
                    <w:t>ZJ50</w:t>
                  </w:r>
                  <w:r>
                    <w:rPr>
                      <w:rFonts w:hint="eastAsia" w:ascii="宋体" w:hAnsi="宋体" w:eastAsia="宋体" w:cs="宋体"/>
                      <w:color w:val="auto"/>
                      <w:kern w:val="0"/>
                      <w:sz w:val="21"/>
                      <w:szCs w:val="21"/>
                      <w:lang w:val="en-US" w:eastAsia="zh-CN" w:bidi="ar"/>
                    </w:rPr>
                    <w:t>钻机主要用于岩心勘探的钻机。项目采用金刚石绳索取心钻进工艺，在钻探施工过程的回次钻进中，不用提出全套钻柱(包括外管)、而借助绳索打捞器打捞内管取心，可实现长孔段连续钻进，工艺较为先进。</w:t>
                  </w:r>
                </w:p>
              </w:tc>
              <w:tc>
                <w:tcPr>
                  <w:tcW w:w="300" w:type="pct"/>
                  <w:vAlign w:val="center"/>
                </w:tcPr>
                <w:p w14:paraId="055BC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06E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11B1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2349" w:type="pct"/>
                  <w:vAlign w:val="center"/>
                </w:tcPr>
                <w:p w14:paraId="2AFCF78C">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钻探施工循环液使用泥浆时，应采用无固相或低固相的优质环保浆液。泥浆材料及处理剂具备无毒无害、可自然降解性能，符合环保标准要求。加强循环液的现场使用管理，做好施工中防渗、护壁及净化处理，预防浆液使用中造成地面及地下污染</w:t>
                  </w:r>
                </w:p>
              </w:tc>
              <w:tc>
                <w:tcPr>
                  <w:tcW w:w="1987" w:type="pct"/>
                  <w:vAlign w:val="center"/>
                </w:tcPr>
                <w:p w14:paraId="196C6C86">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项目采用水基型钻井液，具有无毒无害、可自然降解的特点，钻井泥浆采用泥浆罐收集并循环利用，要求泥浆不落地。</w:t>
                  </w:r>
                </w:p>
              </w:tc>
              <w:tc>
                <w:tcPr>
                  <w:tcW w:w="300" w:type="pct"/>
                  <w:vAlign w:val="center"/>
                </w:tcPr>
                <w:p w14:paraId="49226A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24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F13FB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2349" w:type="pct"/>
                  <w:vAlign w:val="center"/>
                </w:tcPr>
                <w:p w14:paraId="63D8BBA1">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勘查产生的废水可循环利用的应循环利用；对外排放应经沉淀和按规定进行技术处理，按照</w:t>
                  </w:r>
                  <w:r>
                    <w:rPr>
                      <w:rFonts w:hint="default" w:ascii="Times New Roman" w:hAnsi="Times New Roman" w:eastAsia="宋体" w:cs="Times New Roman"/>
                      <w:color w:val="auto"/>
                      <w:kern w:val="0"/>
                      <w:sz w:val="21"/>
                      <w:szCs w:val="21"/>
                      <w:lang w:val="en-US" w:eastAsia="zh-CN" w:bidi="ar"/>
                    </w:rPr>
                    <w:t>GB8978</w:t>
                  </w:r>
                  <w:r>
                    <w:rPr>
                      <w:rFonts w:hint="eastAsia" w:ascii="宋体" w:hAnsi="宋体" w:eastAsia="宋体" w:cs="宋体"/>
                      <w:color w:val="auto"/>
                      <w:kern w:val="0"/>
                      <w:sz w:val="21"/>
                      <w:szCs w:val="21"/>
                      <w:lang w:val="en-US" w:eastAsia="zh-CN" w:bidi="ar"/>
                    </w:rPr>
                    <w:t>标准执行</w:t>
                  </w:r>
                </w:p>
              </w:tc>
              <w:tc>
                <w:tcPr>
                  <w:tcW w:w="1987" w:type="pct"/>
                  <w:vAlign w:val="center"/>
                </w:tcPr>
                <w:p w14:paraId="4D9E4D63">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泥浆上清液排入地上移动式污水罐，用于配制泥浆，循环使用，洗井废水、压裂返排液排入井场设置的地上废水收集罐，送至陕西榆佳环保科技有限公司外运处理；生活污水排入移动式环保厕所内后清掏用作农肥。</w:t>
                  </w:r>
                </w:p>
              </w:tc>
              <w:tc>
                <w:tcPr>
                  <w:tcW w:w="300" w:type="pct"/>
                  <w:vAlign w:val="center"/>
                </w:tcPr>
                <w:p w14:paraId="44BC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BAB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869B5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2349" w:type="pct"/>
                  <w:vAlign w:val="center"/>
                </w:tcPr>
                <w:p w14:paraId="2BE33719">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油气表层钻井应使用空气钻或清水钻进方式，钻进过程中遇到水层，固井时应避开水层，防止地表水受到污染。油气钻进施工中，如出现孔内泥浆严重漏失及涌水现象，应快速穿越漏失及涌水地层后，及时对漏失及涌水地层孔段采用快干水泥基堵漏材料进行封堵，孔深较浅时，亦可采用套管隔离，预防泥浆对地下水造成污染破坏</w:t>
                  </w:r>
                </w:p>
              </w:tc>
              <w:tc>
                <w:tcPr>
                  <w:tcW w:w="1987" w:type="pct"/>
                  <w:vAlign w:val="center"/>
                </w:tcPr>
                <w:p w14:paraId="035D35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宋体" w:hAnsi="宋体" w:eastAsia="宋体" w:cs="宋体"/>
                      <w:color w:val="auto"/>
                      <w:kern w:val="0"/>
                      <w:sz w:val="21"/>
                      <w:szCs w:val="21"/>
                      <w:lang w:val="en-US" w:eastAsia="zh-CN" w:bidi="ar"/>
                    </w:rPr>
                    <w:t>项目表层钻井使用清水钻，钻进过程中遇到水层，固井时避开水层，防止地表水受到污染。钻进施工中，如出现孔内泥浆严重漏失及涌水现象，应快速穿越漏失及涌水地层后，及时对漏失及涌水地层孔段采用快干水泥基堵漏材料进行封堵，孔深较浅时，亦可采用套管隔离，预防泥浆对地下水造成污染和破坏。</w:t>
                  </w:r>
                </w:p>
              </w:tc>
              <w:tc>
                <w:tcPr>
                  <w:tcW w:w="300" w:type="pct"/>
                  <w:vAlign w:val="center"/>
                </w:tcPr>
                <w:p w14:paraId="22628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F07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75205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2349" w:type="pct"/>
                  <w:vAlign w:val="center"/>
                </w:tcPr>
                <w:p w14:paraId="210F2A7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勘查施工道路、场地平整、现场作业应充分考虑到野生动植物保护。勘查机械设备应安装消声装置或场地修隔音设施，降低施工噪音；在有人居住区和野生动物栖息附近，夜间应停止有噪声影响的作业活动</w:t>
                  </w:r>
                </w:p>
              </w:tc>
              <w:tc>
                <w:tcPr>
                  <w:tcW w:w="1987" w:type="pct"/>
                  <w:vAlign w:val="center"/>
                </w:tcPr>
                <w:p w14:paraId="01410FF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场地平整、现场作业选用低噪声设备，文明施工，减少占地，做好野生动植物保护的施工宣传。项目钻井和泥浆收集处理成套设备均配备减震基座和减震垫，空气动力设备安装消声装置</w:t>
                  </w:r>
                  <w:r>
                    <w:rPr>
                      <w:rFonts w:hint="eastAsia" w:ascii="Times New Roman" w:hAnsi="Times New Roman" w:eastAsia="宋体" w:cs="Times New Roman"/>
                      <w:color w:val="auto"/>
                      <w:sz w:val="21"/>
                      <w:szCs w:val="21"/>
                      <w:lang w:eastAsia="zh-CN"/>
                    </w:rPr>
                    <w:t>。</w:t>
                  </w:r>
                </w:p>
              </w:tc>
              <w:tc>
                <w:tcPr>
                  <w:tcW w:w="300" w:type="pct"/>
                  <w:vAlign w:val="center"/>
                </w:tcPr>
                <w:p w14:paraId="4C6E43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1B0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1147E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2349" w:type="pct"/>
                  <w:vAlign w:val="center"/>
                </w:tcPr>
                <w:p w14:paraId="6E613B74">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对容易产生粉尘的作业，采取喷雾、洒水等措施最大限度地降低勘查施工作业中产生的粉尘</w:t>
                  </w:r>
                </w:p>
              </w:tc>
              <w:tc>
                <w:tcPr>
                  <w:tcW w:w="1987" w:type="pct"/>
                  <w:vAlign w:val="center"/>
                </w:tcPr>
                <w:p w14:paraId="0FDF289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项目土方施工过程中配套洒水车进行洒水抑尘</w:t>
                  </w:r>
                  <w:r>
                    <w:rPr>
                      <w:rFonts w:hint="eastAsia" w:ascii="Times New Roman" w:hAnsi="Times New Roman" w:eastAsia="宋体" w:cs="Times New Roman"/>
                      <w:color w:val="auto"/>
                      <w:sz w:val="21"/>
                      <w:szCs w:val="21"/>
                      <w:lang w:eastAsia="zh-CN"/>
                    </w:rPr>
                    <w:t>。</w:t>
                  </w:r>
                </w:p>
              </w:tc>
              <w:tc>
                <w:tcPr>
                  <w:tcW w:w="300" w:type="pct"/>
                  <w:vAlign w:val="center"/>
                </w:tcPr>
                <w:p w14:paraId="43A365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AD2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C36E1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2349" w:type="pct"/>
                  <w:vAlign w:val="center"/>
                </w:tcPr>
                <w:p w14:paraId="5DA2B124">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采用喷雾、洒水、加设除尘装置等措施处置运输过程中产生的粉尘及其扩散</w:t>
                  </w:r>
                </w:p>
              </w:tc>
              <w:tc>
                <w:tcPr>
                  <w:tcW w:w="1987" w:type="pct"/>
                  <w:vAlign w:val="center"/>
                </w:tcPr>
                <w:p w14:paraId="73592AE8">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项目运输过程中加盖篷布防止扬尘，对运输道路配套洒水车进行洒水抑尘</w:t>
                  </w:r>
                  <w:r>
                    <w:rPr>
                      <w:rFonts w:hint="eastAsia" w:ascii="Times New Roman" w:hAnsi="Times New Roman" w:eastAsia="宋体" w:cs="Times New Roman"/>
                      <w:color w:val="auto"/>
                      <w:sz w:val="21"/>
                      <w:szCs w:val="21"/>
                      <w:lang w:eastAsia="zh-CN"/>
                    </w:rPr>
                    <w:t>。</w:t>
                  </w:r>
                </w:p>
              </w:tc>
              <w:tc>
                <w:tcPr>
                  <w:tcW w:w="300" w:type="pct"/>
                  <w:vAlign w:val="center"/>
                </w:tcPr>
                <w:p w14:paraId="40F9D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13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F0D02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2349" w:type="pct"/>
                  <w:vAlign w:val="center"/>
                </w:tcPr>
                <w:p w14:paraId="4004163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勘查过程中，柴油机动力设备应安装尾气净化装置，尾气排放执行国家环保排放标准，不同地区应满足勘查所在地地方相关标准要求</w:t>
                  </w:r>
                </w:p>
              </w:tc>
              <w:tc>
                <w:tcPr>
                  <w:tcW w:w="1987" w:type="pct"/>
                  <w:vAlign w:val="center"/>
                </w:tcPr>
                <w:p w14:paraId="7D49EBAB">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本项目钻井期使用电驱动，不设置柴油发电机，</w:t>
                  </w:r>
                  <w:r>
                    <w:rPr>
                      <w:rFonts w:hint="default" w:ascii="Times New Roman" w:hAnsi="Times New Roman" w:cs="Times New Roman"/>
                      <w:color w:val="auto"/>
                      <w:sz w:val="21"/>
                      <w:szCs w:val="21"/>
                      <w:lang w:val="en-US" w:eastAsia="zh-CN"/>
                    </w:rPr>
                    <w:t>根据《榆林市人民政府关于禁止使用高排放非道路移动机械的通告》要求，项目施工现场</w:t>
                  </w:r>
                  <w:r>
                    <w:rPr>
                      <w:rFonts w:hint="default" w:ascii="Times New Roman" w:hAnsi="Times New Roman" w:cs="Times New Roman"/>
                      <w:color w:val="auto"/>
                      <w:sz w:val="21"/>
                      <w:szCs w:val="21"/>
                    </w:rPr>
                    <w:t>禁止使用高排放非道路移动机械，禁止使用未编码登记挂牌及环保检测不达标的非道路移动机械</w:t>
                  </w:r>
                  <w:r>
                    <w:rPr>
                      <w:rFonts w:hint="eastAsia" w:ascii="Times New Roman" w:hAnsi="Times New Roman" w:eastAsia="宋体" w:cs="Times New Roman"/>
                      <w:color w:val="auto"/>
                      <w:sz w:val="21"/>
                      <w:szCs w:val="21"/>
                      <w:lang w:eastAsia="zh-CN"/>
                    </w:rPr>
                    <w:t>。</w:t>
                  </w:r>
                </w:p>
              </w:tc>
              <w:tc>
                <w:tcPr>
                  <w:tcW w:w="300" w:type="pct"/>
                  <w:vAlign w:val="center"/>
                </w:tcPr>
                <w:p w14:paraId="0748B0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2BA9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B3556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2349" w:type="pct"/>
                  <w:vAlign w:val="center"/>
                </w:tcPr>
                <w:p w14:paraId="472FCEF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施工现场不应燃烧秸秆、衣物及其他产生烟尘、废气污染的物品</w:t>
                  </w:r>
                </w:p>
              </w:tc>
              <w:tc>
                <w:tcPr>
                  <w:tcW w:w="1987" w:type="pct"/>
                  <w:vAlign w:val="center"/>
                </w:tcPr>
                <w:p w14:paraId="2CE4216F">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施工现场按要求不允许燃烧秸秆、衣物及其他产生烟尘、废气污染的物品</w:t>
                  </w:r>
                  <w:r>
                    <w:rPr>
                      <w:rFonts w:hint="eastAsia" w:ascii="Times New Roman" w:hAnsi="Times New Roman" w:eastAsia="宋体" w:cs="Times New Roman"/>
                      <w:color w:val="auto"/>
                      <w:sz w:val="21"/>
                      <w:szCs w:val="21"/>
                      <w:lang w:eastAsia="zh-CN"/>
                    </w:rPr>
                    <w:t>。</w:t>
                  </w:r>
                </w:p>
              </w:tc>
              <w:tc>
                <w:tcPr>
                  <w:tcW w:w="300" w:type="pct"/>
                  <w:vAlign w:val="center"/>
                </w:tcPr>
                <w:p w14:paraId="7E6A70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872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787B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2349" w:type="pct"/>
                  <w:vAlign w:val="center"/>
                </w:tcPr>
                <w:p w14:paraId="2C8597A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废弃物管理按照GB18599执行</w:t>
                  </w:r>
                </w:p>
              </w:tc>
              <w:tc>
                <w:tcPr>
                  <w:tcW w:w="1987" w:type="pct"/>
                  <w:vAlign w:val="center"/>
                </w:tcPr>
                <w:p w14:paraId="5271802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snapToGrid w:val="0"/>
                      <w:color w:val="auto"/>
                      <w:kern w:val="0"/>
                      <w:sz w:val="21"/>
                      <w:szCs w:val="21"/>
                    </w:rPr>
                    <w:t>项目钻井过程中采取不落地收集措施，废弃泥浆实施固液分离处理，钻井泥浆</w:t>
                  </w:r>
                  <w:r>
                    <w:rPr>
                      <w:rFonts w:hint="eastAsia" w:ascii="Times New Roman" w:hAnsi="Times New Roman" w:cs="Times New Roman"/>
                      <w:snapToGrid w:val="0"/>
                      <w:color w:val="auto"/>
                      <w:kern w:val="0"/>
                      <w:sz w:val="21"/>
                      <w:szCs w:val="21"/>
                      <w:lang w:val="en-US" w:eastAsia="zh-CN"/>
                    </w:rPr>
                    <w:t>和岩屑</w:t>
                  </w:r>
                  <w:r>
                    <w:rPr>
                      <w:rFonts w:hint="default" w:ascii="Times New Roman" w:hAnsi="Times New Roman" w:cs="Times New Roman"/>
                      <w:bCs/>
                      <w:color w:val="auto"/>
                      <w:sz w:val="21"/>
                      <w:szCs w:val="21"/>
                    </w:rPr>
                    <w:t>外运处置</w:t>
                  </w:r>
                  <w:r>
                    <w:rPr>
                      <w:rFonts w:hint="eastAsia" w:ascii="Times New Roman" w:hAnsi="Times New Roman" w:eastAsia="宋体" w:cs="Times New Roman"/>
                      <w:bCs/>
                      <w:color w:val="auto"/>
                      <w:sz w:val="21"/>
                      <w:szCs w:val="21"/>
                      <w:lang w:eastAsia="zh-CN"/>
                    </w:rPr>
                    <w:t>。</w:t>
                  </w:r>
                </w:p>
              </w:tc>
              <w:tc>
                <w:tcPr>
                  <w:tcW w:w="300" w:type="pct"/>
                  <w:vAlign w:val="center"/>
                </w:tcPr>
                <w:p w14:paraId="637C4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E21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D6311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2349" w:type="pct"/>
                  <w:vAlign w:val="center"/>
                </w:tcPr>
                <w:p w14:paraId="544C6D22">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生活固体废弃物应分类处置，按照GB18485、CJJ17执行</w:t>
                  </w:r>
                </w:p>
              </w:tc>
              <w:tc>
                <w:tcPr>
                  <w:tcW w:w="1987" w:type="pct"/>
                  <w:vAlign w:val="center"/>
                </w:tcPr>
                <w:p w14:paraId="5F168A2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生活垃圾集中收集后送环卫部门指定地点堆放</w:t>
                  </w:r>
                  <w:r>
                    <w:rPr>
                      <w:rFonts w:hint="eastAsia" w:ascii="Times New Roman" w:hAnsi="Times New Roman" w:eastAsia="宋体" w:cs="Times New Roman"/>
                      <w:color w:val="auto"/>
                      <w:sz w:val="21"/>
                      <w:szCs w:val="21"/>
                      <w:lang w:eastAsia="zh-CN"/>
                    </w:rPr>
                    <w:t>。</w:t>
                  </w:r>
                </w:p>
              </w:tc>
              <w:tc>
                <w:tcPr>
                  <w:tcW w:w="300" w:type="pct"/>
                  <w:vAlign w:val="center"/>
                </w:tcPr>
                <w:p w14:paraId="4CB1A1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39F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02CDE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2349" w:type="pct"/>
                  <w:vAlign w:val="center"/>
                </w:tcPr>
                <w:p w14:paraId="5427428B">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勘查施工区（点）工作结束后，应及时拆除现场施工设备、物资和临时设施，清除现场各类杂物、垃圾及污染物</w:t>
                  </w:r>
                </w:p>
              </w:tc>
              <w:tc>
                <w:tcPr>
                  <w:tcW w:w="1987" w:type="pct"/>
                  <w:vAlign w:val="center"/>
                </w:tcPr>
                <w:p w14:paraId="22E8E01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项目施工结束后，立即拆除现场施工设备、物资和临时设施，清除现场各类杂物、垃圾及污染物</w:t>
                  </w:r>
                  <w:r>
                    <w:rPr>
                      <w:rFonts w:hint="eastAsia" w:ascii="Times New Roman" w:hAnsi="Times New Roman" w:eastAsia="宋体" w:cs="Times New Roman"/>
                      <w:color w:val="auto"/>
                      <w:sz w:val="21"/>
                      <w:szCs w:val="21"/>
                      <w:lang w:eastAsia="zh-CN"/>
                    </w:rPr>
                    <w:t>。</w:t>
                  </w:r>
                </w:p>
              </w:tc>
              <w:tc>
                <w:tcPr>
                  <w:tcW w:w="300" w:type="pct"/>
                  <w:vAlign w:val="center"/>
                </w:tcPr>
                <w:p w14:paraId="25FCD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4AC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DD23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2349" w:type="pct"/>
                  <w:vAlign w:val="center"/>
                </w:tcPr>
                <w:p w14:paraId="1C90990D">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现场的垃圾、油污、废液、沉渣及其它固体废物应进行分类清理、收集，按照GB18599等相关规定进行焚烧、消毒、沉淀、固化等处理</w:t>
                  </w:r>
                </w:p>
              </w:tc>
              <w:tc>
                <w:tcPr>
                  <w:tcW w:w="1987" w:type="pct"/>
                  <w:vAlign w:val="center"/>
                </w:tcPr>
                <w:p w14:paraId="18A0F470">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项目产生的落地油及时回收，保证落地油回收率能够达到100%；废机油等危险废物严格执行国家和本省的有关规定，进行收集、贮存、利用和处置，施工结束后，交给有资质的单位进行处置</w:t>
                  </w:r>
                  <w:r>
                    <w:rPr>
                      <w:rFonts w:hint="eastAsia" w:ascii="Times New Roman" w:hAnsi="Times New Roman" w:eastAsia="宋体" w:cs="Times New Roman"/>
                      <w:color w:val="auto"/>
                      <w:sz w:val="21"/>
                      <w:szCs w:val="21"/>
                      <w:lang w:eastAsia="zh-CN"/>
                    </w:rPr>
                    <w:t>。</w:t>
                  </w:r>
                </w:p>
              </w:tc>
              <w:tc>
                <w:tcPr>
                  <w:tcW w:w="300" w:type="pct"/>
                  <w:vAlign w:val="center"/>
                </w:tcPr>
                <w:p w14:paraId="67959D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F84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763DB6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2349" w:type="pct"/>
                  <w:vAlign w:val="center"/>
                </w:tcPr>
                <w:p w14:paraId="15009D7A">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对于现场不能处置的污染物，应外运到专业处理场处理</w:t>
                  </w:r>
                </w:p>
              </w:tc>
              <w:tc>
                <w:tcPr>
                  <w:tcW w:w="1987" w:type="pct"/>
                  <w:vAlign w:val="center"/>
                </w:tcPr>
                <w:p w14:paraId="0DF14B4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项目危险废物委托</w:t>
                  </w:r>
                  <w:r>
                    <w:rPr>
                      <w:rFonts w:hint="default" w:ascii="Times New Roman" w:hAnsi="Times New Roman" w:cs="Times New Roman"/>
                      <w:color w:val="auto"/>
                      <w:sz w:val="21"/>
                      <w:szCs w:val="21"/>
                      <w:lang w:val="en-US" w:eastAsia="zh-CN"/>
                    </w:rPr>
                    <w:t>有</w:t>
                  </w:r>
                  <w:r>
                    <w:rPr>
                      <w:rFonts w:hint="default" w:ascii="Times New Roman" w:hAnsi="Times New Roman" w:cs="Times New Roman"/>
                      <w:color w:val="auto"/>
                      <w:sz w:val="21"/>
                      <w:szCs w:val="21"/>
                    </w:rPr>
                    <w:t>资质单位外运处置；废钻井泥浆、岩屑进行不落地收集，井场配备地上移动收集设施，</w:t>
                  </w:r>
                  <w:r>
                    <w:rPr>
                      <w:rFonts w:hint="default" w:ascii="Times New Roman" w:hAnsi="Times New Roman" w:cs="Times New Roman"/>
                      <w:color w:val="auto"/>
                      <w:sz w:val="21"/>
                      <w:szCs w:val="21"/>
                      <w:lang w:val="en-US" w:eastAsia="zh-CN"/>
                    </w:rPr>
                    <w:t>并委托陕西德禾鑫盛环保科技 有限公司</w:t>
                  </w:r>
                  <w:r>
                    <w:rPr>
                      <w:rFonts w:hint="default" w:ascii="Times New Roman" w:hAnsi="Times New Roman" w:cs="Times New Roman"/>
                      <w:color w:val="auto"/>
                      <w:sz w:val="21"/>
                      <w:szCs w:val="21"/>
                    </w:rPr>
                    <w:t>进行处置；生活垃圾收集后送环卫部门指定地点堆放</w:t>
                  </w:r>
                  <w:r>
                    <w:rPr>
                      <w:rFonts w:hint="default" w:ascii="Times New Roman" w:hAnsi="Times New Roman" w:eastAsia="宋体" w:cs="Times New Roman"/>
                      <w:color w:val="auto"/>
                      <w:sz w:val="21"/>
                      <w:szCs w:val="21"/>
                      <w:lang w:eastAsia="zh-CN"/>
                    </w:rPr>
                    <w:t>。</w:t>
                  </w:r>
                </w:p>
              </w:tc>
              <w:tc>
                <w:tcPr>
                  <w:tcW w:w="300" w:type="pct"/>
                  <w:vAlign w:val="center"/>
                </w:tcPr>
                <w:p w14:paraId="1A385D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678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32F11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2349" w:type="pct"/>
                  <w:vAlign w:val="center"/>
                </w:tcPr>
                <w:p w14:paraId="7129CF3F">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场地恢复平整应根据恢复治理设计要求，结合现场情况，尽可能按原始地形地貌平整。难以复原的地段，应按恢复治理设计场地平整标高进行平整，尽可能与自然环境相协调</w:t>
                  </w:r>
                </w:p>
              </w:tc>
              <w:tc>
                <w:tcPr>
                  <w:tcW w:w="1987" w:type="pct"/>
                  <w:vAlign w:val="center"/>
                </w:tcPr>
                <w:p w14:paraId="69C23AD9">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评价要求项目施工结束后，对不具有利用价值的勘探井进行永久封井，</w:t>
                  </w:r>
                  <w:r>
                    <w:rPr>
                      <w:rFonts w:hint="eastAsia" w:ascii="Times New Roman" w:hAnsi="Times New Roman" w:cs="Times New Roman"/>
                      <w:color w:val="auto"/>
                      <w:sz w:val="21"/>
                      <w:szCs w:val="21"/>
                      <w:lang w:val="en-US" w:eastAsia="zh-CN"/>
                    </w:rPr>
                    <w:t>临时占地</w:t>
                  </w:r>
                  <w:r>
                    <w:rPr>
                      <w:rFonts w:hint="default" w:ascii="Times New Roman" w:hAnsi="Times New Roman" w:cs="Times New Roman"/>
                      <w:color w:val="auto"/>
                      <w:sz w:val="21"/>
                      <w:szCs w:val="21"/>
                    </w:rPr>
                    <w:t>恢复原土地类型</w:t>
                  </w:r>
                  <w:r>
                    <w:rPr>
                      <w:rFonts w:hint="eastAsia" w:ascii="Times New Roman" w:hAnsi="Times New Roman" w:eastAsia="宋体" w:cs="Times New Roman"/>
                      <w:color w:val="auto"/>
                      <w:sz w:val="21"/>
                      <w:szCs w:val="21"/>
                      <w:lang w:eastAsia="zh-CN"/>
                    </w:rPr>
                    <w:t>。</w:t>
                  </w:r>
                </w:p>
              </w:tc>
              <w:tc>
                <w:tcPr>
                  <w:tcW w:w="300" w:type="pct"/>
                  <w:vAlign w:val="center"/>
                </w:tcPr>
                <w:p w14:paraId="0C26C4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B76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841B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w:t>
                  </w:r>
                </w:p>
              </w:tc>
              <w:tc>
                <w:tcPr>
                  <w:tcW w:w="2349" w:type="pct"/>
                  <w:vAlign w:val="center"/>
                </w:tcPr>
                <w:p w14:paraId="2524C9F6">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钻探及其他施工现场场地平整中，应彻底清除场地上污染物。废浆，废液应进行固化处理，深埋于开挖的坑、池底部，上部回填无污染的土壤</w:t>
                  </w:r>
                </w:p>
              </w:tc>
              <w:tc>
                <w:tcPr>
                  <w:tcW w:w="1987" w:type="pct"/>
                  <w:vAlign w:val="center"/>
                </w:tcPr>
                <w:p w14:paraId="1A4A86B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项目采用泥浆不落地工艺，废弃钻井泥浆和岩屑进行收集后，委托陕西德禾鑫盛环保科技有限公司处置</w:t>
                  </w:r>
                  <w:r>
                    <w:rPr>
                      <w:rFonts w:hint="eastAsia" w:ascii="Times New Roman" w:hAnsi="Times New Roman" w:eastAsia="宋体" w:cs="Times New Roman"/>
                      <w:color w:val="auto"/>
                      <w:sz w:val="21"/>
                      <w:szCs w:val="21"/>
                      <w:lang w:eastAsia="zh-CN"/>
                    </w:rPr>
                    <w:t>。</w:t>
                  </w:r>
                </w:p>
              </w:tc>
              <w:tc>
                <w:tcPr>
                  <w:tcW w:w="300" w:type="pct"/>
                  <w:vAlign w:val="center"/>
                </w:tcPr>
                <w:p w14:paraId="1CF233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83C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C6EA6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w:t>
                  </w:r>
                </w:p>
              </w:tc>
              <w:tc>
                <w:tcPr>
                  <w:tcW w:w="2349" w:type="pct"/>
                  <w:vAlign w:val="center"/>
                </w:tcPr>
                <w:p w14:paraId="32BEE9DF">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钻探现场应严格按照地质设计要求认真做好封孔工作，保证封孔质量，孔口用水泥砂浆树立规范的标志桩</w:t>
                  </w:r>
                </w:p>
              </w:tc>
              <w:tc>
                <w:tcPr>
                  <w:tcW w:w="1987" w:type="pct"/>
                  <w:vAlign w:val="center"/>
                </w:tcPr>
                <w:p w14:paraId="344F26D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项目已提出封井要求，建设单位应根据相关要求认真做好封孔工作，保证封孔质量，孔口用水泥砂浆树立规范的标志桩</w:t>
                  </w:r>
                  <w:r>
                    <w:rPr>
                      <w:rFonts w:hint="eastAsia" w:ascii="Times New Roman" w:hAnsi="Times New Roman" w:eastAsia="宋体" w:cs="Times New Roman"/>
                      <w:color w:val="auto"/>
                      <w:sz w:val="21"/>
                      <w:szCs w:val="21"/>
                      <w:lang w:eastAsia="zh-CN"/>
                    </w:rPr>
                    <w:t>。</w:t>
                  </w:r>
                </w:p>
              </w:tc>
              <w:tc>
                <w:tcPr>
                  <w:tcW w:w="300" w:type="pct"/>
                  <w:vAlign w:val="center"/>
                </w:tcPr>
                <w:p w14:paraId="1A180E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76EA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326FA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2349" w:type="pct"/>
                  <w:vAlign w:val="center"/>
                </w:tcPr>
                <w:p w14:paraId="491E443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施工道路及临建场地根据设计恢复地类及保留需求进行平整</w:t>
                  </w:r>
                </w:p>
              </w:tc>
              <w:tc>
                <w:tcPr>
                  <w:tcW w:w="1987" w:type="pct"/>
                  <w:vAlign w:val="center"/>
                </w:tcPr>
                <w:p w14:paraId="3B8B225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项目施工便道依托井场周边已有道路</w:t>
                  </w:r>
                  <w:r>
                    <w:rPr>
                      <w:rFonts w:hint="default" w:ascii="Times New Roman" w:hAnsi="Times New Roman" w:cs="Times New Roman"/>
                      <w:color w:val="auto"/>
                      <w:sz w:val="21"/>
                      <w:szCs w:val="21"/>
                    </w:rPr>
                    <w:t>，若永久封井，占用的临时用地进行恢复原土地类型</w:t>
                  </w:r>
                  <w:r>
                    <w:rPr>
                      <w:rFonts w:hint="eastAsia" w:ascii="Times New Roman" w:hAnsi="Times New Roman" w:eastAsia="宋体" w:cs="Times New Roman"/>
                      <w:color w:val="auto"/>
                      <w:sz w:val="21"/>
                      <w:szCs w:val="21"/>
                      <w:lang w:eastAsia="zh-CN"/>
                    </w:rPr>
                    <w:t>。</w:t>
                  </w:r>
                </w:p>
              </w:tc>
              <w:tc>
                <w:tcPr>
                  <w:tcW w:w="300" w:type="pct"/>
                  <w:vAlign w:val="center"/>
                </w:tcPr>
                <w:p w14:paraId="5B250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6C9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2778CF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w:t>
                  </w:r>
                </w:p>
              </w:tc>
              <w:tc>
                <w:tcPr>
                  <w:tcW w:w="2349" w:type="pct"/>
                  <w:vAlign w:val="center"/>
                </w:tcPr>
                <w:p w14:paraId="624D64C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场地的覆土厚度及土质应符合恢复地类的复绿设计及相关行业的规范标准要求</w:t>
                  </w:r>
                </w:p>
              </w:tc>
              <w:tc>
                <w:tcPr>
                  <w:tcW w:w="1987" w:type="pct"/>
                  <w:vAlign w:val="center"/>
                </w:tcPr>
                <w:p w14:paraId="14B50896">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项目要求场地的覆土厚度及土质必须复核相关规范标准要求</w:t>
                  </w:r>
                  <w:r>
                    <w:rPr>
                      <w:rFonts w:hint="eastAsia" w:ascii="Times New Roman" w:hAnsi="Times New Roman" w:eastAsia="宋体" w:cs="Times New Roman"/>
                      <w:color w:val="auto"/>
                      <w:sz w:val="21"/>
                      <w:szCs w:val="21"/>
                      <w:lang w:eastAsia="zh-CN"/>
                    </w:rPr>
                    <w:t>。</w:t>
                  </w:r>
                </w:p>
              </w:tc>
              <w:tc>
                <w:tcPr>
                  <w:tcW w:w="300" w:type="pct"/>
                  <w:vAlign w:val="center"/>
                </w:tcPr>
                <w:p w14:paraId="771196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CA3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27970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2349" w:type="pct"/>
                  <w:vAlign w:val="center"/>
                </w:tcPr>
                <w:p w14:paraId="10092A31">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仅压占未挖损及污染的场地，可采取深翻，松土、培土等方式，满足相关规定和设计恢复治理要求</w:t>
                  </w:r>
                </w:p>
              </w:tc>
              <w:tc>
                <w:tcPr>
                  <w:tcW w:w="1987" w:type="pct"/>
                  <w:vAlign w:val="center"/>
                </w:tcPr>
                <w:p w14:paraId="72000B8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项目仅压占未挖损及污染的场地，要求采取深翻，松土、培土等方式</w:t>
                  </w:r>
                  <w:r>
                    <w:rPr>
                      <w:rFonts w:hint="eastAsia" w:eastAsia="宋体" w:cs="宋体"/>
                      <w:color w:val="auto"/>
                      <w:sz w:val="21"/>
                      <w:szCs w:val="21"/>
                      <w:lang w:eastAsia="zh-CN" w:bidi="ar"/>
                    </w:rPr>
                    <w:t>。</w:t>
                  </w:r>
                </w:p>
              </w:tc>
              <w:tc>
                <w:tcPr>
                  <w:tcW w:w="300" w:type="pct"/>
                  <w:vAlign w:val="center"/>
                </w:tcPr>
                <w:p w14:paraId="69069A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533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0007C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2349" w:type="pct"/>
                  <w:vAlign w:val="center"/>
                </w:tcPr>
                <w:p w14:paraId="1F4C5BA7">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草地复绿，一般采用播撒方式培植，草种应适应当地生长并与原草地环境协调。</w:t>
                  </w:r>
                  <w:r>
                    <w:rPr>
                      <w:rFonts w:hint="eastAsia" w:ascii="Times New Roman" w:hAnsi="Times New Roman" w:cs="Times New Roman"/>
                      <w:color w:val="auto"/>
                      <w:sz w:val="21"/>
                      <w:szCs w:val="21"/>
                      <w:lang w:eastAsia="zh-CN"/>
                    </w:rPr>
                    <w:t>草地</w:t>
                  </w:r>
                  <w:r>
                    <w:rPr>
                      <w:rFonts w:hint="default" w:ascii="Times New Roman" w:hAnsi="Times New Roman" w:cs="Times New Roman"/>
                      <w:color w:val="auto"/>
                      <w:sz w:val="21"/>
                      <w:szCs w:val="21"/>
                    </w:rPr>
                    <w:t>复绿，林木品种适合当地生长，应结合当地居民及社会经济发展及环境的协调要求，林木的种植施工应符合相关行业规程及规范标准。耕地复垦，经现场深翻、松土及覆土后，应满足当地农作物耕种条件</w:t>
                  </w:r>
                </w:p>
              </w:tc>
              <w:tc>
                <w:tcPr>
                  <w:tcW w:w="1987" w:type="pct"/>
                  <w:vAlign w:val="center"/>
                </w:tcPr>
                <w:p w14:paraId="6252F2D4">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highlight w:val="none"/>
                      <w:lang w:val="en-US" w:eastAsia="zh-CN" w:bidi="ar"/>
                    </w:rPr>
                    <w:t>项目临时占地类型主要为、耕地、林地、草地、园地和交通运输用地，施工结束后，永久封井时，生态恢复根据原有占地类型和</w:t>
                  </w:r>
                  <w:r>
                    <w:rPr>
                      <w:rFonts w:hint="eastAsia" w:cs="宋体"/>
                      <w:color w:val="auto"/>
                      <w:sz w:val="21"/>
                      <w:szCs w:val="21"/>
                      <w:highlight w:val="none"/>
                      <w:lang w:bidi="ar"/>
                    </w:rPr>
                    <w:t>环境条件，</w:t>
                  </w:r>
                  <w:r>
                    <w:rPr>
                      <w:rFonts w:hint="eastAsia" w:cs="宋体"/>
                      <w:color w:val="auto"/>
                      <w:sz w:val="21"/>
                      <w:szCs w:val="21"/>
                      <w:highlight w:val="none"/>
                      <w:lang w:val="en-US" w:eastAsia="zh-CN" w:bidi="ar"/>
                    </w:rPr>
                    <w:t>林地和草地</w:t>
                  </w:r>
                  <w:r>
                    <w:rPr>
                      <w:rFonts w:hint="eastAsia" w:cs="宋体"/>
                      <w:color w:val="auto"/>
                      <w:sz w:val="21"/>
                      <w:szCs w:val="21"/>
                      <w:highlight w:val="none"/>
                      <w:lang w:bidi="ar"/>
                    </w:rPr>
                    <w:t>选择当地土著种和优势种进行</w:t>
                  </w:r>
                  <w:r>
                    <w:rPr>
                      <w:rFonts w:hint="eastAsia" w:cs="宋体"/>
                      <w:color w:val="auto"/>
                      <w:sz w:val="21"/>
                      <w:szCs w:val="21"/>
                      <w:highlight w:val="none"/>
                      <w:lang w:val="en-US" w:eastAsia="zh-CN" w:bidi="ar"/>
                    </w:rPr>
                    <w:t>植被</w:t>
                  </w:r>
                  <w:r>
                    <w:rPr>
                      <w:rFonts w:hint="eastAsia" w:cs="宋体"/>
                      <w:color w:val="auto"/>
                      <w:sz w:val="21"/>
                      <w:szCs w:val="21"/>
                      <w:highlight w:val="none"/>
                      <w:lang w:bidi="ar"/>
                    </w:rPr>
                    <w:t>恢复，并需符合相关行业规程及规范标准</w:t>
                  </w:r>
                  <w:r>
                    <w:rPr>
                      <w:rFonts w:hint="eastAsia" w:eastAsia="宋体" w:cs="宋体"/>
                      <w:color w:val="auto"/>
                      <w:sz w:val="21"/>
                      <w:szCs w:val="21"/>
                      <w:highlight w:val="none"/>
                      <w:lang w:eastAsia="zh-CN" w:bidi="ar"/>
                    </w:rPr>
                    <w:t>。</w:t>
                  </w:r>
                </w:p>
              </w:tc>
              <w:tc>
                <w:tcPr>
                  <w:tcW w:w="300" w:type="pct"/>
                  <w:vAlign w:val="center"/>
                </w:tcPr>
                <w:p w14:paraId="4EC882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0F3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162F4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2349" w:type="pct"/>
                  <w:vAlign w:val="center"/>
                </w:tcPr>
                <w:p w14:paraId="50166A60">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复垦复绿施工中，应做好环境恢复治理工程的维护管理。在工程质保期及植被恢复养护期间，应对损坏或检查不合格的工程进行修补和返工处理</w:t>
                  </w:r>
                </w:p>
              </w:tc>
              <w:tc>
                <w:tcPr>
                  <w:tcW w:w="1987" w:type="pct"/>
                  <w:vAlign w:val="center"/>
                </w:tcPr>
                <w:p w14:paraId="4F49E97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eastAsia" w:cs="宋体"/>
                      <w:color w:val="auto"/>
                      <w:sz w:val="21"/>
                      <w:szCs w:val="21"/>
                      <w:lang w:bidi="ar"/>
                    </w:rPr>
                    <w:t>项目在进行生态恢复过程中应严格按照生态恢复治理方案进行维护管理，定期对恢复达不到要求的工程进行返工处理</w:t>
                  </w:r>
                  <w:r>
                    <w:rPr>
                      <w:rFonts w:hint="eastAsia" w:eastAsia="宋体" w:cs="宋体"/>
                      <w:color w:val="auto"/>
                      <w:sz w:val="21"/>
                      <w:szCs w:val="21"/>
                      <w:lang w:eastAsia="zh-CN" w:bidi="ar"/>
                    </w:rPr>
                    <w:t>。</w:t>
                  </w:r>
                </w:p>
              </w:tc>
              <w:tc>
                <w:tcPr>
                  <w:tcW w:w="300" w:type="pct"/>
                  <w:vAlign w:val="center"/>
                </w:tcPr>
                <w:p w14:paraId="342D7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48E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29F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w:t>
                  </w:r>
                </w:p>
              </w:tc>
              <w:tc>
                <w:tcPr>
                  <w:tcW w:w="2349" w:type="pct"/>
                  <w:vAlign w:val="center"/>
                </w:tcPr>
                <w:p w14:paraId="19EFEDBC">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恢复治理工作应达到现场无污染破坏痕迹，生态恢复良好，环境协调</w:t>
                  </w:r>
                </w:p>
              </w:tc>
              <w:tc>
                <w:tcPr>
                  <w:tcW w:w="1987" w:type="pct"/>
                  <w:vAlign w:val="center"/>
                </w:tcPr>
                <w:p w14:paraId="5D283C65">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评价要求永久封井场地恢复达到现场无污染破坏痕迹</w:t>
                  </w:r>
                  <w:r>
                    <w:rPr>
                      <w:rFonts w:hint="eastAsia" w:ascii="Times New Roman" w:hAnsi="Times New Roman" w:eastAsia="宋体" w:cs="Times New Roman"/>
                      <w:color w:val="auto"/>
                      <w:sz w:val="21"/>
                      <w:szCs w:val="21"/>
                      <w:lang w:eastAsia="zh-CN"/>
                    </w:rPr>
                    <w:t>。</w:t>
                  </w:r>
                </w:p>
              </w:tc>
              <w:tc>
                <w:tcPr>
                  <w:tcW w:w="300" w:type="pct"/>
                  <w:vAlign w:val="center"/>
                </w:tcPr>
                <w:p w14:paraId="1C07AA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14:paraId="19E4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65205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w:t>
                  </w:r>
                </w:p>
              </w:tc>
              <w:tc>
                <w:tcPr>
                  <w:tcW w:w="2349" w:type="pct"/>
                  <w:vAlign w:val="center"/>
                </w:tcPr>
                <w:p w14:paraId="40D75F89">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default"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rPr>
                    <w:t>推进智能化建设，采用信息技术、网络技术、控制技术、智能技术，实现勘查投资决策、工作部署和现场管信息化、智能化</w:t>
                  </w:r>
                </w:p>
              </w:tc>
              <w:tc>
                <w:tcPr>
                  <w:tcW w:w="1987" w:type="pct"/>
                  <w:vAlign w:val="center"/>
                </w:tcPr>
                <w:p w14:paraId="1023B4DE">
                  <w:pPr>
                    <w:pStyle w:val="28"/>
                    <w:keepNext w:val="0"/>
                    <w:keepLines w:val="0"/>
                    <w:pageBreakBefore w:val="0"/>
                    <w:widowControl w:val="0"/>
                    <w:kinsoku/>
                    <w:overflowPunct/>
                    <w:topLinePunct w:val="0"/>
                    <w:bidi w:val="0"/>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项目勘探采用信息技术、网络技术、控制技术、智能技术进行钻探，实现现场管信息化、智能化</w:t>
                  </w:r>
                  <w:r>
                    <w:rPr>
                      <w:rFonts w:hint="eastAsia" w:ascii="Times New Roman" w:hAnsi="Times New Roman" w:eastAsia="宋体" w:cs="Times New Roman"/>
                      <w:color w:val="auto"/>
                      <w:sz w:val="21"/>
                      <w:szCs w:val="21"/>
                      <w:lang w:eastAsia="zh-CN"/>
                    </w:rPr>
                    <w:t>。</w:t>
                  </w:r>
                </w:p>
              </w:tc>
              <w:tc>
                <w:tcPr>
                  <w:tcW w:w="300" w:type="pct"/>
                  <w:vAlign w:val="center"/>
                </w:tcPr>
                <w:p w14:paraId="33CD6E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14:paraId="4A33DCB5">
            <w:pPr>
              <w:jc w:val="both"/>
              <w:rPr>
                <w:rFonts w:hint="default" w:ascii="Times New Roman" w:hAnsi="Times New Roman" w:eastAsia="宋体" w:cs="Times New Roman"/>
                <w:color w:val="auto"/>
                <w:sz w:val="21"/>
                <w:szCs w:val="21"/>
                <w:vertAlign w:val="baseline"/>
                <w:lang w:val="en-US" w:eastAsia="zh-CN"/>
              </w:rPr>
            </w:pPr>
          </w:p>
        </w:tc>
      </w:tr>
    </w:tbl>
    <w:p w14:paraId="6B898A34">
      <w:pPr>
        <w:rPr>
          <w:rFonts w:hint="default" w:ascii="Times New Roman" w:hAnsi="Times New Roman" w:eastAsia="楷体" w:cs="Times New Roman"/>
          <w:color w:val="auto"/>
          <w:sz w:val="36"/>
          <w:szCs w:val="36"/>
        </w:rPr>
      </w:pPr>
      <w:r>
        <w:rPr>
          <w:rFonts w:hint="default" w:ascii="Times New Roman" w:hAnsi="Times New Roman" w:eastAsia="楷体" w:cs="Times New Roman"/>
          <w:color w:val="auto"/>
          <w:sz w:val="36"/>
          <w:szCs w:val="36"/>
        </w:rPr>
        <w:br w:type="page"/>
      </w:r>
    </w:p>
    <w:p w14:paraId="50F77721">
      <w:pPr>
        <w:numPr>
          <w:ilvl w:val="0"/>
          <w:numId w:val="5"/>
        </w:numPr>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建设内容</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8616"/>
      </w:tblGrid>
      <w:tr w14:paraId="7903A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1" w:type="dxa"/>
            <w:vAlign w:val="center"/>
          </w:tcPr>
          <w:p w14:paraId="305066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地理位置</w:t>
            </w:r>
          </w:p>
        </w:tc>
        <w:tc>
          <w:tcPr>
            <w:tcW w:w="8597" w:type="dxa"/>
            <w:vAlign w:val="center"/>
          </w:tcPr>
          <w:p w14:paraId="70402F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w:t>
            </w:r>
            <w:r>
              <w:rPr>
                <w:rFonts w:hint="eastAsia" w:ascii="Times New Roman" w:hAnsi="Times New Roman" w:eastAsia="宋体" w:cs="Times New Roman"/>
                <w:b w:val="0"/>
                <w:bCs w:val="0"/>
                <w:color w:val="auto"/>
                <w:sz w:val="24"/>
                <w:szCs w:val="24"/>
                <w:highlight w:val="none"/>
                <w:vertAlign w:val="baseline"/>
                <w:lang w:val="en-US" w:eastAsia="zh-CN"/>
              </w:rPr>
              <w:t>在佳县金明寺镇新建3</w:t>
            </w:r>
            <w:r>
              <w:rPr>
                <w:rFonts w:hint="default" w:ascii="Times New Roman" w:hAnsi="Times New Roman" w:eastAsia="宋体" w:cs="Times New Roman"/>
                <w:b w:val="0"/>
                <w:bCs w:val="0"/>
                <w:color w:val="auto"/>
                <w:sz w:val="24"/>
                <w:szCs w:val="24"/>
                <w:highlight w:val="none"/>
                <w:vertAlign w:val="baseline"/>
                <w:lang w:val="en-US" w:eastAsia="zh-CN"/>
              </w:rPr>
              <w:t>口</w:t>
            </w:r>
            <w:r>
              <w:rPr>
                <w:rFonts w:hint="eastAsia" w:ascii="Times New Roman" w:hAnsi="Times New Roman" w:eastAsia="宋体" w:cs="Times New Roman"/>
                <w:b w:val="0"/>
                <w:bCs w:val="0"/>
                <w:color w:val="auto"/>
                <w:sz w:val="24"/>
                <w:szCs w:val="24"/>
                <w:highlight w:val="none"/>
                <w:vertAlign w:val="baseline"/>
                <w:lang w:val="en-US" w:eastAsia="zh-CN"/>
              </w:rPr>
              <w:t>天然气评价井</w:t>
            </w:r>
            <w:r>
              <w:rPr>
                <w:rFonts w:hint="default" w:ascii="Times New Roman" w:hAnsi="Times New Roman" w:eastAsia="宋体" w:cs="Times New Roman"/>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临时</w:t>
            </w:r>
            <w:r>
              <w:rPr>
                <w:rFonts w:hint="default" w:ascii="Times New Roman" w:hAnsi="Times New Roman" w:eastAsia="宋体" w:cs="Times New Roman"/>
                <w:b w:val="0"/>
                <w:bCs w:val="0"/>
                <w:color w:val="auto"/>
                <w:sz w:val="24"/>
                <w:szCs w:val="24"/>
                <w:highlight w:val="none"/>
                <w:vertAlign w:val="baseline"/>
                <w:lang w:val="en-US" w:eastAsia="zh-CN"/>
              </w:rPr>
              <w:t>占地面积为</w:t>
            </w:r>
            <w:r>
              <w:rPr>
                <w:rFonts w:hint="eastAsia" w:ascii="Times New Roman" w:hAnsi="Times New Roman" w:eastAsia="宋体" w:cs="Times New Roman"/>
                <w:b w:val="0"/>
                <w:bCs w:val="0"/>
                <w:color w:val="auto"/>
                <w:sz w:val="24"/>
                <w:szCs w:val="24"/>
                <w:highlight w:val="none"/>
                <w:vertAlign w:val="baseline"/>
                <w:lang w:val="en-US" w:eastAsia="zh-CN"/>
              </w:rPr>
              <w:t>53042</w:t>
            </w:r>
            <w:r>
              <w:rPr>
                <w:rFonts w:hint="default" w:ascii="Times New Roman" w:hAnsi="Times New Roman" w:eastAsia="宋体" w:cs="Times New Roman"/>
                <w:b w:val="0"/>
                <w:bCs w:val="0"/>
                <w:color w:val="auto"/>
                <w:sz w:val="24"/>
                <w:szCs w:val="24"/>
                <w:highlight w:val="none"/>
                <w:vertAlign w:val="baseline"/>
                <w:lang w:val="en-US" w:eastAsia="zh-CN"/>
              </w:rPr>
              <w:t>m²，</w:t>
            </w:r>
            <w:r>
              <w:rPr>
                <w:rFonts w:hint="eastAsia" w:ascii="Times New Roman" w:hAnsi="Times New Roman" w:eastAsia="宋体" w:cs="Times New Roman"/>
                <w:b w:val="0"/>
                <w:bCs w:val="0"/>
                <w:color w:val="auto"/>
                <w:sz w:val="24"/>
                <w:szCs w:val="24"/>
                <w:highlight w:val="none"/>
                <w:vertAlign w:val="baseline"/>
                <w:lang w:val="en-US" w:eastAsia="zh-CN"/>
              </w:rPr>
              <w:t>根据榆林市投资项目选址“一张图”控制线数据，</w:t>
            </w:r>
            <w:r>
              <w:rPr>
                <w:rFonts w:hint="default" w:ascii="Times New Roman" w:hAnsi="Times New Roman" w:eastAsia="宋体" w:cs="Times New Roman"/>
                <w:b w:val="0"/>
                <w:bCs w:val="0"/>
                <w:color w:val="auto"/>
                <w:sz w:val="24"/>
                <w:szCs w:val="24"/>
                <w:highlight w:val="none"/>
                <w:vertAlign w:val="baseline"/>
                <w:lang w:val="en-US" w:eastAsia="zh-CN"/>
              </w:rPr>
              <w:t>占地类型为</w:t>
            </w:r>
            <w:r>
              <w:rPr>
                <w:rFonts w:hint="eastAsia" w:ascii="Times New Roman" w:hAnsi="Times New Roman" w:eastAsia="宋体" w:cs="Times New Roman"/>
                <w:b w:val="0"/>
                <w:bCs w:val="0"/>
                <w:color w:val="auto"/>
                <w:sz w:val="24"/>
                <w:szCs w:val="24"/>
                <w:highlight w:val="none"/>
                <w:vertAlign w:val="baseline"/>
                <w:lang w:val="en-US" w:eastAsia="zh-CN"/>
              </w:rPr>
              <w:t>林地、耕地、草地、种植园地和交通运输用地，</w:t>
            </w:r>
            <w:r>
              <w:rPr>
                <w:rFonts w:hint="default" w:ascii="Times New Roman" w:hAnsi="Times New Roman" w:eastAsia="宋体" w:cs="Times New Roman"/>
                <w:b w:val="0"/>
                <w:bCs w:val="0"/>
                <w:color w:val="auto"/>
                <w:sz w:val="24"/>
                <w:szCs w:val="24"/>
                <w:highlight w:val="none"/>
                <w:vertAlign w:val="baseline"/>
                <w:lang w:val="en-US" w:eastAsia="zh-CN"/>
              </w:rPr>
              <w:t>不涉及基本农田。探井基本信息见表2-1，项目地理位置见附图。</w:t>
            </w:r>
          </w:p>
          <w:p w14:paraId="06C01759">
            <w:pPr>
              <w:spacing w:line="240" w:lineRule="auto"/>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表2-1探井基本信息</w:t>
            </w:r>
          </w:p>
          <w:tbl>
            <w:tblPr>
              <w:tblStyle w:val="19"/>
              <w:tblW w:w="4986" w:type="pct"/>
              <w:tblInd w:w="1"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89"/>
              <w:gridCol w:w="829"/>
              <w:gridCol w:w="813"/>
              <w:gridCol w:w="1121"/>
              <w:gridCol w:w="966"/>
              <w:gridCol w:w="1025"/>
              <w:gridCol w:w="888"/>
              <w:gridCol w:w="1113"/>
            </w:tblGrid>
            <w:tr w14:paraId="69E8002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noWrap w:val="0"/>
                  <w:vAlign w:val="center"/>
                </w:tcPr>
                <w:p w14:paraId="364FDB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718" w:type="pct"/>
                  <w:vMerge w:val="restart"/>
                  <w:noWrap w:val="0"/>
                  <w:vAlign w:val="center"/>
                </w:tcPr>
                <w:p w14:paraId="5FFF9C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井号</w:t>
                  </w:r>
                </w:p>
              </w:tc>
              <w:tc>
                <w:tcPr>
                  <w:tcW w:w="503" w:type="pct"/>
                  <w:vMerge w:val="restart"/>
                  <w:noWrap w:val="0"/>
                  <w:vAlign w:val="center"/>
                </w:tcPr>
                <w:p w14:paraId="0702EA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井型</w:t>
                  </w:r>
                </w:p>
              </w:tc>
              <w:tc>
                <w:tcPr>
                  <w:tcW w:w="428" w:type="pct"/>
                  <w:vMerge w:val="restart"/>
                  <w:noWrap w:val="0"/>
                  <w:vAlign w:val="center"/>
                </w:tcPr>
                <w:p w14:paraId="07335B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井深</w:t>
                  </w:r>
                </w:p>
                <w:p w14:paraId="1A5AB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（m）</w:t>
                  </w:r>
                </w:p>
              </w:tc>
              <w:tc>
                <w:tcPr>
                  <w:tcW w:w="1262" w:type="pct"/>
                  <w:gridSpan w:val="2"/>
                  <w:noWrap w:val="0"/>
                  <w:vAlign w:val="center"/>
                </w:tcPr>
                <w:p w14:paraId="62306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探井中心点坐标</w:t>
                  </w:r>
                </w:p>
              </w:tc>
              <w:tc>
                <w:tcPr>
                  <w:tcW w:w="620" w:type="pct"/>
                  <w:vMerge w:val="restart"/>
                  <w:noWrap w:val="0"/>
                  <w:vAlign w:val="center"/>
                </w:tcPr>
                <w:p w14:paraId="6B9756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占地类型</w:t>
                  </w:r>
                </w:p>
              </w:tc>
              <w:tc>
                <w:tcPr>
                  <w:tcW w:w="538" w:type="pct"/>
                  <w:vMerge w:val="restart"/>
                  <w:noWrap w:val="0"/>
                  <w:vAlign w:val="center"/>
                </w:tcPr>
                <w:p w14:paraId="71A449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contextualSpacing/>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占地面积（m²）</w:t>
                  </w:r>
                </w:p>
              </w:tc>
              <w:tc>
                <w:tcPr>
                  <w:tcW w:w="672" w:type="pct"/>
                  <w:vMerge w:val="restart"/>
                  <w:noWrap w:val="0"/>
                  <w:vAlign w:val="center"/>
                </w:tcPr>
                <w:p w14:paraId="49AE1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地理位置</w:t>
                  </w:r>
                </w:p>
              </w:tc>
            </w:tr>
            <w:tr w14:paraId="6087ED0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noWrap w:val="0"/>
                  <w:vAlign w:val="center"/>
                </w:tcPr>
                <w:p w14:paraId="430C93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718" w:type="pct"/>
                  <w:vMerge w:val="continue"/>
                  <w:noWrap w:val="0"/>
                  <w:vAlign w:val="center"/>
                </w:tcPr>
                <w:p w14:paraId="2AE534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503" w:type="pct"/>
                  <w:vMerge w:val="continue"/>
                  <w:noWrap w:val="0"/>
                  <w:vAlign w:val="center"/>
                </w:tcPr>
                <w:p w14:paraId="6B682C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428" w:type="pct"/>
                  <w:vMerge w:val="continue"/>
                  <w:noWrap w:val="0"/>
                  <w:vAlign w:val="center"/>
                </w:tcPr>
                <w:p w14:paraId="723AFE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77" w:type="pct"/>
                  <w:noWrap w:val="0"/>
                  <w:vAlign w:val="center"/>
                </w:tcPr>
                <w:p w14:paraId="30E71E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X</w:t>
                  </w:r>
                </w:p>
              </w:tc>
              <w:tc>
                <w:tcPr>
                  <w:tcW w:w="585" w:type="pct"/>
                  <w:noWrap w:val="0"/>
                  <w:vAlign w:val="center"/>
                </w:tcPr>
                <w:p w14:paraId="01B8C5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Y</w:t>
                  </w:r>
                </w:p>
              </w:tc>
              <w:tc>
                <w:tcPr>
                  <w:tcW w:w="620" w:type="pct"/>
                  <w:vMerge w:val="continue"/>
                  <w:noWrap w:val="0"/>
                  <w:vAlign w:val="center"/>
                </w:tcPr>
                <w:p w14:paraId="2AAA81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538" w:type="pct"/>
                  <w:vMerge w:val="continue"/>
                  <w:noWrap w:val="0"/>
                  <w:vAlign w:val="center"/>
                </w:tcPr>
                <w:p w14:paraId="5D4725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672" w:type="pct"/>
                  <w:vMerge w:val="continue"/>
                  <w:noWrap w:val="0"/>
                  <w:vAlign w:val="center"/>
                </w:tcPr>
                <w:p w14:paraId="21FDA9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158817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0A72A6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18" w:type="pct"/>
                  <w:noWrap w:val="0"/>
                  <w:vAlign w:val="center"/>
                </w:tcPr>
                <w:p w14:paraId="0B22E56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u w:val="none"/>
                      <w:vertAlign w:val="baseline"/>
                      <w:lang w:val="en-US" w:eastAsia="zh-CN"/>
                    </w:rPr>
                    <w:t>米107-32M</w:t>
                  </w:r>
                </w:p>
              </w:tc>
              <w:tc>
                <w:tcPr>
                  <w:tcW w:w="503" w:type="pct"/>
                  <w:shd w:val="clear" w:color="auto" w:fill="auto"/>
                  <w:noWrap w:val="0"/>
                  <w:vAlign w:val="center"/>
                </w:tcPr>
                <w:p w14:paraId="620C8B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直井</w:t>
                  </w:r>
                </w:p>
              </w:tc>
              <w:tc>
                <w:tcPr>
                  <w:tcW w:w="428" w:type="pct"/>
                  <w:noWrap w:val="0"/>
                  <w:vAlign w:val="center"/>
                </w:tcPr>
                <w:p w14:paraId="767621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2765</w:t>
                  </w:r>
                </w:p>
              </w:tc>
              <w:tc>
                <w:tcPr>
                  <w:tcW w:w="677" w:type="pct"/>
                  <w:noWrap w:val="0"/>
                  <w:vAlign w:val="center"/>
                </w:tcPr>
                <w:p w14:paraId="551714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37426693</w:t>
                  </w:r>
                </w:p>
              </w:tc>
              <w:tc>
                <w:tcPr>
                  <w:tcW w:w="585" w:type="pct"/>
                  <w:noWrap w:val="0"/>
                  <w:vAlign w:val="center"/>
                </w:tcPr>
                <w:p w14:paraId="0485DEE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4215321</w:t>
                  </w:r>
                </w:p>
              </w:tc>
              <w:tc>
                <w:tcPr>
                  <w:tcW w:w="620" w:type="pct"/>
                  <w:noWrap w:val="0"/>
                  <w:vAlign w:val="center"/>
                </w:tcPr>
                <w:p w14:paraId="5FE509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耕地、草地、交通运输用地、林地</w:t>
                  </w:r>
                </w:p>
              </w:tc>
              <w:tc>
                <w:tcPr>
                  <w:tcW w:w="538" w:type="pct"/>
                  <w:noWrap w:val="0"/>
                  <w:vAlign w:val="center"/>
                </w:tcPr>
                <w:p w14:paraId="1A9A44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b w:val="0"/>
                      <w:bCs w:val="0"/>
                      <w:color w:val="auto"/>
                      <w:sz w:val="21"/>
                      <w:szCs w:val="21"/>
                      <w:highlight w:val="none"/>
                      <w:vertAlign w:val="baseline"/>
                      <w:lang w:val="en-US" w:eastAsia="zh-CN"/>
                    </w:rPr>
                    <w:t>22800</w:t>
                  </w:r>
                </w:p>
              </w:tc>
              <w:tc>
                <w:tcPr>
                  <w:tcW w:w="672" w:type="pct"/>
                  <w:noWrap w:val="0"/>
                  <w:vAlign w:val="center"/>
                </w:tcPr>
                <w:p w14:paraId="4F0EDA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金明寺镇杨家畔村</w:t>
                  </w:r>
                </w:p>
              </w:tc>
            </w:tr>
            <w:tr w14:paraId="54E4FA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2ADDD3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18" w:type="pct"/>
                  <w:noWrap w:val="0"/>
                  <w:vAlign w:val="center"/>
                </w:tcPr>
                <w:p w14:paraId="4434AF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u w:val="none"/>
                      <w:vertAlign w:val="baseline"/>
                      <w:lang w:val="en-US" w:eastAsia="zh-CN"/>
                    </w:rPr>
                    <w:t>米107-16M</w:t>
                  </w:r>
                </w:p>
              </w:tc>
              <w:tc>
                <w:tcPr>
                  <w:tcW w:w="503" w:type="pct"/>
                  <w:shd w:val="clear" w:color="auto" w:fill="auto"/>
                  <w:noWrap w:val="0"/>
                  <w:vAlign w:val="center"/>
                </w:tcPr>
                <w:p w14:paraId="288162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lang w:val="en-US" w:eastAsia="zh-CN"/>
                    </w:rPr>
                    <w:t>直井</w:t>
                  </w:r>
                </w:p>
              </w:tc>
              <w:tc>
                <w:tcPr>
                  <w:tcW w:w="428" w:type="pct"/>
                  <w:noWrap w:val="0"/>
                  <w:vAlign w:val="center"/>
                </w:tcPr>
                <w:p w14:paraId="581836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2850</w:t>
                  </w:r>
                </w:p>
              </w:tc>
              <w:tc>
                <w:tcPr>
                  <w:tcW w:w="677" w:type="pct"/>
                  <w:noWrap w:val="0"/>
                  <w:vAlign w:val="center"/>
                </w:tcPr>
                <w:p w14:paraId="4A26FE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37430944</w:t>
                  </w:r>
                </w:p>
              </w:tc>
              <w:tc>
                <w:tcPr>
                  <w:tcW w:w="585" w:type="pct"/>
                  <w:noWrap w:val="0"/>
                  <w:vAlign w:val="center"/>
                </w:tcPr>
                <w:p w14:paraId="55D95D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eastAsia" w:ascii="Times New Roman" w:hAnsi="Times New Roman" w:eastAsia="宋体" w:cs="Times New Roman"/>
                      <w:color w:val="auto"/>
                      <w:sz w:val="21"/>
                      <w:szCs w:val="21"/>
                      <w:highlight w:val="none"/>
                      <w:u w:val="none"/>
                      <w:vertAlign w:val="baseline"/>
                      <w:lang w:val="en-US" w:eastAsia="zh-CN"/>
                    </w:rPr>
                    <w:t>4215329</w:t>
                  </w:r>
                </w:p>
              </w:tc>
              <w:tc>
                <w:tcPr>
                  <w:tcW w:w="620" w:type="pct"/>
                  <w:noWrap w:val="0"/>
                  <w:vAlign w:val="center"/>
                </w:tcPr>
                <w:p w14:paraId="2EBAB7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种植园地、草地、林地</w:t>
                  </w:r>
                </w:p>
              </w:tc>
              <w:tc>
                <w:tcPr>
                  <w:tcW w:w="538" w:type="pct"/>
                  <w:noWrap w:val="0"/>
                  <w:vAlign w:val="center"/>
                </w:tcPr>
                <w:p w14:paraId="4868B4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ascii="Times New Roman" w:hAnsi="Times New Roman" w:eastAsia="宋体" w:cs="Times New Roman"/>
                      <w:bCs/>
                      <w:color w:val="auto"/>
                      <w:sz w:val="21"/>
                      <w:szCs w:val="21"/>
                      <w:vertAlign w:val="baseline"/>
                      <w:lang w:val="en-US" w:eastAsia="zh-CN"/>
                    </w:rPr>
                    <w:t>15370</w:t>
                  </w:r>
                </w:p>
              </w:tc>
              <w:tc>
                <w:tcPr>
                  <w:tcW w:w="672" w:type="pct"/>
                  <w:noWrap w:val="0"/>
                  <w:vAlign w:val="center"/>
                </w:tcPr>
                <w:p w14:paraId="35337E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金明寺镇李家元村</w:t>
                  </w:r>
                </w:p>
              </w:tc>
            </w:tr>
            <w:tr w14:paraId="19319D6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noWrap w:val="0"/>
                  <w:vAlign w:val="center"/>
                </w:tcPr>
                <w:p w14:paraId="7E7274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18" w:type="pct"/>
                  <w:noWrap w:val="0"/>
                  <w:vAlign w:val="center"/>
                </w:tcPr>
                <w:p w14:paraId="331D59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米107-22MH</w:t>
                  </w:r>
                </w:p>
              </w:tc>
              <w:tc>
                <w:tcPr>
                  <w:tcW w:w="503" w:type="pct"/>
                  <w:shd w:val="clear" w:color="auto" w:fill="auto"/>
                  <w:noWrap w:val="0"/>
                  <w:vAlign w:val="center"/>
                </w:tcPr>
                <w:p w14:paraId="28C4B4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lang w:val="en-US" w:eastAsia="zh-CN"/>
                    </w:rPr>
                    <w:t>直井</w:t>
                  </w:r>
                </w:p>
              </w:tc>
              <w:tc>
                <w:tcPr>
                  <w:tcW w:w="428" w:type="pct"/>
                  <w:noWrap w:val="0"/>
                  <w:vAlign w:val="center"/>
                </w:tcPr>
                <w:p w14:paraId="332558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2700</w:t>
                  </w:r>
                </w:p>
              </w:tc>
              <w:tc>
                <w:tcPr>
                  <w:tcW w:w="677" w:type="pct"/>
                  <w:noWrap w:val="0"/>
                  <w:vAlign w:val="center"/>
                </w:tcPr>
                <w:p w14:paraId="569B715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374</w:t>
                  </w:r>
                  <w:r>
                    <w:rPr>
                      <w:rFonts w:hint="eastAsia" w:ascii="Times New Roman" w:hAnsi="Times New Roman" w:eastAsia="宋体" w:cs="Times New Roman"/>
                      <w:color w:val="auto"/>
                      <w:sz w:val="21"/>
                      <w:szCs w:val="21"/>
                      <w:highlight w:val="none"/>
                      <w:u w:val="none"/>
                      <w:vertAlign w:val="baseline"/>
                      <w:lang w:val="en-US" w:eastAsia="zh-CN"/>
                    </w:rPr>
                    <w:t>35162</w:t>
                  </w:r>
                </w:p>
              </w:tc>
              <w:tc>
                <w:tcPr>
                  <w:tcW w:w="585" w:type="pct"/>
                  <w:noWrap w:val="0"/>
                  <w:vAlign w:val="center"/>
                </w:tcPr>
                <w:p w14:paraId="2BF52A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42</w:t>
                  </w:r>
                  <w:r>
                    <w:rPr>
                      <w:rFonts w:hint="eastAsia" w:ascii="Times New Roman" w:hAnsi="Times New Roman" w:eastAsia="宋体" w:cs="Times New Roman"/>
                      <w:color w:val="auto"/>
                      <w:sz w:val="21"/>
                      <w:szCs w:val="21"/>
                      <w:highlight w:val="none"/>
                      <w:u w:val="none"/>
                      <w:vertAlign w:val="baseline"/>
                      <w:lang w:val="en-US" w:eastAsia="zh-CN"/>
                    </w:rPr>
                    <w:t>12177</w:t>
                  </w:r>
                </w:p>
              </w:tc>
              <w:tc>
                <w:tcPr>
                  <w:tcW w:w="620" w:type="pct"/>
                  <w:noWrap w:val="0"/>
                  <w:vAlign w:val="center"/>
                </w:tcPr>
                <w:p w14:paraId="656D5D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种植园地、草地、林地</w:t>
                  </w:r>
                </w:p>
              </w:tc>
              <w:tc>
                <w:tcPr>
                  <w:tcW w:w="538" w:type="pct"/>
                  <w:noWrap w:val="0"/>
                  <w:vAlign w:val="center"/>
                </w:tcPr>
                <w:p w14:paraId="63A793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14872</w:t>
                  </w:r>
                </w:p>
              </w:tc>
              <w:tc>
                <w:tcPr>
                  <w:tcW w:w="672" w:type="pct"/>
                  <w:noWrap w:val="0"/>
                  <w:vAlign w:val="center"/>
                </w:tcPr>
                <w:p w14:paraId="2506E0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金明寺镇王石畔村</w:t>
                  </w:r>
                </w:p>
              </w:tc>
            </w:tr>
          </w:tbl>
          <w:p w14:paraId="3BFE93D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z w:val="21"/>
                <w:szCs w:val="21"/>
                <w:vertAlign w:val="baseline"/>
                <w:lang w:val="en-US" w:eastAsia="zh-CN"/>
              </w:rPr>
            </w:pPr>
          </w:p>
        </w:tc>
      </w:tr>
      <w:tr w14:paraId="141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658DE44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项目组成及规模</w:t>
            </w:r>
          </w:p>
        </w:tc>
        <w:tc>
          <w:tcPr>
            <w:tcW w:w="8597" w:type="dxa"/>
            <w:vAlign w:val="center"/>
          </w:tcPr>
          <w:p w14:paraId="30135D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一、项目建设背景</w:t>
            </w:r>
          </w:p>
          <w:p w14:paraId="6D985C20">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天然气是优质高效的可再生能源，积极开发利用天然气，可以有效减少常规能源尤其是煤炭资源的消耗，对于优化城市能源结构，提高人民的生活质量，建设生态文明社会，促进可持续发展具有重要的意义。在天然气开发过程中，勘探工作旨在为后期的开发建设提供科技依据。按照勘探阶段、勘探程序以及勘探目的，可将探井划分为地质井、参数井、预探井、评价井等。</w:t>
            </w:r>
          </w:p>
          <w:p w14:paraId="75FD4B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default" w:ascii="Times New Roman" w:hAnsi="Times New Roman" w:eastAsia="宋体" w:cs="Times New Roman"/>
                <w:b w:val="0"/>
                <w:bCs w:val="0"/>
                <w:color w:val="auto"/>
                <w:sz w:val="24"/>
                <w:szCs w:val="24"/>
                <w:highlight w:val="none"/>
                <w:vertAlign w:val="baseline"/>
                <w:lang w:val="en-US" w:eastAsia="zh-CN"/>
              </w:rPr>
              <w:t>位于陕西鄂尔多斯盆地米脂气田天然气开采范围内，该区域已开采多年，宁</w:t>
            </w:r>
            <w:r>
              <w:rPr>
                <w:rFonts w:hint="default" w:ascii="Times New Roman" w:hAnsi="Times New Roman" w:eastAsia="宋体" w:cs="Times New Roman"/>
                <w:b w:val="0"/>
                <w:bCs w:val="0"/>
                <w:color w:val="auto"/>
                <w:sz w:val="24"/>
                <w:szCs w:val="24"/>
                <w:vertAlign w:val="baseline"/>
                <w:lang w:val="en-US" w:eastAsia="zh-CN"/>
              </w:rPr>
              <w:t>榆天然气评价</w:t>
            </w:r>
            <w:r>
              <w:rPr>
                <w:rFonts w:hint="eastAsia" w:ascii="Times New Roman" w:hAnsi="Times New Roman" w:eastAsia="宋体"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组为判断该区块后期是否具备继续大规模开采的价值，并评估如何开采，在目前开采层位（</w:t>
            </w:r>
            <w:r>
              <w:rPr>
                <w:rFonts w:hint="eastAsia" w:ascii="Times New Roman" w:hAnsi="Times New Roman" w:eastAsia="宋体" w:cs="Times New Roman"/>
                <w:b w:val="0"/>
                <w:bCs w:val="0"/>
                <w:color w:val="auto"/>
                <w:sz w:val="24"/>
                <w:szCs w:val="24"/>
                <w:vertAlign w:val="baseline"/>
                <w:lang w:val="en-US" w:eastAsia="zh-CN"/>
              </w:rPr>
              <w:t>二叠系下统太原组、石炭系上统本溪组</w:t>
            </w:r>
            <w:r>
              <w:rPr>
                <w:rFonts w:hint="default" w:ascii="Times New Roman" w:hAnsi="Times New Roman" w:eastAsia="宋体" w:cs="Times New Roman"/>
                <w:b w:val="0"/>
                <w:bCs w:val="0"/>
                <w:color w:val="auto"/>
                <w:sz w:val="24"/>
                <w:szCs w:val="24"/>
                <w:vertAlign w:val="baseline"/>
                <w:lang w:val="en-US" w:eastAsia="zh-CN"/>
              </w:rPr>
              <w:t>）加密勘探，为远期气田产能建设提供依据。勘探层位位于中国石油天然气股份有限公司长庆油田分公司矿权范围内，</w:t>
            </w:r>
            <w:r>
              <w:rPr>
                <w:rFonts w:hint="default" w:ascii="Times New Roman" w:hAnsi="Times New Roman" w:eastAsia="宋体" w:cs="Times New Roman"/>
                <w:b w:val="0"/>
                <w:bCs w:val="0"/>
                <w:color w:val="auto"/>
                <w:sz w:val="24"/>
                <w:szCs w:val="24"/>
                <w:highlight w:val="none"/>
                <w:vertAlign w:val="baseline"/>
                <w:lang w:val="en-US" w:eastAsia="zh-CN"/>
              </w:rPr>
              <w:t>中国石油天然气股份有限公司已取得《陕西鄂尔多斯盆地米脂气田天然气开采采矿许可证》（证号：000002022081318000407），勘察范围包含本项目井场。</w:t>
            </w:r>
          </w:p>
          <w:p w14:paraId="26306717">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vertAlign w:val="baseline"/>
                <w:lang w:val="en-US" w:eastAsia="zh-CN"/>
              </w:rPr>
              <w:t>本项目属于天然气评价井建设工程，选址位于</w:t>
            </w:r>
            <w:r>
              <w:rPr>
                <w:rFonts w:hint="default" w:ascii="Times New Roman" w:hAnsi="Times New Roman" w:eastAsia="宋体" w:cs="Times New Roman"/>
                <w:b w:val="0"/>
                <w:bCs w:val="0"/>
                <w:color w:val="auto"/>
                <w:sz w:val="24"/>
                <w:szCs w:val="24"/>
                <w:highlight w:val="none"/>
                <w:vertAlign w:val="baseline"/>
                <w:lang w:val="en-US" w:eastAsia="zh-CN"/>
              </w:rPr>
              <w:t>陕西鄂尔多斯盆地米脂气田、神木气田米38区天然气开采范围内</w:t>
            </w:r>
            <w:r>
              <w:rPr>
                <w:rFonts w:hint="default"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color w:val="auto"/>
                <w:sz w:val="24"/>
                <w:szCs w:val="24"/>
              </w:rPr>
              <w:t>属于长庆油田分公司第二采气厂的负责范围，第二采气厂于2024年取得榆林市生态环境局关于《长庆油田分公司第二采气厂2024年产能建设工程环境影响报告书》的批复（榆政环发〔2024〕110号），第二采气厂下辖气田截至2023年底，已建成气井2317口、井场586座；天然气处理厂6座、采出水回注井14口、集气站57座、增压站4座、清管站12座；集气干线25条，总长约521.3km；集气支线45条，总长约576.6km；外输管线5条，总长约342.5km，同时配套建设采气管线、注醇管线、注水管线、站场道路等配套工程及设施，基本实现了天然气密闭集输。2024年拟新建集气站2座，钻试返排液处理站1座，改扩建站场18座；部署井场186座（含新、扩建井场），拟新钻采气井479口。第二采气厂2024产能环评中本项目所在气田主要开发上古气，层位主要有山西组山2、石盒子组盒8等。</w:t>
            </w:r>
          </w:p>
          <w:p w14:paraId="4E618DC2">
            <w:pPr>
              <w:keepNext w:val="0"/>
              <w:keepLines w:val="0"/>
              <w:pageBreakBefore w:val="0"/>
              <w:widowControl w:val="0"/>
              <w:kinsoku/>
              <w:wordWrap/>
              <w:overflowPunct/>
              <w:topLinePunct w:val="0"/>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ascii="宋体" w:hAnsi="宋体" w:eastAsia="宋体" w:cs="宋体"/>
                <w:color w:val="auto"/>
                <w:sz w:val="24"/>
                <w:szCs w:val="24"/>
              </w:rPr>
              <w:t>根据建设单位提供资料，本次天然气探井不在第二采气厂2024年陕西区域新建及扩建天然气井场部署计划内，属于加密勘探新层位。</w:t>
            </w:r>
            <w:r>
              <w:rPr>
                <w:rFonts w:hint="eastAsia" w:ascii="Times New Roman" w:hAnsi="Times New Roman" w:cs="Times New Roman"/>
                <w:color w:val="auto"/>
                <w:sz w:val="24"/>
                <w:highlight w:val="none"/>
                <w:lang w:val="en-US" w:eastAsia="zh-CN"/>
              </w:rPr>
              <w:t>本次新建3口气井</w:t>
            </w:r>
            <w:r>
              <w:rPr>
                <w:rFonts w:hint="eastAsia" w:ascii="Times New Roman" w:hAnsi="Times New Roman" w:eastAsia="宋体" w:cs="Times New Roman"/>
                <w:b w:val="0"/>
                <w:color w:val="auto"/>
                <w:sz w:val="24"/>
                <w:szCs w:val="24"/>
                <w:highlight w:val="none"/>
                <w:lang w:val="en-US" w:eastAsia="zh-CN"/>
              </w:rPr>
              <w:t>旨在现有气田区域内</w:t>
            </w:r>
            <w:r>
              <w:rPr>
                <w:rFonts w:hint="default" w:ascii="Times New Roman" w:hAnsi="Times New Roman" w:eastAsia="宋体" w:cs="Times New Roman"/>
                <w:color w:val="auto"/>
                <w:sz w:val="24"/>
                <w:highlight w:val="none"/>
              </w:rPr>
              <w:t>寻找新的适合开发的</w:t>
            </w:r>
            <w:r>
              <w:rPr>
                <w:rFonts w:hint="eastAsia" w:ascii="Times New Roman" w:hAnsi="Times New Roman" w:eastAsia="宋体" w:cs="Times New Roman"/>
                <w:color w:val="auto"/>
                <w:sz w:val="24"/>
                <w:highlight w:val="none"/>
                <w:lang w:val="en-US" w:eastAsia="zh-CN"/>
              </w:rPr>
              <w:t>气藏</w:t>
            </w:r>
            <w:r>
              <w:rPr>
                <w:rFonts w:hint="default" w:ascii="Times New Roman" w:hAnsi="Times New Roman" w:eastAsia="宋体" w:cs="Times New Roman"/>
                <w:color w:val="auto"/>
                <w:sz w:val="24"/>
                <w:highlight w:val="none"/>
              </w:rPr>
              <w:t>层位</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为气田后续产能建设提供决策依据，</w:t>
            </w:r>
            <w:r>
              <w:rPr>
                <w:rFonts w:ascii="宋体" w:hAnsi="宋体" w:eastAsia="宋体" w:cs="宋体"/>
                <w:color w:val="auto"/>
                <w:sz w:val="24"/>
                <w:szCs w:val="24"/>
              </w:rPr>
              <w:t>新层位未确定产能</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本项目周边已有探井为米107-4、米107-10，均属于上古层</w:t>
            </w:r>
          </w:p>
          <w:p w14:paraId="1EF585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ascii="宋体" w:hAnsi="宋体" w:eastAsia="宋体" w:cs="宋体"/>
                <w:color w:val="auto"/>
                <w:sz w:val="24"/>
                <w:szCs w:val="24"/>
              </w:rPr>
              <w:t>根据现场踏勘，目前项目未动工，正在办理前期手续。</w:t>
            </w:r>
            <w:r>
              <w:rPr>
                <w:rFonts w:hint="default" w:ascii="Times New Roman" w:hAnsi="Times New Roman" w:eastAsia="宋体" w:cs="Times New Roman"/>
                <w:b w:val="0"/>
                <w:bCs w:val="0"/>
                <w:color w:val="auto"/>
                <w:sz w:val="24"/>
                <w:szCs w:val="24"/>
                <w:vertAlign w:val="baseline"/>
                <w:lang w:val="en-US" w:eastAsia="zh-CN"/>
              </w:rPr>
              <w:t>若测试具有工业产能，</w:t>
            </w:r>
            <w:r>
              <w:rPr>
                <w:rFonts w:hint="eastAsia" w:ascii="Times New Roman" w:hAnsi="Times New Roman" w:eastAsia="宋体" w:cs="Times New Roman"/>
                <w:b w:val="0"/>
                <w:bCs w:val="0"/>
                <w:color w:val="auto"/>
                <w:sz w:val="24"/>
                <w:szCs w:val="24"/>
                <w:vertAlign w:val="baseline"/>
                <w:lang w:val="en-US" w:eastAsia="zh-CN"/>
              </w:rPr>
              <w:t>另行履行相关产能环保手续</w:t>
            </w:r>
            <w:r>
              <w:rPr>
                <w:rFonts w:hint="default" w:ascii="Times New Roman" w:hAnsi="Times New Roman" w:eastAsia="宋体" w:cs="Times New Roman"/>
                <w:b w:val="0"/>
                <w:bCs w:val="0"/>
                <w:color w:val="auto"/>
                <w:sz w:val="24"/>
                <w:szCs w:val="24"/>
                <w:vertAlign w:val="baseline"/>
                <w:lang w:val="en-US" w:eastAsia="zh-CN"/>
              </w:rPr>
              <w:t>后期交由区块所属中国石油天然气股份有限公司长庆油田分公司</w:t>
            </w:r>
            <w:r>
              <w:rPr>
                <w:rFonts w:hint="eastAsia" w:ascii="Times New Roman" w:hAnsi="Times New Roman" w:eastAsia="宋体" w:cs="Times New Roman"/>
                <w:b w:val="0"/>
                <w:bCs w:val="0"/>
                <w:color w:val="auto"/>
                <w:sz w:val="24"/>
                <w:szCs w:val="24"/>
                <w:vertAlign w:val="baseline"/>
                <w:lang w:val="en-US" w:eastAsia="zh-CN"/>
              </w:rPr>
              <w:t>第二采气厂</w:t>
            </w:r>
            <w:r>
              <w:rPr>
                <w:rFonts w:hint="default" w:ascii="Times New Roman" w:hAnsi="Times New Roman" w:eastAsia="宋体" w:cs="Times New Roman"/>
                <w:b w:val="0"/>
                <w:bCs w:val="0"/>
                <w:color w:val="auto"/>
                <w:sz w:val="24"/>
                <w:szCs w:val="24"/>
                <w:vertAlign w:val="baseline"/>
                <w:lang w:val="en-US" w:eastAsia="zh-CN"/>
              </w:rPr>
              <w:t>进行井场建设。</w:t>
            </w:r>
          </w:p>
          <w:p w14:paraId="7888B4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二、项目建设内容及规模</w:t>
            </w:r>
          </w:p>
          <w:p w14:paraId="27F64D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本项目新建天然气</w:t>
            </w:r>
            <w:r>
              <w:rPr>
                <w:rFonts w:hint="eastAsia" w:ascii="Times New Roman" w:hAnsi="Times New Roman" w:cs="Times New Roman"/>
                <w:color w:val="auto"/>
                <w:lang w:val="en-US" w:eastAsia="zh-CN"/>
              </w:rPr>
              <w:t>评价</w:t>
            </w:r>
            <w:r>
              <w:rPr>
                <w:rFonts w:hint="default" w:ascii="Times New Roman" w:hAnsi="Times New Roman" w:cs="Times New Roman"/>
                <w:color w:val="auto"/>
                <w:lang w:val="en-US" w:eastAsia="zh-CN"/>
              </w:rPr>
              <w:t>井</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口，井型为直井，设计</w:t>
            </w:r>
            <w:r>
              <w:rPr>
                <w:rFonts w:hint="eastAsia" w:ascii="Times New Roman" w:hAnsi="Times New Roman" w:cs="Times New Roman"/>
                <w:color w:val="auto"/>
                <w:lang w:val="en-US" w:eastAsia="zh-CN"/>
              </w:rPr>
              <w:t>完钻井深</w:t>
            </w:r>
            <w:r>
              <w:rPr>
                <w:rFonts w:hint="default" w:ascii="Times New Roman" w:hAnsi="Times New Roman" w:cs="Times New Roman"/>
                <w:color w:val="auto"/>
                <w:lang w:val="en-US" w:eastAsia="zh-CN"/>
              </w:rPr>
              <w:t>米107-</w:t>
            </w:r>
            <w:r>
              <w:rPr>
                <w:rFonts w:hint="eastAsia" w:ascii="Times New Roman" w:hAnsi="Times New Roman" w:cs="Times New Roman"/>
                <w:color w:val="auto"/>
                <w:lang w:val="en-US" w:eastAsia="zh-CN"/>
              </w:rPr>
              <w:t>32M井</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2765m，</w:t>
            </w:r>
            <w:r>
              <w:rPr>
                <w:rFonts w:hint="default" w:ascii="Times New Roman" w:hAnsi="Times New Roman" w:cs="Times New Roman"/>
                <w:color w:val="auto"/>
                <w:lang w:val="en-US" w:eastAsia="zh-CN"/>
              </w:rPr>
              <w:t>目的层为</w:t>
            </w:r>
            <w:r>
              <w:rPr>
                <w:rFonts w:hint="eastAsia" w:ascii="Times New Roman" w:hAnsi="Times New Roman" w:cs="Times New Roman"/>
                <w:color w:val="auto"/>
                <w:lang w:val="en-US" w:eastAsia="zh-CN"/>
              </w:rPr>
              <w:t>二叠系下统太原组；</w:t>
            </w:r>
            <w:r>
              <w:rPr>
                <w:rFonts w:hint="default" w:ascii="Times New Roman" w:hAnsi="Times New Roman" w:cs="Times New Roman"/>
                <w:color w:val="auto"/>
                <w:lang w:val="en-US" w:eastAsia="zh-CN"/>
              </w:rPr>
              <w:t>米107-</w:t>
            </w:r>
            <w:r>
              <w:rPr>
                <w:rFonts w:hint="eastAsia" w:ascii="Times New Roman" w:hAnsi="Times New Roman" w:cs="Times New Roman"/>
                <w:color w:val="auto"/>
                <w:lang w:val="en-US" w:eastAsia="zh-CN"/>
              </w:rPr>
              <w:t>16M井</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2850m，</w:t>
            </w:r>
            <w:r>
              <w:rPr>
                <w:rFonts w:hint="default" w:ascii="Times New Roman" w:hAnsi="Times New Roman" w:cs="Times New Roman"/>
                <w:color w:val="auto"/>
                <w:lang w:val="en-US" w:eastAsia="zh-CN"/>
              </w:rPr>
              <w:t>目的层为</w:t>
            </w:r>
            <w:r>
              <w:rPr>
                <w:rFonts w:hint="eastAsia" w:ascii="Times New Roman" w:hAnsi="Times New Roman" w:cs="Times New Roman"/>
                <w:color w:val="auto"/>
                <w:lang w:val="en-US" w:eastAsia="zh-CN"/>
              </w:rPr>
              <w:t>石炭系上统本溪组；</w:t>
            </w:r>
            <w:r>
              <w:rPr>
                <w:rFonts w:hint="default" w:ascii="Times New Roman" w:hAnsi="Times New Roman" w:cs="Times New Roman"/>
                <w:color w:val="auto"/>
                <w:lang w:val="en-US" w:eastAsia="zh-CN"/>
              </w:rPr>
              <w:t>米107-</w:t>
            </w:r>
            <w:r>
              <w:rPr>
                <w:rFonts w:hint="eastAsia" w:ascii="Times New Roman" w:hAnsi="Times New Roman" w:cs="Times New Roman"/>
                <w:color w:val="auto"/>
                <w:lang w:val="en-US" w:eastAsia="zh-CN"/>
              </w:rPr>
              <w:t>22MH井</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2700m，</w:t>
            </w:r>
            <w:r>
              <w:rPr>
                <w:rFonts w:hint="default" w:ascii="Times New Roman" w:hAnsi="Times New Roman" w:cs="Times New Roman"/>
                <w:color w:val="auto"/>
                <w:lang w:val="en-US" w:eastAsia="zh-CN"/>
              </w:rPr>
              <w:t>目的层为</w:t>
            </w:r>
            <w:r>
              <w:rPr>
                <w:rFonts w:hint="eastAsia" w:ascii="Times New Roman" w:hAnsi="Times New Roman" w:cs="Times New Roman"/>
                <w:color w:val="auto"/>
                <w:lang w:val="en-US" w:eastAsia="zh-CN"/>
              </w:rPr>
              <w:t>二叠系下统太原组</w:t>
            </w:r>
            <w:r>
              <w:rPr>
                <w:rFonts w:hint="default" w:ascii="Times New Roman" w:hAnsi="Times New Roman" w:cs="Times New Roman"/>
                <w:color w:val="auto"/>
                <w:lang w:val="en-US" w:eastAsia="zh-CN"/>
              </w:rPr>
              <w:t>。井场按照《钻前工程及井场布置技术要求》（SY/T5466-2013）进行设计建设。</w:t>
            </w:r>
          </w:p>
          <w:p w14:paraId="153B00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内容包括钻前工程（建设内容主要为井场修建和平整、修建设备基础、泥浆罐、污水罐、临时办公生活区等）、钻井工程（建设内容主要为钻井、测井、录井、固井等）、完井测试（主要包括完井作业和油气测试，洗井、射孔、压裂、</w:t>
            </w:r>
            <w:r>
              <w:rPr>
                <w:rFonts w:hint="eastAsia" w:ascii="Times New Roman" w:hAnsi="Times New Roman" w:eastAsia="宋体" w:cs="Times New Roman"/>
                <w:b w:val="0"/>
                <w:bCs w:val="0"/>
                <w:color w:val="auto"/>
                <w:sz w:val="24"/>
                <w:szCs w:val="24"/>
                <w:vertAlign w:val="baseline"/>
                <w:lang w:val="en-US" w:eastAsia="zh-CN"/>
              </w:rPr>
              <w:t>试气</w:t>
            </w:r>
            <w:r>
              <w:rPr>
                <w:rFonts w:hint="default" w:ascii="Times New Roman" w:hAnsi="Times New Roman" w:cs="Times New Roman"/>
                <w:color w:val="auto"/>
                <w:lang w:val="en-US" w:eastAsia="zh-CN"/>
              </w:rPr>
              <w:t>等）及封井作业。项目测井方式为电测井，不涉及放射性源的使用。</w:t>
            </w:r>
          </w:p>
          <w:p w14:paraId="7B198E8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本次评价仅对勘探过程中对环境的影响进行分析，不包括天然气开采、采气生产站外管道建设评价。</w:t>
            </w:r>
          </w:p>
          <w:p w14:paraId="3D6B9BB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表2-2 项目组成及建设内容一览表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36"/>
              <w:gridCol w:w="1086"/>
              <w:gridCol w:w="5"/>
              <w:gridCol w:w="6173"/>
            </w:tblGrid>
            <w:tr w14:paraId="50B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Align w:val="center"/>
                </w:tcPr>
                <w:p w14:paraId="7CA274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1522" w:type="dxa"/>
                  <w:gridSpan w:val="2"/>
                  <w:vAlign w:val="center"/>
                </w:tcPr>
                <w:p w14:paraId="03A6F6F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6178" w:type="dxa"/>
                  <w:gridSpan w:val="2"/>
                  <w:vAlign w:val="center"/>
                </w:tcPr>
                <w:p w14:paraId="2E79D59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工程内容</w:t>
                  </w:r>
                </w:p>
              </w:tc>
            </w:tr>
            <w:tr w14:paraId="3139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6A0B5C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主体工程</w:t>
                  </w:r>
                </w:p>
              </w:tc>
              <w:tc>
                <w:tcPr>
                  <w:tcW w:w="436" w:type="dxa"/>
                  <w:vMerge w:val="restart"/>
                  <w:vAlign w:val="center"/>
                </w:tcPr>
                <w:p w14:paraId="138E3ED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w:t>
                  </w:r>
                </w:p>
              </w:tc>
              <w:tc>
                <w:tcPr>
                  <w:tcW w:w="1086" w:type="dxa"/>
                  <w:vAlign w:val="center"/>
                </w:tcPr>
                <w:p w14:paraId="23E14DB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w:t>
                  </w:r>
                </w:p>
              </w:tc>
              <w:tc>
                <w:tcPr>
                  <w:tcW w:w="6178" w:type="dxa"/>
                  <w:gridSpan w:val="2"/>
                  <w:vAlign w:val="center"/>
                </w:tcPr>
                <w:p w14:paraId="2383FFD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包括机房、钻台、井口，主要进行钻井活动及完井测试，采用常规钻井工艺，钻井为直井，</w:t>
                  </w:r>
                  <w:r>
                    <w:rPr>
                      <w:rFonts w:hint="eastAsia" w:ascii="Times New Roman" w:hAnsi="Times New Roman" w:eastAsia="宋体" w:cs="Times New Roman"/>
                      <w:b w:val="0"/>
                      <w:bCs w:val="0"/>
                      <w:color w:val="auto"/>
                      <w:sz w:val="21"/>
                      <w:szCs w:val="21"/>
                      <w:vertAlign w:val="baseline"/>
                      <w:lang w:val="en-US" w:eastAsia="zh-CN"/>
                    </w:rPr>
                    <w:t>钻井深度介于2700-3000m之间，</w:t>
                  </w:r>
                  <w:r>
                    <w:rPr>
                      <w:rFonts w:hint="default" w:ascii="Times New Roman" w:hAnsi="Times New Roman" w:eastAsia="宋体" w:cs="Times New Roman"/>
                      <w:b w:val="0"/>
                      <w:bCs w:val="0"/>
                      <w:color w:val="auto"/>
                      <w:sz w:val="21"/>
                      <w:szCs w:val="21"/>
                      <w:vertAlign w:val="baseline"/>
                      <w:lang w:val="en-US" w:eastAsia="zh-CN"/>
                    </w:rPr>
                    <w:t>主要进行探勘天然气储藏情况。钻井过程包括下套管和固井等作业，当钻至目的层后完井测试。主要布置钻机、井架、底座、天车、绞车、游动滑车等钻井设备，以及钻井控制系统、井控制装置。</w:t>
                  </w:r>
                </w:p>
              </w:tc>
            </w:tr>
            <w:tr w14:paraId="67156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E7960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68DBA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2B431E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w:t>
                  </w:r>
                </w:p>
              </w:tc>
              <w:tc>
                <w:tcPr>
                  <w:tcW w:w="6178" w:type="dxa"/>
                  <w:gridSpan w:val="2"/>
                  <w:vAlign w:val="center"/>
                </w:tcPr>
                <w:p w14:paraId="39F4AF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泥浆循环系统紧邻钻井区，主要包括钻井液振动筛、真空除气器、除砂除泥一体机、液气分离器、搅拌器、砂浆、泥浆罐、岩屑罐等，通过泥浆循环系统实现泥浆与岩屑的分离，本项目为水基钻井泥浆</w:t>
                  </w:r>
                  <w:r>
                    <w:rPr>
                      <w:rFonts w:hint="eastAsia" w:ascii="Times New Roman" w:hAnsi="Times New Roman" w:eastAsia="宋体" w:cs="Times New Roman"/>
                      <w:b w:val="0"/>
                      <w:bCs w:val="0"/>
                      <w:color w:val="auto"/>
                      <w:sz w:val="21"/>
                      <w:szCs w:val="21"/>
                      <w:vertAlign w:val="baseline"/>
                      <w:lang w:val="en-US" w:eastAsia="zh-CN"/>
                    </w:rPr>
                    <w:t>。</w:t>
                  </w:r>
                </w:p>
              </w:tc>
            </w:tr>
            <w:tr w14:paraId="2F16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46665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16E6276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60340C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放喷池</w:t>
                  </w:r>
                </w:p>
              </w:tc>
              <w:tc>
                <w:tcPr>
                  <w:tcW w:w="6178" w:type="dxa"/>
                  <w:gridSpan w:val="2"/>
                  <w:vAlign w:val="center"/>
                </w:tcPr>
                <w:p w14:paraId="4D7F71B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每个井场均设置</w:t>
                  </w:r>
                  <w:r>
                    <w:rPr>
                      <w:rFonts w:hint="eastAsia" w:ascii="Times New Roman" w:hAnsi="Times New Roman" w:eastAsia="宋体" w:cs="Times New Roman"/>
                      <w:color w:val="auto"/>
                      <w:sz w:val="21"/>
                      <w:szCs w:val="21"/>
                      <w:highlight w:val="none"/>
                      <w:lang w:eastAsia="zh-CN"/>
                    </w:rPr>
                    <w:t>放喷池</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座，容积为10</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m³</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天然气</w:t>
                  </w:r>
                  <w:r>
                    <w:rPr>
                      <w:rFonts w:hint="default" w:ascii="Times New Roman" w:hAnsi="Times New Roman" w:eastAsia="宋体" w:cs="Times New Roman"/>
                      <w:b w:val="0"/>
                      <w:bCs w:val="0"/>
                      <w:color w:val="auto"/>
                      <w:sz w:val="21"/>
                      <w:szCs w:val="21"/>
                      <w:vertAlign w:val="baseline"/>
                      <w:lang w:val="en-US" w:eastAsia="zh-CN"/>
                    </w:rPr>
                    <w:t>经管线引至放散管</w:t>
                  </w:r>
                  <w:r>
                    <w:rPr>
                      <w:rFonts w:hint="eastAsia" w:ascii="Times New Roman" w:hAnsi="Times New Roman" w:eastAsia="宋体" w:cs="Times New Roman"/>
                      <w:b w:val="0"/>
                      <w:bCs w:val="0"/>
                      <w:color w:val="auto"/>
                      <w:sz w:val="21"/>
                      <w:szCs w:val="21"/>
                      <w:vertAlign w:val="baseline"/>
                      <w:lang w:val="en-US" w:eastAsia="zh-CN"/>
                    </w:rPr>
                    <w:t>后点火放喷，放喷口设置，放喷池</w:t>
                  </w:r>
                  <w:r>
                    <w:rPr>
                      <w:rFonts w:hint="default" w:ascii="Times New Roman" w:hAnsi="Times New Roman" w:eastAsia="宋体" w:cs="Times New Roman"/>
                      <w:b w:val="0"/>
                      <w:bCs w:val="0"/>
                      <w:color w:val="auto"/>
                      <w:sz w:val="21"/>
                      <w:szCs w:val="21"/>
                      <w:vertAlign w:val="baseline"/>
                      <w:lang w:val="en-US" w:eastAsia="zh-CN"/>
                    </w:rPr>
                    <w:t>井场内下风向，</w:t>
                  </w:r>
                  <w:r>
                    <w:rPr>
                      <w:rFonts w:hint="eastAsia" w:ascii="Times New Roman" w:hAnsi="Times New Roman" w:eastAsia="宋体" w:cs="Times New Roman"/>
                      <w:b w:val="0"/>
                      <w:bCs w:val="0"/>
                      <w:color w:val="auto"/>
                      <w:sz w:val="21"/>
                      <w:szCs w:val="21"/>
                      <w:vertAlign w:val="baseline"/>
                      <w:lang w:val="en-US" w:eastAsia="zh-CN"/>
                    </w:rPr>
                    <w:t>放喷口</w:t>
                  </w:r>
                  <w:r>
                    <w:rPr>
                      <w:rFonts w:hint="default" w:ascii="Times New Roman" w:hAnsi="Times New Roman" w:eastAsia="宋体" w:cs="Times New Roman"/>
                      <w:b w:val="0"/>
                      <w:bCs w:val="0"/>
                      <w:color w:val="auto"/>
                      <w:sz w:val="21"/>
                      <w:szCs w:val="21"/>
                      <w:vertAlign w:val="baseline"/>
                      <w:lang w:val="en-US" w:eastAsia="zh-CN"/>
                    </w:rPr>
                    <w:t>安装防喷器和控制装置；井下安装压力传感装置和事故报警器；组织员工应急培训、应急演练、设置井口防喷器组</w:t>
                  </w:r>
                  <w:r>
                    <w:rPr>
                      <w:rFonts w:hint="eastAsia"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点火装置（距离地面高度约为0.5m）</w:t>
                  </w:r>
                  <w:r>
                    <w:rPr>
                      <w:rFonts w:hint="default" w:ascii="Times New Roman" w:hAnsi="Times New Roman" w:eastAsia="宋体" w:cs="Times New Roman"/>
                      <w:b w:val="0"/>
                      <w:bCs w:val="0"/>
                      <w:color w:val="auto"/>
                      <w:sz w:val="21"/>
                      <w:szCs w:val="21"/>
                      <w:vertAlign w:val="baseline"/>
                      <w:lang w:val="en-US" w:eastAsia="zh-CN"/>
                    </w:rPr>
                    <w:t>、放喷管线、灭火器、铁锹及沙袋、临时土围堰。</w:t>
                  </w:r>
                </w:p>
              </w:tc>
            </w:tr>
            <w:tr w14:paraId="6E71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65E9356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辅助工程</w:t>
                  </w:r>
                </w:p>
              </w:tc>
              <w:tc>
                <w:tcPr>
                  <w:tcW w:w="1522" w:type="dxa"/>
                  <w:gridSpan w:val="2"/>
                  <w:vAlign w:val="center"/>
                </w:tcPr>
                <w:p w14:paraId="2869D3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井口基础</w:t>
                  </w:r>
                </w:p>
              </w:tc>
              <w:tc>
                <w:tcPr>
                  <w:tcW w:w="6178" w:type="dxa"/>
                  <w:gridSpan w:val="2"/>
                  <w:vAlign w:val="center"/>
                </w:tcPr>
                <w:p w14:paraId="62992D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加固井口，方便其他配套设施安装</w:t>
                  </w:r>
                  <w:r>
                    <w:rPr>
                      <w:rFonts w:hint="eastAsia" w:ascii="Times New Roman" w:hAnsi="Times New Roman" w:eastAsia="宋体" w:cs="Times New Roman"/>
                      <w:b w:val="0"/>
                      <w:bCs w:val="0"/>
                      <w:color w:val="auto"/>
                      <w:sz w:val="21"/>
                      <w:szCs w:val="21"/>
                      <w:vertAlign w:val="baseline"/>
                      <w:lang w:val="en-US" w:eastAsia="zh-CN"/>
                    </w:rPr>
                    <w:t>。</w:t>
                  </w:r>
                </w:p>
              </w:tc>
            </w:tr>
            <w:tr w14:paraId="4D57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BCA626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1D6920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生活区</w:t>
                  </w:r>
                </w:p>
              </w:tc>
              <w:tc>
                <w:tcPr>
                  <w:tcW w:w="6178" w:type="dxa"/>
                  <w:gridSpan w:val="2"/>
                  <w:vAlign w:val="center"/>
                </w:tcPr>
                <w:p w14:paraId="51F343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107-32M井场生活区</w:t>
                  </w:r>
                  <w:r>
                    <w:rPr>
                      <w:rFonts w:hint="default" w:ascii="Times New Roman" w:hAnsi="Times New Roman" w:eastAsia="宋体" w:cs="Times New Roman"/>
                      <w:b w:val="0"/>
                      <w:bCs w:val="0"/>
                      <w:color w:val="auto"/>
                      <w:sz w:val="21"/>
                      <w:szCs w:val="21"/>
                      <w:highlight w:val="none"/>
                      <w:vertAlign w:val="baseline"/>
                      <w:lang w:val="en-US" w:eastAsia="zh-CN"/>
                    </w:rPr>
                    <w:t>位于井场东</w:t>
                  </w:r>
                  <w:r>
                    <w:rPr>
                      <w:rFonts w:hint="eastAsia" w:ascii="Times New Roman" w:hAnsi="Times New Roman" w:eastAsia="宋体" w:cs="Times New Roman"/>
                      <w:b w:val="0"/>
                      <w:bCs w:val="0"/>
                      <w:color w:val="auto"/>
                      <w:sz w:val="21"/>
                      <w:szCs w:val="21"/>
                      <w:highlight w:val="none"/>
                      <w:vertAlign w:val="baseline"/>
                      <w:lang w:val="en-US" w:eastAsia="zh-CN"/>
                    </w:rPr>
                    <w:t>南</w:t>
                  </w:r>
                  <w:r>
                    <w:rPr>
                      <w:rFonts w:hint="default" w:ascii="Times New Roman" w:hAnsi="Times New Roman" w:eastAsia="宋体" w:cs="Times New Roman"/>
                      <w:b w:val="0"/>
                      <w:bCs w:val="0"/>
                      <w:color w:val="auto"/>
                      <w:sz w:val="21"/>
                      <w:szCs w:val="21"/>
                      <w:highlight w:val="none"/>
                      <w:vertAlign w:val="baseline"/>
                      <w:lang w:val="en-US" w:eastAsia="zh-CN"/>
                    </w:rPr>
                    <w:t>侧，占地面积</w:t>
                  </w:r>
                  <w:r>
                    <w:rPr>
                      <w:rFonts w:hint="eastAsia" w:ascii="Times New Roman" w:hAnsi="Times New Roman" w:eastAsia="宋体" w:cs="Times New Roman"/>
                      <w:b w:val="0"/>
                      <w:bCs w:val="0"/>
                      <w:color w:val="auto"/>
                      <w:sz w:val="21"/>
                      <w:szCs w:val="21"/>
                      <w:highlight w:val="none"/>
                      <w:vertAlign w:val="baseline"/>
                      <w:lang w:val="en-US" w:eastAsia="zh-CN"/>
                    </w:rPr>
                    <w:t>1200</w:t>
                  </w:r>
                  <w:r>
                    <w:rPr>
                      <w:rFonts w:hint="default" w:ascii="Times New Roman" w:hAnsi="Times New Roman" w:eastAsia="宋体" w:cs="Times New Roman"/>
                      <w:b w:val="0"/>
                      <w:bCs w:val="0"/>
                      <w:color w:val="auto"/>
                      <w:sz w:val="21"/>
                      <w:szCs w:val="21"/>
                      <w:highlight w:val="none"/>
                      <w:vertAlign w:val="baseli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；107-16M井场生活区</w:t>
                  </w:r>
                  <w:r>
                    <w:rPr>
                      <w:rFonts w:hint="default" w:ascii="Times New Roman" w:hAnsi="Times New Roman" w:eastAsia="宋体" w:cs="Times New Roman"/>
                      <w:b w:val="0"/>
                      <w:bCs w:val="0"/>
                      <w:color w:val="auto"/>
                      <w:sz w:val="21"/>
                      <w:szCs w:val="21"/>
                      <w:highlight w:val="none"/>
                      <w:vertAlign w:val="baseline"/>
                      <w:lang w:val="en-US" w:eastAsia="zh-CN"/>
                    </w:rPr>
                    <w:t>位于井场东</w:t>
                  </w:r>
                  <w:r>
                    <w:rPr>
                      <w:rFonts w:hint="eastAsia" w:ascii="Times New Roman" w:hAnsi="Times New Roman" w:eastAsia="宋体" w:cs="Times New Roman"/>
                      <w:b w:val="0"/>
                      <w:bCs w:val="0"/>
                      <w:color w:val="auto"/>
                      <w:sz w:val="21"/>
                      <w:szCs w:val="21"/>
                      <w:highlight w:val="none"/>
                      <w:vertAlign w:val="baseline"/>
                      <w:lang w:val="en-US" w:eastAsia="zh-CN"/>
                    </w:rPr>
                    <w:t>北</w:t>
                  </w:r>
                  <w:r>
                    <w:rPr>
                      <w:rFonts w:hint="default" w:ascii="Times New Roman" w:hAnsi="Times New Roman" w:eastAsia="宋体" w:cs="Times New Roman"/>
                      <w:b w:val="0"/>
                      <w:bCs w:val="0"/>
                      <w:color w:val="auto"/>
                      <w:sz w:val="21"/>
                      <w:szCs w:val="21"/>
                      <w:highlight w:val="none"/>
                      <w:vertAlign w:val="baseline"/>
                      <w:lang w:val="en-US" w:eastAsia="zh-CN"/>
                    </w:rPr>
                    <w:t>侧，占地面积</w:t>
                  </w:r>
                  <w:r>
                    <w:rPr>
                      <w:rFonts w:hint="eastAsia" w:ascii="Times New Roman" w:hAnsi="Times New Roman" w:eastAsia="宋体" w:cs="Times New Roman"/>
                      <w:b w:val="0"/>
                      <w:bCs w:val="0"/>
                      <w:color w:val="auto"/>
                      <w:sz w:val="21"/>
                      <w:szCs w:val="21"/>
                      <w:highlight w:val="none"/>
                      <w:vertAlign w:val="baseline"/>
                      <w:lang w:val="en-US" w:eastAsia="zh-CN"/>
                    </w:rPr>
                    <w:t>1200</w:t>
                  </w:r>
                  <w:r>
                    <w:rPr>
                      <w:rFonts w:hint="default" w:ascii="Times New Roman" w:hAnsi="Times New Roman" w:eastAsia="宋体" w:cs="Times New Roman"/>
                      <w:b w:val="0"/>
                      <w:bCs w:val="0"/>
                      <w:color w:val="auto"/>
                      <w:sz w:val="21"/>
                      <w:szCs w:val="21"/>
                      <w:highlight w:val="none"/>
                      <w:vertAlign w:val="baseli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；米107-22MH井场生活区</w:t>
                  </w:r>
                  <w:r>
                    <w:rPr>
                      <w:rFonts w:hint="default" w:ascii="Times New Roman" w:hAnsi="Times New Roman" w:eastAsia="宋体" w:cs="Times New Roman"/>
                      <w:b w:val="0"/>
                      <w:bCs w:val="0"/>
                      <w:color w:val="auto"/>
                      <w:sz w:val="21"/>
                      <w:szCs w:val="21"/>
                      <w:highlight w:val="none"/>
                      <w:vertAlign w:val="baseline"/>
                      <w:lang w:val="en-US" w:eastAsia="zh-CN"/>
                    </w:rPr>
                    <w:t>位于井场东侧，占地面积</w:t>
                  </w:r>
                  <w:r>
                    <w:rPr>
                      <w:rFonts w:hint="eastAsia" w:ascii="Times New Roman" w:hAnsi="Times New Roman" w:eastAsia="宋体" w:cs="Times New Roman"/>
                      <w:b w:val="0"/>
                      <w:bCs w:val="0"/>
                      <w:color w:val="auto"/>
                      <w:sz w:val="21"/>
                      <w:szCs w:val="21"/>
                      <w:highlight w:val="none"/>
                      <w:vertAlign w:val="baseline"/>
                      <w:lang w:val="en-US" w:eastAsia="zh-CN"/>
                    </w:rPr>
                    <w:t>1200</w:t>
                  </w:r>
                  <w:r>
                    <w:rPr>
                      <w:rFonts w:hint="default" w:ascii="Times New Roman" w:hAnsi="Times New Roman" w:eastAsia="宋体" w:cs="Times New Roman"/>
                      <w:b w:val="0"/>
                      <w:bCs w:val="0"/>
                      <w:color w:val="auto"/>
                      <w:sz w:val="21"/>
                      <w:szCs w:val="21"/>
                      <w:highlight w:val="none"/>
                      <w:vertAlign w:val="baseli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2</w:t>
                  </w:r>
                </w:p>
              </w:tc>
            </w:tr>
            <w:tr w14:paraId="5735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44345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6F0D81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s="宋体"/>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临时进场道路</w:t>
                  </w:r>
                </w:p>
              </w:tc>
              <w:tc>
                <w:tcPr>
                  <w:tcW w:w="6178" w:type="dxa"/>
                  <w:gridSpan w:val="2"/>
                  <w:vAlign w:val="center"/>
                </w:tcPr>
                <w:p w14:paraId="3424F3A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本项目米107-32M、米107-22MH利用现有井场道路；米107-16M新建进场道路260m，采用砂石路面，宽度为4m。</w:t>
                  </w:r>
                </w:p>
              </w:tc>
            </w:tr>
            <w:tr w14:paraId="6602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1AA134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79B38C8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cs="宋体"/>
                      <w:color w:val="auto"/>
                      <w:lang w:val="en-US" w:eastAsia="zh-CN"/>
                    </w:rPr>
                  </w:pPr>
                  <w:r>
                    <w:rPr>
                      <w:rFonts w:hint="default" w:ascii="Times New Roman" w:hAnsi="Times New Roman" w:cs="Times New Roman"/>
                      <w:color w:val="auto"/>
                      <w:sz w:val="21"/>
                      <w:szCs w:val="21"/>
                      <w:lang w:val="en-US" w:eastAsia="zh-CN"/>
                    </w:rPr>
                    <w:t>临时堆场</w:t>
                  </w:r>
                </w:p>
              </w:tc>
              <w:tc>
                <w:tcPr>
                  <w:tcW w:w="6178" w:type="dxa"/>
                  <w:gridSpan w:val="2"/>
                  <w:vAlign w:val="center"/>
                </w:tcPr>
                <w:p w14:paraId="55B1739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宋体"/>
                      <w:color w:val="auto"/>
                      <w:lang w:val="en-US" w:eastAsia="zh-CN"/>
                    </w:rPr>
                  </w:pPr>
                  <w:r>
                    <w:rPr>
                      <w:rFonts w:hint="eastAsia" w:ascii="Times New Roman" w:hAnsi="Times New Roman" w:eastAsia="宋体" w:cs="Times New Roman"/>
                      <w:color w:val="auto"/>
                      <w:kern w:val="0"/>
                      <w:sz w:val="21"/>
                      <w:szCs w:val="21"/>
                      <w:lang w:val="en-US" w:eastAsia="zh-CN" w:bidi="ar"/>
                    </w:rPr>
                    <w:t>米107-32M</w:t>
                  </w: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3000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695C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AF9CD7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6B86757B">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6178" w:type="dxa"/>
                  <w:gridSpan w:val="2"/>
                  <w:vAlign w:val="center"/>
                </w:tcPr>
                <w:p w14:paraId="558C28E4">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米107-22MH</w:t>
                  </w: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2800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15F5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26F5C7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63975397">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p>
              </w:tc>
              <w:tc>
                <w:tcPr>
                  <w:tcW w:w="6178" w:type="dxa"/>
                  <w:gridSpan w:val="2"/>
                  <w:vAlign w:val="center"/>
                </w:tcPr>
                <w:p w14:paraId="14105C7C">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
                    </w:rPr>
                    <w:t>米107-16M</w:t>
                  </w:r>
                  <w:r>
                    <w:rPr>
                      <w:rFonts w:hint="default" w:ascii="Times New Roman" w:hAnsi="Times New Roman" w:cs="Times New Roman"/>
                      <w:color w:val="auto"/>
                      <w:sz w:val="21"/>
                      <w:szCs w:val="21"/>
                      <w:lang w:val="en-US" w:eastAsia="zh-CN"/>
                    </w:rPr>
                    <w:t>表土堆场1座，</w:t>
                  </w:r>
                  <w:r>
                    <w:rPr>
                      <w:rFonts w:hint="eastAsia" w:ascii="Times New Roman" w:hAnsi="Times New Roman" w:cs="Times New Roman"/>
                      <w:color w:val="auto"/>
                      <w:sz w:val="21"/>
                      <w:szCs w:val="21"/>
                      <w:lang w:val="en-US" w:eastAsia="zh-CN"/>
                    </w:rPr>
                    <w:t>1800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，堆高为3米；一般土石方堆场1座，</w:t>
                  </w:r>
                  <w:r>
                    <w:rPr>
                      <w:rFonts w:hint="eastAsia" w:ascii="Times New Roman" w:hAnsi="Times New Roman" w:cs="Times New Roman"/>
                      <w:color w:val="auto"/>
                      <w:sz w:val="21"/>
                      <w:szCs w:val="21"/>
                      <w:lang w:val="en-US" w:eastAsia="zh-CN"/>
                    </w:rPr>
                    <w:t>3200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，堆高3米。</w:t>
                  </w:r>
                </w:p>
              </w:tc>
            </w:tr>
            <w:tr w14:paraId="2638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F56F5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75D01A7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物料区</w:t>
                  </w:r>
                </w:p>
              </w:tc>
              <w:tc>
                <w:tcPr>
                  <w:tcW w:w="6178" w:type="dxa"/>
                  <w:gridSpan w:val="2"/>
                  <w:vAlign w:val="center"/>
                </w:tcPr>
                <w:p w14:paraId="034F39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单</w:t>
                  </w:r>
                  <w:r>
                    <w:rPr>
                      <w:rFonts w:hint="eastAsia" w:ascii="Times New Roman" w:hAnsi="Times New Roman" w:eastAsia="宋体" w:cs="Times New Roman"/>
                      <w:b w:val="0"/>
                      <w:bCs w:val="0"/>
                      <w:color w:val="auto"/>
                      <w:sz w:val="21"/>
                      <w:szCs w:val="21"/>
                      <w:vertAlign w:val="baseline"/>
                      <w:lang w:val="en-US" w:eastAsia="zh-CN"/>
                    </w:rPr>
                    <w:t>井场</w:t>
                  </w:r>
                  <w:r>
                    <w:rPr>
                      <w:rFonts w:hint="default" w:ascii="Times New Roman" w:hAnsi="Times New Roman" w:eastAsia="宋体" w:cs="Times New Roman"/>
                      <w:b w:val="0"/>
                      <w:bCs w:val="0"/>
                      <w:color w:val="auto"/>
                      <w:sz w:val="21"/>
                      <w:szCs w:val="21"/>
                      <w:vertAlign w:val="baseline"/>
                      <w:lang w:val="en-US" w:eastAsia="zh-CN"/>
                    </w:rPr>
                    <w:t>物料区占地面积</w:t>
                  </w:r>
                  <w:r>
                    <w:rPr>
                      <w:rFonts w:hint="eastAsia" w:ascii="Times New Roman" w:hAnsi="Times New Roman" w:eastAsia="宋体" w:cs="Times New Roman"/>
                      <w:b w:val="0"/>
                      <w:bCs w:val="0"/>
                      <w:color w:val="auto"/>
                      <w:sz w:val="21"/>
                      <w:szCs w:val="21"/>
                      <w:vertAlign w:val="baseline"/>
                      <w:lang w:val="en-US" w:eastAsia="zh-CN"/>
                    </w:rPr>
                    <w:t>6</w:t>
                  </w:r>
                  <w:r>
                    <w:rPr>
                      <w:rFonts w:hint="default" w:ascii="Times New Roman" w:hAnsi="Times New Roman" w:eastAsia="宋体" w:cs="Times New Roman"/>
                      <w:b w:val="0"/>
                      <w:bCs w:val="0"/>
                      <w:color w:val="auto"/>
                      <w:sz w:val="21"/>
                      <w:szCs w:val="21"/>
                      <w:vertAlign w:val="baseline"/>
                      <w:lang w:val="en-US" w:eastAsia="zh-CN"/>
                    </w:rPr>
                    <w:t>00m</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cs="Times New Roman"/>
                      <w:color w:val="auto"/>
                      <w:sz w:val="21"/>
                      <w:szCs w:val="21"/>
                      <w:lang w:val="en-US" w:eastAsia="zh-CN"/>
                    </w:rPr>
                    <w:t>主要设有综合房、修理房、发电机房、井控房、</w:t>
                  </w:r>
                  <w:r>
                    <w:rPr>
                      <w:rFonts w:hint="eastAsia" w:ascii="Times New Roman" w:hAnsi="Times New Roman" w:cs="Times New Roman"/>
                      <w:color w:val="auto"/>
                      <w:sz w:val="21"/>
                      <w:szCs w:val="21"/>
                      <w:lang w:val="en-US" w:eastAsia="zh-CN"/>
                    </w:rPr>
                    <w:t>临时停车场</w:t>
                  </w:r>
                  <w:r>
                    <w:rPr>
                      <w:rFonts w:hint="default" w:ascii="Times New Roman" w:hAnsi="Times New Roman" w:cs="Times New Roman"/>
                      <w:color w:val="auto"/>
                      <w:sz w:val="21"/>
                      <w:szCs w:val="21"/>
                      <w:lang w:val="en-US" w:eastAsia="zh-CN"/>
                    </w:rPr>
                    <w:t>等，按照简单防渗要求进行防渗。</w:t>
                  </w:r>
                  <w:r>
                    <w:rPr>
                      <w:rFonts w:hint="eastAsia" w:ascii="Times New Roman" w:hAnsi="Times New Roman" w:cs="Times New Roman"/>
                      <w:color w:val="auto"/>
                      <w:sz w:val="21"/>
                      <w:szCs w:val="21"/>
                      <w:lang w:val="en-US" w:eastAsia="zh-CN"/>
                    </w:rPr>
                    <w:t>材料房、临时环保厕所按一般防渗区要求进行防渗。钻井液材料房</w:t>
                  </w:r>
                  <w:r>
                    <w:rPr>
                      <w:rFonts w:hint="default" w:ascii="Times New Roman" w:hAnsi="Times New Roman" w:cs="Times New Roman"/>
                      <w:color w:val="auto"/>
                      <w:sz w:val="21"/>
                      <w:szCs w:val="21"/>
                      <w:lang w:val="en-US" w:eastAsia="zh-CN"/>
                    </w:rPr>
                    <w:t>，存放探头等钻井生产工具，按照重点防渗区要求进行防渗处理，使用土堆成简易围堰，整体铺设相应厚度的HDPE材料，可有效防止污染物入渗。</w:t>
                  </w:r>
                </w:p>
              </w:tc>
            </w:tr>
            <w:tr w14:paraId="4176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Align w:val="center"/>
                </w:tcPr>
                <w:p w14:paraId="728B6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储运工程</w:t>
                  </w:r>
                </w:p>
              </w:tc>
              <w:tc>
                <w:tcPr>
                  <w:tcW w:w="1522" w:type="dxa"/>
                  <w:gridSpan w:val="2"/>
                  <w:vAlign w:val="center"/>
                </w:tcPr>
                <w:p w14:paraId="5EDB1A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储罐</w:t>
                  </w:r>
                </w:p>
              </w:tc>
              <w:tc>
                <w:tcPr>
                  <w:tcW w:w="6178" w:type="dxa"/>
                  <w:gridSpan w:val="2"/>
                  <w:vAlign w:val="center"/>
                </w:tcPr>
                <w:p w14:paraId="1A39263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每个井场均</w:t>
                  </w:r>
                  <w:r>
                    <w:rPr>
                      <w:rFonts w:hint="eastAsia" w:ascii="Times New Roman" w:hAnsi="Times New Roman" w:eastAsia="宋体"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洗井废水罐、3个75m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压裂返排液罐、</w:t>
                  </w:r>
                  <w:r>
                    <w:rPr>
                      <w:rFonts w:hint="eastAsia" w:ascii="Times New Roman" w:hAnsi="Times New Roman" w:eastAsia="宋体" w:cs="Times New Roman"/>
                      <w:b w:val="0"/>
                      <w:bCs w:val="0"/>
                      <w:color w:val="auto"/>
                      <w:sz w:val="21"/>
                      <w:szCs w:val="21"/>
                      <w:vertAlign w:val="baseline"/>
                      <w:lang w:val="en-US" w:eastAsia="zh-CN"/>
                    </w:rPr>
                    <w:t>7</w:t>
                  </w:r>
                  <w:r>
                    <w:rPr>
                      <w:rFonts w:hint="default" w:ascii="Times New Roman" w:hAnsi="Times New Roman" w:eastAsia="宋体" w:cs="Times New Roman"/>
                      <w:b w:val="0"/>
                      <w:bCs w:val="0"/>
                      <w:color w:val="auto"/>
                      <w:sz w:val="21"/>
                      <w:szCs w:val="21"/>
                      <w:vertAlign w:val="baseline"/>
                      <w:lang w:val="en-US" w:eastAsia="zh-CN"/>
                    </w:rPr>
                    <w:t>个</w:t>
                  </w:r>
                  <w:r>
                    <w:rPr>
                      <w:rFonts w:hint="eastAsia" w:ascii="Times New Roman" w:hAnsi="Times New Roman" w:eastAsia="宋体" w:cs="Times New Roman"/>
                      <w:b w:val="0"/>
                      <w:bCs w:val="0"/>
                      <w:color w:val="auto"/>
                      <w:sz w:val="21"/>
                      <w:szCs w:val="21"/>
                      <w:vertAlign w:val="baseline"/>
                      <w:lang w:val="en-US" w:eastAsia="zh-CN"/>
                    </w:rPr>
                    <w:t>50</w:t>
                  </w:r>
                  <w:r>
                    <w:rPr>
                      <w:rFonts w:hint="default" w:ascii="Times New Roman" w:hAnsi="Times New Roman" w:eastAsia="宋体" w:cs="Times New Roman"/>
                      <w:b w:val="0"/>
                      <w:bCs w:val="0"/>
                      <w:color w:val="auto"/>
                      <w:sz w:val="21"/>
                      <w:szCs w:val="21"/>
                      <w:vertAlign w:val="baseline"/>
                      <w:lang w:val="en-US" w:eastAsia="zh-CN"/>
                    </w:rPr>
                    <w:t>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vertAlign w:val="baseline"/>
                      <w:lang w:val="en-US" w:eastAsia="zh-CN"/>
                    </w:rPr>
                    <w:t>移动式泥饼收集罐</w:t>
                  </w:r>
                  <w:r>
                    <w:rPr>
                      <w:rFonts w:hint="eastAsia"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b w:val="0"/>
                      <w:bCs w:val="0"/>
                      <w:color w:val="auto"/>
                      <w:sz w:val="21"/>
                      <w:szCs w:val="21"/>
                      <w:vertAlign w:val="baseline"/>
                      <w:lang w:val="en-US" w:eastAsia="zh-CN"/>
                    </w:rPr>
                    <w:t>储罐区按照重点防渗区要求进行防渗处理</w:t>
                  </w:r>
                </w:p>
              </w:tc>
            </w:tr>
            <w:tr w14:paraId="732E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0A0B2C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公用工程</w:t>
                  </w:r>
                </w:p>
              </w:tc>
              <w:tc>
                <w:tcPr>
                  <w:tcW w:w="1522" w:type="dxa"/>
                  <w:gridSpan w:val="2"/>
                  <w:vAlign w:val="center"/>
                </w:tcPr>
                <w:p w14:paraId="075F3AB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供水</w:t>
                  </w:r>
                </w:p>
              </w:tc>
              <w:tc>
                <w:tcPr>
                  <w:tcW w:w="6178" w:type="dxa"/>
                  <w:gridSpan w:val="2"/>
                  <w:vAlign w:val="center"/>
                </w:tcPr>
                <w:p w14:paraId="77AB64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生产用水采用水罐车拉运至井场，生活用水采用桶装水</w:t>
                  </w:r>
                  <w:r>
                    <w:rPr>
                      <w:rFonts w:hint="eastAsia" w:ascii="Times New Roman" w:hAnsi="Times New Roman" w:eastAsia="宋体" w:cs="Times New Roman"/>
                      <w:b w:val="0"/>
                      <w:bCs w:val="0"/>
                      <w:color w:val="auto"/>
                      <w:sz w:val="21"/>
                      <w:szCs w:val="21"/>
                      <w:vertAlign w:val="baseline"/>
                      <w:lang w:val="en-US" w:eastAsia="zh-CN"/>
                    </w:rPr>
                    <w:t>。</w:t>
                  </w:r>
                </w:p>
              </w:tc>
            </w:tr>
            <w:tr w14:paraId="0F535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93B6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42630CC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供电</w:t>
                  </w:r>
                </w:p>
              </w:tc>
              <w:tc>
                <w:tcPr>
                  <w:tcW w:w="6178" w:type="dxa"/>
                  <w:gridSpan w:val="2"/>
                  <w:vAlign w:val="center"/>
                </w:tcPr>
                <w:p w14:paraId="73D1AF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接入市政电网供电。</w:t>
                  </w:r>
                </w:p>
              </w:tc>
            </w:tr>
            <w:tr w14:paraId="31F4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55E5C1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73CF46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排水</w:t>
                  </w:r>
                </w:p>
              </w:tc>
              <w:tc>
                <w:tcPr>
                  <w:tcW w:w="1086" w:type="dxa"/>
                  <w:vAlign w:val="center"/>
                </w:tcPr>
                <w:p w14:paraId="5C5C4A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gridSpan w:val="2"/>
                  <w:vAlign w:val="center"/>
                </w:tcPr>
                <w:p w14:paraId="761786DE">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施工期生活污水均排入</w:t>
                  </w:r>
                  <w:r>
                    <w:rPr>
                      <w:rFonts w:hint="default" w:ascii="Times New Roman" w:hAnsi="Times New Roman" w:eastAsia="宋体" w:cs="Times New Roman"/>
                      <w:color w:val="auto"/>
                      <w:kern w:val="0"/>
                      <w:sz w:val="21"/>
                      <w:szCs w:val="21"/>
                      <w:lang w:val="en-US" w:eastAsia="zh-CN" w:bidi="ar"/>
                    </w:rPr>
                    <w:t>移动式</w:t>
                  </w:r>
                  <w:r>
                    <w:rPr>
                      <w:rFonts w:hint="eastAsia" w:ascii="Times New Roman" w:hAnsi="Times New Roman" w:eastAsia="宋体" w:cs="Times New Roman"/>
                      <w:color w:val="auto"/>
                      <w:kern w:val="0"/>
                      <w:sz w:val="21"/>
                      <w:szCs w:val="21"/>
                      <w:lang w:val="en-US" w:eastAsia="zh-CN" w:bidi="ar"/>
                    </w:rPr>
                    <w:t>卫生旱厕</w:t>
                  </w:r>
                  <w:r>
                    <w:rPr>
                      <w:rFonts w:hint="default" w:ascii="Times New Roman" w:hAnsi="Times New Roman" w:eastAsia="宋体" w:cs="Times New Roman"/>
                      <w:b w:val="0"/>
                      <w:bCs w:val="0"/>
                      <w:color w:val="auto"/>
                      <w:sz w:val="21"/>
                      <w:szCs w:val="21"/>
                      <w:vertAlign w:val="baseline"/>
                      <w:lang w:val="en-US" w:eastAsia="zh-CN"/>
                    </w:rPr>
                    <w:t>，定期清掏用作农肥</w:t>
                  </w:r>
                  <w:r>
                    <w:rPr>
                      <w:rFonts w:hint="eastAsia" w:ascii="Times New Roman" w:hAnsi="Times New Roman" w:eastAsia="宋体" w:cs="Times New Roman"/>
                      <w:b w:val="0"/>
                      <w:bCs w:val="0"/>
                      <w:color w:val="auto"/>
                      <w:sz w:val="21"/>
                      <w:szCs w:val="21"/>
                      <w:vertAlign w:val="baseline"/>
                      <w:lang w:val="en-US" w:eastAsia="zh-CN"/>
                    </w:rPr>
                    <w:t>。</w:t>
                  </w:r>
                </w:p>
              </w:tc>
            </w:tr>
            <w:tr w14:paraId="0201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dxa"/>
                  <w:vMerge w:val="continue"/>
                  <w:vAlign w:val="center"/>
                </w:tcPr>
                <w:p w14:paraId="2A8B04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436" w:type="dxa"/>
                  <w:vMerge w:val="continue"/>
                  <w:vAlign w:val="center"/>
                </w:tcPr>
                <w:p w14:paraId="782191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086" w:type="dxa"/>
                  <w:vAlign w:val="center"/>
                </w:tcPr>
                <w:p w14:paraId="327F50E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gridSpan w:val="2"/>
                  <w:vAlign w:val="center"/>
                </w:tcPr>
                <w:p w14:paraId="63B75284">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钻井废水经泥浆水循环系统处理</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7107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46A9E8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007F7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4C97F8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gridSpan w:val="2"/>
                  <w:vAlign w:val="center"/>
                </w:tcPr>
                <w:p w14:paraId="5FF8C06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洗井废水临时暂存于洗井废水罐，</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5433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690" w:type="dxa"/>
                  <w:vMerge w:val="continue"/>
                  <w:vAlign w:val="center"/>
                </w:tcPr>
                <w:p w14:paraId="45315E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1F4AAA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42C6080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gridSpan w:val="2"/>
                  <w:vAlign w:val="center"/>
                </w:tcPr>
                <w:p w14:paraId="1224A14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临时收集贮存于专用收集罐，</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1A59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restart"/>
                  <w:vAlign w:val="center"/>
                </w:tcPr>
                <w:p w14:paraId="2BB0155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环保工程</w:t>
                  </w:r>
                </w:p>
              </w:tc>
              <w:tc>
                <w:tcPr>
                  <w:tcW w:w="436" w:type="dxa"/>
                  <w:vMerge w:val="restart"/>
                  <w:vAlign w:val="center"/>
                </w:tcPr>
                <w:p w14:paraId="2F60B29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1091" w:type="dxa"/>
                  <w:gridSpan w:val="2"/>
                  <w:vAlign w:val="center"/>
                </w:tcPr>
                <w:p w14:paraId="667579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施工扬尘</w:t>
                  </w:r>
                </w:p>
              </w:tc>
              <w:tc>
                <w:tcPr>
                  <w:tcW w:w="6173" w:type="dxa"/>
                  <w:vAlign w:val="center"/>
                </w:tcPr>
                <w:p w14:paraId="156CD6D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井场设置施工围挡，洒水抑尘，表土及建材堆放设置挡板并采用篷布遮盖，施工运输车辆采用密闭措施。</w:t>
                  </w:r>
                </w:p>
              </w:tc>
            </w:tr>
            <w:tr w14:paraId="0BBC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0" w:type="dxa"/>
                  <w:vMerge w:val="continue"/>
                  <w:vAlign w:val="center"/>
                </w:tcPr>
                <w:p w14:paraId="3935D1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6AB76C9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91" w:type="dxa"/>
                  <w:gridSpan w:val="2"/>
                  <w:vAlign w:val="center"/>
                </w:tcPr>
                <w:p w14:paraId="249552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测试废气</w:t>
                  </w:r>
                </w:p>
              </w:tc>
              <w:tc>
                <w:tcPr>
                  <w:tcW w:w="6173" w:type="dxa"/>
                  <w:vAlign w:val="center"/>
                </w:tcPr>
                <w:p w14:paraId="7A597DF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每个井场均</w:t>
                  </w:r>
                  <w:r>
                    <w:rPr>
                      <w:rFonts w:hint="default" w:ascii="Times New Roman" w:hAnsi="Times New Roman" w:eastAsia="宋体" w:cs="Times New Roman"/>
                      <w:b w:val="0"/>
                      <w:bCs w:val="0"/>
                      <w:color w:val="auto"/>
                      <w:sz w:val="21"/>
                      <w:szCs w:val="21"/>
                      <w:highlight w:val="none"/>
                      <w:vertAlign w:val="baseline"/>
                      <w:lang w:val="en-US" w:eastAsia="zh-CN"/>
                    </w:rPr>
                    <w:t>设置</w:t>
                  </w:r>
                  <w:r>
                    <w:rPr>
                      <w:rFonts w:hint="eastAsia" w:ascii="Times New Roman" w:hAnsi="Times New Roman" w:eastAsia="宋体" w:cs="Times New Roman"/>
                      <w:b w:val="0"/>
                      <w:bCs w:val="0"/>
                      <w:color w:val="auto"/>
                      <w:sz w:val="21"/>
                      <w:szCs w:val="21"/>
                      <w:highlight w:val="none"/>
                      <w:vertAlign w:val="baseline"/>
                      <w:lang w:val="en-US" w:eastAsia="zh-CN"/>
                    </w:rPr>
                    <w:t>放喷池1</w:t>
                  </w:r>
                  <w:r>
                    <w:rPr>
                      <w:rFonts w:hint="default" w:ascii="Times New Roman" w:hAnsi="Times New Roman" w:eastAsia="宋体" w:cs="Times New Roman"/>
                      <w:b w:val="0"/>
                      <w:bCs w:val="0"/>
                      <w:color w:val="auto"/>
                      <w:sz w:val="21"/>
                      <w:szCs w:val="21"/>
                      <w:highlight w:val="none"/>
                      <w:vertAlign w:val="baseline"/>
                      <w:lang w:val="en-US" w:eastAsia="zh-CN"/>
                    </w:rPr>
                    <w:t>座，测试放喷及事故放喷的天然气经专用放喷管线引至</w:t>
                  </w:r>
                  <w:r>
                    <w:rPr>
                      <w:rFonts w:hint="eastAsia" w:ascii="Times New Roman" w:hAnsi="Times New Roman" w:eastAsia="宋体" w:cs="Times New Roman"/>
                      <w:b w:val="0"/>
                      <w:bCs w:val="0"/>
                      <w:color w:val="auto"/>
                      <w:sz w:val="21"/>
                      <w:szCs w:val="21"/>
                      <w:highlight w:val="none"/>
                      <w:vertAlign w:val="baseline"/>
                      <w:lang w:val="en-US" w:eastAsia="zh-CN"/>
                    </w:rPr>
                    <w:t>放喷池</w:t>
                  </w:r>
                  <w:r>
                    <w:rPr>
                      <w:rFonts w:hint="default" w:ascii="Times New Roman" w:hAnsi="Times New Roman" w:eastAsia="宋体" w:cs="Times New Roman"/>
                      <w:b w:val="0"/>
                      <w:bCs w:val="0"/>
                      <w:color w:val="auto"/>
                      <w:sz w:val="21"/>
                      <w:szCs w:val="21"/>
                      <w:highlight w:val="none"/>
                      <w:vertAlign w:val="baseline"/>
                      <w:lang w:val="en-US" w:eastAsia="zh-CN"/>
                    </w:rPr>
                    <w:t>后，</w:t>
                  </w:r>
                  <w:r>
                    <w:rPr>
                      <w:rFonts w:hint="eastAsia" w:ascii="Times New Roman" w:hAnsi="Times New Roman" w:eastAsia="宋体" w:cs="Times New Roman"/>
                      <w:b w:val="0"/>
                      <w:bCs w:val="0"/>
                      <w:color w:val="auto"/>
                      <w:sz w:val="21"/>
                      <w:szCs w:val="21"/>
                      <w:highlight w:val="none"/>
                      <w:vertAlign w:val="baseline"/>
                      <w:lang w:val="en-US" w:eastAsia="zh-CN"/>
                    </w:rPr>
                    <w:t>燃烧排放</w:t>
                  </w:r>
                  <w:r>
                    <w:rPr>
                      <w:rFonts w:hint="default" w:ascii="Times New Roman" w:hAnsi="Times New Roman" w:eastAsia="宋体" w:cs="Times New Roman"/>
                      <w:b w:val="0"/>
                      <w:bCs w:val="0"/>
                      <w:color w:val="auto"/>
                      <w:sz w:val="21"/>
                      <w:szCs w:val="21"/>
                      <w:highlight w:val="none"/>
                      <w:vertAlign w:val="baseline"/>
                      <w:lang w:val="en-US" w:eastAsia="zh-CN"/>
                    </w:rPr>
                    <w:t>。</w:t>
                  </w:r>
                </w:p>
              </w:tc>
            </w:tr>
            <w:tr w14:paraId="18AA5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B39CE8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restart"/>
                  <w:vAlign w:val="center"/>
                </w:tcPr>
                <w:p w14:paraId="0893EAE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086" w:type="dxa"/>
                  <w:vAlign w:val="center"/>
                </w:tcPr>
                <w:p w14:paraId="42B42EB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钻井废水</w:t>
                  </w:r>
                </w:p>
              </w:tc>
              <w:tc>
                <w:tcPr>
                  <w:tcW w:w="6178" w:type="dxa"/>
                  <w:gridSpan w:val="2"/>
                  <w:vAlign w:val="center"/>
                </w:tcPr>
                <w:p w14:paraId="5BF5EA38">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钻井废水经泥浆水循环系统处理后优先作为钻井液配水回用，钻井结束后，不能回用的钻井废水委托陕西榆佳环保科技有限公司外运处理。</w:t>
                  </w:r>
                </w:p>
              </w:tc>
            </w:tr>
            <w:tr w14:paraId="714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700F6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92C17D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639ECB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洗井废水</w:t>
                  </w:r>
                </w:p>
              </w:tc>
              <w:tc>
                <w:tcPr>
                  <w:tcW w:w="6178" w:type="dxa"/>
                  <w:gridSpan w:val="2"/>
                  <w:vAlign w:val="center"/>
                </w:tcPr>
                <w:p w14:paraId="5D2E0856">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每个井场均设有2个75m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洗井废水储罐，施工产生的洗井废水临时收集贮存于洗井废水储罐中，委托</w:t>
                  </w:r>
                  <w:r>
                    <w:rPr>
                      <w:rFonts w:hint="eastAsia" w:cs="Times New Roman"/>
                      <w:color w:val="auto"/>
                      <w:sz w:val="21"/>
                      <w:szCs w:val="21"/>
                      <w:highlight w:val="none"/>
                      <w:lang w:val="en-US" w:eastAsia="zh-CN"/>
                    </w:rPr>
                    <w:t>陕西榆佳环保科技有限公司外运处理。</w:t>
                  </w:r>
                </w:p>
              </w:tc>
            </w:tr>
            <w:tr w14:paraId="0049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0DC723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2A4307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23DC093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压裂返排液</w:t>
                  </w:r>
                </w:p>
              </w:tc>
              <w:tc>
                <w:tcPr>
                  <w:tcW w:w="6178" w:type="dxa"/>
                  <w:gridSpan w:val="2"/>
                  <w:vAlign w:val="center"/>
                </w:tcPr>
                <w:p w14:paraId="5F5DD68B">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每个井场均设有3个75m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压裂返排液储罐，施工产生的压裂返排液临时收集贮存于压裂返排液储罐中，委托</w:t>
                  </w:r>
                  <w:r>
                    <w:rPr>
                      <w:rFonts w:hint="eastAsia" w:cs="Times New Roman"/>
                      <w:color w:val="auto"/>
                      <w:sz w:val="21"/>
                      <w:szCs w:val="21"/>
                      <w:lang w:val="en-US" w:eastAsia="zh-CN"/>
                    </w:rPr>
                    <w:t>陕西榆佳环保科技有限公司外运处理</w:t>
                  </w:r>
                  <w:r>
                    <w:rPr>
                      <w:rFonts w:hint="default" w:ascii="Times New Roman" w:hAnsi="Times New Roman" w:cs="Times New Roman"/>
                      <w:color w:val="auto"/>
                      <w:sz w:val="21"/>
                      <w:szCs w:val="21"/>
                      <w:lang w:val="en-US" w:eastAsia="zh-CN"/>
                    </w:rPr>
                    <w:t>。</w:t>
                  </w:r>
                </w:p>
              </w:tc>
            </w:tr>
            <w:tr w14:paraId="7D95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9097F4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339817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5DFB3C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放喷废水</w:t>
                  </w:r>
                </w:p>
              </w:tc>
              <w:tc>
                <w:tcPr>
                  <w:tcW w:w="6178" w:type="dxa"/>
                  <w:gridSpan w:val="2"/>
                  <w:vAlign w:val="center"/>
                </w:tcPr>
                <w:p w14:paraId="16BA3F66">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eastAsia" w:cs="Times New Roman"/>
                      <w:b w:val="0"/>
                      <w:bCs w:val="0"/>
                      <w:color w:val="auto"/>
                      <w:sz w:val="21"/>
                      <w:szCs w:val="21"/>
                      <w:vertAlign w:val="baseline"/>
                      <w:lang w:val="en-US" w:eastAsia="zh-CN"/>
                    </w:rPr>
                  </w:pPr>
                  <w:r>
                    <w:rPr>
                      <w:rFonts w:hint="eastAsia"/>
                      <w:color w:val="auto"/>
                      <w:sz w:val="21"/>
                      <w:szCs w:val="21"/>
                      <w:highlight w:val="none"/>
                      <w:lang w:val="en-US" w:eastAsia="zh-CN"/>
                    </w:rPr>
                    <w:t>收集至井场内放喷池暂存，</w:t>
                  </w:r>
                  <w:r>
                    <w:rPr>
                      <w:rFonts w:hint="default" w:ascii="Times New Roman" w:hAnsi="Times New Roman" w:cs="Times New Roman"/>
                      <w:color w:val="auto"/>
                      <w:sz w:val="21"/>
                      <w:szCs w:val="21"/>
                      <w:lang w:val="en-US" w:eastAsia="zh-CN"/>
                    </w:rPr>
                    <w:t>委托</w:t>
                  </w:r>
                  <w:r>
                    <w:rPr>
                      <w:rFonts w:hint="eastAsia" w:cs="Times New Roman"/>
                      <w:color w:val="auto"/>
                      <w:sz w:val="21"/>
                      <w:szCs w:val="21"/>
                      <w:lang w:val="en-US" w:eastAsia="zh-CN"/>
                    </w:rPr>
                    <w:t>陕西榆佳环保科技有限公司外运处理。</w:t>
                  </w:r>
                </w:p>
              </w:tc>
            </w:tr>
            <w:tr w14:paraId="3B63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2EDC3A7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36" w:type="dxa"/>
                  <w:vMerge w:val="continue"/>
                  <w:vAlign w:val="center"/>
                </w:tcPr>
                <w:p w14:paraId="0C32BE2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086" w:type="dxa"/>
                  <w:vAlign w:val="center"/>
                </w:tcPr>
                <w:p w14:paraId="0F96AB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生活污水</w:t>
                  </w:r>
                </w:p>
              </w:tc>
              <w:tc>
                <w:tcPr>
                  <w:tcW w:w="6178" w:type="dxa"/>
                  <w:gridSpan w:val="2"/>
                  <w:vAlign w:val="center"/>
                </w:tcPr>
                <w:p w14:paraId="2D1B3172">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由卫生旱厕收集后由用于周边农田施肥。</w:t>
                  </w:r>
                </w:p>
              </w:tc>
            </w:tr>
            <w:tr w14:paraId="2604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69D2258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3F7140C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w:t>
                  </w:r>
                </w:p>
              </w:tc>
              <w:tc>
                <w:tcPr>
                  <w:tcW w:w="6178" w:type="dxa"/>
                  <w:gridSpan w:val="2"/>
                  <w:vAlign w:val="center"/>
                </w:tcPr>
                <w:p w14:paraId="78542915">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移动式收集罐、废水罐、压裂返排液罐</w:t>
                  </w:r>
                  <w:r>
                    <w:rPr>
                      <w:rFonts w:hint="default" w:ascii="Times New Roman" w:hAnsi="Times New Roman" w:eastAsia="宋体" w:cs="Times New Roman"/>
                      <w:b w:val="0"/>
                      <w:bCs w:val="0"/>
                      <w:color w:val="auto"/>
                      <w:sz w:val="21"/>
                      <w:szCs w:val="21"/>
                      <w:vertAlign w:val="baseline"/>
                      <w:lang w:val="en-US" w:eastAsia="zh-CN"/>
                    </w:rPr>
                    <w:t>均置于围堰内进行防渗；罐区使用前底部及墙体内侧铺设相应厚度的HDPE材料</w:t>
                  </w:r>
                  <w:r>
                    <w:rPr>
                      <w:rFonts w:hint="default" w:ascii="Times New Roman" w:hAnsi="Times New Roman" w:cs="Times New Roman"/>
                      <w:b w:val="0"/>
                      <w:bCs w:val="0"/>
                      <w:color w:val="auto"/>
                      <w:sz w:val="21"/>
                      <w:szCs w:val="21"/>
                      <w:highlight w:val="none"/>
                    </w:rPr>
                    <w:t>（HDPE膜，不低于2mm厚）</w:t>
                  </w:r>
                  <w:r>
                    <w:rPr>
                      <w:rFonts w:hint="default" w:ascii="Times New Roman" w:hAnsi="Times New Roman" w:eastAsia="宋体" w:cs="Times New Roman"/>
                      <w:b w:val="0"/>
                      <w:bCs w:val="0"/>
                      <w:color w:val="auto"/>
                      <w:sz w:val="21"/>
                      <w:szCs w:val="21"/>
                      <w:vertAlign w:val="baseline"/>
                      <w:lang w:val="en-US" w:eastAsia="zh-CN"/>
                    </w:rPr>
                    <w:t>，使渗透系数≤10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cm/s，HDPE膜敷设面积应适当扩大，覆盖围堰区外延1.0m范围。</w:t>
                  </w:r>
                </w:p>
              </w:tc>
            </w:tr>
            <w:tr w14:paraId="091B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90" w:type="dxa"/>
                  <w:vMerge w:val="continue"/>
                  <w:vAlign w:val="center"/>
                </w:tcPr>
                <w:p w14:paraId="20701F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5C5C471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098D10BB">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放喷池</w:t>
                  </w:r>
                  <w:r>
                    <w:rPr>
                      <w:rFonts w:hint="default" w:ascii="Times New Roman" w:hAnsi="Times New Roman" w:eastAsia="宋体" w:cs="Times New Roman"/>
                      <w:b w:val="0"/>
                      <w:bCs w:val="0"/>
                      <w:color w:val="auto"/>
                      <w:sz w:val="21"/>
                      <w:szCs w:val="21"/>
                      <w:highlight w:val="none"/>
                      <w:vertAlign w:val="baseline"/>
                      <w:lang w:val="en-US" w:eastAsia="zh-CN"/>
                    </w:rPr>
                    <w:t>防渗措施：</w:t>
                  </w:r>
                  <w:r>
                    <w:rPr>
                      <w:rFonts w:hint="default" w:ascii="Times New Roman" w:hAnsi="Times New Roman" w:eastAsia="宋体" w:cs="Times New Roman"/>
                      <w:b w:val="0"/>
                      <w:bCs w:val="0"/>
                      <w:color w:val="auto"/>
                      <w:sz w:val="21"/>
                      <w:szCs w:val="21"/>
                      <w:vertAlign w:val="baseline"/>
                      <w:lang w:val="en-US" w:eastAsia="zh-CN"/>
                    </w:rPr>
                    <w:t>池底填筑一定厚度的土壤后压实，池底及四周铺设</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作防渗漏处理，</w:t>
                  </w:r>
                  <w:r>
                    <w:rPr>
                      <w:rFonts w:hint="eastAsia" w:ascii="Times New Roman" w:hAnsi="Times New Roman" w:eastAsia="宋体" w:cs="Times New Roman"/>
                      <w:b w:val="0"/>
                      <w:bCs w:val="0"/>
                      <w:color w:val="auto"/>
                      <w:sz w:val="21"/>
                      <w:szCs w:val="21"/>
                      <w:vertAlign w:val="baseline"/>
                      <w:lang w:val="en-US" w:eastAsia="zh-CN"/>
                    </w:rPr>
                    <w:t>防渗膜</w:t>
                  </w:r>
                  <w:r>
                    <w:rPr>
                      <w:rFonts w:hint="default" w:ascii="Times New Roman" w:hAnsi="Times New Roman" w:eastAsia="宋体" w:cs="Times New Roman"/>
                      <w:b w:val="0"/>
                      <w:bCs w:val="0"/>
                      <w:color w:val="auto"/>
                      <w:sz w:val="21"/>
                      <w:szCs w:val="21"/>
                      <w:vertAlign w:val="baseline"/>
                      <w:lang w:val="en-US" w:eastAsia="zh-CN"/>
                    </w:rPr>
                    <w:t>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3EE7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3AE7E9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7F8A185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104B5F53">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防渗措施：采用撬装式</w:t>
                  </w: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，防渗同时可满足《危险废物贮存污染控制标准》（GB18597-2023）相关要求，防渗层渗透系数小于1×10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r>
                    <w:rPr>
                      <w:rFonts w:hint="eastAsia" w:ascii="Times New Roman" w:hAnsi="Times New Roman" w:eastAsia="宋体" w:cs="Times New Roman"/>
                      <w:b w:val="0"/>
                      <w:bCs w:val="0"/>
                      <w:color w:val="auto"/>
                      <w:sz w:val="21"/>
                      <w:szCs w:val="21"/>
                      <w:vertAlign w:val="baseline"/>
                      <w:lang w:val="en-US" w:eastAsia="zh-CN"/>
                    </w:rPr>
                    <w:t>。</w:t>
                  </w:r>
                </w:p>
              </w:tc>
            </w:tr>
            <w:tr w14:paraId="022F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712E5DA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restart"/>
                  <w:vAlign w:val="center"/>
                </w:tcPr>
                <w:p w14:paraId="76808D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6178" w:type="dxa"/>
                  <w:gridSpan w:val="2"/>
                  <w:vAlign w:val="center"/>
                </w:tcPr>
                <w:p w14:paraId="140969CB">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r>
                    <w:rPr>
                      <w:rFonts w:hint="default" w:ascii="Times New Roman" w:hAnsi="Times New Roman" w:eastAsia="宋体" w:cs="Times New Roman"/>
                      <w:b w:val="0"/>
                      <w:bCs w:val="0"/>
                      <w:color w:val="auto"/>
                      <w:sz w:val="21"/>
                      <w:szCs w:val="21"/>
                      <w:vertAlign w:val="baseline"/>
                      <w:lang w:val="en-US" w:eastAsia="zh-CN"/>
                    </w:rPr>
                    <w:t>、钻井岩屑：分别暂存于移动式收集罐内，施工结束后委托</w:t>
                  </w:r>
                  <w:r>
                    <w:rPr>
                      <w:rFonts w:hint="eastAsia" w:ascii="Times New Roman" w:hAnsi="Times New Roman" w:eastAsia="宋体" w:cs="Times New Roman"/>
                      <w:b w:val="0"/>
                      <w:bCs w:val="0"/>
                      <w:color w:val="auto"/>
                      <w:sz w:val="21"/>
                      <w:szCs w:val="21"/>
                      <w:vertAlign w:val="baseline"/>
                      <w:lang w:val="en-US" w:eastAsia="zh-CN"/>
                    </w:rPr>
                    <w:t>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外运处理。由防渗漏、防抛洒、防扬尘的运输车辆统一外运处置。</w:t>
                  </w:r>
                </w:p>
              </w:tc>
            </w:tr>
            <w:tr w14:paraId="585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04CE7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20EB737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09A7D50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，委托有资质单位进行处置。</w:t>
                  </w:r>
                </w:p>
              </w:tc>
            </w:tr>
            <w:tr w14:paraId="2D1A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40818BA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2601CBF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4770B21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废包装袋、废弃防渗膜：废包装袋（除烧碱外的废包装袋）与未沾染危险废物的废防渗膜集中收集后交由物资回收公司进行回收再利用；氢氧化钠包装袋与沾染危险废物的废防渗膜，属于危险废物，暂存于</w:t>
                  </w:r>
                  <w:r>
                    <w:rPr>
                      <w:rFonts w:hint="eastAsia" w:ascii="Times New Roman" w:hAnsi="Times New Roman" w:eastAsia="宋体" w:cs="Times New Roman"/>
                      <w:b w:val="0"/>
                      <w:bCs w:val="0"/>
                      <w:color w:val="auto"/>
                      <w:sz w:val="21"/>
                      <w:szCs w:val="21"/>
                      <w:vertAlign w:val="baseline"/>
                      <w:lang w:val="en-US" w:eastAsia="zh-CN"/>
                    </w:rPr>
                    <w:t>撬装式危废贮存库</w:t>
                  </w:r>
                  <w:r>
                    <w:rPr>
                      <w:rFonts w:hint="default" w:ascii="Times New Roman" w:hAnsi="Times New Roman" w:eastAsia="宋体" w:cs="Times New Roman"/>
                      <w:b w:val="0"/>
                      <w:bCs w:val="0"/>
                      <w:color w:val="auto"/>
                      <w:sz w:val="21"/>
                      <w:szCs w:val="21"/>
                      <w:vertAlign w:val="baseline"/>
                      <w:lang w:val="en-US" w:eastAsia="zh-CN"/>
                    </w:rPr>
                    <w:t>，交由有资质单位回收处置。</w:t>
                  </w:r>
                </w:p>
              </w:tc>
            </w:tr>
            <w:tr w14:paraId="09D0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E01B7D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104F99F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0159049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生活垃圾：经垃圾桶收集后定期交佳县环卫部门处理。</w:t>
                  </w:r>
                </w:p>
              </w:tc>
            </w:tr>
            <w:tr w14:paraId="186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3F0943D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Merge w:val="continue"/>
                  <w:vAlign w:val="center"/>
                </w:tcPr>
                <w:p w14:paraId="0D099BC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178" w:type="dxa"/>
                  <w:gridSpan w:val="2"/>
                  <w:vAlign w:val="center"/>
                </w:tcPr>
                <w:p w14:paraId="5ADEEF7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岩芯：取出的岩心首选用于产气量、气密性等的研究，废弃岩芯交陕西德禾鑫盛环保科技有限公司</w:t>
                  </w:r>
                  <w:r>
                    <w:rPr>
                      <w:rFonts w:hint="default" w:ascii="Times New Roman" w:hAnsi="Times New Roman" w:eastAsia="宋体" w:cs="Times New Roman"/>
                      <w:b w:val="0"/>
                      <w:bCs w:val="0"/>
                      <w:color w:val="auto"/>
                      <w:sz w:val="21"/>
                      <w:szCs w:val="21"/>
                      <w:vertAlign w:val="baseline"/>
                      <w:lang w:val="en-US" w:eastAsia="zh-CN"/>
                    </w:rPr>
                    <w:t>外运处理</w:t>
                  </w:r>
                  <w:r>
                    <w:rPr>
                      <w:rFonts w:hint="eastAsia" w:ascii="Times New Roman" w:hAnsi="Times New Roman" w:eastAsia="宋体" w:cs="Times New Roman"/>
                      <w:b w:val="0"/>
                      <w:bCs w:val="0"/>
                      <w:color w:val="auto"/>
                      <w:sz w:val="21"/>
                      <w:szCs w:val="21"/>
                      <w:vertAlign w:val="baseline"/>
                      <w:lang w:val="en-US" w:eastAsia="zh-CN"/>
                    </w:rPr>
                    <w:t>。</w:t>
                  </w:r>
                </w:p>
              </w:tc>
            </w:tr>
            <w:tr w14:paraId="24E9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67B40DE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55B03F3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6178" w:type="dxa"/>
                  <w:gridSpan w:val="2"/>
                  <w:vAlign w:val="center"/>
                </w:tcPr>
                <w:p w14:paraId="236711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rPr>
                    <w:t>合理布局、选用低噪设备；泥浆泵加衬弹性垫料，管理和作业过程中平稳操作，避免特种作业时产生非正常的噪声。</w:t>
                  </w:r>
                </w:p>
              </w:tc>
            </w:tr>
            <w:tr w14:paraId="6AD5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dxa"/>
                  <w:vMerge w:val="continue"/>
                  <w:vAlign w:val="center"/>
                </w:tcPr>
                <w:p w14:paraId="54A415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33D3B0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w:t>
                  </w:r>
                </w:p>
              </w:tc>
              <w:tc>
                <w:tcPr>
                  <w:tcW w:w="6178" w:type="dxa"/>
                  <w:gridSpan w:val="2"/>
                  <w:vAlign w:val="center"/>
                </w:tcPr>
                <w:p w14:paraId="0424AEA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对临时占用土地进行表土留存，分层回填，整平翻松，恢复植被</w:t>
                  </w:r>
                  <w:r>
                    <w:rPr>
                      <w:rFonts w:hint="eastAsia" w:ascii="Times New Roman" w:hAnsi="Times New Roman" w:eastAsia="宋体" w:cs="Times New Roman"/>
                      <w:b w:val="0"/>
                      <w:bCs w:val="0"/>
                      <w:color w:val="auto"/>
                      <w:sz w:val="21"/>
                      <w:szCs w:val="21"/>
                      <w:vertAlign w:val="baseline"/>
                      <w:lang w:val="en-US" w:eastAsia="zh-CN"/>
                    </w:rPr>
                    <w:t>。</w:t>
                  </w:r>
                </w:p>
              </w:tc>
            </w:tr>
            <w:tr w14:paraId="0F48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restart"/>
                  <w:vAlign w:val="center"/>
                </w:tcPr>
                <w:p w14:paraId="7DB19A5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依托工程</w:t>
                  </w:r>
                </w:p>
              </w:tc>
              <w:tc>
                <w:tcPr>
                  <w:tcW w:w="1522" w:type="dxa"/>
                  <w:gridSpan w:val="2"/>
                  <w:vAlign w:val="center"/>
                </w:tcPr>
                <w:p w14:paraId="01DAA8B2">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陕西榆佳环保科技有限公司</w:t>
                  </w:r>
                </w:p>
              </w:tc>
              <w:tc>
                <w:tcPr>
                  <w:tcW w:w="6178" w:type="dxa"/>
                  <w:gridSpan w:val="2"/>
                  <w:vAlign w:val="center"/>
                </w:tcPr>
                <w:p w14:paraId="423E5CDC">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lang w:val="en-US" w:eastAsia="zh-CN"/>
                    </w:rPr>
                    <w:t>陕西榆佳环保科技有限公司</w:t>
                  </w:r>
                  <w:r>
                    <w:rPr>
                      <w:rFonts w:hint="default" w:ascii="Times New Roman" w:hAnsi="Times New Roman" w:cs="Times New Roman"/>
                      <w:color w:val="auto"/>
                      <w:sz w:val="21"/>
                      <w:szCs w:val="21"/>
                      <w:lang w:val="en-US" w:eastAsia="zh-CN"/>
                    </w:rPr>
                    <w:t>位于榆林市</w:t>
                  </w:r>
                  <w:r>
                    <w:rPr>
                      <w:rFonts w:hint="eastAsia" w:cs="Times New Roman"/>
                      <w:color w:val="auto"/>
                      <w:sz w:val="21"/>
                      <w:szCs w:val="21"/>
                      <w:lang w:val="en-US" w:eastAsia="zh-CN"/>
                    </w:rPr>
                    <w:t>佳县王家砭镇榆佳经济技术开发区</w:t>
                  </w:r>
                  <w:r>
                    <w:rPr>
                      <w:rFonts w:hint="default" w:ascii="Times New Roman" w:hAnsi="Times New Roman" w:cs="Times New Roman"/>
                      <w:color w:val="auto"/>
                      <w:sz w:val="21"/>
                      <w:szCs w:val="21"/>
                      <w:lang w:val="en-US" w:eastAsia="zh-CN"/>
                    </w:rPr>
                    <w:t>，主要</w:t>
                  </w:r>
                  <w:r>
                    <w:rPr>
                      <w:rFonts w:hint="eastAsia" w:cs="Times New Roman"/>
                      <w:color w:val="auto"/>
                      <w:sz w:val="21"/>
                      <w:szCs w:val="21"/>
                      <w:lang w:val="en-US" w:eastAsia="zh-CN"/>
                    </w:rPr>
                    <w:t>处理佳县及周边气田开采过程产生的泥浆压滤液和压裂</w:t>
                  </w:r>
                  <w:r>
                    <w:rPr>
                      <w:rFonts w:hint="eastAsia" w:cs="Times New Roman"/>
                      <w:color w:val="auto"/>
                      <w:sz w:val="21"/>
                      <w:szCs w:val="21"/>
                      <w:highlight w:val="none"/>
                      <w:lang w:val="en-US" w:eastAsia="zh-CN"/>
                    </w:rPr>
                    <w:t>返排液。</w:t>
                  </w:r>
                  <w:r>
                    <w:rPr>
                      <w:rFonts w:hint="default" w:ascii="Times New Roman" w:hAnsi="Times New Roman" w:cs="Times New Roman"/>
                      <w:color w:val="auto"/>
                      <w:sz w:val="21"/>
                      <w:szCs w:val="21"/>
                      <w:highlight w:val="none"/>
                      <w:lang w:val="en-US" w:eastAsia="zh-CN"/>
                    </w:rPr>
                    <w:t>项目采用“</w:t>
                  </w:r>
                  <w:r>
                    <w:rPr>
                      <w:rFonts w:hint="eastAsia" w:cs="Times New Roman"/>
                      <w:color w:val="auto"/>
                      <w:sz w:val="21"/>
                      <w:szCs w:val="21"/>
                      <w:highlight w:val="none"/>
                      <w:lang w:val="en-US" w:eastAsia="zh-CN"/>
                    </w:rPr>
                    <w:t>二级酸析反应沉淀</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液碱+CO</w:t>
                  </w:r>
                  <w:r>
                    <w:rPr>
                      <w:rFonts w:hint="eastAsia"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隔膜压滤＋精密过滤＋紫外杀菌</w:t>
                  </w:r>
                  <w:r>
                    <w:rPr>
                      <w:rFonts w:hint="default" w:ascii="Times New Roman" w:hAnsi="Times New Roman" w:cs="Times New Roman"/>
                      <w:color w:val="auto"/>
                      <w:sz w:val="21"/>
                      <w:szCs w:val="21"/>
                      <w:highlight w:val="none"/>
                      <w:lang w:val="en-US" w:eastAsia="zh-CN"/>
                    </w:rPr>
                    <w:t>”工艺对作业废水进行无害化处理，处理规模为</w:t>
                  </w:r>
                  <w:r>
                    <w:rPr>
                      <w:rFonts w:hint="eastAsia" w:cs="Times New Roman"/>
                      <w:color w:val="auto"/>
                      <w:sz w:val="21"/>
                      <w:szCs w:val="21"/>
                      <w:highlight w:val="none"/>
                      <w:lang w:val="en-US" w:eastAsia="zh-CN"/>
                    </w:rPr>
                    <w:t>2000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/d，处理后水质达到《碎屑</w:t>
                  </w:r>
                  <w:r>
                    <w:rPr>
                      <w:rFonts w:hint="eastAsia" w:cs="Times New Roman"/>
                      <w:color w:val="auto"/>
                      <w:sz w:val="21"/>
                      <w:szCs w:val="21"/>
                      <w:highlight w:val="none"/>
                      <w:lang w:val="en-US" w:eastAsia="zh-CN"/>
                    </w:rPr>
                    <w:t>岩</w:t>
                  </w:r>
                  <w:r>
                    <w:rPr>
                      <w:rFonts w:hint="default" w:ascii="Times New Roman" w:hAnsi="Times New Roman" w:cs="Times New Roman"/>
                      <w:color w:val="auto"/>
                      <w:sz w:val="21"/>
                      <w:szCs w:val="21"/>
                      <w:highlight w:val="none"/>
                      <w:lang w:val="en-US" w:eastAsia="zh-CN"/>
                    </w:rPr>
                    <w:t>油藏注水水质指标</w:t>
                  </w:r>
                  <w:r>
                    <w:rPr>
                      <w:rFonts w:hint="eastAsia" w:cs="Times New Roman"/>
                      <w:color w:val="auto"/>
                      <w:sz w:val="21"/>
                      <w:szCs w:val="21"/>
                      <w:highlight w:val="none"/>
                      <w:lang w:val="en-US" w:eastAsia="zh-CN"/>
                    </w:rPr>
                    <w:t>技术要求</w:t>
                  </w:r>
                  <w:r>
                    <w:rPr>
                      <w:rFonts w:hint="default" w:ascii="Times New Roman" w:hAnsi="Times New Roman" w:cs="Times New Roman"/>
                      <w:color w:val="auto"/>
                      <w:sz w:val="21"/>
                      <w:szCs w:val="21"/>
                      <w:highlight w:val="none"/>
                      <w:lang w:val="en-US" w:eastAsia="zh-CN"/>
                    </w:rPr>
                    <w:t>及分析方法》（SY/T5329-20</w:t>
                  </w:r>
                  <w:r>
                    <w:rPr>
                      <w:rFonts w:hint="eastAsia" w:cs="Times New Roman"/>
                      <w:color w:val="auto"/>
                      <w:sz w:val="21"/>
                      <w:szCs w:val="21"/>
                      <w:highlight w:val="none"/>
                      <w:lang w:val="en-US" w:eastAsia="zh-CN"/>
                    </w:rPr>
                    <w:t>22</w:t>
                  </w:r>
                  <w:r>
                    <w:rPr>
                      <w:rFonts w:hint="default" w:ascii="Times New Roman" w:hAnsi="Times New Roman" w:cs="Times New Roman"/>
                      <w:color w:val="auto"/>
                      <w:sz w:val="21"/>
                      <w:szCs w:val="21"/>
                      <w:highlight w:val="none"/>
                      <w:lang w:val="en-US" w:eastAsia="zh-CN"/>
                    </w:rPr>
                    <w:t>）用于油(气)开采企业钻井作业或钻井泥浆的配置等。</w:t>
                  </w:r>
                </w:p>
                <w:p w14:paraId="7DEBAAFB">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该项目于2024年7月11日取得了榆林市生态环境局下发的环评批复（榆政环批复〔2024〕85号），于2024年10月9日取得了榆林市生态环境局下发的排污许可证，证书编号为91610828MA7LY0FQ2A001V，于2024年12月28日完成了竣工环境保护验收，目前正常运行。</w:t>
                  </w:r>
                </w:p>
                <w:p w14:paraId="7EE35D81">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本项目钻井废水、洗井废水、压裂返排液、放喷废水等施工废水产生</w:t>
                  </w:r>
                  <w:r>
                    <w:rPr>
                      <w:rFonts w:hint="default" w:ascii="Times New Roman" w:hAnsi="Times New Roman" w:cs="Times New Roman"/>
                      <w:color w:val="auto"/>
                      <w:sz w:val="21"/>
                      <w:szCs w:val="21"/>
                      <w:highlight w:val="none"/>
                      <w:shd w:val="clear"/>
                      <w:lang w:val="en-US" w:eastAsia="zh-CN"/>
                    </w:rPr>
                    <w:t>量共</w:t>
                  </w:r>
                  <w:r>
                    <w:rPr>
                      <w:rFonts w:hint="eastAsia" w:cs="Times New Roman"/>
                      <w:color w:val="auto"/>
                      <w:sz w:val="21"/>
                      <w:szCs w:val="21"/>
                      <w:highlight w:val="none"/>
                      <w:shd w:val="clear"/>
                      <w:lang w:val="en-US" w:eastAsia="zh-CN"/>
                    </w:rPr>
                    <w:t>2464.87</w:t>
                  </w:r>
                  <w:r>
                    <w:rPr>
                      <w:rFonts w:hint="default" w:ascii="Times New Roman" w:hAnsi="Times New Roman" w:cs="Times New Roman"/>
                      <w:color w:val="auto"/>
                      <w:sz w:val="21"/>
                      <w:szCs w:val="21"/>
                      <w:highlight w:val="none"/>
                      <w:shd w:val="clear"/>
                      <w:lang w:val="en-US" w:eastAsia="zh-CN"/>
                    </w:rPr>
                    <w:t>m</w:t>
                  </w:r>
                  <w:r>
                    <w:rPr>
                      <w:rFonts w:hint="default" w:ascii="Times New Roman" w:hAnsi="Times New Roman" w:cs="Times New Roman"/>
                      <w:color w:val="auto"/>
                      <w:sz w:val="21"/>
                      <w:szCs w:val="21"/>
                      <w:highlight w:val="none"/>
                      <w:shd w:val="clear"/>
                      <w:vertAlign w:val="superscript"/>
                      <w:lang w:val="en-US" w:eastAsia="zh-CN"/>
                    </w:rPr>
                    <w:t>3</w:t>
                  </w:r>
                  <w:r>
                    <w:rPr>
                      <w:rFonts w:hint="default" w:ascii="Times New Roman" w:hAnsi="Times New Roman" w:cs="Times New Roman"/>
                      <w:color w:val="auto"/>
                      <w:sz w:val="21"/>
                      <w:szCs w:val="21"/>
                      <w:highlight w:val="none"/>
                      <w:shd w:val="clear"/>
                      <w:lang w:val="en-US" w:eastAsia="zh-CN"/>
                    </w:rPr>
                    <w:t>，处理</w:t>
                  </w:r>
                  <w:r>
                    <w:rPr>
                      <w:rFonts w:hint="default" w:ascii="Times New Roman" w:hAnsi="Times New Roman" w:cs="Times New Roman"/>
                      <w:color w:val="auto"/>
                      <w:sz w:val="21"/>
                      <w:szCs w:val="21"/>
                      <w:highlight w:val="none"/>
                      <w:lang w:val="en-US" w:eastAsia="zh-CN"/>
                    </w:rPr>
                    <w:t>能力能够满足本项目需求，依托可行。</w:t>
                  </w:r>
                </w:p>
              </w:tc>
            </w:tr>
            <w:tr w14:paraId="163A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90" w:type="dxa"/>
                  <w:vMerge w:val="continue"/>
                  <w:vAlign w:val="center"/>
                </w:tcPr>
                <w:p w14:paraId="7143A41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522" w:type="dxa"/>
                  <w:gridSpan w:val="2"/>
                  <w:vAlign w:val="center"/>
                </w:tcPr>
                <w:p w14:paraId="60520BBA">
                  <w:pPr>
                    <w:pStyle w:val="27"/>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陕西德禾鑫盛环保科技有限公司</w:t>
                  </w:r>
                </w:p>
              </w:tc>
              <w:tc>
                <w:tcPr>
                  <w:tcW w:w="6178" w:type="dxa"/>
                  <w:gridSpan w:val="2"/>
                  <w:vAlign w:val="center"/>
                </w:tcPr>
                <w:p w14:paraId="7F05951F">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陕西德禾鑫盛环保科技有限公司《关于佳县刘国具油气田开采废弃物集中处理项目（重大变动）环境影响报告书》位于佳县刘国具镇斗范梁村，设计钻井岩屑、钻井废弃物处置量25万t/a、5万t/a。该项目于2023年6月9日取得榆林市行政审批服务局环评批复文件（榆政审批生态发〔2023〕4号）。</w:t>
                  </w:r>
                  <w:r>
                    <w:rPr>
                      <w:rFonts w:hint="default" w:ascii="Times New Roman" w:hAnsi="Times New Roman" w:cs="Times New Roman"/>
                      <w:color w:val="auto"/>
                      <w:sz w:val="21"/>
                      <w:szCs w:val="21"/>
                      <w:highlight w:val="none"/>
                      <w:lang w:val="en-US" w:eastAsia="zh-CN"/>
                    </w:rPr>
                    <w:t>已于2024年3月18日取得榆林市生态环境局下发排污许可证，证书编号为：91610828MA7C36978Y001V；于2024年4月19日完成竣工环境保护验收</w:t>
                  </w:r>
                  <w:r>
                    <w:rPr>
                      <w:rFonts w:hint="eastAsia" w:cs="Times New Roman"/>
                      <w:color w:val="auto"/>
                      <w:sz w:val="21"/>
                      <w:szCs w:val="21"/>
                      <w:highlight w:val="none"/>
                      <w:lang w:val="en-US" w:eastAsia="zh-CN"/>
                    </w:rPr>
                    <w:t>，目前运行正常。</w:t>
                  </w:r>
                </w:p>
                <w:p w14:paraId="65D6CF5B">
                  <w:pPr>
                    <w:pStyle w:val="27"/>
                    <w:keepNext w:val="0"/>
                    <w:keepLines w:val="0"/>
                    <w:pageBreakBefore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本项目施工期产生的钻井岩屑为</w:t>
                  </w:r>
                  <w:r>
                    <w:rPr>
                      <w:rFonts w:hint="eastAsia" w:cs="Times New Roman"/>
                      <w:color w:val="auto"/>
                      <w:sz w:val="21"/>
                      <w:szCs w:val="21"/>
                      <w:highlight w:val="none"/>
                      <w:lang w:val="en-US" w:eastAsia="zh-CN"/>
                    </w:rPr>
                    <w:t>1491.37</w:t>
                  </w:r>
                  <w:r>
                    <w:rPr>
                      <w:rFonts w:hint="default" w:ascii="Times New Roman" w:hAnsi="Times New Roman" w:cs="Times New Roman"/>
                      <w:color w:val="auto"/>
                      <w:sz w:val="21"/>
                      <w:szCs w:val="21"/>
                      <w:highlight w:val="none"/>
                      <w:lang w:val="en-US" w:eastAsia="zh-CN"/>
                    </w:rPr>
                    <w:t>t，废弃钻井泥浆</w:t>
                  </w:r>
                  <w:r>
                    <w:rPr>
                      <w:rFonts w:hint="eastAsia" w:cs="Times New Roman"/>
                      <w:color w:val="auto"/>
                      <w:sz w:val="21"/>
                      <w:szCs w:val="20"/>
                      <w:highlight w:val="none"/>
                      <w:lang w:val="en-US" w:eastAsia="zh-CN"/>
                    </w:rPr>
                    <w:t>（泥饼）</w:t>
                  </w:r>
                  <w:r>
                    <w:rPr>
                      <w:rFonts w:hint="default" w:ascii="Times New Roman" w:hAnsi="Times New Roman" w:cs="Times New Roman"/>
                      <w:color w:val="auto"/>
                      <w:sz w:val="21"/>
                      <w:szCs w:val="21"/>
                      <w:highlight w:val="none"/>
                      <w:lang w:val="en-US" w:eastAsia="zh-CN"/>
                    </w:rPr>
                    <w:t>为</w:t>
                  </w:r>
                  <w:r>
                    <w:rPr>
                      <w:rFonts w:hint="eastAsia" w:cs="Times New Roman"/>
                      <w:color w:val="auto"/>
                      <w:sz w:val="21"/>
                      <w:szCs w:val="21"/>
                      <w:highlight w:val="none"/>
                      <w:lang w:val="en-US" w:eastAsia="zh-CN"/>
                    </w:rPr>
                    <w:t>23.45</w:t>
                  </w:r>
                  <w:r>
                    <w:rPr>
                      <w:rFonts w:hint="default" w:ascii="Times New Roman" w:hAnsi="Times New Roman" w:cs="Times New Roman"/>
                      <w:color w:val="auto"/>
                      <w:sz w:val="21"/>
                      <w:szCs w:val="21"/>
                      <w:highlight w:val="none"/>
                      <w:lang w:val="en-US" w:eastAsia="zh-CN"/>
                    </w:rPr>
                    <w:t>t，处置能力能够满足本项目需求，依托可行。</w:t>
                  </w:r>
                </w:p>
              </w:tc>
            </w:tr>
            <w:tr w14:paraId="2CE6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0" w:type="dxa"/>
                  <w:gridSpan w:val="5"/>
                  <w:vAlign w:val="center"/>
                </w:tcPr>
                <w:p w14:paraId="19A4B95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备注：完井测试结果表明不具有开采价值，则进行永久封井并处理；若井场有工业开采价值，需建设标准化井场进行开采，本次评价仅针对气井的勘探过程，不对后续标准后井场建设及采气过程进行评价</w:t>
                  </w:r>
                  <w:r>
                    <w:rPr>
                      <w:rFonts w:hint="eastAsia" w:ascii="Times New Roman" w:hAnsi="Times New Roman" w:eastAsia="宋体" w:cs="Times New Roman"/>
                      <w:b w:val="0"/>
                      <w:bCs w:val="0"/>
                      <w:color w:val="auto"/>
                      <w:sz w:val="21"/>
                      <w:szCs w:val="21"/>
                      <w:vertAlign w:val="baseline"/>
                      <w:lang w:val="en-US" w:eastAsia="zh-CN"/>
                    </w:rPr>
                    <w:t>。</w:t>
                  </w:r>
                </w:p>
              </w:tc>
            </w:tr>
          </w:tbl>
          <w:p w14:paraId="1327D6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三、井身结构</w:t>
            </w:r>
          </w:p>
          <w:p w14:paraId="595FDA7E">
            <w:pPr>
              <w:pStyle w:val="26"/>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本项目井型</w:t>
            </w:r>
            <w:r>
              <w:rPr>
                <w:rFonts w:hint="eastAsia" w:ascii="Times New Roman" w:hAnsi="Times New Roman" w:cs="Times New Roman"/>
                <w:color w:val="auto"/>
                <w:lang w:val="en-US" w:eastAsia="zh-CN"/>
              </w:rPr>
              <w:t>均</w:t>
            </w:r>
            <w:r>
              <w:rPr>
                <w:rFonts w:hint="default" w:ascii="Times New Roman" w:hAnsi="Times New Roman" w:cs="Times New Roman"/>
                <w:color w:val="auto"/>
                <w:lang w:val="en-US" w:eastAsia="zh-CN"/>
              </w:rPr>
              <w:t>为直井，井身结构设计数据见表2-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p>
          <w:p w14:paraId="2C6628AC">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井身结构表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1398"/>
              <w:gridCol w:w="1398"/>
              <w:gridCol w:w="1398"/>
              <w:gridCol w:w="1398"/>
              <w:gridCol w:w="1399"/>
              <w:gridCol w:w="1399"/>
            </w:tblGrid>
            <w:tr w14:paraId="6B14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4DEE615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开钻次序</w:t>
                  </w:r>
                </w:p>
              </w:tc>
              <w:tc>
                <w:tcPr>
                  <w:tcW w:w="833" w:type="pct"/>
                  <w:tcBorders>
                    <w:tl2br w:val="nil"/>
                    <w:tr2bl w:val="nil"/>
                  </w:tcBorders>
                  <w:noWrap w:val="0"/>
                  <w:vAlign w:val="center"/>
                </w:tcPr>
                <w:p w14:paraId="1EC91F6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井深（m）</w:t>
                  </w:r>
                </w:p>
              </w:tc>
              <w:tc>
                <w:tcPr>
                  <w:tcW w:w="833" w:type="pct"/>
                  <w:tcBorders>
                    <w:tl2br w:val="nil"/>
                    <w:tr2bl w:val="nil"/>
                  </w:tcBorders>
                  <w:noWrap w:val="0"/>
                  <w:vAlign w:val="center"/>
                </w:tcPr>
                <w:p w14:paraId="16DF7441">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钻头尺寸（mm）</w:t>
                  </w:r>
                </w:p>
              </w:tc>
              <w:tc>
                <w:tcPr>
                  <w:tcW w:w="833" w:type="pct"/>
                  <w:tcBorders>
                    <w:tl2br w:val="nil"/>
                    <w:tr2bl w:val="nil"/>
                  </w:tcBorders>
                  <w:noWrap w:val="0"/>
                  <w:vAlign w:val="center"/>
                </w:tcPr>
                <w:p w14:paraId="55EA30A0">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套管尺寸（mm）</w:t>
                  </w:r>
                </w:p>
              </w:tc>
              <w:tc>
                <w:tcPr>
                  <w:tcW w:w="833" w:type="pct"/>
                  <w:tcBorders>
                    <w:tl2br w:val="nil"/>
                    <w:tr2bl w:val="nil"/>
                  </w:tcBorders>
                  <w:noWrap w:val="0"/>
                  <w:vAlign w:val="center"/>
                </w:tcPr>
                <w:p w14:paraId="744679EF">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套管下深（m）</w:t>
                  </w:r>
                </w:p>
              </w:tc>
              <w:tc>
                <w:tcPr>
                  <w:tcW w:w="833" w:type="pct"/>
                  <w:tcBorders>
                    <w:tl2br w:val="nil"/>
                    <w:tr2bl w:val="nil"/>
                  </w:tcBorders>
                  <w:noWrap w:val="0"/>
                  <w:vAlign w:val="center"/>
                </w:tcPr>
                <w:p w14:paraId="5AF6FDFB">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水泥返高</w:t>
                  </w:r>
                </w:p>
              </w:tc>
            </w:tr>
            <w:tr w14:paraId="0DC0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2A1A8AF2">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一开</w:t>
                  </w:r>
                </w:p>
              </w:tc>
              <w:tc>
                <w:tcPr>
                  <w:tcW w:w="833" w:type="pct"/>
                  <w:tcBorders>
                    <w:tl2br w:val="nil"/>
                    <w:tr2bl w:val="nil"/>
                  </w:tcBorders>
                  <w:noWrap w:val="0"/>
                  <w:vAlign w:val="center"/>
                </w:tcPr>
                <w:p w14:paraId="6746AD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600</w:t>
                  </w:r>
                </w:p>
              </w:tc>
              <w:tc>
                <w:tcPr>
                  <w:tcW w:w="833" w:type="pct"/>
                  <w:tcBorders>
                    <w:tl2br w:val="nil"/>
                    <w:tr2bl w:val="nil"/>
                  </w:tcBorders>
                  <w:noWrap w:val="0"/>
                  <w:vAlign w:val="center"/>
                </w:tcPr>
                <w:p w14:paraId="2B24D77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346</w:t>
                  </w:r>
                </w:p>
              </w:tc>
              <w:tc>
                <w:tcPr>
                  <w:tcW w:w="833" w:type="pct"/>
                  <w:tcBorders>
                    <w:tl2br w:val="nil"/>
                    <w:tr2bl w:val="nil"/>
                  </w:tcBorders>
                  <w:noWrap w:val="0"/>
                  <w:vAlign w:val="center"/>
                </w:tcPr>
                <w:p w14:paraId="581109E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273.1</w:t>
                  </w:r>
                </w:p>
              </w:tc>
              <w:tc>
                <w:tcPr>
                  <w:tcW w:w="833" w:type="pct"/>
                  <w:tcBorders>
                    <w:tl2br w:val="nil"/>
                    <w:tr2bl w:val="nil"/>
                  </w:tcBorders>
                  <w:noWrap w:val="0"/>
                  <w:vAlign w:val="center"/>
                </w:tcPr>
                <w:p w14:paraId="386A5567">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下到稳定岩层</w:t>
                  </w:r>
                </w:p>
              </w:tc>
              <w:tc>
                <w:tcPr>
                  <w:tcW w:w="833" w:type="pct"/>
                  <w:tcBorders>
                    <w:tl2br w:val="nil"/>
                    <w:tr2bl w:val="nil"/>
                  </w:tcBorders>
                  <w:noWrap w:val="0"/>
                  <w:vAlign w:val="center"/>
                </w:tcPr>
                <w:p w14:paraId="6DFA9527">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rPr>
                    <w:t>地面</w:t>
                  </w:r>
                </w:p>
              </w:tc>
            </w:tr>
            <w:tr w14:paraId="649E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12" w:hRule="atLeast"/>
                <w:jc w:val="center"/>
              </w:trPr>
              <w:tc>
                <w:tcPr>
                  <w:tcW w:w="833" w:type="pct"/>
                  <w:tcBorders>
                    <w:tl2br w:val="nil"/>
                    <w:tr2bl w:val="nil"/>
                  </w:tcBorders>
                  <w:noWrap w:val="0"/>
                  <w:vAlign w:val="center"/>
                </w:tcPr>
                <w:p w14:paraId="7D4F2EF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二开</w:t>
                  </w:r>
                </w:p>
              </w:tc>
              <w:tc>
                <w:tcPr>
                  <w:tcW w:w="833" w:type="pct"/>
                  <w:tcBorders>
                    <w:tl2br w:val="nil"/>
                    <w:tr2bl w:val="nil"/>
                  </w:tcBorders>
                  <w:noWrap w:val="0"/>
                  <w:vAlign w:val="center"/>
                </w:tcPr>
                <w:p w14:paraId="1B126F02">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eastAsia" w:cs="Times New Roman"/>
                      <w:color w:val="auto"/>
                      <w:sz w:val="21"/>
                      <w:szCs w:val="21"/>
                      <w:lang w:val="en-US" w:eastAsia="zh-CN"/>
                    </w:rPr>
                    <w:t>00</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目的层</w:t>
                  </w:r>
                </w:p>
              </w:tc>
              <w:tc>
                <w:tcPr>
                  <w:tcW w:w="833" w:type="pct"/>
                  <w:tcBorders>
                    <w:tl2br w:val="nil"/>
                    <w:tr2bl w:val="nil"/>
                  </w:tcBorders>
                  <w:noWrap w:val="0"/>
                  <w:vAlign w:val="center"/>
                </w:tcPr>
                <w:p w14:paraId="2122D699">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273</w:t>
                  </w:r>
                </w:p>
              </w:tc>
              <w:tc>
                <w:tcPr>
                  <w:tcW w:w="833" w:type="pct"/>
                  <w:tcBorders>
                    <w:tl2br w:val="nil"/>
                    <w:tr2bl w:val="nil"/>
                  </w:tcBorders>
                  <w:noWrap w:val="0"/>
                  <w:vAlign w:val="center"/>
                </w:tcPr>
                <w:p w14:paraId="0BA04107">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219.1</w:t>
                  </w:r>
                </w:p>
              </w:tc>
              <w:tc>
                <w:tcPr>
                  <w:tcW w:w="833" w:type="pct"/>
                  <w:tcBorders>
                    <w:tl2br w:val="nil"/>
                    <w:tr2bl w:val="nil"/>
                  </w:tcBorders>
                  <w:noWrap w:val="0"/>
                  <w:vAlign w:val="center"/>
                </w:tcPr>
                <w:p w14:paraId="42CCFA7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距井底3～5m</w:t>
                  </w:r>
                </w:p>
              </w:tc>
              <w:tc>
                <w:tcPr>
                  <w:tcW w:w="833" w:type="pct"/>
                  <w:tcBorders>
                    <w:tl2br w:val="nil"/>
                    <w:tr2bl w:val="nil"/>
                  </w:tcBorders>
                  <w:noWrap w:val="0"/>
                  <w:vAlign w:val="center"/>
                </w:tcPr>
                <w:p w14:paraId="46463626">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地面</w:t>
                  </w:r>
                </w:p>
              </w:tc>
            </w:tr>
          </w:tbl>
          <w:p w14:paraId="23845A80">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本项目直井井身结构示意图见图2-1。</w:t>
            </w:r>
          </w:p>
          <w:p w14:paraId="35CD3750">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3281680" cy="3202305"/>
                  <wp:effectExtent l="0" t="0" r="13970" b="1714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0"/>
                          <a:stretch>
                            <a:fillRect/>
                          </a:stretch>
                        </pic:blipFill>
                        <pic:spPr>
                          <a:xfrm>
                            <a:off x="0" y="0"/>
                            <a:ext cx="3281680" cy="3202305"/>
                          </a:xfrm>
                          <a:prstGeom prst="rect">
                            <a:avLst/>
                          </a:prstGeom>
                        </pic:spPr>
                      </pic:pic>
                    </a:graphicData>
                  </a:graphic>
                </wp:inline>
              </w:drawing>
            </w:r>
          </w:p>
          <w:p w14:paraId="4FCFC969">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lang w:eastAsia="zh-CN"/>
              </w:rPr>
              <w:t xml:space="preserve">  井身结构图</w:t>
            </w:r>
          </w:p>
          <w:p w14:paraId="78DEF9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四</w:t>
            </w:r>
            <w:r>
              <w:rPr>
                <w:rFonts w:hint="default" w:ascii="Times New Roman" w:hAnsi="Times New Roman" w:eastAsia="宋体" w:cs="Times New Roman"/>
                <w:b/>
                <w:bCs/>
                <w:color w:val="auto"/>
                <w:sz w:val="24"/>
                <w:szCs w:val="24"/>
                <w:vertAlign w:val="baseline"/>
                <w:lang w:val="en-US" w:eastAsia="zh-CN"/>
              </w:rPr>
              <w:t>、工程占地</w:t>
            </w:r>
          </w:p>
          <w:p w14:paraId="1610E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项目占地为临时占地，总占地面积为</w:t>
            </w:r>
            <w:r>
              <w:rPr>
                <w:rFonts w:hint="eastAsia" w:ascii="Times New Roman" w:hAnsi="Times New Roman" w:eastAsia="宋体" w:cs="Times New Roman"/>
                <w:b w:val="0"/>
                <w:bCs w:val="0"/>
                <w:color w:val="auto"/>
                <w:sz w:val="24"/>
                <w:szCs w:val="24"/>
                <w:highlight w:val="none"/>
                <w:vertAlign w:val="baseline"/>
                <w:lang w:val="en-US" w:eastAsia="zh-CN"/>
              </w:rPr>
              <w:t>53042</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vertAlign w:val="baseline"/>
                <w:lang w:val="en-US" w:eastAsia="zh-CN"/>
              </w:rPr>
              <w:t>，若完井测试表明气井有开采价值，再征用井场用地。</w:t>
            </w:r>
          </w:p>
          <w:p w14:paraId="293C2A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五</w:t>
            </w:r>
            <w:r>
              <w:rPr>
                <w:rFonts w:hint="default" w:ascii="Times New Roman" w:hAnsi="Times New Roman" w:eastAsia="宋体" w:cs="Times New Roman"/>
                <w:b/>
                <w:bCs/>
                <w:color w:val="auto"/>
                <w:sz w:val="24"/>
                <w:szCs w:val="24"/>
                <w:vertAlign w:val="baseline"/>
                <w:lang w:val="en-US" w:eastAsia="zh-CN"/>
              </w:rPr>
              <w:t>、项目主要设备清单</w:t>
            </w:r>
          </w:p>
          <w:p w14:paraId="54167B29">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根据《榆林市人民政府关于禁止使用高排放非道路移动机械的通告》要求，项目施工现场禁止使用高排放非道路移动机械，禁止使用未编码登记挂牌及环保检测不达标的非道路移动机械。</w:t>
            </w:r>
          </w:p>
          <w:p w14:paraId="64FB341E">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（1）钻井设备</w:t>
            </w:r>
          </w:p>
          <w:p w14:paraId="4ADF01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项目主要设备清单见表2-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w:t>
            </w:r>
          </w:p>
          <w:p w14:paraId="4692912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 xml:space="preserve"> 项目</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主要设备清单一览表</w:t>
            </w:r>
          </w:p>
          <w:tbl>
            <w:tblPr>
              <w:tblStyle w:val="19"/>
              <w:tblW w:w="499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28" w:type="dxa"/>
                <w:bottom w:w="0" w:type="dxa"/>
                <w:right w:w="28" w:type="dxa"/>
              </w:tblCellMar>
            </w:tblPr>
            <w:tblGrid>
              <w:gridCol w:w="416"/>
              <w:gridCol w:w="955"/>
              <w:gridCol w:w="1624"/>
              <w:gridCol w:w="2223"/>
              <w:gridCol w:w="931"/>
              <w:gridCol w:w="867"/>
              <w:gridCol w:w="1367"/>
            </w:tblGrid>
            <w:tr w14:paraId="1CB39A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tcBorders>
                    <w:tl2br w:val="nil"/>
                    <w:tr2bl w:val="nil"/>
                  </w:tcBorders>
                  <w:noWrap w:val="0"/>
                  <w:vAlign w:val="center"/>
                </w:tcPr>
                <w:p w14:paraId="6576CFFA">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537" w:type="pct"/>
                  <w:gridSpan w:val="2"/>
                  <w:tcBorders>
                    <w:tl2br w:val="nil"/>
                    <w:tr2bl w:val="nil"/>
                  </w:tcBorders>
                  <w:noWrap w:val="0"/>
                  <w:vAlign w:val="center"/>
                </w:tcPr>
                <w:p w14:paraId="2F537CB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1325" w:type="pct"/>
                  <w:tcBorders>
                    <w:tl2br w:val="nil"/>
                    <w:tr2bl w:val="nil"/>
                  </w:tcBorders>
                  <w:noWrap w:val="0"/>
                  <w:vAlign w:val="center"/>
                </w:tcPr>
                <w:p w14:paraId="5397C12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555" w:type="pct"/>
                  <w:tcBorders>
                    <w:tl2br w:val="nil"/>
                    <w:tr2bl w:val="nil"/>
                  </w:tcBorders>
                  <w:noWrap w:val="0"/>
                  <w:vAlign w:val="center"/>
                </w:tcPr>
                <w:p w14:paraId="39BC29F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规格</w:t>
                  </w:r>
                </w:p>
              </w:tc>
              <w:tc>
                <w:tcPr>
                  <w:tcW w:w="517" w:type="pct"/>
                  <w:tcBorders>
                    <w:tl2br w:val="nil"/>
                    <w:tr2bl w:val="nil"/>
                  </w:tcBorders>
                  <w:noWrap w:val="0"/>
                  <w:vAlign w:val="center"/>
                </w:tcPr>
                <w:p w14:paraId="2A81CDC8">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数量</w:t>
                  </w:r>
                </w:p>
              </w:tc>
              <w:tc>
                <w:tcPr>
                  <w:tcW w:w="815" w:type="pct"/>
                  <w:tcBorders>
                    <w:tl2br w:val="nil"/>
                    <w:tr2bl w:val="nil"/>
                  </w:tcBorders>
                  <w:noWrap w:val="0"/>
                  <w:vAlign w:val="center"/>
                </w:tcPr>
                <w:p w14:paraId="16D19921">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1DAC3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restart"/>
                  <w:tcBorders>
                    <w:tl2br w:val="nil"/>
                    <w:tr2bl w:val="nil"/>
                  </w:tcBorders>
                  <w:noWrap w:val="0"/>
                  <w:vAlign w:val="center"/>
                </w:tcPr>
                <w:p w14:paraId="2492FB46">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1</w:t>
                  </w:r>
                </w:p>
              </w:tc>
              <w:tc>
                <w:tcPr>
                  <w:tcW w:w="569" w:type="pct"/>
                  <w:vMerge w:val="restart"/>
                  <w:tcBorders>
                    <w:tl2br w:val="nil"/>
                    <w:tr2bl w:val="nil"/>
                  </w:tcBorders>
                  <w:noWrap w:val="0"/>
                  <w:vAlign w:val="center"/>
                </w:tcPr>
                <w:p w14:paraId="61F9585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钻井设备</w:t>
                  </w:r>
                </w:p>
              </w:tc>
              <w:tc>
                <w:tcPr>
                  <w:tcW w:w="967" w:type="pct"/>
                  <w:tcBorders>
                    <w:tl2br w:val="nil"/>
                    <w:tr2bl w:val="nil"/>
                  </w:tcBorders>
                  <w:noWrap w:val="0"/>
                  <w:vAlign w:val="center"/>
                </w:tcPr>
                <w:p w14:paraId="41C08A9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w:t>
                  </w:r>
                </w:p>
              </w:tc>
              <w:tc>
                <w:tcPr>
                  <w:tcW w:w="1325" w:type="pct"/>
                  <w:tcBorders>
                    <w:tl2br w:val="nil"/>
                    <w:tr2bl w:val="nil"/>
                  </w:tcBorders>
                  <w:noWrap w:val="0"/>
                  <w:vAlign w:val="center"/>
                </w:tcPr>
                <w:p w14:paraId="2C8B767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ZJ50</w:t>
                  </w:r>
                </w:p>
              </w:tc>
              <w:tc>
                <w:tcPr>
                  <w:tcW w:w="555" w:type="pct"/>
                  <w:tcBorders>
                    <w:tl2br w:val="nil"/>
                    <w:tr2bl w:val="nil"/>
                  </w:tcBorders>
                  <w:noWrap w:val="0"/>
                  <w:vAlign w:val="center"/>
                </w:tcPr>
                <w:p w14:paraId="692D3E5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荷载315t</w:t>
                  </w:r>
                </w:p>
              </w:tc>
              <w:tc>
                <w:tcPr>
                  <w:tcW w:w="517" w:type="pct"/>
                  <w:tcBorders>
                    <w:tl2br w:val="nil"/>
                    <w:tr2bl w:val="nil"/>
                  </w:tcBorders>
                  <w:noWrap w:val="0"/>
                  <w:vAlign w:val="center"/>
                </w:tcPr>
                <w:p w14:paraId="0381B1E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A6A347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4FA33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1969F5F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56C0BDF">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027CFE1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井架</w:t>
                  </w:r>
                </w:p>
              </w:tc>
              <w:tc>
                <w:tcPr>
                  <w:tcW w:w="1325" w:type="pct"/>
                  <w:tcBorders>
                    <w:tl2br w:val="nil"/>
                    <w:tr2bl w:val="nil"/>
                  </w:tcBorders>
                  <w:noWrap w:val="0"/>
                  <w:vAlign w:val="center"/>
                </w:tcPr>
                <w:p w14:paraId="59A202F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JJ315/45-K</w:t>
                  </w:r>
                </w:p>
              </w:tc>
              <w:tc>
                <w:tcPr>
                  <w:tcW w:w="555" w:type="pct"/>
                  <w:tcBorders>
                    <w:tl2br w:val="nil"/>
                    <w:tr2bl w:val="nil"/>
                  </w:tcBorders>
                  <w:noWrap w:val="0"/>
                  <w:vAlign w:val="center"/>
                </w:tcPr>
                <w:p w14:paraId="734AED00">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D081F0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11C7448D">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5F4F6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7B9238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A330553">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7F1B95E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底座</w:t>
                  </w:r>
                </w:p>
              </w:tc>
              <w:tc>
                <w:tcPr>
                  <w:tcW w:w="1325" w:type="pct"/>
                  <w:tcBorders>
                    <w:tl2br w:val="nil"/>
                    <w:tr2bl w:val="nil"/>
                  </w:tcBorders>
                  <w:noWrap w:val="0"/>
                  <w:vAlign w:val="center"/>
                </w:tcPr>
                <w:p w14:paraId="3968CC6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DZ450/9-S</w:t>
                  </w:r>
                  <w:r>
                    <w:rPr>
                      <w:rFonts w:hint="default" w:ascii="Times New Roman" w:hAnsi="Times New Roman" w:eastAsia="宋体" w:cs="Times New Roman"/>
                      <w:color w:val="auto"/>
                      <w:sz w:val="21"/>
                      <w:szCs w:val="21"/>
                    </w:rPr>
                    <w:t>底座</w:t>
                  </w:r>
                </w:p>
              </w:tc>
              <w:tc>
                <w:tcPr>
                  <w:tcW w:w="555" w:type="pct"/>
                  <w:tcBorders>
                    <w:tl2br w:val="nil"/>
                    <w:tr2bl w:val="nil"/>
                  </w:tcBorders>
                  <w:noWrap w:val="0"/>
                  <w:vAlign w:val="center"/>
                </w:tcPr>
                <w:p w14:paraId="4036DFC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9DEEB4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32F7A52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4529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6214FE8E">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12D9924">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65233FB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天车</w:t>
                  </w:r>
                </w:p>
              </w:tc>
              <w:tc>
                <w:tcPr>
                  <w:tcW w:w="1325" w:type="pct"/>
                  <w:tcBorders>
                    <w:tl2br w:val="nil"/>
                    <w:tr2bl w:val="nil"/>
                  </w:tcBorders>
                  <w:noWrap w:val="0"/>
                  <w:vAlign w:val="center"/>
                </w:tcPr>
                <w:p w14:paraId="0BD4D59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TC-315</w:t>
                  </w:r>
                </w:p>
              </w:tc>
              <w:tc>
                <w:tcPr>
                  <w:tcW w:w="555" w:type="pct"/>
                  <w:tcBorders>
                    <w:tl2br w:val="nil"/>
                    <w:tr2bl w:val="nil"/>
                  </w:tcBorders>
                  <w:noWrap w:val="0"/>
                  <w:vAlign w:val="center"/>
                </w:tcPr>
                <w:p w14:paraId="37DBF0F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517" w:type="pct"/>
                  <w:tcBorders>
                    <w:tl2br w:val="nil"/>
                    <w:tr2bl w:val="nil"/>
                  </w:tcBorders>
                  <w:noWrap w:val="0"/>
                  <w:vAlign w:val="center"/>
                </w:tcPr>
                <w:p w14:paraId="6435DC91">
                  <w:pPr>
                    <w:adjustRightInd w:val="0"/>
                    <w:snapToGrid w:val="0"/>
                    <w:jc w:val="center"/>
                    <w:rPr>
                      <w:rFonts w:hint="default" w:ascii="Times New Roman" w:hAnsi="Times New Roman" w:cs="Times New Roman"/>
                      <w:color w:val="auto"/>
                      <w:sz w:val="21"/>
                      <w:szCs w:val="21"/>
                    </w:rPr>
                  </w:pPr>
                </w:p>
              </w:tc>
              <w:tc>
                <w:tcPr>
                  <w:tcW w:w="815" w:type="pct"/>
                  <w:tcBorders>
                    <w:tl2br w:val="nil"/>
                    <w:tr2bl w:val="nil"/>
                  </w:tcBorders>
                  <w:noWrap w:val="0"/>
                  <w:vAlign w:val="center"/>
                </w:tcPr>
                <w:p w14:paraId="0B5F5F4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86A02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F847C6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67B3FE7">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24D9D13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绞车</w:t>
                  </w:r>
                </w:p>
              </w:tc>
              <w:tc>
                <w:tcPr>
                  <w:tcW w:w="1325" w:type="pct"/>
                  <w:tcBorders>
                    <w:tl2br w:val="nil"/>
                    <w:tr2bl w:val="nil"/>
                  </w:tcBorders>
                  <w:noWrap w:val="0"/>
                  <w:vAlign w:val="center"/>
                </w:tcPr>
                <w:p w14:paraId="2CE94DC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JC50DB</w:t>
                  </w:r>
                </w:p>
              </w:tc>
              <w:tc>
                <w:tcPr>
                  <w:tcW w:w="555" w:type="pct"/>
                  <w:tcBorders>
                    <w:tl2br w:val="nil"/>
                    <w:tr2bl w:val="nil"/>
                  </w:tcBorders>
                  <w:noWrap w:val="0"/>
                  <w:vAlign w:val="center"/>
                </w:tcPr>
                <w:p w14:paraId="43D079E6">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4C563C1">
                  <w:pPr>
                    <w:adjustRightInd w:val="0"/>
                    <w:snapToGrid w:val="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rPr>
                    <w:t>1</w:t>
                  </w:r>
                  <w:r>
                    <w:rPr>
                      <w:rFonts w:hint="default" w:ascii="Times New Roman" w:hAnsi="Times New Roman" w:eastAsia="宋体" w:cs="Times New Roman"/>
                      <w:color w:val="auto"/>
                      <w:sz w:val="21"/>
                      <w:szCs w:val="21"/>
                      <w:lang w:val="en-US"/>
                    </w:rPr>
                    <w:t>台</w:t>
                  </w:r>
                </w:p>
              </w:tc>
              <w:tc>
                <w:tcPr>
                  <w:tcW w:w="815" w:type="pct"/>
                  <w:tcBorders>
                    <w:tl2br w:val="nil"/>
                    <w:tr2bl w:val="nil"/>
                  </w:tcBorders>
                  <w:noWrap w:val="0"/>
                  <w:vAlign w:val="center"/>
                </w:tcPr>
                <w:p w14:paraId="50EA4AB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r>
            <w:tr w14:paraId="7E8752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5D0F531">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C06AB74">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48DE1E5C">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游动滑车</w:t>
                  </w:r>
                </w:p>
              </w:tc>
              <w:tc>
                <w:tcPr>
                  <w:tcW w:w="1325" w:type="pct"/>
                  <w:tcBorders>
                    <w:tl2br w:val="nil"/>
                    <w:tr2bl w:val="nil"/>
                  </w:tcBorders>
                  <w:noWrap w:val="0"/>
                  <w:vAlign w:val="center"/>
                </w:tcPr>
                <w:p w14:paraId="766119D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YC-315</w:t>
                  </w:r>
                </w:p>
              </w:tc>
              <w:tc>
                <w:tcPr>
                  <w:tcW w:w="555" w:type="pct"/>
                  <w:tcBorders>
                    <w:tl2br w:val="nil"/>
                    <w:tr2bl w:val="nil"/>
                  </w:tcBorders>
                  <w:noWrap w:val="0"/>
                  <w:vAlign w:val="center"/>
                </w:tcPr>
                <w:p w14:paraId="787420D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2CF042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8C284D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A6CCB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B28037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5081E7A">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1E89A81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大钩</w:t>
                  </w:r>
                </w:p>
              </w:tc>
              <w:tc>
                <w:tcPr>
                  <w:tcW w:w="1325" w:type="pct"/>
                  <w:tcBorders>
                    <w:tl2br w:val="nil"/>
                    <w:tr2bl w:val="nil"/>
                  </w:tcBorders>
                  <w:noWrap w:val="0"/>
                  <w:vAlign w:val="center"/>
                </w:tcPr>
                <w:p w14:paraId="3791A5F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DG-315</w:t>
                  </w:r>
                </w:p>
              </w:tc>
              <w:tc>
                <w:tcPr>
                  <w:tcW w:w="555" w:type="pct"/>
                  <w:tcBorders>
                    <w:tl2br w:val="nil"/>
                    <w:tr2bl w:val="nil"/>
                  </w:tcBorders>
                  <w:noWrap w:val="0"/>
                  <w:vAlign w:val="center"/>
                </w:tcPr>
                <w:p w14:paraId="48F3808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C79EEC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171C7B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D2083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5738C14">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E914A9">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2021D1E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转盘</w:t>
                  </w:r>
                </w:p>
              </w:tc>
              <w:tc>
                <w:tcPr>
                  <w:tcW w:w="1325" w:type="pct"/>
                  <w:tcBorders>
                    <w:tl2br w:val="nil"/>
                    <w:tr2bl w:val="nil"/>
                  </w:tcBorders>
                  <w:noWrap w:val="0"/>
                  <w:vAlign w:val="center"/>
                </w:tcPr>
                <w:p w14:paraId="1F11EC3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ZP-275</w:t>
                  </w:r>
                </w:p>
              </w:tc>
              <w:tc>
                <w:tcPr>
                  <w:tcW w:w="555" w:type="pct"/>
                  <w:tcBorders>
                    <w:tl2br w:val="nil"/>
                    <w:tr2bl w:val="nil"/>
                  </w:tcBorders>
                  <w:noWrap w:val="0"/>
                  <w:vAlign w:val="center"/>
                </w:tcPr>
                <w:p w14:paraId="1FA87C06">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D7C81A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5E7BCBF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0A57F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7EFB66A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ADAFDCB">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02A2E332">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泥浆泵</w:t>
                  </w:r>
                </w:p>
              </w:tc>
              <w:tc>
                <w:tcPr>
                  <w:tcW w:w="1325" w:type="pct"/>
                  <w:tcBorders>
                    <w:tl2br w:val="nil"/>
                    <w:tr2bl w:val="nil"/>
                  </w:tcBorders>
                  <w:noWrap w:val="0"/>
                  <w:vAlign w:val="center"/>
                </w:tcPr>
                <w:p w14:paraId="2A7D9B6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F-1600</w:t>
                  </w:r>
                </w:p>
              </w:tc>
              <w:tc>
                <w:tcPr>
                  <w:tcW w:w="555" w:type="pct"/>
                  <w:tcBorders>
                    <w:tl2br w:val="nil"/>
                    <w:tr2bl w:val="nil"/>
                  </w:tcBorders>
                  <w:noWrap w:val="0"/>
                  <w:vAlign w:val="center"/>
                </w:tcPr>
                <w:p w14:paraId="0FD19BF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B11C8D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270FA07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E103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4FE763E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CCDC690">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65986D3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除砂器</w:t>
                  </w:r>
                </w:p>
              </w:tc>
              <w:tc>
                <w:tcPr>
                  <w:tcW w:w="1325" w:type="pct"/>
                  <w:tcBorders>
                    <w:tl2br w:val="nil"/>
                    <w:tr2bl w:val="nil"/>
                  </w:tcBorders>
                  <w:noWrap w:val="0"/>
                  <w:vAlign w:val="center"/>
                </w:tcPr>
                <w:p w14:paraId="07900D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ZQJ250×2</w:t>
                  </w:r>
                </w:p>
              </w:tc>
              <w:tc>
                <w:tcPr>
                  <w:tcW w:w="555" w:type="pct"/>
                  <w:tcBorders>
                    <w:tl2br w:val="nil"/>
                    <w:tr2bl w:val="nil"/>
                  </w:tcBorders>
                  <w:noWrap w:val="0"/>
                  <w:vAlign w:val="center"/>
                </w:tcPr>
                <w:p w14:paraId="561F225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107D5D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0570C4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A5A284B">
              <w:tblPrEx>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645DABE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55E32F3">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10C5C66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除泥器</w:t>
                  </w:r>
                </w:p>
              </w:tc>
              <w:tc>
                <w:tcPr>
                  <w:tcW w:w="1325" w:type="pct"/>
                  <w:tcBorders>
                    <w:tl2br w:val="nil"/>
                    <w:tr2bl w:val="nil"/>
                  </w:tcBorders>
                  <w:noWrap w:val="0"/>
                  <w:vAlign w:val="center"/>
                </w:tcPr>
                <w:p w14:paraId="7B520A5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ZQJ100×10</w:t>
                  </w:r>
                </w:p>
              </w:tc>
              <w:tc>
                <w:tcPr>
                  <w:tcW w:w="555" w:type="pct"/>
                  <w:tcBorders>
                    <w:tl2br w:val="nil"/>
                    <w:tr2bl w:val="nil"/>
                  </w:tcBorders>
                  <w:noWrap w:val="0"/>
                  <w:vAlign w:val="center"/>
                </w:tcPr>
                <w:p w14:paraId="104A5FE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D6061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75509D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59F07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B3FFF2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130014E">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39890D8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离心机</w:t>
                  </w:r>
                </w:p>
              </w:tc>
              <w:tc>
                <w:tcPr>
                  <w:tcW w:w="1325" w:type="pct"/>
                  <w:tcBorders>
                    <w:tl2br w:val="nil"/>
                    <w:tr2bl w:val="nil"/>
                  </w:tcBorders>
                  <w:noWrap w:val="0"/>
                  <w:vAlign w:val="center"/>
                </w:tcPr>
                <w:p w14:paraId="6DFCB2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555" w:type="pct"/>
                  <w:tcBorders>
                    <w:tl2br w:val="nil"/>
                    <w:tr2bl w:val="nil"/>
                  </w:tcBorders>
                  <w:noWrap w:val="0"/>
                  <w:vAlign w:val="center"/>
                </w:tcPr>
                <w:p w14:paraId="7CB65EA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B0A59C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D4770D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4FBCA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74FB73C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B0915EF">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46F6E40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除气器</w:t>
                  </w:r>
                </w:p>
              </w:tc>
              <w:tc>
                <w:tcPr>
                  <w:tcW w:w="1325" w:type="pct"/>
                  <w:tcBorders>
                    <w:tl2br w:val="nil"/>
                    <w:tr2bl w:val="nil"/>
                  </w:tcBorders>
                  <w:noWrap w:val="0"/>
                  <w:vAlign w:val="center"/>
                </w:tcPr>
                <w:p w14:paraId="5709B61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CQ1/4</w:t>
                  </w:r>
                </w:p>
              </w:tc>
              <w:tc>
                <w:tcPr>
                  <w:tcW w:w="555" w:type="pct"/>
                  <w:tcBorders>
                    <w:tl2br w:val="nil"/>
                    <w:tr2bl w:val="nil"/>
                  </w:tcBorders>
                  <w:noWrap w:val="0"/>
                  <w:vAlign w:val="center"/>
                </w:tcPr>
                <w:p w14:paraId="0D061FC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5CE427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7C2DEF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8E2DB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1CD3F67C">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762551A">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724E4D2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振动筛</w:t>
                  </w:r>
                </w:p>
              </w:tc>
              <w:tc>
                <w:tcPr>
                  <w:tcW w:w="1325" w:type="pct"/>
                  <w:tcBorders>
                    <w:tl2br w:val="nil"/>
                    <w:tr2bl w:val="nil"/>
                  </w:tcBorders>
                  <w:noWrap w:val="0"/>
                  <w:vAlign w:val="center"/>
                </w:tcPr>
                <w:p w14:paraId="5648C07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CQ-2</w:t>
                  </w:r>
                </w:p>
              </w:tc>
              <w:tc>
                <w:tcPr>
                  <w:tcW w:w="555" w:type="pct"/>
                  <w:tcBorders>
                    <w:tl2br w:val="nil"/>
                    <w:tr2bl w:val="nil"/>
                  </w:tcBorders>
                  <w:noWrap w:val="0"/>
                  <w:vAlign w:val="center"/>
                </w:tcPr>
                <w:p w14:paraId="703D17E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667C4C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804F8D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8689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4F1D3A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8FF77AC">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2D64B15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漏斗</w:t>
                  </w:r>
                </w:p>
              </w:tc>
              <w:tc>
                <w:tcPr>
                  <w:tcW w:w="1325" w:type="pct"/>
                  <w:tcBorders>
                    <w:tl2br w:val="nil"/>
                    <w:tr2bl w:val="nil"/>
                  </w:tcBorders>
                  <w:noWrap w:val="0"/>
                  <w:vAlign w:val="center"/>
                </w:tcPr>
                <w:p w14:paraId="2EC3ABC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6915F65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418E36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B69CB8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D8763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6103123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8CCC299">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17D73F68">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加重泵</w:t>
                  </w:r>
                </w:p>
              </w:tc>
              <w:tc>
                <w:tcPr>
                  <w:tcW w:w="1325" w:type="pct"/>
                  <w:tcBorders>
                    <w:tl2br w:val="nil"/>
                    <w:tr2bl w:val="nil"/>
                  </w:tcBorders>
                  <w:noWrap w:val="0"/>
                  <w:vAlign w:val="center"/>
                </w:tcPr>
                <w:p w14:paraId="5F4B45C1">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2479384E">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8C3CD7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7FBD955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847BA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restart"/>
                  <w:tcBorders>
                    <w:tl2br w:val="nil"/>
                    <w:tr2bl w:val="nil"/>
                  </w:tcBorders>
                  <w:noWrap w:val="0"/>
                  <w:vAlign w:val="center"/>
                </w:tcPr>
                <w:p w14:paraId="53300438">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w:t>
                  </w:r>
                </w:p>
              </w:tc>
              <w:tc>
                <w:tcPr>
                  <w:tcW w:w="569" w:type="pct"/>
                  <w:vMerge w:val="restart"/>
                  <w:tcBorders>
                    <w:tl2br w:val="nil"/>
                    <w:tr2bl w:val="nil"/>
                  </w:tcBorders>
                  <w:noWrap w:val="0"/>
                  <w:vAlign w:val="center"/>
                </w:tcPr>
                <w:p w14:paraId="57E3635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钻机控制系统</w:t>
                  </w:r>
                </w:p>
              </w:tc>
              <w:tc>
                <w:tcPr>
                  <w:tcW w:w="967" w:type="pct"/>
                  <w:tcBorders>
                    <w:tl2br w:val="nil"/>
                    <w:tr2bl w:val="nil"/>
                  </w:tcBorders>
                  <w:noWrap w:val="0"/>
                  <w:vAlign w:val="center"/>
                </w:tcPr>
                <w:p w14:paraId="6000FD8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自动压风机</w:t>
                  </w:r>
                </w:p>
              </w:tc>
              <w:tc>
                <w:tcPr>
                  <w:tcW w:w="1325" w:type="pct"/>
                  <w:tcBorders>
                    <w:tl2br w:val="nil"/>
                    <w:tr2bl w:val="nil"/>
                  </w:tcBorders>
                  <w:noWrap w:val="0"/>
                  <w:vAlign w:val="center"/>
                </w:tcPr>
                <w:p w14:paraId="48DE614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5D41BD45">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091DDD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550A22E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1F762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4F5120C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38F94D3C">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092B2BE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电动压风机</w:t>
                  </w:r>
                </w:p>
              </w:tc>
              <w:tc>
                <w:tcPr>
                  <w:tcW w:w="1325" w:type="pct"/>
                  <w:tcBorders>
                    <w:tl2br w:val="nil"/>
                    <w:tr2bl w:val="nil"/>
                  </w:tcBorders>
                  <w:noWrap w:val="0"/>
                  <w:vAlign w:val="center"/>
                </w:tcPr>
                <w:p w14:paraId="521FDC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2V-</w:t>
                  </w:r>
                  <w:r>
                    <w:rPr>
                      <w:rFonts w:hint="default" w:ascii="Times New Roman" w:hAnsi="Times New Roman" w:eastAsia="宋体" w:cs="Times New Roman"/>
                      <w:color w:val="auto"/>
                      <w:sz w:val="21"/>
                      <w:szCs w:val="21"/>
                      <w:lang w:eastAsia="zh-CN"/>
                    </w:rPr>
                    <w:t>7</w:t>
                  </w:r>
                  <w:r>
                    <w:rPr>
                      <w:rFonts w:hint="default" w:ascii="Times New Roman" w:hAnsi="Times New Roman" w:cs="Times New Roman"/>
                      <w:color w:val="auto"/>
                      <w:sz w:val="21"/>
                      <w:szCs w:val="21"/>
                    </w:rPr>
                    <w:t>-12</w:t>
                  </w:r>
                </w:p>
              </w:tc>
              <w:tc>
                <w:tcPr>
                  <w:tcW w:w="555" w:type="pct"/>
                  <w:tcBorders>
                    <w:tl2br w:val="nil"/>
                    <w:tr2bl w:val="nil"/>
                  </w:tcBorders>
                  <w:noWrap w:val="0"/>
                  <w:vAlign w:val="center"/>
                </w:tcPr>
                <w:p w14:paraId="52F56A5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5DED65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42B824C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D5B10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6E4DD8EC">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6D752A7">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2175DD0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刹车系统</w:t>
                  </w:r>
                </w:p>
              </w:tc>
              <w:tc>
                <w:tcPr>
                  <w:tcW w:w="1325" w:type="pct"/>
                  <w:tcBorders>
                    <w:tl2br w:val="nil"/>
                    <w:tr2bl w:val="nil"/>
                  </w:tcBorders>
                  <w:noWrap w:val="0"/>
                  <w:vAlign w:val="center"/>
                </w:tcPr>
                <w:p w14:paraId="3FE2D23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PSZ75</w:t>
                  </w:r>
                  <w:r>
                    <w:rPr>
                      <w:rFonts w:hint="default" w:ascii="Times New Roman" w:hAnsi="Times New Roman" w:eastAsia="宋体" w:cs="Times New Roman"/>
                      <w:color w:val="auto"/>
                      <w:sz w:val="21"/>
                      <w:szCs w:val="21"/>
                    </w:rPr>
                    <w:t>液压盘刹车系统</w:t>
                  </w:r>
                </w:p>
              </w:tc>
              <w:tc>
                <w:tcPr>
                  <w:tcW w:w="555" w:type="pct"/>
                  <w:tcBorders>
                    <w:tl2br w:val="nil"/>
                    <w:tr2bl w:val="nil"/>
                  </w:tcBorders>
                  <w:noWrap w:val="0"/>
                  <w:vAlign w:val="center"/>
                </w:tcPr>
                <w:p w14:paraId="7EA72F4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2E7495F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445B36F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E63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655C4AC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6917E0C1">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5407BEC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辅助刹车</w:t>
                  </w:r>
                </w:p>
              </w:tc>
              <w:tc>
                <w:tcPr>
                  <w:tcW w:w="1325" w:type="pct"/>
                  <w:tcBorders>
                    <w:tl2br w:val="nil"/>
                    <w:tr2bl w:val="nil"/>
                  </w:tcBorders>
                  <w:noWrap w:val="0"/>
                  <w:vAlign w:val="center"/>
                </w:tcPr>
                <w:p w14:paraId="19D2D8A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SDF50L</w:t>
                  </w:r>
                </w:p>
              </w:tc>
              <w:tc>
                <w:tcPr>
                  <w:tcW w:w="555" w:type="pct"/>
                  <w:tcBorders>
                    <w:tl2br w:val="nil"/>
                    <w:tr2bl w:val="nil"/>
                  </w:tcBorders>
                  <w:noWrap w:val="0"/>
                  <w:vAlign w:val="center"/>
                </w:tcPr>
                <w:p w14:paraId="68E0CA7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818C73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0FF61DD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FDF1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restart"/>
                  <w:tcBorders>
                    <w:tl2br w:val="nil"/>
                    <w:tr2bl w:val="nil"/>
                  </w:tcBorders>
                  <w:noWrap w:val="0"/>
                  <w:vAlign w:val="center"/>
                </w:tcPr>
                <w:p w14:paraId="5E16BED2">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569" w:type="pct"/>
                  <w:vMerge w:val="restart"/>
                  <w:tcBorders>
                    <w:tl2br w:val="nil"/>
                    <w:tr2bl w:val="nil"/>
                  </w:tcBorders>
                  <w:noWrap w:val="0"/>
                  <w:vAlign w:val="center"/>
                </w:tcPr>
                <w:p w14:paraId="113EFE46">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井控装置</w:t>
                  </w:r>
                </w:p>
              </w:tc>
              <w:tc>
                <w:tcPr>
                  <w:tcW w:w="967" w:type="pct"/>
                  <w:tcBorders>
                    <w:tl2br w:val="nil"/>
                    <w:tr2bl w:val="nil"/>
                  </w:tcBorders>
                  <w:noWrap w:val="0"/>
                  <w:vAlign w:val="center"/>
                </w:tcPr>
                <w:p w14:paraId="6557D9E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环形防喷器</w:t>
                  </w:r>
                </w:p>
              </w:tc>
              <w:tc>
                <w:tcPr>
                  <w:tcW w:w="1325" w:type="pct"/>
                  <w:tcBorders>
                    <w:tl2br w:val="nil"/>
                    <w:tr2bl w:val="nil"/>
                  </w:tcBorders>
                  <w:noWrap w:val="0"/>
                  <w:vAlign w:val="center"/>
                </w:tcPr>
                <w:p w14:paraId="105C408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FH28-35</w:t>
                  </w:r>
                </w:p>
              </w:tc>
              <w:tc>
                <w:tcPr>
                  <w:tcW w:w="555" w:type="pct"/>
                  <w:tcBorders>
                    <w:tl2br w:val="nil"/>
                    <w:tr2bl w:val="nil"/>
                  </w:tcBorders>
                  <w:noWrap w:val="0"/>
                  <w:vAlign w:val="center"/>
                </w:tcPr>
                <w:p w14:paraId="1E66A17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790085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6D0410C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E224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450B0B8">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A642524">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37C4572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闸板防喷器</w:t>
                  </w:r>
                </w:p>
              </w:tc>
              <w:tc>
                <w:tcPr>
                  <w:tcW w:w="1325" w:type="pct"/>
                  <w:tcBorders>
                    <w:tl2br w:val="nil"/>
                    <w:tr2bl w:val="nil"/>
                  </w:tcBorders>
                  <w:noWrap w:val="0"/>
                  <w:vAlign w:val="center"/>
                </w:tcPr>
                <w:p w14:paraId="5C3925D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2FZ28-35</w:t>
                  </w:r>
                </w:p>
              </w:tc>
              <w:tc>
                <w:tcPr>
                  <w:tcW w:w="555" w:type="pct"/>
                  <w:tcBorders>
                    <w:tl2br w:val="nil"/>
                    <w:tr2bl w:val="nil"/>
                  </w:tcBorders>
                  <w:noWrap w:val="0"/>
                  <w:vAlign w:val="center"/>
                </w:tcPr>
                <w:p w14:paraId="6423F9FA">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177D5C9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B2253B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97F1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1377CB5">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2723802C">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2628AFF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四通</w:t>
                  </w:r>
                </w:p>
              </w:tc>
              <w:tc>
                <w:tcPr>
                  <w:tcW w:w="1325" w:type="pct"/>
                  <w:tcBorders>
                    <w:tl2br w:val="nil"/>
                    <w:tr2bl w:val="nil"/>
                  </w:tcBorders>
                  <w:noWrap w:val="0"/>
                  <w:vAlign w:val="center"/>
                </w:tcPr>
                <w:p w14:paraId="78D489A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FS28-35</w:t>
                  </w:r>
                </w:p>
              </w:tc>
              <w:tc>
                <w:tcPr>
                  <w:tcW w:w="555" w:type="pct"/>
                  <w:tcBorders>
                    <w:tl2br w:val="nil"/>
                    <w:tr2bl w:val="nil"/>
                  </w:tcBorders>
                  <w:noWrap w:val="0"/>
                  <w:vAlign w:val="center"/>
                </w:tcPr>
                <w:p w14:paraId="2D5DC902">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4017C35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1D3427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4F833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5" w:hRule="atLeast"/>
                <w:jc w:val="center"/>
              </w:trPr>
              <w:tc>
                <w:tcPr>
                  <w:tcW w:w="248" w:type="pct"/>
                  <w:vMerge w:val="continue"/>
                  <w:tcBorders>
                    <w:tl2br w:val="nil"/>
                    <w:tr2bl w:val="nil"/>
                  </w:tcBorders>
                  <w:noWrap w:val="0"/>
                  <w:vAlign w:val="center"/>
                </w:tcPr>
                <w:p w14:paraId="557BDE76">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8875B4B">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4392654E">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节流管汇</w:t>
                  </w:r>
                </w:p>
              </w:tc>
              <w:tc>
                <w:tcPr>
                  <w:tcW w:w="1325" w:type="pct"/>
                  <w:tcBorders>
                    <w:tl2br w:val="nil"/>
                    <w:tr2bl w:val="nil"/>
                  </w:tcBorders>
                  <w:noWrap w:val="0"/>
                  <w:vAlign w:val="center"/>
                </w:tcPr>
                <w:p w14:paraId="18B8480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JG-35</w:t>
                  </w:r>
                </w:p>
              </w:tc>
              <w:tc>
                <w:tcPr>
                  <w:tcW w:w="555" w:type="pct"/>
                  <w:tcBorders>
                    <w:tl2br w:val="nil"/>
                    <w:tr2bl w:val="nil"/>
                  </w:tcBorders>
                  <w:noWrap w:val="0"/>
                  <w:vAlign w:val="center"/>
                </w:tcPr>
                <w:p w14:paraId="51C2317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A590E8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62AF83F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BAF6D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2A7EAE5D">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708A1E6D">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50A8FF6B">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压井管汇</w:t>
                  </w:r>
                </w:p>
              </w:tc>
              <w:tc>
                <w:tcPr>
                  <w:tcW w:w="1325" w:type="pct"/>
                  <w:tcBorders>
                    <w:tl2br w:val="nil"/>
                    <w:tr2bl w:val="nil"/>
                  </w:tcBorders>
                  <w:noWrap w:val="0"/>
                  <w:vAlign w:val="center"/>
                </w:tcPr>
                <w:p w14:paraId="46C9ADC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YJ-35</w:t>
                  </w:r>
                </w:p>
              </w:tc>
              <w:tc>
                <w:tcPr>
                  <w:tcW w:w="555" w:type="pct"/>
                  <w:tcBorders>
                    <w:tl2br w:val="nil"/>
                    <w:tr2bl w:val="nil"/>
                  </w:tcBorders>
                  <w:noWrap w:val="0"/>
                  <w:vAlign w:val="center"/>
                </w:tcPr>
                <w:p w14:paraId="144CE36C">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6CD16D1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0E09668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2E45DA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C4E2AFB">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7BCA622">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67074A60">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控制装置</w:t>
                  </w:r>
                </w:p>
              </w:tc>
              <w:tc>
                <w:tcPr>
                  <w:tcW w:w="1325" w:type="pct"/>
                  <w:tcBorders>
                    <w:tl2br w:val="nil"/>
                    <w:tr2bl w:val="nil"/>
                  </w:tcBorders>
                  <w:noWrap w:val="0"/>
                  <w:vAlign w:val="center"/>
                </w:tcPr>
                <w:p w14:paraId="4BE409C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FKQ3204B</w:t>
                  </w:r>
                </w:p>
              </w:tc>
              <w:tc>
                <w:tcPr>
                  <w:tcW w:w="555" w:type="pct"/>
                  <w:tcBorders>
                    <w:tl2br w:val="nil"/>
                    <w:tr2bl w:val="nil"/>
                  </w:tcBorders>
                  <w:noWrap w:val="0"/>
                  <w:vAlign w:val="center"/>
                </w:tcPr>
                <w:p w14:paraId="15318E4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C8E4BC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DF30A5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1EA09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restart"/>
                  <w:tcBorders>
                    <w:tl2br w:val="nil"/>
                    <w:tr2bl w:val="nil"/>
                  </w:tcBorders>
                  <w:noWrap w:val="0"/>
                  <w:vAlign w:val="center"/>
                </w:tcPr>
                <w:p w14:paraId="231ED36D">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569" w:type="pct"/>
                  <w:vMerge w:val="restart"/>
                  <w:tcBorders>
                    <w:tl2br w:val="nil"/>
                    <w:tr2bl w:val="nil"/>
                  </w:tcBorders>
                  <w:noWrap w:val="0"/>
                  <w:vAlign w:val="center"/>
                </w:tcPr>
                <w:p w14:paraId="4BC2BA1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检测系统</w:t>
                  </w:r>
                </w:p>
              </w:tc>
              <w:tc>
                <w:tcPr>
                  <w:tcW w:w="967" w:type="pct"/>
                  <w:tcBorders>
                    <w:tl2br w:val="nil"/>
                    <w:tr2bl w:val="nil"/>
                  </w:tcBorders>
                  <w:noWrap w:val="0"/>
                  <w:vAlign w:val="center"/>
                </w:tcPr>
                <w:p w14:paraId="7D58A99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固定式多功能气体检测仪</w:t>
                  </w:r>
                </w:p>
              </w:tc>
              <w:tc>
                <w:tcPr>
                  <w:tcW w:w="1325" w:type="pct"/>
                  <w:tcBorders>
                    <w:tl2br w:val="nil"/>
                    <w:tr2bl w:val="nil"/>
                  </w:tcBorders>
                  <w:noWrap w:val="0"/>
                  <w:vAlign w:val="center"/>
                </w:tcPr>
                <w:p w14:paraId="7D616E1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092C9103">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00FFBAB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套</w:t>
                  </w:r>
                </w:p>
              </w:tc>
              <w:tc>
                <w:tcPr>
                  <w:tcW w:w="815" w:type="pct"/>
                  <w:tcBorders>
                    <w:tl2br w:val="nil"/>
                    <w:tr2bl w:val="nil"/>
                  </w:tcBorders>
                  <w:noWrap w:val="0"/>
                  <w:vAlign w:val="center"/>
                </w:tcPr>
                <w:p w14:paraId="55EAF9D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5DEA456">
              <w:tblPrEx>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B25931A">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9302917">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0EB9466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便携式复合气体检测仪</w:t>
                  </w:r>
                </w:p>
              </w:tc>
              <w:tc>
                <w:tcPr>
                  <w:tcW w:w="1325" w:type="pct"/>
                  <w:tcBorders>
                    <w:tl2br w:val="nil"/>
                    <w:tr2bl w:val="nil"/>
                  </w:tcBorders>
                  <w:noWrap w:val="0"/>
                  <w:vAlign w:val="center"/>
                </w:tcPr>
                <w:p w14:paraId="672BA18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21211E7F">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11B9E0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5FDA1DD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93A0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tcBorders>
                    <w:tl2br w:val="nil"/>
                    <w:tr2bl w:val="nil"/>
                  </w:tcBorders>
                  <w:noWrap w:val="0"/>
                  <w:vAlign w:val="center"/>
                </w:tcPr>
                <w:p w14:paraId="62049CF7">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569" w:type="pct"/>
                  <w:tcBorders>
                    <w:tl2br w:val="nil"/>
                    <w:tr2bl w:val="nil"/>
                  </w:tcBorders>
                  <w:noWrap w:val="0"/>
                  <w:vAlign w:val="center"/>
                </w:tcPr>
                <w:p w14:paraId="76D33BB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呼吸器</w:t>
                  </w:r>
                </w:p>
              </w:tc>
              <w:tc>
                <w:tcPr>
                  <w:tcW w:w="967" w:type="pct"/>
                  <w:tcBorders>
                    <w:tl2br w:val="nil"/>
                    <w:tr2bl w:val="nil"/>
                  </w:tcBorders>
                  <w:noWrap w:val="0"/>
                  <w:vAlign w:val="center"/>
                </w:tcPr>
                <w:p w14:paraId="43BD970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正压式空气呼吸器</w:t>
                  </w:r>
                </w:p>
              </w:tc>
              <w:tc>
                <w:tcPr>
                  <w:tcW w:w="1325" w:type="pct"/>
                  <w:tcBorders>
                    <w:tl2br w:val="nil"/>
                    <w:tr2bl w:val="nil"/>
                  </w:tcBorders>
                  <w:noWrap w:val="0"/>
                  <w:vAlign w:val="center"/>
                </w:tcPr>
                <w:p w14:paraId="4A107BB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5C4F8D88">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76E4E88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15" w:type="pct"/>
                  <w:tcBorders>
                    <w:tl2br w:val="nil"/>
                    <w:tr2bl w:val="nil"/>
                  </w:tcBorders>
                  <w:noWrap w:val="0"/>
                  <w:vAlign w:val="center"/>
                </w:tcPr>
                <w:p w14:paraId="65B57A73">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当班生产人员每人1套，并配备2套作为公用</w:t>
                  </w:r>
                </w:p>
              </w:tc>
            </w:tr>
            <w:tr w14:paraId="77900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restart"/>
                  <w:tcBorders>
                    <w:tl2br w:val="nil"/>
                    <w:tr2bl w:val="nil"/>
                  </w:tcBorders>
                  <w:noWrap w:val="0"/>
                  <w:vAlign w:val="center"/>
                </w:tcPr>
                <w:p w14:paraId="3B01E0E8">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569" w:type="pct"/>
                  <w:vMerge w:val="restart"/>
                  <w:tcBorders>
                    <w:tl2br w:val="nil"/>
                    <w:tr2bl w:val="nil"/>
                  </w:tcBorders>
                  <w:noWrap w:val="0"/>
                  <w:vAlign w:val="center"/>
                </w:tcPr>
                <w:p w14:paraId="4F1254D4">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循环系统 配置</w:t>
                  </w:r>
                </w:p>
              </w:tc>
              <w:tc>
                <w:tcPr>
                  <w:tcW w:w="967" w:type="pct"/>
                  <w:tcBorders>
                    <w:tl2br w:val="nil"/>
                    <w:tr2bl w:val="nil"/>
                  </w:tcBorders>
                  <w:noWrap w:val="0"/>
                  <w:vAlign w:val="center"/>
                </w:tcPr>
                <w:p w14:paraId="38BAA13F">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钻井泵</w:t>
                  </w:r>
                </w:p>
              </w:tc>
              <w:tc>
                <w:tcPr>
                  <w:tcW w:w="1325" w:type="pct"/>
                  <w:tcBorders>
                    <w:tl2br w:val="nil"/>
                    <w:tr2bl w:val="nil"/>
                  </w:tcBorders>
                  <w:noWrap w:val="0"/>
                  <w:vAlign w:val="center"/>
                </w:tcPr>
                <w:p w14:paraId="3679E3A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DFE4F7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39B249C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台</w:t>
                  </w:r>
                </w:p>
              </w:tc>
              <w:tc>
                <w:tcPr>
                  <w:tcW w:w="815" w:type="pct"/>
                  <w:tcBorders>
                    <w:tl2br w:val="nil"/>
                    <w:tr2bl w:val="nil"/>
                  </w:tcBorders>
                  <w:noWrap w:val="0"/>
                  <w:vAlign w:val="center"/>
                </w:tcPr>
                <w:p w14:paraId="3CFE2D9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031B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0088FC67">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01AF2533">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5B2AB6E5">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洗井废水罐</w:t>
                  </w:r>
                </w:p>
              </w:tc>
              <w:tc>
                <w:tcPr>
                  <w:tcW w:w="1325" w:type="pct"/>
                  <w:tcBorders>
                    <w:tl2br w:val="nil"/>
                    <w:tr2bl w:val="nil"/>
                  </w:tcBorders>
                  <w:noWrap w:val="0"/>
                  <w:vAlign w:val="center"/>
                </w:tcPr>
                <w:p w14:paraId="3DEDDAA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491C222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3CC35E2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2B605CA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D1635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5572EF8E">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7CAAE15">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695CC2FD">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压裂返排液罐</w:t>
                  </w:r>
                </w:p>
              </w:tc>
              <w:tc>
                <w:tcPr>
                  <w:tcW w:w="1325" w:type="pct"/>
                  <w:tcBorders>
                    <w:tl2br w:val="nil"/>
                    <w:tr2bl w:val="nil"/>
                  </w:tcBorders>
                  <w:noWrap w:val="0"/>
                  <w:vAlign w:val="center"/>
                </w:tcPr>
                <w:p w14:paraId="482429E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6FBE741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027155B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33A57FE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1005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0E752700">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2E825D3">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4D6F083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移动式泥饼和岩屑收集罐</w:t>
                  </w:r>
                </w:p>
              </w:tc>
              <w:tc>
                <w:tcPr>
                  <w:tcW w:w="1325" w:type="pct"/>
                  <w:tcBorders>
                    <w:tl2br w:val="nil"/>
                    <w:tr2bl w:val="nil"/>
                  </w:tcBorders>
                  <w:noWrap w:val="0"/>
                  <w:vAlign w:val="center"/>
                </w:tcPr>
                <w:p w14:paraId="6029671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20AC31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15380F5B">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1775CD3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19092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7" w:hRule="atLeast"/>
                <w:jc w:val="center"/>
              </w:trPr>
              <w:tc>
                <w:tcPr>
                  <w:tcW w:w="248" w:type="pct"/>
                  <w:vMerge w:val="continue"/>
                  <w:tcBorders>
                    <w:tl2br w:val="nil"/>
                    <w:tr2bl w:val="nil"/>
                  </w:tcBorders>
                  <w:noWrap w:val="0"/>
                  <w:vAlign w:val="center"/>
                </w:tcPr>
                <w:p w14:paraId="2D344991">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197393D1">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491EC3B1">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放喷废液收集罐</w:t>
                  </w:r>
                </w:p>
              </w:tc>
              <w:tc>
                <w:tcPr>
                  <w:tcW w:w="1325" w:type="pct"/>
                  <w:tcBorders>
                    <w:tl2br w:val="nil"/>
                    <w:tr2bl w:val="nil"/>
                  </w:tcBorders>
                  <w:noWrap w:val="0"/>
                  <w:vAlign w:val="center"/>
                </w:tcPr>
                <w:p w14:paraId="6EB2712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4032423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10.6m</w:t>
                  </w:r>
                  <w:r>
                    <w:rPr>
                      <w:rFonts w:hint="default" w:ascii="Times New Roman" w:hAnsi="Times New Roman" w:cs="Times New Roman"/>
                      <w:color w:val="auto"/>
                      <w:sz w:val="21"/>
                      <w:szCs w:val="21"/>
                      <w:vertAlign w:val="superscript"/>
                    </w:rPr>
                    <w:t>3</w:t>
                  </w:r>
                </w:p>
              </w:tc>
              <w:tc>
                <w:tcPr>
                  <w:tcW w:w="517" w:type="pct"/>
                  <w:tcBorders>
                    <w:tl2br w:val="nil"/>
                    <w:tr2bl w:val="nil"/>
                  </w:tcBorders>
                  <w:noWrap w:val="0"/>
                  <w:vAlign w:val="center"/>
                </w:tcPr>
                <w:p w14:paraId="5266DDE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5075A5A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10A2C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470E7D29">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5C3D8670">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5C8A2777">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搅拌器</w:t>
                  </w:r>
                </w:p>
              </w:tc>
              <w:tc>
                <w:tcPr>
                  <w:tcW w:w="1325" w:type="pct"/>
                  <w:tcBorders>
                    <w:tl2br w:val="nil"/>
                    <w:tr2bl w:val="nil"/>
                  </w:tcBorders>
                  <w:noWrap w:val="0"/>
                  <w:vAlign w:val="center"/>
                </w:tcPr>
                <w:p w14:paraId="2C442BF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55" w:type="pct"/>
                  <w:tcBorders>
                    <w:tl2br w:val="nil"/>
                    <w:tr2bl w:val="nil"/>
                  </w:tcBorders>
                  <w:noWrap w:val="0"/>
                  <w:vAlign w:val="center"/>
                </w:tcPr>
                <w:p w14:paraId="3C16117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NJ-7.5</w:t>
                  </w:r>
                </w:p>
              </w:tc>
              <w:tc>
                <w:tcPr>
                  <w:tcW w:w="517" w:type="pct"/>
                  <w:tcBorders>
                    <w:tl2br w:val="nil"/>
                    <w:tr2bl w:val="nil"/>
                  </w:tcBorders>
                  <w:noWrap w:val="0"/>
                  <w:vAlign w:val="center"/>
                </w:tcPr>
                <w:p w14:paraId="0534D31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eastAsia="宋体" w:cs="Times New Roman"/>
                      <w:color w:val="auto"/>
                      <w:sz w:val="21"/>
                      <w:szCs w:val="21"/>
                    </w:rPr>
                    <w:t>个</w:t>
                  </w:r>
                </w:p>
              </w:tc>
              <w:tc>
                <w:tcPr>
                  <w:tcW w:w="815" w:type="pct"/>
                  <w:tcBorders>
                    <w:tl2br w:val="nil"/>
                    <w:tr2bl w:val="nil"/>
                  </w:tcBorders>
                  <w:noWrap w:val="0"/>
                  <w:vAlign w:val="center"/>
                </w:tcPr>
                <w:p w14:paraId="7759D0D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524F9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vMerge w:val="continue"/>
                  <w:tcBorders>
                    <w:tl2br w:val="nil"/>
                    <w:tr2bl w:val="nil"/>
                  </w:tcBorders>
                  <w:noWrap w:val="0"/>
                  <w:vAlign w:val="center"/>
                </w:tcPr>
                <w:p w14:paraId="3368F30F">
                  <w:pPr>
                    <w:adjustRightInd w:val="0"/>
                    <w:snapToGrid w:val="0"/>
                    <w:jc w:val="center"/>
                    <w:rPr>
                      <w:rFonts w:hint="default" w:ascii="Times New Roman" w:hAnsi="Times New Roman" w:cs="Times New Roman"/>
                      <w:color w:val="auto"/>
                      <w:sz w:val="21"/>
                      <w:szCs w:val="21"/>
                    </w:rPr>
                  </w:pPr>
                </w:p>
              </w:tc>
              <w:tc>
                <w:tcPr>
                  <w:tcW w:w="569" w:type="pct"/>
                  <w:vMerge w:val="continue"/>
                  <w:tcBorders>
                    <w:tl2br w:val="nil"/>
                    <w:tr2bl w:val="nil"/>
                  </w:tcBorders>
                  <w:noWrap w:val="0"/>
                  <w:vAlign w:val="center"/>
                </w:tcPr>
                <w:p w14:paraId="4CDCE0C5">
                  <w:pPr>
                    <w:adjustRightInd w:val="0"/>
                    <w:snapToGrid w:val="0"/>
                    <w:jc w:val="center"/>
                    <w:rPr>
                      <w:rFonts w:hint="default" w:ascii="Times New Roman" w:hAnsi="Times New Roman" w:cs="Times New Roman"/>
                      <w:color w:val="auto"/>
                      <w:sz w:val="21"/>
                      <w:szCs w:val="21"/>
                    </w:rPr>
                  </w:pPr>
                </w:p>
              </w:tc>
              <w:tc>
                <w:tcPr>
                  <w:tcW w:w="967" w:type="pct"/>
                  <w:tcBorders>
                    <w:tl2br w:val="nil"/>
                    <w:tr2bl w:val="nil"/>
                  </w:tcBorders>
                  <w:noWrap w:val="0"/>
                  <w:vAlign w:val="center"/>
                </w:tcPr>
                <w:p w14:paraId="19FD5FD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泥浆循环罐</w:t>
                  </w:r>
                </w:p>
              </w:tc>
              <w:tc>
                <w:tcPr>
                  <w:tcW w:w="1325" w:type="pct"/>
                  <w:tcBorders>
                    <w:tl2br w:val="nil"/>
                    <w:tr2bl w:val="nil"/>
                  </w:tcBorders>
                  <w:noWrap w:val="0"/>
                  <w:vAlign w:val="center"/>
                </w:tcPr>
                <w:p w14:paraId="00731EDF">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931" w:type="dxa"/>
                  <w:tcBorders>
                    <w:tl2br w:val="nil"/>
                    <w:tr2bl w:val="nil"/>
                  </w:tcBorders>
                  <w:noWrap w:val="0"/>
                  <w:vAlign w:val="center"/>
                </w:tcPr>
                <w:p w14:paraId="79AA6CAD">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p>
              </w:tc>
              <w:tc>
                <w:tcPr>
                  <w:tcW w:w="867" w:type="dxa"/>
                  <w:tcBorders>
                    <w:tl2br w:val="nil"/>
                    <w:tr2bl w:val="nil"/>
                  </w:tcBorders>
                  <w:noWrap w:val="0"/>
                  <w:vAlign w:val="center"/>
                </w:tcPr>
                <w:p w14:paraId="2CDECF6F">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7个</w:t>
                  </w:r>
                </w:p>
              </w:tc>
              <w:tc>
                <w:tcPr>
                  <w:tcW w:w="1367" w:type="dxa"/>
                  <w:tcBorders>
                    <w:tl2br w:val="nil"/>
                    <w:tr2bl w:val="nil"/>
                  </w:tcBorders>
                  <w:noWrap w:val="0"/>
                  <w:vAlign w:val="center"/>
                </w:tcPr>
                <w:p w14:paraId="51FDC8E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8CD2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5" w:hRule="atLeast"/>
                <w:jc w:val="center"/>
              </w:trPr>
              <w:tc>
                <w:tcPr>
                  <w:tcW w:w="248" w:type="pct"/>
                  <w:tcBorders>
                    <w:tl2br w:val="nil"/>
                    <w:tr2bl w:val="nil"/>
                  </w:tcBorders>
                  <w:noWrap w:val="0"/>
                  <w:vAlign w:val="center"/>
                </w:tcPr>
                <w:p w14:paraId="5DBC932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69" w:type="pct"/>
                  <w:tcBorders>
                    <w:tl2br w:val="nil"/>
                    <w:tr2bl w:val="nil"/>
                  </w:tcBorders>
                  <w:noWrap w:val="0"/>
                  <w:vAlign w:val="center"/>
                </w:tcPr>
                <w:p w14:paraId="3E32CD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压裂设备</w:t>
                  </w:r>
                </w:p>
              </w:tc>
              <w:tc>
                <w:tcPr>
                  <w:tcW w:w="967" w:type="pct"/>
                  <w:tcBorders>
                    <w:tl2br w:val="nil"/>
                    <w:tr2bl w:val="nil"/>
                  </w:tcBorders>
                  <w:noWrap w:val="0"/>
                  <w:vAlign w:val="center"/>
                </w:tcPr>
                <w:p w14:paraId="28BFF253">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压裂车</w:t>
                  </w:r>
                </w:p>
              </w:tc>
              <w:tc>
                <w:tcPr>
                  <w:tcW w:w="1325" w:type="pct"/>
                  <w:tcBorders>
                    <w:tl2br w:val="nil"/>
                    <w:tr2bl w:val="nil"/>
                  </w:tcBorders>
                  <w:noWrap w:val="0"/>
                  <w:vAlign w:val="center"/>
                </w:tcPr>
                <w:p w14:paraId="461AD348">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55" w:type="pct"/>
                  <w:tcBorders>
                    <w:tl2br w:val="nil"/>
                    <w:tr2bl w:val="nil"/>
                  </w:tcBorders>
                  <w:noWrap w:val="0"/>
                  <w:vAlign w:val="center"/>
                </w:tcPr>
                <w:p w14:paraId="02A62D8A">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17" w:type="pct"/>
                  <w:tcBorders>
                    <w:tl2br w:val="nil"/>
                    <w:tr2bl w:val="nil"/>
                  </w:tcBorders>
                  <w:noWrap w:val="0"/>
                  <w:vAlign w:val="center"/>
                </w:tcPr>
                <w:p w14:paraId="550940A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4台</w:t>
                  </w:r>
                </w:p>
              </w:tc>
              <w:tc>
                <w:tcPr>
                  <w:tcW w:w="815" w:type="pct"/>
                  <w:tcBorders>
                    <w:tl2br w:val="nil"/>
                    <w:tr2bl w:val="nil"/>
                  </w:tcBorders>
                  <w:noWrap w:val="0"/>
                  <w:vAlign w:val="center"/>
                </w:tcPr>
                <w:p w14:paraId="1E8C277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由发动机、液力传动箱、压力泵、吸入排出管汇、安全系统、润滑系统、电路系统、液压系统、仪表及控制系统等组成</w:t>
                  </w:r>
                </w:p>
              </w:tc>
            </w:tr>
          </w:tbl>
          <w:p w14:paraId="21D617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（2）测井设备</w:t>
            </w:r>
          </w:p>
          <w:p w14:paraId="7029FB3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测井是利用专用仪器设备测量岩层的电化学特性、导电特性、声学特性、放射性等地球物理特性，以获取岩层的孔隙度、渗透率以及含气情况等地层信息。本项目完井测井采用CPlog系列仪器，小井眼采用吉艾GILEE系列仪器，测井项目包括双侧向、声波时差、自然伽马、自然电位、井径、方位等。</w:t>
            </w:r>
          </w:p>
          <w:p w14:paraId="01AA02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（3）录井设备</w:t>
            </w:r>
          </w:p>
          <w:p w14:paraId="3455AEA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录井是利用肉眼、综合录井仪，观察、采集、收集、记录、分析随钻过程中由井筒返出的固体、液体、气体等井筒返出物信息，以此建立录井地质剖面、发现油气显示，并为钻井提供信息服务。录井主要设备为综合录井仪。</w:t>
            </w:r>
          </w:p>
          <w:p w14:paraId="6B78727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（4）钻井泥浆固液分离设备</w:t>
            </w:r>
          </w:p>
          <w:p w14:paraId="044B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钻井泥浆固液分离设备见表2-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p>
          <w:p w14:paraId="0D9DFCD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5</w:t>
            </w:r>
            <w:r>
              <w:rPr>
                <w:rFonts w:hint="default" w:ascii="Times New Roman" w:hAnsi="Times New Roman" w:eastAsia="宋体" w:cs="Times New Roman"/>
                <w:b/>
                <w:bCs/>
                <w:color w:val="auto"/>
                <w:sz w:val="21"/>
                <w:szCs w:val="21"/>
                <w:vertAlign w:val="baseline"/>
                <w:lang w:val="en-US" w:eastAsia="zh-CN"/>
              </w:rPr>
              <w:t xml:space="preserve"> </w:t>
            </w:r>
            <w:r>
              <w:rPr>
                <w:rFonts w:hint="eastAsia" w:ascii="Times New Roman" w:hAnsi="Times New Roman" w:eastAsia="宋体" w:cs="Times New Roman"/>
                <w:b/>
                <w:bCs/>
                <w:color w:val="auto"/>
                <w:sz w:val="21"/>
                <w:szCs w:val="21"/>
                <w:vertAlign w:val="baseline"/>
                <w:lang w:val="en-US" w:eastAsia="zh-CN"/>
              </w:rPr>
              <w:t>单井</w:t>
            </w:r>
            <w:r>
              <w:rPr>
                <w:rFonts w:hint="default" w:ascii="Times New Roman" w:hAnsi="Times New Roman" w:eastAsia="宋体" w:cs="Times New Roman"/>
                <w:b/>
                <w:bCs/>
                <w:color w:val="auto"/>
                <w:sz w:val="21"/>
                <w:szCs w:val="21"/>
                <w:vertAlign w:val="baseline"/>
                <w:lang w:val="en-US" w:eastAsia="zh-CN"/>
              </w:rPr>
              <w:t>钻井泥浆固液分离设备一览表</w:t>
            </w:r>
          </w:p>
          <w:tbl>
            <w:tblPr>
              <w:tblStyle w:val="19"/>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527"/>
              <w:gridCol w:w="2395"/>
              <w:gridCol w:w="1493"/>
              <w:gridCol w:w="2290"/>
              <w:gridCol w:w="1682"/>
            </w:tblGrid>
            <w:tr w14:paraId="19EFE1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711D4873">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1427" w:type="pct"/>
                  <w:tcBorders>
                    <w:tl2br w:val="nil"/>
                    <w:tr2bl w:val="nil"/>
                  </w:tcBorders>
                  <w:noWrap w:val="0"/>
                  <w:vAlign w:val="center"/>
                </w:tcPr>
                <w:p w14:paraId="1465AFE2">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名称</w:t>
                  </w:r>
                </w:p>
              </w:tc>
              <w:tc>
                <w:tcPr>
                  <w:tcW w:w="890" w:type="pct"/>
                  <w:tcBorders>
                    <w:tl2br w:val="nil"/>
                    <w:tr2bl w:val="nil"/>
                  </w:tcBorders>
                  <w:noWrap w:val="0"/>
                  <w:vAlign w:val="center"/>
                </w:tcPr>
                <w:p w14:paraId="7505E05D">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型号</w:t>
                  </w:r>
                </w:p>
              </w:tc>
              <w:tc>
                <w:tcPr>
                  <w:tcW w:w="1365" w:type="pct"/>
                  <w:tcBorders>
                    <w:tl2br w:val="nil"/>
                    <w:tr2bl w:val="nil"/>
                  </w:tcBorders>
                  <w:noWrap w:val="0"/>
                  <w:vAlign w:val="center"/>
                </w:tcPr>
                <w:p w14:paraId="29CD9D0C">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载荷或功率（KN/KW）</w:t>
                  </w:r>
                </w:p>
              </w:tc>
              <w:tc>
                <w:tcPr>
                  <w:tcW w:w="1002" w:type="pct"/>
                  <w:tcBorders>
                    <w:tl2br w:val="nil"/>
                    <w:tr2bl w:val="nil"/>
                  </w:tcBorders>
                  <w:noWrap w:val="0"/>
                  <w:vAlign w:val="center"/>
                </w:tcPr>
                <w:p w14:paraId="5F8AD201">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数量（台）</w:t>
                  </w:r>
                </w:p>
              </w:tc>
            </w:tr>
            <w:tr w14:paraId="2F5A2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vMerge w:val="restart"/>
                  <w:tcBorders>
                    <w:tl2br w:val="nil"/>
                    <w:tr2bl w:val="nil"/>
                  </w:tcBorders>
                  <w:noWrap w:val="0"/>
                  <w:vAlign w:val="center"/>
                </w:tcPr>
                <w:p w14:paraId="5E88066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427" w:type="pct"/>
                  <w:tcBorders>
                    <w:tl2br w:val="nil"/>
                    <w:tr2bl w:val="nil"/>
                  </w:tcBorders>
                  <w:noWrap w:val="0"/>
                  <w:vAlign w:val="center"/>
                </w:tcPr>
                <w:p w14:paraId="563AD63A">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螺旋输送系统（轴）</w:t>
                  </w:r>
                </w:p>
              </w:tc>
              <w:tc>
                <w:tcPr>
                  <w:tcW w:w="890" w:type="pct"/>
                  <w:tcBorders>
                    <w:tl2br w:val="nil"/>
                    <w:tr2bl w:val="nil"/>
                  </w:tcBorders>
                  <w:noWrap w:val="0"/>
                  <w:vAlign w:val="center"/>
                </w:tcPr>
                <w:p w14:paraId="425256F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SS-300-12000</w:t>
                  </w:r>
                </w:p>
              </w:tc>
              <w:tc>
                <w:tcPr>
                  <w:tcW w:w="1365" w:type="pct"/>
                  <w:tcBorders>
                    <w:tl2br w:val="nil"/>
                    <w:tr2bl w:val="nil"/>
                  </w:tcBorders>
                  <w:noWrap w:val="0"/>
                  <w:vAlign w:val="center"/>
                </w:tcPr>
                <w:p w14:paraId="54665B1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5.5×3kW</w:t>
                  </w:r>
                </w:p>
              </w:tc>
              <w:tc>
                <w:tcPr>
                  <w:tcW w:w="1002" w:type="pct"/>
                  <w:tcBorders>
                    <w:tl2br w:val="nil"/>
                    <w:tr2bl w:val="nil"/>
                  </w:tcBorders>
                  <w:noWrap w:val="0"/>
                  <w:vAlign w:val="center"/>
                </w:tcPr>
                <w:p w14:paraId="7C486BF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54841A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vMerge w:val="continue"/>
                  <w:tcBorders>
                    <w:tl2br w:val="nil"/>
                    <w:tr2bl w:val="nil"/>
                  </w:tcBorders>
                  <w:noWrap w:val="0"/>
                  <w:vAlign w:val="center"/>
                </w:tcPr>
                <w:p w14:paraId="53CACA34">
                  <w:pPr>
                    <w:adjustRightInd w:val="0"/>
                    <w:snapToGrid w:val="0"/>
                    <w:jc w:val="center"/>
                    <w:rPr>
                      <w:rFonts w:hint="default" w:ascii="Times New Roman" w:hAnsi="Times New Roman" w:cs="Times New Roman"/>
                      <w:color w:val="auto"/>
                      <w:sz w:val="21"/>
                      <w:szCs w:val="21"/>
                    </w:rPr>
                  </w:pPr>
                </w:p>
              </w:tc>
              <w:tc>
                <w:tcPr>
                  <w:tcW w:w="1427" w:type="pct"/>
                  <w:tcBorders>
                    <w:tl2br w:val="nil"/>
                    <w:tr2bl w:val="nil"/>
                  </w:tcBorders>
                  <w:noWrap w:val="0"/>
                  <w:vAlign w:val="center"/>
                </w:tcPr>
                <w:p w14:paraId="59D2B43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螺旋输送系统（有轴）</w:t>
                  </w:r>
                </w:p>
              </w:tc>
              <w:tc>
                <w:tcPr>
                  <w:tcW w:w="890" w:type="pct"/>
                  <w:tcBorders>
                    <w:tl2br w:val="nil"/>
                    <w:tr2bl w:val="nil"/>
                  </w:tcBorders>
                  <w:noWrap w:val="0"/>
                  <w:vAlign w:val="center"/>
                </w:tcPr>
                <w:p w14:paraId="3A62986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SS-200-6000</w:t>
                  </w:r>
                </w:p>
              </w:tc>
              <w:tc>
                <w:tcPr>
                  <w:tcW w:w="1365" w:type="pct"/>
                  <w:tcBorders>
                    <w:tl2br w:val="nil"/>
                    <w:tr2bl w:val="nil"/>
                  </w:tcBorders>
                  <w:noWrap w:val="0"/>
                  <w:vAlign w:val="center"/>
                </w:tcPr>
                <w:p w14:paraId="2393506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2.2×3kW</w:t>
                  </w:r>
                </w:p>
              </w:tc>
              <w:tc>
                <w:tcPr>
                  <w:tcW w:w="1002" w:type="pct"/>
                  <w:tcBorders>
                    <w:tl2br w:val="nil"/>
                    <w:tr2bl w:val="nil"/>
                  </w:tcBorders>
                  <w:noWrap w:val="0"/>
                  <w:vAlign w:val="center"/>
                </w:tcPr>
                <w:p w14:paraId="57AC4549">
                  <w:pPr>
                    <w:adjustRightInd w:val="0"/>
                    <w:snapToGrid w:val="0"/>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p>
              </w:tc>
            </w:tr>
            <w:tr w14:paraId="708614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6ABFB04B">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w:t>
                  </w:r>
                </w:p>
              </w:tc>
              <w:tc>
                <w:tcPr>
                  <w:tcW w:w="1427" w:type="pct"/>
                  <w:tcBorders>
                    <w:tl2br w:val="nil"/>
                    <w:tr2bl w:val="nil"/>
                  </w:tcBorders>
                  <w:noWrap w:val="0"/>
                  <w:vAlign w:val="center"/>
                </w:tcPr>
                <w:p w14:paraId="4C9757C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除砂器</w:t>
                  </w:r>
                </w:p>
              </w:tc>
              <w:tc>
                <w:tcPr>
                  <w:tcW w:w="890" w:type="pct"/>
                  <w:tcBorders>
                    <w:tl2br w:val="nil"/>
                    <w:tr2bl w:val="nil"/>
                  </w:tcBorders>
                  <w:noWrap w:val="0"/>
                  <w:vAlign w:val="center"/>
                </w:tcPr>
                <w:p w14:paraId="7C2AB57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w:t>
                  </w:r>
                </w:p>
              </w:tc>
              <w:tc>
                <w:tcPr>
                  <w:tcW w:w="1365" w:type="pct"/>
                  <w:tcBorders>
                    <w:tl2br w:val="nil"/>
                    <w:tr2bl w:val="nil"/>
                  </w:tcBorders>
                  <w:noWrap w:val="0"/>
                  <w:vAlign w:val="center"/>
                </w:tcPr>
                <w:p w14:paraId="767C32B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2" w:type="pct"/>
                  <w:tcBorders>
                    <w:tl2br w:val="nil"/>
                    <w:tr2bl w:val="nil"/>
                  </w:tcBorders>
                  <w:noWrap w:val="0"/>
                  <w:vAlign w:val="center"/>
                </w:tcPr>
                <w:p w14:paraId="439236E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023731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5170B401">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3</w:t>
                  </w:r>
                </w:p>
              </w:tc>
              <w:tc>
                <w:tcPr>
                  <w:tcW w:w="1427" w:type="pct"/>
                  <w:tcBorders>
                    <w:tl2br w:val="nil"/>
                    <w:tr2bl w:val="nil"/>
                  </w:tcBorders>
                  <w:noWrap w:val="0"/>
                  <w:vAlign w:val="center"/>
                </w:tcPr>
                <w:p w14:paraId="2A410F7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除泥器</w:t>
                  </w:r>
                </w:p>
              </w:tc>
              <w:tc>
                <w:tcPr>
                  <w:tcW w:w="890" w:type="pct"/>
                  <w:tcBorders>
                    <w:tl2br w:val="nil"/>
                    <w:tr2bl w:val="nil"/>
                  </w:tcBorders>
                  <w:noWrap w:val="0"/>
                  <w:vAlign w:val="center"/>
                </w:tcPr>
                <w:p w14:paraId="4ED87ED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ZQJ250</w:t>
                  </w:r>
                </w:p>
              </w:tc>
              <w:tc>
                <w:tcPr>
                  <w:tcW w:w="1365" w:type="pct"/>
                  <w:tcBorders>
                    <w:tl2br w:val="nil"/>
                    <w:tr2bl w:val="nil"/>
                  </w:tcBorders>
                  <w:noWrap w:val="0"/>
                  <w:vAlign w:val="center"/>
                </w:tcPr>
                <w:p w14:paraId="3F6F3A2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2" w:type="pct"/>
                  <w:tcBorders>
                    <w:tl2br w:val="nil"/>
                    <w:tr2bl w:val="nil"/>
                  </w:tcBorders>
                  <w:noWrap w:val="0"/>
                  <w:vAlign w:val="center"/>
                </w:tcPr>
                <w:p w14:paraId="44CE163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0388F6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7AA4FC21">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4</w:t>
                  </w:r>
                </w:p>
              </w:tc>
              <w:tc>
                <w:tcPr>
                  <w:tcW w:w="1427" w:type="pct"/>
                  <w:tcBorders>
                    <w:tl2br w:val="nil"/>
                    <w:tr2bl w:val="nil"/>
                  </w:tcBorders>
                  <w:noWrap w:val="0"/>
                  <w:vAlign w:val="center"/>
                </w:tcPr>
                <w:p w14:paraId="6C6415B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甩干机</w:t>
                  </w:r>
                </w:p>
              </w:tc>
              <w:tc>
                <w:tcPr>
                  <w:tcW w:w="890" w:type="pct"/>
                  <w:tcBorders>
                    <w:tl2br w:val="nil"/>
                    <w:tr2bl w:val="nil"/>
                  </w:tcBorders>
                  <w:noWrap w:val="0"/>
                  <w:vAlign w:val="center"/>
                </w:tcPr>
                <w:p w14:paraId="6A940F8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GHD-1</w:t>
                  </w:r>
                </w:p>
              </w:tc>
              <w:tc>
                <w:tcPr>
                  <w:tcW w:w="1365" w:type="pct"/>
                  <w:tcBorders>
                    <w:tl2br w:val="nil"/>
                    <w:tr2bl w:val="nil"/>
                  </w:tcBorders>
                  <w:noWrap w:val="0"/>
                  <w:vAlign w:val="center"/>
                </w:tcPr>
                <w:p w14:paraId="0F8AA3E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18.5kW</w:t>
                  </w:r>
                </w:p>
              </w:tc>
              <w:tc>
                <w:tcPr>
                  <w:tcW w:w="1002" w:type="pct"/>
                  <w:tcBorders>
                    <w:tl2br w:val="nil"/>
                    <w:tr2bl w:val="nil"/>
                  </w:tcBorders>
                  <w:noWrap w:val="0"/>
                  <w:vAlign w:val="center"/>
                </w:tcPr>
                <w:p w14:paraId="0CC9F96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7E621D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513E67E4">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5</w:t>
                  </w:r>
                </w:p>
              </w:tc>
              <w:tc>
                <w:tcPr>
                  <w:tcW w:w="1427" w:type="pct"/>
                  <w:tcBorders>
                    <w:tl2br w:val="nil"/>
                    <w:tr2bl w:val="nil"/>
                  </w:tcBorders>
                  <w:noWrap w:val="0"/>
                  <w:vAlign w:val="center"/>
                </w:tcPr>
                <w:p w14:paraId="69A6E660">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离心机</w:t>
                  </w:r>
                </w:p>
              </w:tc>
              <w:tc>
                <w:tcPr>
                  <w:tcW w:w="890" w:type="pct"/>
                  <w:tcBorders>
                    <w:tl2br w:val="nil"/>
                    <w:tr2bl w:val="nil"/>
                  </w:tcBorders>
                  <w:noWrap w:val="0"/>
                  <w:vAlign w:val="center"/>
                </w:tcPr>
                <w:p w14:paraId="6D78BB68">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LW600</w:t>
                  </w:r>
                </w:p>
              </w:tc>
              <w:tc>
                <w:tcPr>
                  <w:tcW w:w="1365" w:type="pct"/>
                  <w:tcBorders>
                    <w:tl2br w:val="nil"/>
                    <w:tr2bl w:val="nil"/>
                  </w:tcBorders>
                  <w:noWrap w:val="0"/>
                  <w:vAlign w:val="center"/>
                </w:tcPr>
                <w:p w14:paraId="75DFDF56">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7.5KW</w:t>
                  </w:r>
                </w:p>
              </w:tc>
              <w:tc>
                <w:tcPr>
                  <w:tcW w:w="1002" w:type="pct"/>
                  <w:tcBorders>
                    <w:tl2br w:val="nil"/>
                    <w:tr2bl w:val="nil"/>
                  </w:tcBorders>
                  <w:noWrap w:val="0"/>
                  <w:vAlign w:val="center"/>
                </w:tcPr>
                <w:p w14:paraId="2B18952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2</w:t>
                  </w:r>
                </w:p>
              </w:tc>
            </w:tr>
            <w:tr w14:paraId="42C45E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5CCD3BD9">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6</w:t>
                  </w:r>
                </w:p>
              </w:tc>
              <w:tc>
                <w:tcPr>
                  <w:tcW w:w="1427" w:type="pct"/>
                  <w:tcBorders>
                    <w:tl2br w:val="nil"/>
                    <w:tr2bl w:val="nil"/>
                  </w:tcBorders>
                  <w:noWrap w:val="0"/>
                  <w:vAlign w:val="center"/>
                </w:tcPr>
                <w:p w14:paraId="0F4A377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储罐搅拌系统</w:t>
                  </w:r>
                </w:p>
              </w:tc>
              <w:tc>
                <w:tcPr>
                  <w:tcW w:w="890" w:type="pct"/>
                  <w:tcBorders>
                    <w:tl2br w:val="nil"/>
                    <w:tr2bl w:val="nil"/>
                  </w:tcBorders>
                  <w:noWrap w:val="0"/>
                  <w:vAlign w:val="center"/>
                </w:tcPr>
                <w:p w14:paraId="35CCF7C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365" w:type="pct"/>
                  <w:tcBorders>
                    <w:tl2br w:val="nil"/>
                    <w:tr2bl w:val="nil"/>
                  </w:tcBorders>
                  <w:noWrap w:val="0"/>
                  <w:vAlign w:val="center"/>
                </w:tcPr>
                <w:p w14:paraId="1393C42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11kW</w:t>
                  </w:r>
                </w:p>
              </w:tc>
              <w:tc>
                <w:tcPr>
                  <w:tcW w:w="1002" w:type="pct"/>
                  <w:tcBorders>
                    <w:tl2br w:val="nil"/>
                    <w:tr2bl w:val="nil"/>
                  </w:tcBorders>
                  <w:noWrap w:val="0"/>
                  <w:vAlign w:val="center"/>
                </w:tcPr>
                <w:p w14:paraId="4867672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3</w:t>
                  </w:r>
                </w:p>
              </w:tc>
            </w:tr>
            <w:tr w14:paraId="7C40F1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43A357F4">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1427" w:type="pct"/>
                  <w:tcBorders>
                    <w:tl2br w:val="nil"/>
                    <w:tr2bl w:val="nil"/>
                  </w:tcBorders>
                  <w:noWrap w:val="0"/>
                  <w:vAlign w:val="center"/>
                </w:tcPr>
                <w:p w14:paraId="68A7113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废液缓冲罐</w:t>
                  </w:r>
                </w:p>
              </w:tc>
              <w:tc>
                <w:tcPr>
                  <w:tcW w:w="890" w:type="pct"/>
                  <w:tcBorders>
                    <w:tl2br w:val="nil"/>
                    <w:tr2bl w:val="nil"/>
                  </w:tcBorders>
                  <w:noWrap w:val="0"/>
                  <w:vAlign w:val="center"/>
                </w:tcPr>
                <w:p w14:paraId="2958710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365" w:type="pct"/>
                  <w:tcBorders>
                    <w:tl2br w:val="nil"/>
                    <w:tr2bl w:val="nil"/>
                  </w:tcBorders>
                  <w:noWrap w:val="0"/>
                  <w:vAlign w:val="center"/>
                </w:tcPr>
                <w:p w14:paraId="75EF6DC9">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02" w:type="pct"/>
                  <w:tcBorders>
                    <w:tl2br w:val="nil"/>
                    <w:tr2bl w:val="nil"/>
                  </w:tcBorders>
                  <w:noWrap w:val="0"/>
                  <w:vAlign w:val="center"/>
                </w:tcPr>
                <w:p w14:paraId="18174C1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42795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489AE4A2">
                  <w:pPr>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1427" w:type="pct"/>
                  <w:tcBorders>
                    <w:tl2br w:val="nil"/>
                    <w:tr2bl w:val="nil"/>
                  </w:tcBorders>
                  <w:noWrap w:val="0"/>
                  <w:vAlign w:val="center"/>
                </w:tcPr>
                <w:p w14:paraId="23B7C0B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Cs/>
                      <w:color w:val="auto"/>
                      <w:sz w:val="21"/>
                      <w:szCs w:val="21"/>
                      <w:lang w:val="en-US" w:eastAsia="zh-CN"/>
                    </w:rPr>
                    <w:t>返排液收集罐</w:t>
                  </w:r>
                </w:p>
              </w:tc>
              <w:tc>
                <w:tcPr>
                  <w:tcW w:w="890" w:type="pct"/>
                  <w:tcBorders>
                    <w:tl2br w:val="nil"/>
                    <w:tr2bl w:val="nil"/>
                  </w:tcBorders>
                  <w:noWrap w:val="0"/>
                  <w:vAlign w:val="center"/>
                </w:tcPr>
                <w:p w14:paraId="077EA8F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365" w:type="pct"/>
                  <w:tcBorders>
                    <w:tl2br w:val="nil"/>
                    <w:tr2bl w:val="nil"/>
                  </w:tcBorders>
                  <w:noWrap w:val="0"/>
                  <w:vAlign w:val="center"/>
                </w:tcPr>
                <w:p w14:paraId="276E9B3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p>
              </w:tc>
              <w:tc>
                <w:tcPr>
                  <w:tcW w:w="1002" w:type="pct"/>
                  <w:tcBorders>
                    <w:tl2br w:val="nil"/>
                    <w:tr2bl w:val="nil"/>
                  </w:tcBorders>
                  <w:noWrap w:val="0"/>
                  <w:vAlign w:val="center"/>
                </w:tcPr>
                <w:p w14:paraId="50D116DC">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0109C4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13692931">
                  <w:pPr>
                    <w:adjustRightInd w:val="0"/>
                    <w:snapToGrid w:val="0"/>
                    <w:jc w:val="center"/>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9</w:t>
                  </w:r>
                </w:p>
              </w:tc>
              <w:tc>
                <w:tcPr>
                  <w:tcW w:w="1427" w:type="pct"/>
                  <w:tcBorders>
                    <w:tl2br w:val="nil"/>
                    <w:tr2bl w:val="nil"/>
                  </w:tcBorders>
                  <w:noWrap w:val="0"/>
                  <w:vAlign w:val="center"/>
                </w:tcPr>
                <w:p w14:paraId="1C862C9B">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泥饼、</w:t>
                  </w:r>
                  <w:r>
                    <w:rPr>
                      <w:rFonts w:hint="default" w:ascii="Times New Roman" w:hAnsi="Times New Roman" w:eastAsia="宋体" w:cs="Times New Roman"/>
                      <w:color w:val="auto"/>
                      <w:sz w:val="21"/>
                      <w:szCs w:val="21"/>
                    </w:rPr>
                    <w:t>岩屑收集罐</w:t>
                  </w:r>
                </w:p>
              </w:tc>
              <w:tc>
                <w:tcPr>
                  <w:tcW w:w="890" w:type="pct"/>
                  <w:tcBorders>
                    <w:tl2br w:val="nil"/>
                    <w:tr2bl w:val="nil"/>
                  </w:tcBorders>
                  <w:noWrap w:val="0"/>
                  <w:vAlign w:val="center"/>
                </w:tcPr>
                <w:p w14:paraId="1FFB52A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p>
              </w:tc>
              <w:tc>
                <w:tcPr>
                  <w:tcW w:w="1365" w:type="pct"/>
                  <w:tcBorders>
                    <w:tl2br w:val="nil"/>
                    <w:tr2bl w:val="nil"/>
                  </w:tcBorders>
                  <w:noWrap w:val="0"/>
                  <w:vAlign w:val="center"/>
                </w:tcPr>
                <w:p w14:paraId="1A6B7E0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02" w:type="pct"/>
                  <w:tcBorders>
                    <w:tl2br w:val="nil"/>
                    <w:tr2bl w:val="nil"/>
                  </w:tcBorders>
                  <w:noWrap w:val="0"/>
                  <w:vAlign w:val="center"/>
                </w:tcPr>
                <w:p w14:paraId="068517F1">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3</w:t>
                  </w:r>
                </w:p>
              </w:tc>
            </w:tr>
            <w:tr w14:paraId="4F9FE0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2D99158B">
                  <w:pPr>
                    <w:adjustRightInd w:val="0"/>
                    <w:snapToGrid w:val="0"/>
                    <w:jc w:val="center"/>
                    <w:rPr>
                      <w:rFonts w:hint="default" w:ascii="Times New Roman" w:hAnsi="Times New Roman" w:cs="Times New Roman"/>
                      <w:color w:val="auto"/>
                      <w:sz w:val="21"/>
                      <w:szCs w:val="21"/>
                      <w:lang w:val="en-US"/>
                    </w:rPr>
                  </w:pPr>
                  <w:r>
                    <w:rPr>
                      <w:rFonts w:hint="eastAsia" w:ascii="Times New Roman" w:hAnsi="Times New Roman" w:eastAsia="宋体" w:cs="Times New Roman"/>
                      <w:color w:val="auto"/>
                      <w:sz w:val="21"/>
                      <w:szCs w:val="21"/>
                      <w:lang w:val="en-US" w:eastAsia="zh-CN"/>
                    </w:rPr>
                    <w:t>10</w:t>
                  </w:r>
                </w:p>
              </w:tc>
              <w:tc>
                <w:tcPr>
                  <w:tcW w:w="1427" w:type="pct"/>
                  <w:tcBorders>
                    <w:tl2br w:val="nil"/>
                    <w:tr2bl w:val="nil"/>
                  </w:tcBorders>
                  <w:noWrap w:val="0"/>
                  <w:vAlign w:val="center"/>
                </w:tcPr>
                <w:p w14:paraId="57173F9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振动筛</w:t>
                  </w:r>
                </w:p>
              </w:tc>
              <w:tc>
                <w:tcPr>
                  <w:tcW w:w="890" w:type="pct"/>
                  <w:tcBorders>
                    <w:tl2br w:val="nil"/>
                    <w:tr2bl w:val="nil"/>
                  </w:tcBorders>
                  <w:noWrap w:val="0"/>
                  <w:vAlign w:val="center"/>
                </w:tcPr>
                <w:p w14:paraId="06D85883">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V20-h</w:t>
                  </w:r>
                </w:p>
              </w:tc>
              <w:tc>
                <w:tcPr>
                  <w:tcW w:w="1365" w:type="pct"/>
                  <w:tcBorders>
                    <w:tl2br w:val="nil"/>
                    <w:tr2bl w:val="nil"/>
                  </w:tcBorders>
                  <w:noWrap w:val="0"/>
                  <w:vAlign w:val="center"/>
                </w:tcPr>
                <w:p w14:paraId="6ACC635F">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2.5kW</w:t>
                  </w:r>
                </w:p>
              </w:tc>
              <w:tc>
                <w:tcPr>
                  <w:tcW w:w="1002" w:type="pct"/>
                  <w:tcBorders>
                    <w:tl2br w:val="nil"/>
                    <w:tr2bl w:val="nil"/>
                  </w:tcBorders>
                  <w:noWrap w:val="0"/>
                  <w:vAlign w:val="center"/>
                </w:tcPr>
                <w:p w14:paraId="3965583A">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1</w:t>
                  </w:r>
                </w:p>
              </w:tc>
            </w:tr>
            <w:tr w14:paraId="769C5F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jc w:val="center"/>
              </w:trPr>
              <w:tc>
                <w:tcPr>
                  <w:tcW w:w="314" w:type="pct"/>
                  <w:tcBorders>
                    <w:tl2br w:val="nil"/>
                    <w:tr2bl w:val="nil"/>
                  </w:tcBorders>
                  <w:noWrap w:val="0"/>
                  <w:vAlign w:val="center"/>
                </w:tcPr>
                <w:p w14:paraId="00CF33E8">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1427" w:type="pct"/>
                  <w:tcBorders>
                    <w:tl2br w:val="nil"/>
                    <w:tr2bl w:val="nil"/>
                  </w:tcBorders>
                  <w:noWrap w:val="0"/>
                  <w:vAlign w:val="center"/>
                </w:tcPr>
                <w:p w14:paraId="04714944">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890" w:type="pct"/>
                  <w:tcBorders>
                    <w:tl2br w:val="nil"/>
                    <w:tr2bl w:val="nil"/>
                  </w:tcBorders>
                  <w:noWrap w:val="0"/>
                  <w:vAlign w:val="center"/>
                </w:tcPr>
                <w:p w14:paraId="27C0B0BD">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vertAlign w:val="superscript"/>
                      <w:lang w:val="en-US" w:eastAsia="zh-CN"/>
                    </w:rPr>
                    <w:t>3</w:t>
                  </w:r>
                </w:p>
              </w:tc>
              <w:tc>
                <w:tcPr>
                  <w:tcW w:w="1365" w:type="pct"/>
                  <w:tcBorders>
                    <w:tl2br w:val="nil"/>
                    <w:tr2bl w:val="nil"/>
                  </w:tcBorders>
                  <w:noWrap w:val="0"/>
                  <w:vAlign w:val="center"/>
                </w:tcPr>
                <w:p w14:paraId="02DADEE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002" w:type="pct"/>
                  <w:tcBorders>
                    <w:tl2br w:val="nil"/>
                    <w:tr2bl w:val="nil"/>
                  </w:tcBorders>
                  <w:noWrap w:val="0"/>
                  <w:vAlign w:val="center"/>
                </w:tcPr>
                <w:p w14:paraId="207C19D7">
                  <w:pPr>
                    <w:keepNext w:val="0"/>
                    <w:keepLines w:val="0"/>
                    <w:pageBreakBefore w:val="0"/>
                    <w:widowControl w:val="0"/>
                    <w:kinsoku/>
                    <w:wordWrap/>
                    <w:overflowPunct/>
                    <w:topLinePunct w:val="0"/>
                    <w:autoSpaceDE/>
                    <w:autoSpaceDN/>
                    <w:bidi w:val="0"/>
                    <w:adjustRightInd w:val="0"/>
                    <w:snapToGrid w:val="0"/>
                    <w:spacing w:line="240" w:lineRule="auto"/>
                    <w:ind w:left="-110" w:leftChars="-50" w:right="-110" w:rightChars="-50" w:firstLine="0" w:firstLineChars="0"/>
                    <w:contextualSpacing/>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14:paraId="5BF0AD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六</w:t>
            </w:r>
            <w:r>
              <w:rPr>
                <w:rFonts w:hint="default" w:ascii="Times New Roman" w:hAnsi="Times New Roman" w:eastAsia="宋体" w:cs="Times New Roman"/>
                <w:b/>
                <w:bCs/>
                <w:color w:val="auto"/>
                <w:sz w:val="24"/>
                <w:szCs w:val="24"/>
                <w:vertAlign w:val="baseline"/>
                <w:lang w:val="en-US" w:eastAsia="zh-CN"/>
              </w:rPr>
              <w:t>、主要原辅材料</w:t>
            </w:r>
          </w:p>
          <w:p w14:paraId="05895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项目主要原辅材料消耗情况见表2-</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，钻井一开、二开过程中需要注入钻井液，钻井液组成及用量情况见表2-</w:t>
            </w:r>
            <w:r>
              <w:rPr>
                <w:rFonts w:hint="eastAsia" w:ascii="Times New Roman" w:hAnsi="Times New Roman" w:eastAsia="宋体" w:cs="Times New Roman"/>
                <w:b w:val="0"/>
                <w:bCs w:val="0"/>
                <w:color w:val="auto"/>
                <w:sz w:val="24"/>
                <w:szCs w:val="24"/>
                <w:vertAlign w:val="baseline"/>
                <w:lang w:val="en-US" w:eastAsia="zh-CN"/>
              </w:rPr>
              <w:t>7</w:t>
            </w:r>
            <w:r>
              <w:rPr>
                <w:rFonts w:hint="default" w:ascii="Times New Roman" w:hAnsi="Times New Roman" w:eastAsia="宋体" w:cs="Times New Roman"/>
                <w:b w:val="0"/>
                <w:bCs w:val="0"/>
                <w:color w:val="auto"/>
                <w:sz w:val="24"/>
                <w:szCs w:val="24"/>
                <w:vertAlign w:val="baseline"/>
                <w:lang w:val="en-US" w:eastAsia="zh-CN"/>
              </w:rPr>
              <w:t>。</w:t>
            </w:r>
          </w:p>
          <w:p w14:paraId="0E0283B9">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6</w:t>
            </w:r>
            <w:r>
              <w:rPr>
                <w:rFonts w:hint="default" w:ascii="Times New Roman" w:hAnsi="Times New Roman" w:eastAsia="宋体" w:cs="Times New Roman"/>
                <w:b/>
                <w:bCs/>
                <w:color w:val="auto"/>
                <w:sz w:val="21"/>
                <w:szCs w:val="21"/>
                <w:vertAlign w:val="baseline"/>
                <w:lang w:val="en-US" w:eastAsia="zh-CN"/>
              </w:rPr>
              <w:t xml:space="preserve">   项目主要原辅材料消耗表</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643"/>
              <w:gridCol w:w="1199"/>
              <w:gridCol w:w="1132"/>
              <w:gridCol w:w="5418"/>
            </w:tblGrid>
            <w:tr w14:paraId="1CB0B0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144" w:hRule="atLeast"/>
                <w:jc w:val="center"/>
              </w:trPr>
              <w:tc>
                <w:tcPr>
                  <w:tcW w:w="383" w:type="pct"/>
                  <w:tcBorders>
                    <w:tl2br w:val="nil"/>
                    <w:tr2bl w:val="nil"/>
                  </w:tcBorders>
                  <w:noWrap w:val="0"/>
                  <w:vAlign w:val="center"/>
                </w:tcPr>
                <w:p w14:paraId="4885A1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序号</w:t>
                  </w:r>
                </w:p>
              </w:tc>
              <w:tc>
                <w:tcPr>
                  <w:tcW w:w="714" w:type="pct"/>
                  <w:tcBorders>
                    <w:tl2br w:val="nil"/>
                    <w:tr2bl w:val="nil"/>
                  </w:tcBorders>
                  <w:noWrap w:val="0"/>
                  <w:vAlign w:val="center"/>
                </w:tcPr>
                <w:p w14:paraId="1288A97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原料名称</w:t>
                  </w:r>
                </w:p>
              </w:tc>
              <w:tc>
                <w:tcPr>
                  <w:tcW w:w="674" w:type="pct"/>
                  <w:tcBorders>
                    <w:tl2br w:val="nil"/>
                    <w:tr2bl w:val="nil"/>
                  </w:tcBorders>
                  <w:noWrap w:val="0"/>
                  <w:vAlign w:val="center"/>
                </w:tcPr>
                <w:p w14:paraId="2D1E429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kern w:val="0"/>
                      <w:sz w:val="21"/>
                      <w:szCs w:val="21"/>
                      <w:lang w:bidi="ar"/>
                    </w:rPr>
                    <w:t>项目用量</w:t>
                  </w:r>
                </w:p>
              </w:tc>
              <w:tc>
                <w:tcPr>
                  <w:tcW w:w="3227" w:type="pct"/>
                  <w:tcBorders>
                    <w:tl2br w:val="nil"/>
                    <w:tr2bl w:val="nil"/>
                  </w:tcBorders>
                  <w:noWrap w:val="0"/>
                  <w:vAlign w:val="center"/>
                </w:tcPr>
                <w:p w14:paraId="0B616DF4">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740088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4" w:hRule="atLeast"/>
                <w:jc w:val="center"/>
              </w:trPr>
              <w:tc>
                <w:tcPr>
                  <w:tcW w:w="383" w:type="pct"/>
                  <w:tcBorders>
                    <w:tl2br w:val="nil"/>
                    <w:tr2bl w:val="nil"/>
                  </w:tcBorders>
                  <w:noWrap w:val="0"/>
                  <w:vAlign w:val="center"/>
                </w:tcPr>
                <w:p w14:paraId="62E03A5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14" w:type="pct"/>
                  <w:tcBorders>
                    <w:tl2br w:val="nil"/>
                    <w:tr2bl w:val="nil"/>
                  </w:tcBorders>
                  <w:noWrap w:val="0"/>
                  <w:vAlign w:val="center"/>
                </w:tcPr>
                <w:p w14:paraId="1BB3A20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新鲜水</w:t>
                  </w:r>
                </w:p>
              </w:tc>
              <w:tc>
                <w:tcPr>
                  <w:tcW w:w="674" w:type="pct"/>
                  <w:tcBorders>
                    <w:tl2br w:val="nil"/>
                    <w:tr2bl w:val="nil"/>
                  </w:tcBorders>
                  <w:noWrap w:val="0"/>
                  <w:vAlign w:val="center"/>
                </w:tcPr>
                <w:p w14:paraId="15A7D6D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4040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p>
              </w:tc>
              <w:tc>
                <w:tcPr>
                  <w:tcW w:w="3227" w:type="pct"/>
                  <w:tcBorders>
                    <w:tl2br w:val="nil"/>
                    <w:tr2bl w:val="nil"/>
                  </w:tcBorders>
                  <w:noWrap w:val="0"/>
                  <w:vAlign w:val="center"/>
                </w:tcPr>
                <w:p w14:paraId="0175094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用于生活、钻井和洗井，罐车拉运及储存</w:t>
                  </w:r>
                </w:p>
              </w:tc>
            </w:tr>
            <w:tr w14:paraId="47039B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5BF88DE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14" w:type="pct"/>
                  <w:tcBorders>
                    <w:tl2br w:val="nil"/>
                    <w:tr2bl w:val="nil"/>
                  </w:tcBorders>
                  <w:noWrap w:val="0"/>
                  <w:vAlign w:val="center"/>
                </w:tcPr>
                <w:p w14:paraId="3EC7A23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钻井液添加剂</w:t>
                  </w:r>
                </w:p>
              </w:tc>
              <w:tc>
                <w:tcPr>
                  <w:tcW w:w="674" w:type="pct"/>
                  <w:tcBorders>
                    <w:tl2br w:val="nil"/>
                    <w:tr2bl w:val="nil"/>
                  </w:tcBorders>
                  <w:noWrap w:val="0"/>
                  <w:vAlign w:val="center"/>
                </w:tcPr>
                <w:p w14:paraId="28DF48F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210</w:t>
                  </w:r>
                  <w:r>
                    <w:rPr>
                      <w:rFonts w:hint="default" w:ascii="Times New Roman" w:hAnsi="Times New Roman" w:cs="Times New Roman"/>
                      <w:color w:val="auto"/>
                      <w:sz w:val="21"/>
                      <w:szCs w:val="21"/>
                    </w:rPr>
                    <w:t>t</w:t>
                  </w:r>
                </w:p>
              </w:tc>
              <w:tc>
                <w:tcPr>
                  <w:tcW w:w="3227" w:type="pct"/>
                  <w:tcBorders>
                    <w:tl2br w:val="nil"/>
                    <w:tr2bl w:val="nil"/>
                  </w:tcBorders>
                  <w:noWrap w:val="0"/>
                  <w:vAlign w:val="center"/>
                </w:tcPr>
                <w:p w14:paraId="05DABD0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携带岩屑，稳定井壁，减少钻机磨损，平衡（控制）地层压力等，添加剂储罐置于进行防渗处理的围堰内，底部压实后铺设2mm厚高密度聚乙烯膜，使渗透系数≤10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；由车辆拉运至材料房内暂存。</w:t>
                  </w:r>
                </w:p>
              </w:tc>
            </w:tr>
            <w:tr w14:paraId="6BAEBE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75291B7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14" w:type="pct"/>
                  <w:tcBorders>
                    <w:tl2br w:val="nil"/>
                    <w:tr2bl w:val="nil"/>
                  </w:tcBorders>
                  <w:noWrap w:val="0"/>
                  <w:vAlign w:val="center"/>
                </w:tcPr>
                <w:p w14:paraId="109E457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压裂液</w:t>
                  </w:r>
                </w:p>
              </w:tc>
              <w:tc>
                <w:tcPr>
                  <w:tcW w:w="674" w:type="pct"/>
                  <w:tcBorders>
                    <w:tl2br w:val="nil"/>
                    <w:tr2bl w:val="nil"/>
                  </w:tcBorders>
                  <w:noWrap w:val="0"/>
                  <w:vAlign w:val="center"/>
                </w:tcPr>
                <w:p w14:paraId="3ABD698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900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3227" w:type="pct"/>
                  <w:tcBorders>
                    <w:tl2br w:val="nil"/>
                    <w:tr2bl w:val="nil"/>
                  </w:tcBorders>
                  <w:noWrap w:val="0"/>
                  <w:vAlign w:val="center"/>
                </w:tcPr>
                <w:p w14:paraId="5A94A1F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用于压裂作业，形成油气高渗透带，改善气层导流能力，压裂液储罐置于进行防渗处理的围堰内，围堰内底部压实后铺设2mm厚高密度聚乙烯膜，使渗透系数≤10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eastAsia="宋体" w:cs="Times New Roman"/>
                      <w:color w:val="auto"/>
                      <w:sz w:val="21"/>
                      <w:szCs w:val="21"/>
                    </w:rPr>
                    <w:t>，；主</w:t>
                  </w:r>
                </w:p>
                <w:p w14:paraId="40C0916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成分为水凝胶，用于压裂作业，形成油气高渗透带，改善油气层导流能力。</w:t>
                  </w:r>
                </w:p>
              </w:tc>
            </w:tr>
            <w:tr w14:paraId="36B3A0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2A5BC7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714" w:type="pct"/>
                  <w:tcBorders>
                    <w:tl2br w:val="nil"/>
                    <w:tr2bl w:val="nil"/>
                  </w:tcBorders>
                  <w:noWrap w:val="0"/>
                  <w:vAlign w:val="center"/>
                </w:tcPr>
                <w:p w14:paraId="4AE7A32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机油</w:t>
                  </w:r>
                </w:p>
              </w:tc>
              <w:tc>
                <w:tcPr>
                  <w:tcW w:w="674" w:type="pct"/>
                  <w:tcBorders>
                    <w:tl2br w:val="nil"/>
                    <w:tr2bl w:val="nil"/>
                  </w:tcBorders>
                  <w:noWrap w:val="0"/>
                  <w:vAlign w:val="center"/>
                </w:tcPr>
                <w:p w14:paraId="74FECBD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1500</w:t>
                  </w:r>
                  <w:r>
                    <w:rPr>
                      <w:rFonts w:hint="default" w:ascii="Times New Roman" w:hAnsi="Times New Roman" w:eastAsia="宋体" w:cs="Times New Roman"/>
                      <w:color w:val="auto"/>
                      <w:sz w:val="21"/>
                      <w:szCs w:val="21"/>
                      <w:lang w:val="en-US" w:eastAsia="zh-CN"/>
                    </w:rPr>
                    <w:t>L</w:t>
                  </w:r>
                </w:p>
              </w:tc>
              <w:tc>
                <w:tcPr>
                  <w:tcW w:w="3227" w:type="pct"/>
                  <w:tcBorders>
                    <w:tl2br w:val="nil"/>
                    <w:tr2bl w:val="nil"/>
                  </w:tcBorders>
                  <w:noWrap w:val="0"/>
                  <w:vAlign w:val="center"/>
                </w:tcPr>
                <w:p w14:paraId="10A7E97D">
                  <w:pPr>
                    <w:keepNext w:val="0"/>
                    <w:keepLines w:val="0"/>
                    <w:pageBreakBefore w:val="0"/>
                    <w:widowControl/>
                    <w:suppressLineNumbers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对发动机起到润滑减磨、辅助冷却降温、密封防漏、防锈防蚀、减震缓冲等作用。密度：0.91×10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（kg/m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r>
            <w:tr w14:paraId="443A5A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47" w:hRule="atLeast"/>
                <w:jc w:val="center"/>
              </w:trPr>
              <w:tc>
                <w:tcPr>
                  <w:tcW w:w="383" w:type="pct"/>
                  <w:tcBorders>
                    <w:tl2br w:val="nil"/>
                    <w:tr2bl w:val="nil"/>
                  </w:tcBorders>
                  <w:noWrap w:val="0"/>
                  <w:vAlign w:val="center"/>
                </w:tcPr>
                <w:p w14:paraId="50E36EC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714" w:type="pct"/>
                  <w:tcBorders>
                    <w:tl2br w:val="nil"/>
                    <w:tr2bl w:val="nil"/>
                  </w:tcBorders>
                  <w:noWrap w:val="0"/>
                  <w:vAlign w:val="center"/>
                </w:tcPr>
                <w:p w14:paraId="0DADE165">
                  <w:pPr>
                    <w:pStyle w:val="2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水泥浆</w:t>
                  </w:r>
                </w:p>
              </w:tc>
              <w:tc>
                <w:tcPr>
                  <w:tcW w:w="674" w:type="pct"/>
                  <w:tcBorders>
                    <w:tl2br w:val="nil"/>
                    <w:tr2bl w:val="nil"/>
                  </w:tcBorders>
                  <w:noWrap w:val="0"/>
                  <w:vAlign w:val="center"/>
                </w:tcPr>
                <w:p w14:paraId="7448D33B">
                  <w:pPr>
                    <w:pStyle w:val="27"/>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720</w:t>
                  </w:r>
                  <w:r>
                    <w:rPr>
                      <w:rFonts w:hint="default" w:ascii="Times New Roman" w:hAnsi="Times New Roman" w:cs="Times New Roman"/>
                      <w:color w:val="auto"/>
                      <w:sz w:val="21"/>
                      <w:szCs w:val="21"/>
                      <w:lang w:val="en-US" w:eastAsia="zh-CN"/>
                    </w:rPr>
                    <w:t>t</w:t>
                  </w:r>
                </w:p>
              </w:tc>
              <w:tc>
                <w:tcPr>
                  <w:tcW w:w="3227" w:type="pct"/>
                  <w:tcBorders>
                    <w:tl2br w:val="nil"/>
                    <w:tr2bl w:val="nil"/>
                  </w:tcBorders>
                  <w:noWrap w:val="0"/>
                  <w:vAlign w:val="center"/>
                </w:tcPr>
                <w:p w14:paraId="75C114F7">
                  <w:pPr>
                    <w:pStyle w:val="27"/>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eastAsia="宋体"/>
                      <w:color w:val="auto"/>
                      <w:sz w:val="21"/>
                      <w:szCs w:val="21"/>
                      <w:lang w:val="en-US" w:eastAsia="zh-CN"/>
                    </w:rPr>
                    <w:t>作为固井和封井材料，G级纯水泥，外购成品，罐车运输至井场使用，水泥中添加降失水剂（主要为水溶性聚合物及有机材料），以调节水泥性能。</w:t>
                  </w:r>
                </w:p>
              </w:tc>
            </w:tr>
          </w:tbl>
          <w:p w14:paraId="68061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中钻井液的循环程序包括：钻井、液罐、经泵→地面、管汇→立管→水龙带、水龙头→钻柱内→钻头→钻柱外环形空间→井口、泥浆（钻井液）槽→钻井液净化设备→钻井液罐。一开采用膨润土钻井液，二开采用聚合物钻井液。根据企业实际施工经验，单井钻井液组成及用量情况见表2-7。</w:t>
            </w:r>
          </w:p>
          <w:p w14:paraId="612EF96D">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431" w:hanging="431"/>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7 单井</w:t>
            </w:r>
            <w:r>
              <w:rPr>
                <w:rFonts w:hint="default" w:ascii="Times New Roman" w:hAnsi="Times New Roman" w:eastAsia="宋体" w:cs="Times New Roman"/>
                <w:b/>
                <w:bCs/>
                <w:color w:val="auto"/>
                <w:sz w:val="21"/>
                <w:szCs w:val="21"/>
                <w:vertAlign w:val="baseline"/>
                <w:lang w:val="en-US" w:eastAsia="zh-CN"/>
              </w:rPr>
              <w:t>钻井液组成及用量表</w:t>
            </w:r>
          </w:p>
          <w:tbl>
            <w:tblPr>
              <w:tblStyle w:val="19"/>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306"/>
              <w:gridCol w:w="2281"/>
              <w:gridCol w:w="849"/>
              <w:gridCol w:w="849"/>
              <w:gridCol w:w="849"/>
              <w:gridCol w:w="2256"/>
            </w:tblGrid>
            <w:tr w14:paraId="30BC1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5" w:hRule="atLeast"/>
                <w:tblHeader/>
                <w:jc w:val="center"/>
              </w:trPr>
              <w:tc>
                <w:tcPr>
                  <w:tcW w:w="779" w:type="pct"/>
                  <w:tcBorders>
                    <w:tl2br w:val="nil"/>
                    <w:tr2bl w:val="nil"/>
                  </w:tcBorders>
                  <w:noWrap w:val="0"/>
                  <w:vAlign w:val="center"/>
                </w:tcPr>
                <w:p w14:paraId="6B3A279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材料名称</w:t>
                  </w:r>
                </w:p>
              </w:tc>
              <w:tc>
                <w:tcPr>
                  <w:tcW w:w="1359" w:type="pct"/>
                  <w:tcBorders>
                    <w:tl2br w:val="nil"/>
                    <w:tr2bl w:val="nil"/>
                  </w:tcBorders>
                  <w:noWrap w:val="0"/>
                  <w:vAlign w:val="center"/>
                </w:tcPr>
                <w:p w14:paraId="53A2AFFA">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主要成分</w:t>
                  </w:r>
                </w:p>
              </w:tc>
              <w:tc>
                <w:tcPr>
                  <w:tcW w:w="505" w:type="pct"/>
                  <w:tcBorders>
                    <w:tl2br w:val="nil"/>
                    <w:tr2bl w:val="nil"/>
                  </w:tcBorders>
                  <w:noWrap w:val="0"/>
                  <w:vAlign w:val="center"/>
                </w:tcPr>
                <w:p w14:paraId="365F7DC2">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一开用量（吨）</w:t>
                  </w:r>
                </w:p>
              </w:tc>
              <w:tc>
                <w:tcPr>
                  <w:tcW w:w="505" w:type="pct"/>
                  <w:tcBorders>
                    <w:tl2br w:val="nil"/>
                    <w:tr2bl w:val="nil"/>
                  </w:tcBorders>
                  <w:noWrap w:val="0"/>
                  <w:vAlign w:val="center"/>
                </w:tcPr>
                <w:p w14:paraId="5EFECE1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二开用量（吨）</w:t>
                  </w:r>
                </w:p>
              </w:tc>
              <w:tc>
                <w:tcPr>
                  <w:tcW w:w="505" w:type="pct"/>
                  <w:tcBorders>
                    <w:tl2br w:val="nil"/>
                    <w:tr2bl w:val="nil"/>
                  </w:tcBorders>
                  <w:noWrap w:val="0"/>
                  <w:vAlign w:val="center"/>
                </w:tcPr>
                <w:p w14:paraId="1901B7BF">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总用量（吨）</w:t>
                  </w:r>
                </w:p>
              </w:tc>
              <w:tc>
                <w:tcPr>
                  <w:tcW w:w="1344" w:type="pct"/>
                  <w:tcBorders>
                    <w:tl2br w:val="nil"/>
                    <w:tr2bl w:val="nil"/>
                  </w:tcBorders>
                  <w:noWrap w:val="0"/>
                  <w:vAlign w:val="center"/>
                </w:tcPr>
                <w:p w14:paraId="6982A449">
                  <w:pPr>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rPr>
                    <w:t>备注</w:t>
                  </w:r>
                </w:p>
              </w:tc>
            </w:tr>
            <w:tr w14:paraId="00DAEC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7873D5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膨润土</w:t>
                  </w:r>
                </w:p>
              </w:tc>
              <w:tc>
                <w:tcPr>
                  <w:tcW w:w="1359" w:type="pct"/>
                  <w:tcBorders>
                    <w:tl2br w:val="nil"/>
                    <w:tr2bl w:val="nil"/>
                  </w:tcBorders>
                  <w:noWrap w:val="0"/>
                  <w:vAlign w:val="center"/>
                </w:tcPr>
                <w:p w14:paraId="11EFA3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亲水性矿物</w:t>
                  </w:r>
                </w:p>
              </w:tc>
              <w:tc>
                <w:tcPr>
                  <w:tcW w:w="505" w:type="pct"/>
                  <w:tcBorders>
                    <w:tl2br w:val="nil"/>
                    <w:tr2bl w:val="nil"/>
                  </w:tcBorders>
                  <w:noWrap w:val="0"/>
                  <w:vAlign w:val="center"/>
                </w:tcPr>
                <w:p w14:paraId="12DE128A">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505" w:type="pct"/>
                  <w:tcBorders>
                    <w:tl2br w:val="nil"/>
                    <w:tr2bl w:val="nil"/>
                  </w:tcBorders>
                  <w:noWrap w:val="0"/>
                  <w:vAlign w:val="center"/>
                </w:tcPr>
                <w:p w14:paraId="70023AC4">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505" w:type="pct"/>
                  <w:tcBorders>
                    <w:tl2br w:val="nil"/>
                    <w:tr2bl w:val="nil"/>
                  </w:tcBorders>
                  <w:noWrap w:val="0"/>
                  <w:vAlign w:val="center"/>
                </w:tcPr>
                <w:p w14:paraId="337E14BC">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1344" w:type="pct"/>
                  <w:tcBorders>
                    <w:tl2br w:val="nil"/>
                    <w:tr2bl w:val="nil"/>
                  </w:tcBorders>
                  <w:noWrap w:val="0"/>
                  <w:vAlign w:val="center"/>
                </w:tcPr>
                <w:p w14:paraId="30519B7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基础配浆材料</w:t>
                  </w:r>
                </w:p>
              </w:tc>
            </w:tr>
            <w:tr w14:paraId="20837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49F69CB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纯碱</w:t>
                  </w:r>
                </w:p>
              </w:tc>
              <w:tc>
                <w:tcPr>
                  <w:tcW w:w="1359" w:type="pct"/>
                  <w:tcBorders>
                    <w:tl2br w:val="nil"/>
                    <w:tr2bl w:val="nil"/>
                  </w:tcBorders>
                  <w:noWrap w:val="0"/>
                  <w:vAlign w:val="center"/>
                </w:tcPr>
                <w:p w14:paraId="38F2B4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p>
              </w:tc>
              <w:tc>
                <w:tcPr>
                  <w:tcW w:w="505" w:type="pct"/>
                  <w:tcBorders>
                    <w:tl2br w:val="nil"/>
                    <w:tr2bl w:val="nil"/>
                  </w:tcBorders>
                  <w:noWrap w:val="0"/>
                  <w:vAlign w:val="center"/>
                </w:tcPr>
                <w:p w14:paraId="130A193D">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505" w:type="pct"/>
                  <w:tcBorders>
                    <w:tl2br w:val="nil"/>
                    <w:tr2bl w:val="nil"/>
                  </w:tcBorders>
                  <w:noWrap w:val="0"/>
                  <w:vAlign w:val="center"/>
                </w:tcPr>
                <w:p w14:paraId="173AF47B">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505" w:type="pct"/>
                  <w:tcBorders>
                    <w:tl2br w:val="nil"/>
                    <w:tr2bl w:val="nil"/>
                  </w:tcBorders>
                  <w:noWrap w:val="0"/>
                  <w:vAlign w:val="center"/>
                </w:tcPr>
                <w:p w14:paraId="7668D99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.5</w:t>
                  </w:r>
                </w:p>
              </w:tc>
              <w:tc>
                <w:tcPr>
                  <w:tcW w:w="1344" w:type="pct"/>
                  <w:tcBorders>
                    <w:tl2br w:val="nil"/>
                    <w:tr2bl w:val="nil"/>
                  </w:tcBorders>
                  <w:noWrap w:val="0"/>
                  <w:vAlign w:val="center"/>
                </w:tcPr>
                <w:p w14:paraId="020FC31C">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与膨润土发生水化作业，增加粘性，降滤失</w:t>
                  </w:r>
                </w:p>
              </w:tc>
            </w:tr>
            <w:tr w14:paraId="12741F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7C1BDD5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烧碱（固态）</w:t>
                  </w:r>
                </w:p>
              </w:tc>
              <w:tc>
                <w:tcPr>
                  <w:tcW w:w="1359" w:type="pct"/>
                  <w:tcBorders>
                    <w:tl2br w:val="nil"/>
                    <w:tr2bl w:val="nil"/>
                  </w:tcBorders>
                  <w:noWrap w:val="0"/>
                  <w:vAlign w:val="center"/>
                </w:tcPr>
                <w:p w14:paraId="334596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NaOH</w:t>
                  </w:r>
                </w:p>
              </w:tc>
              <w:tc>
                <w:tcPr>
                  <w:tcW w:w="505" w:type="pct"/>
                  <w:tcBorders>
                    <w:tl2br w:val="nil"/>
                    <w:tr2bl w:val="nil"/>
                  </w:tcBorders>
                  <w:noWrap w:val="0"/>
                  <w:vAlign w:val="center"/>
                </w:tcPr>
                <w:p w14:paraId="1D1892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E9644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6B5A977F">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1344" w:type="pct"/>
                  <w:tcBorders>
                    <w:tl2br w:val="nil"/>
                    <w:tr2bl w:val="nil"/>
                  </w:tcBorders>
                  <w:noWrap w:val="0"/>
                  <w:vAlign w:val="center"/>
                </w:tcPr>
                <w:p w14:paraId="079277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调节pH，与酸性处理剂配合使用</w:t>
                  </w:r>
                </w:p>
              </w:tc>
            </w:tr>
            <w:tr w14:paraId="12EC91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2ED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K-PAM</w:t>
                  </w:r>
                  <w:r>
                    <w:rPr>
                      <w:rFonts w:hint="default" w:ascii="Times New Roman" w:hAnsi="Times New Roman" w:eastAsia="宋体" w:cs="Times New Roman"/>
                      <w:color w:val="auto"/>
                      <w:sz w:val="21"/>
                      <w:szCs w:val="21"/>
                    </w:rPr>
                    <w:t>（聚丙烯酸钾）</w:t>
                  </w:r>
                </w:p>
              </w:tc>
              <w:tc>
                <w:tcPr>
                  <w:tcW w:w="1359" w:type="pct"/>
                  <w:tcBorders>
                    <w:tl2br w:val="nil"/>
                    <w:tr2bl w:val="nil"/>
                  </w:tcBorders>
                  <w:noWrap w:val="0"/>
                  <w:vAlign w:val="center"/>
                </w:tcPr>
                <w:p w14:paraId="5952CB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KO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)M</w:t>
                  </w:r>
                </w:p>
              </w:tc>
              <w:tc>
                <w:tcPr>
                  <w:tcW w:w="505" w:type="pct"/>
                  <w:tcBorders>
                    <w:tl2br w:val="nil"/>
                    <w:tr2bl w:val="nil"/>
                  </w:tcBorders>
                  <w:noWrap w:val="0"/>
                  <w:vAlign w:val="center"/>
                </w:tcPr>
                <w:p w14:paraId="0BFDDFDE">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w:t>
                  </w:r>
                </w:p>
              </w:tc>
              <w:tc>
                <w:tcPr>
                  <w:tcW w:w="505" w:type="pct"/>
                  <w:tcBorders>
                    <w:tl2br w:val="nil"/>
                    <w:tr2bl w:val="nil"/>
                  </w:tcBorders>
                  <w:noWrap w:val="0"/>
                  <w:vAlign w:val="center"/>
                </w:tcPr>
                <w:p w14:paraId="762A57B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05" w:type="pct"/>
                  <w:tcBorders>
                    <w:tl2br w:val="nil"/>
                    <w:tr2bl w:val="nil"/>
                  </w:tcBorders>
                  <w:noWrap w:val="0"/>
                  <w:vAlign w:val="center"/>
                </w:tcPr>
                <w:p w14:paraId="6FFBFAB9">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4</w:t>
                  </w:r>
                  <w:r>
                    <w:rPr>
                      <w:rFonts w:hint="default" w:ascii="Times New Roman" w:hAnsi="Times New Roman" w:eastAsia="宋体" w:cs="Times New Roman"/>
                      <w:color w:val="auto"/>
                      <w:sz w:val="21"/>
                      <w:szCs w:val="21"/>
                      <w:lang w:val="en-US" w:eastAsia="zh-CN"/>
                    </w:rPr>
                    <w:t>.5</w:t>
                  </w:r>
                </w:p>
              </w:tc>
              <w:tc>
                <w:tcPr>
                  <w:tcW w:w="1344" w:type="pct"/>
                  <w:tcBorders>
                    <w:tl2br w:val="nil"/>
                    <w:tr2bl w:val="nil"/>
                  </w:tcBorders>
                  <w:noWrap w:val="0"/>
                  <w:vAlign w:val="center"/>
                </w:tcPr>
                <w:p w14:paraId="2423A04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能有效包被钻屑、抑制地层造浆，起稳定井壁、防塌、降滤失的</w:t>
                  </w:r>
                  <w:r>
                    <w:rPr>
                      <w:rFonts w:hint="default" w:ascii="Times New Roman" w:hAnsi="Times New Roman" w:eastAsia="宋体" w:cs="Times New Roman"/>
                      <w:color w:val="auto"/>
                      <w:sz w:val="21"/>
                      <w:szCs w:val="21"/>
                      <w:lang w:val="en-US" w:eastAsia="zh-CN"/>
                    </w:rPr>
                    <w:t>作用</w:t>
                  </w:r>
                </w:p>
              </w:tc>
            </w:tr>
            <w:tr w14:paraId="4DA5E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99DA1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K-HPAN</w:t>
                  </w:r>
                </w:p>
              </w:tc>
              <w:tc>
                <w:tcPr>
                  <w:tcW w:w="1359" w:type="pct"/>
                  <w:tcBorders>
                    <w:tl2br w:val="nil"/>
                    <w:tr2bl w:val="nil"/>
                  </w:tcBorders>
                  <w:noWrap w:val="0"/>
                  <w:vAlign w:val="center"/>
                </w:tcPr>
                <w:p w14:paraId="447394AF">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含有酰胺基、腈基和羧基钾离子含量高</w:t>
                  </w:r>
                </w:p>
              </w:tc>
              <w:tc>
                <w:tcPr>
                  <w:tcW w:w="505" w:type="pct"/>
                  <w:tcBorders>
                    <w:tl2br w:val="nil"/>
                    <w:tr2bl w:val="nil"/>
                  </w:tcBorders>
                  <w:noWrap w:val="0"/>
                  <w:vAlign w:val="center"/>
                </w:tcPr>
                <w:p w14:paraId="2FBD50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009CEA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505" w:type="pct"/>
                  <w:tcBorders>
                    <w:tl2br w:val="nil"/>
                    <w:tr2bl w:val="nil"/>
                  </w:tcBorders>
                  <w:noWrap w:val="0"/>
                  <w:vAlign w:val="center"/>
                </w:tcPr>
                <w:p w14:paraId="6EBD13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44" w:type="pct"/>
                  <w:tcBorders>
                    <w:tl2br w:val="nil"/>
                    <w:tr2bl w:val="nil"/>
                  </w:tcBorders>
                  <w:noWrap w:val="0"/>
                  <w:vAlign w:val="center"/>
                </w:tcPr>
                <w:p w14:paraId="1F8F35E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降滤失，调整泥浆流态</w:t>
                  </w:r>
                </w:p>
              </w:tc>
            </w:tr>
            <w:tr w14:paraId="3A5A57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126AEB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-HPAN</w:t>
                  </w:r>
                  <w:r>
                    <w:rPr>
                      <w:rFonts w:hint="default" w:ascii="Times New Roman" w:hAnsi="Times New Roman" w:eastAsia="宋体" w:cs="Times New Roman"/>
                      <w:color w:val="auto"/>
                      <w:kern w:val="0"/>
                      <w:sz w:val="21"/>
                      <w:szCs w:val="21"/>
                      <w:lang w:bidi="ar"/>
                    </w:rPr>
                    <w:t>（水解聚丙烯腈铵盐）</w:t>
                  </w:r>
                </w:p>
              </w:tc>
              <w:tc>
                <w:tcPr>
                  <w:tcW w:w="1359" w:type="pct"/>
                  <w:tcBorders>
                    <w:tl2br w:val="nil"/>
                    <w:tr2bl w:val="nil"/>
                  </w:tcBorders>
                  <w:noWrap w:val="0"/>
                  <w:vAlign w:val="center"/>
                </w:tcPr>
                <w:p w14:paraId="52D246A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含有COOH、COONH</w:t>
                  </w:r>
                  <w:r>
                    <w:rPr>
                      <w:rFonts w:hint="default" w:ascii="Times New Roman" w:hAnsi="Times New Roman" w:cs="Times New Roman"/>
                      <w:color w:val="auto"/>
                      <w:sz w:val="21"/>
                      <w:szCs w:val="21"/>
                      <w:vertAlign w:val="subscript"/>
                    </w:rPr>
                    <w:t>4</w:t>
                  </w:r>
                  <w:r>
                    <w:rPr>
                      <w:rFonts w:hint="default" w:ascii="Times New Roman" w:hAnsi="Times New Roman" w:eastAsia="宋体" w:cs="Times New Roman"/>
                      <w:color w:val="auto"/>
                      <w:sz w:val="21"/>
                      <w:szCs w:val="21"/>
                    </w:rPr>
                    <w:t>、CONH</w:t>
                  </w:r>
                  <w:r>
                    <w:rPr>
                      <w:rFonts w:hint="default" w:ascii="Times New Roman" w:hAnsi="Times New Roman" w:cs="Times New Roman"/>
                      <w:color w:val="auto"/>
                      <w:sz w:val="21"/>
                      <w:szCs w:val="21"/>
                      <w:vertAlign w:val="subscript"/>
                    </w:rPr>
                    <w:t>2</w:t>
                  </w:r>
                  <w:r>
                    <w:rPr>
                      <w:rFonts w:hint="default" w:ascii="Times New Roman" w:hAnsi="Times New Roman" w:eastAsia="宋体" w:cs="Times New Roman"/>
                      <w:color w:val="auto"/>
                      <w:sz w:val="21"/>
                      <w:szCs w:val="21"/>
                    </w:rPr>
                    <w:t>、CN等基团构成</w:t>
                  </w:r>
                </w:p>
              </w:tc>
              <w:tc>
                <w:tcPr>
                  <w:tcW w:w="505" w:type="pct"/>
                  <w:tcBorders>
                    <w:tl2br w:val="nil"/>
                    <w:tr2bl w:val="nil"/>
                  </w:tcBorders>
                  <w:noWrap w:val="0"/>
                  <w:vAlign w:val="center"/>
                </w:tcPr>
                <w:p w14:paraId="2764A4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0ABDDE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505" w:type="pct"/>
                  <w:tcBorders>
                    <w:tl2br w:val="nil"/>
                    <w:tr2bl w:val="nil"/>
                  </w:tcBorders>
                  <w:noWrap w:val="0"/>
                  <w:vAlign w:val="center"/>
                </w:tcPr>
                <w:p w14:paraId="04CD0D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344" w:type="pct"/>
                  <w:tcBorders>
                    <w:tl2br w:val="nil"/>
                    <w:tr2bl w:val="nil"/>
                  </w:tcBorders>
                  <w:noWrap w:val="0"/>
                  <w:vAlign w:val="center"/>
                </w:tcPr>
                <w:p w14:paraId="2E61AF0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抑制粘土水化分散，是一种良好的页岩抑制，同时兼有降低钻井液</w:t>
                  </w:r>
                </w:p>
                <w:p w14:paraId="40E3C95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度和降滤失作用</w:t>
                  </w:r>
                </w:p>
              </w:tc>
            </w:tr>
            <w:tr w14:paraId="4031C5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22000B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LV-CMC</w:t>
                  </w:r>
                  <w:r>
                    <w:rPr>
                      <w:rFonts w:hint="default" w:ascii="Times New Roman" w:hAnsi="Times New Roman" w:eastAsia="宋体" w:cs="Times New Roman"/>
                      <w:color w:val="auto"/>
                      <w:sz w:val="21"/>
                      <w:szCs w:val="21"/>
                    </w:rPr>
                    <w:t>（羧甲基纤维素钠）</w:t>
                  </w:r>
                </w:p>
              </w:tc>
              <w:tc>
                <w:tcPr>
                  <w:tcW w:w="1359" w:type="pct"/>
                  <w:tcBorders>
                    <w:tl2br w:val="nil"/>
                    <w:tr2bl w:val="nil"/>
                  </w:tcBorders>
                  <w:noWrap w:val="0"/>
                  <w:vAlign w:val="center"/>
                </w:tcPr>
                <w:p w14:paraId="3E4A8815">
                  <w:pPr>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C</w:t>
                  </w:r>
                  <w:r>
                    <w:rPr>
                      <w:rFonts w:hint="default" w:ascii="Times New Roman" w:hAnsi="Times New Roman" w:cs="Times New Roman"/>
                      <w:color w:val="auto"/>
                      <w:kern w:val="0"/>
                      <w:sz w:val="21"/>
                      <w:szCs w:val="21"/>
                      <w:vertAlign w:val="subscript"/>
                      <w:lang w:bidi="ar"/>
                    </w:rPr>
                    <w:t>8</w:t>
                  </w:r>
                  <w:r>
                    <w:rPr>
                      <w:rFonts w:hint="default" w:ascii="Times New Roman" w:hAnsi="Times New Roman" w:cs="Times New Roman"/>
                      <w:color w:val="auto"/>
                      <w:kern w:val="0"/>
                      <w:sz w:val="21"/>
                      <w:szCs w:val="21"/>
                      <w:lang w:bidi="ar"/>
                    </w:rPr>
                    <w:t>H</w:t>
                  </w:r>
                  <w:r>
                    <w:rPr>
                      <w:rFonts w:hint="default" w:ascii="Times New Roman" w:hAnsi="Times New Roman" w:cs="Times New Roman"/>
                      <w:color w:val="auto"/>
                      <w:kern w:val="0"/>
                      <w:sz w:val="21"/>
                      <w:szCs w:val="21"/>
                      <w:vertAlign w:val="subscript"/>
                      <w:lang w:bidi="ar"/>
                    </w:rPr>
                    <w:t>16</w:t>
                  </w:r>
                  <w:r>
                    <w:rPr>
                      <w:rFonts w:hint="default" w:ascii="Times New Roman" w:hAnsi="Times New Roman" w:cs="Times New Roman"/>
                      <w:color w:val="auto"/>
                      <w:kern w:val="0"/>
                      <w:sz w:val="21"/>
                      <w:szCs w:val="21"/>
                      <w:lang w:bidi="ar"/>
                    </w:rPr>
                    <w:t>NaO</w:t>
                  </w:r>
                  <w:r>
                    <w:rPr>
                      <w:rFonts w:hint="default" w:ascii="Times New Roman" w:hAnsi="Times New Roman" w:cs="Times New Roman"/>
                      <w:color w:val="auto"/>
                      <w:kern w:val="0"/>
                      <w:sz w:val="21"/>
                      <w:szCs w:val="21"/>
                      <w:vertAlign w:val="subscript"/>
                      <w:lang w:bidi="ar"/>
                    </w:rPr>
                    <w:t>8</w:t>
                  </w:r>
                </w:p>
              </w:tc>
              <w:tc>
                <w:tcPr>
                  <w:tcW w:w="505" w:type="pct"/>
                  <w:tcBorders>
                    <w:tl2br w:val="nil"/>
                    <w:tr2bl w:val="nil"/>
                  </w:tcBorders>
                  <w:noWrap w:val="0"/>
                  <w:vAlign w:val="center"/>
                </w:tcPr>
                <w:p w14:paraId="38FE3B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7A52BA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7F4FAE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35133E8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主要用作降滤失剂</w:t>
                  </w:r>
                </w:p>
              </w:tc>
            </w:tr>
            <w:tr w14:paraId="40712E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604E8513">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沥青类防塌剂</w:t>
                  </w:r>
                </w:p>
              </w:tc>
              <w:tc>
                <w:tcPr>
                  <w:tcW w:w="1359" w:type="pct"/>
                  <w:tcBorders>
                    <w:tl2br w:val="nil"/>
                    <w:tr2bl w:val="nil"/>
                  </w:tcBorders>
                  <w:noWrap w:val="0"/>
                  <w:vAlign w:val="center"/>
                </w:tcPr>
                <w:p w14:paraId="4A9E4CD7">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高级脂肪醇树脂</w:t>
                  </w:r>
                </w:p>
              </w:tc>
              <w:tc>
                <w:tcPr>
                  <w:tcW w:w="505" w:type="pct"/>
                  <w:tcBorders>
                    <w:tl2br w:val="nil"/>
                    <w:tr2bl w:val="nil"/>
                  </w:tcBorders>
                  <w:noWrap w:val="0"/>
                  <w:vAlign w:val="center"/>
                </w:tcPr>
                <w:p w14:paraId="78E861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1888D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402E37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2B7574AA">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稳定井壁，防止井壁垮塌</w:t>
                  </w:r>
                </w:p>
              </w:tc>
            </w:tr>
            <w:tr w14:paraId="655683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5CED6164">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常规液体润滑剂</w:t>
                  </w:r>
                </w:p>
              </w:tc>
              <w:tc>
                <w:tcPr>
                  <w:tcW w:w="1359" w:type="pct"/>
                  <w:tcBorders>
                    <w:tl2br w:val="nil"/>
                    <w:tr2bl w:val="nil"/>
                  </w:tcBorders>
                  <w:noWrap w:val="0"/>
                  <w:vAlign w:val="center"/>
                </w:tcPr>
                <w:p w14:paraId="582C102B">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聚合醇</w:t>
                  </w:r>
                </w:p>
              </w:tc>
              <w:tc>
                <w:tcPr>
                  <w:tcW w:w="505" w:type="pct"/>
                  <w:tcBorders>
                    <w:tl2br w:val="nil"/>
                    <w:tr2bl w:val="nil"/>
                  </w:tcBorders>
                  <w:noWrap w:val="0"/>
                  <w:vAlign w:val="center"/>
                </w:tcPr>
                <w:p w14:paraId="2C1BACE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1EFEAA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505" w:type="pct"/>
                  <w:tcBorders>
                    <w:tl2br w:val="nil"/>
                    <w:tr2bl w:val="nil"/>
                  </w:tcBorders>
                  <w:noWrap w:val="0"/>
                  <w:vAlign w:val="center"/>
                </w:tcPr>
                <w:p w14:paraId="17F97D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44" w:type="pct"/>
                  <w:tcBorders>
                    <w:tl2br w:val="nil"/>
                    <w:tr2bl w:val="nil"/>
                  </w:tcBorders>
                  <w:noWrap w:val="0"/>
                  <w:vAlign w:val="center"/>
                </w:tcPr>
                <w:p w14:paraId="48760A8D">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减少钻具的扭矩、磨损和疲劳，延长钻具及钻头的使用寿命</w:t>
                  </w:r>
                </w:p>
              </w:tc>
            </w:tr>
            <w:tr w14:paraId="45072C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779" w:type="pct"/>
                  <w:tcBorders>
                    <w:tl2br w:val="nil"/>
                    <w:tr2bl w:val="nil"/>
                  </w:tcBorders>
                  <w:noWrap w:val="0"/>
                  <w:vAlign w:val="center"/>
                </w:tcPr>
                <w:p w14:paraId="3293C61E">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复合堵漏剂(备用)</w:t>
                  </w:r>
                </w:p>
              </w:tc>
              <w:tc>
                <w:tcPr>
                  <w:tcW w:w="1359" w:type="pct"/>
                  <w:tcBorders>
                    <w:tl2br w:val="nil"/>
                    <w:tr2bl w:val="nil"/>
                  </w:tcBorders>
                  <w:noWrap w:val="0"/>
                  <w:vAlign w:val="center"/>
                </w:tcPr>
                <w:p w14:paraId="517B5305">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锯末、云母、棉籽、核桃壳等</w:t>
                  </w:r>
                </w:p>
              </w:tc>
              <w:tc>
                <w:tcPr>
                  <w:tcW w:w="505" w:type="pct"/>
                  <w:tcBorders>
                    <w:tl2br w:val="nil"/>
                    <w:tr2bl w:val="nil"/>
                  </w:tcBorders>
                  <w:noWrap w:val="0"/>
                  <w:vAlign w:val="center"/>
                </w:tcPr>
                <w:p w14:paraId="5664B71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4522CB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2D9A0B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44" w:type="pct"/>
                  <w:tcBorders>
                    <w:tl2br w:val="nil"/>
                    <w:tr2bl w:val="nil"/>
                  </w:tcBorders>
                  <w:noWrap w:val="0"/>
                  <w:vAlign w:val="center"/>
                </w:tcPr>
                <w:p w14:paraId="526F73D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起堵漏作用</w:t>
                  </w:r>
                </w:p>
              </w:tc>
            </w:tr>
            <w:tr w14:paraId="4FC63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779" w:type="pct"/>
                  <w:tcBorders>
                    <w:tl2br w:val="nil"/>
                    <w:tr2bl w:val="nil"/>
                  </w:tcBorders>
                  <w:noWrap w:val="0"/>
                  <w:vAlign w:val="center"/>
                </w:tcPr>
                <w:p w14:paraId="5280E7B2">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bidi="ar"/>
                    </w:rPr>
                    <w:t>加重材料</w:t>
                  </w:r>
                </w:p>
              </w:tc>
              <w:tc>
                <w:tcPr>
                  <w:tcW w:w="1359" w:type="pct"/>
                  <w:tcBorders>
                    <w:tl2br w:val="nil"/>
                    <w:tr2bl w:val="nil"/>
                  </w:tcBorders>
                  <w:noWrap w:val="0"/>
                  <w:vAlign w:val="center"/>
                </w:tcPr>
                <w:p w14:paraId="65F1ABD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CaCO</w:t>
                  </w:r>
                  <w:r>
                    <w:rPr>
                      <w:rFonts w:hint="default" w:ascii="Times New Roman" w:hAnsi="Times New Roman" w:cs="Times New Roman"/>
                      <w:color w:val="auto"/>
                      <w:sz w:val="21"/>
                      <w:szCs w:val="21"/>
                      <w:vertAlign w:val="subscript"/>
                    </w:rPr>
                    <w:t>3</w:t>
                  </w:r>
                </w:p>
              </w:tc>
              <w:tc>
                <w:tcPr>
                  <w:tcW w:w="505" w:type="pct"/>
                  <w:tcBorders>
                    <w:tl2br w:val="nil"/>
                    <w:tr2bl w:val="nil"/>
                  </w:tcBorders>
                  <w:noWrap w:val="0"/>
                  <w:vAlign w:val="center"/>
                </w:tcPr>
                <w:p w14:paraId="5E73292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1CEA7E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05" w:type="pct"/>
                  <w:tcBorders>
                    <w:tl2br w:val="nil"/>
                    <w:tr2bl w:val="nil"/>
                  </w:tcBorders>
                  <w:noWrap w:val="0"/>
                  <w:vAlign w:val="center"/>
                </w:tcPr>
                <w:p w14:paraId="3C930D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344" w:type="pct"/>
                  <w:tcBorders>
                    <w:tl2br w:val="nil"/>
                    <w:tr2bl w:val="nil"/>
                  </w:tcBorders>
                  <w:noWrap w:val="0"/>
                  <w:vAlign w:val="center"/>
                </w:tcPr>
                <w:p w14:paraId="7488C681">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提高钻井液密度，稳定井壁</w:t>
                  </w:r>
                </w:p>
              </w:tc>
            </w:tr>
            <w:tr w14:paraId="7E780D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2" w:hRule="atLeast"/>
                <w:jc w:val="center"/>
              </w:trPr>
              <w:tc>
                <w:tcPr>
                  <w:tcW w:w="779" w:type="pct"/>
                  <w:tcBorders>
                    <w:tl2br w:val="nil"/>
                    <w:tr2bl w:val="nil"/>
                  </w:tcBorders>
                  <w:noWrap w:val="0"/>
                  <w:vAlign w:val="center"/>
                </w:tcPr>
                <w:p w14:paraId="5076BBF9">
                  <w:pPr>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合计</w:t>
                  </w:r>
                </w:p>
              </w:tc>
              <w:tc>
                <w:tcPr>
                  <w:tcW w:w="1359" w:type="pct"/>
                  <w:tcBorders>
                    <w:tl2br w:val="nil"/>
                    <w:tr2bl w:val="nil"/>
                  </w:tcBorders>
                  <w:noWrap w:val="0"/>
                  <w:vAlign w:val="center"/>
                </w:tcPr>
                <w:p w14:paraId="0D38E0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505" w:type="pct"/>
                  <w:tcBorders>
                    <w:tl2br w:val="nil"/>
                    <w:tr2bl w:val="nil"/>
                  </w:tcBorders>
                  <w:noWrap w:val="0"/>
                  <w:vAlign w:val="center"/>
                </w:tcPr>
                <w:p w14:paraId="76C238F8">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sum(C2:C12)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8.5</w:t>
                  </w:r>
                  <w:r>
                    <w:rPr>
                      <w:rFonts w:hint="default" w:ascii="Times New Roman" w:hAnsi="Times New Roman" w:cs="Times New Roman"/>
                      <w:color w:val="auto"/>
                      <w:sz w:val="21"/>
                      <w:szCs w:val="21"/>
                      <w:lang w:val="en-US" w:eastAsia="zh-CN"/>
                    </w:rPr>
                    <w:fldChar w:fldCharType="end"/>
                  </w:r>
                </w:p>
              </w:tc>
              <w:tc>
                <w:tcPr>
                  <w:tcW w:w="505" w:type="pct"/>
                  <w:tcBorders>
                    <w:tl2br w:val="nil"/>
                    <w:tr2bl w:val="nil"/>
                  </w:tcBorders>
                  <w:noWrap w:val="0"/>
                  <w:vAlign w:val="center"/>
                </w:tcPr>
                <w:p w14:paraId="40ABDE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sum(D2:D12)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49.5</w:t>
                  </w:r>
                  <w:r>
                    <w:rPr>
                      <w:rFonts w:hint="default" w:ascii="Times New Roman" w:hAnsi="Times New Roman" w:cs="Times New Roman"/>
                      <w:color w:val="auto"/>
                      <w:sz w:val="21"/>
                      <w:szCs w:val="21"/>
                    </w:rPr>
                    <w:fldChar w:fldCharType="end"/>
                  </w:r>
                </w:p>
              </w:tc>
              <w:tc>
                <w:tcPr>
                  <w:tcW w:w="505" w:type="pct"/>
                  <w:tcBorders>
                    <w:tl2br w:val="nil"/>
                    <w:tr2bl w:val="nil"/>
                  </w:tcBorders>
                  <w:noWrap w:val="0"/>
                  <w:vAlign w:val="center"/>
                </w:tcPr>
                <w:p w14:paraId="42D9CA16">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fldChar w:fldCharType="begin"/>
                  </w:r>
                  <w:r>
                    <w:rPr>
                      <w:rFonts w:hint="default" w:ascii="Times New Roman" w:hAnsi="Times New Roman" w:cs="Times New Roman"/>
                      <w:color w:val="auto"/>
                      <w:sz w:val="21"/>
                      <w:szCs w:val="21"/>
                      <w:lang w:val="en-US" w:eastAsia="zh-CN"/>
                    </w:rPr>
                    <w:instrText xml:space="preserve"> = sum(E2:E12) \* MERGEFORMAT </w:instrText>
                  </w:r>
                  <w:r>
                    <w:rPr>
                      <w:rFonts w:hint="default" w:ascii="Times New Roman" w:hAnsi="Times New Roman" w:cs="Times New Roman"/>
                      <w:color w:val="auto"/>
                      <w:sz w:val="21"/>
                      <w:szCs w:val="21"/>
                      <w:lang w:val="en-US" w:eastAsia="zh-CN"/>
                    </w:rPr>
                    <w:fldChar w:fldCharType="separate"/>
                  </w:r>
                  <w:r>
                    <w:rPr>
                      <w:rFonts w:hint="default" w:ascii="Times New Roman" w:hAnsi="Times New Roman" w:cs="Times New Roman"/>
                      <w:color w:val="auto"/>
                      <w:sz w:val="21"/>
                      <w:szCs w:val="21"/>
                      <w:lang w:val="en-US" w:eastAsia="zh-CN"/>
                    </w:rPr>
                    <w:t>61</w:t>
                  </w:r>
                  <w:r>
                    <w:rPr>
                      <w:rFonts w:hint="default" w:ascii="Times New Roman" w:hAnsi="Times New Roman" w:cs="Times New Roman"/>
                      <w:color w:val="auto"/>
                      <w:sz w:val="21"/>
                      <w:szCs w:val="21"/>
                      <w:lang w:val="en-US" w:eastAsia="zh-CN"/>
                    </w:rPr>
                    <w:fldChar w:fldCharType="end"/>
                  </w:r>
                </w:p>
              </w:tc>
              <w:tc>
                <w:tcPr>
                  <w:tcW w:w="1344" w:type="pct"/>
                  <w:tcBorders>
                    <w:tl2br w:val="nil"/>
                    <w:tr2bl w:val="nil"/>
                  </w:tcBorders>
                  <w:noWrap w:val="0"/>
                  <w:vAlign w:val="center"/>
                </w:tcPr>
                <w:p w14:paraId="7166058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14:paraId="009272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聚丙烯酸钾</w:t>
            </w:r>
            <w:r>
              <w:rPr>
                <w:rFonts w:hint="default" w:ascii="Times New Roman" w:hAnsi="Times New Roman" w:eastAsia="宋体" w:cs="Times New Roman"/>
                <w:b w:val="0"/>
                <w:bCs w:val="0"/>
                <w:color w:val="auto"/>
                <w:sz w:val="24"/>
                <w:szCs w:val="24"/>
                <w:vertAlign w:val="baseline"/>
                <w:lang w:val="en-US" w:eastAsia="zh-CN"/>
              </w:rPr>
              <w:t>：聚丙烯酸钾(K－PAM)，是一种含羧钾聚丙烯酰胺衍生物，具有高吸水性、生产成本低、加工工艺简单、产品质量稳定、长时间储存不变质，最终分解物对生态环境无害等特点，同时还是很强的抑制页岩分散剂，具有控制地层造浆的作用并兼有降失水、改善流型及增加润滑性等功能；因此可以用于井下不分散低固性泥浆、聚合物体系的剪切稀释、防塌絮凝。</w:t>
            </w:r>
          </w:p>
          <w:p w14:paraId="2BC1E4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K-HPAN</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水解聚丙烯睛铵盐</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以腈纶废丝为主要原料，分子中有腈基，酰胺基及羧基。为棕红色或淡黄色粉末，易溶于水，水溶液呈碱性。本品为一种聚丙烯酸类岩抑制剂，对粘土有抑制水化膨胀的作用，并可降低钻井液的滤失量。</w:t>
            </w:r>
          </w:p>
          <w:p w14:paraId="5E7420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b/>
                <w:bCs/>
                <w:color w:val="auto"/>
                <w:sz w:val="24"/>
                <w:szCs w:val="24"/>
              </w:rPr>
              <w:t>LV-CMC</w:t>
            </w:r>
            <w:r>
              <w:rPr>
                <w:rFonts w:hint="default" w:ascii="Times New Roman" w:hAnsi="Times New Roman" w:eastAsia="宋体" w:cs="Times New Roman"/>
                <w:b/>
                <w:bCs/>
                <w:color w:val="auto"/>
                <w:sz w:val="24"/>
                <w:szCs w:val="24"/>
              </w:rPr>
              <w:t>（羧甲基纤维素钠）</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b w:val="0"/>
                <w:bCs w:val="0"/>
                <w:color w:val="auto"/>
                <w:sz w:val="24"/>
                <w:szCs w:val="24"/>
                <w:vertAlign w:val="baseline"/>
                <w:lang w:val="en-US" w:eastAsia="zh-CN"/>
              </w:rPr>
              <w:t>是纤维素的羧甲基化衍生物，又名纤维素胶，属阴离子型纤维素醚，是最主要离子型纤维素胶。通常是由天然纤维素与苛性碱及一氯醋酸反应后制得的一种阴离子型高分子化合物，化合物分子量从几千到百万不等。CMC为白色或乳白色纤维状粉末或颗粒，密度0.5-0.7克/立方厘米，几乎无臭、无味，具吸湿性。易于分散在水中成透明胶状溶液，在乙醇等有机溶媒中不溶。1%水溶液pH为6.5～8.5，当pH&gt;10或&lt;5时，胶浆粘度显著降低，在pH=7时性能最佳。对热稳定，在20℃以下粘度迅速上升，45℃时变化较慢，80℃以上长时间加热可使其胶体变性而粘度和性能明显下降。易溶于水，溶液透明；在碱性溶液中很稳定，遇酸则易水解，pH值为2-3时会出现沉淀，遇多价金属盐也会反应出现沉淀。</w:t>
            </w:r>
            <w:r>
              <w:rPr>
                <w:rFonts w:hint="default" w:ascii="Times New Roman" w:hAnsi="Times New Roman" w:eastAsia="宋体" w:cs="Times New Roman"/>
                <w:b w:val="0"/>
                <w:bCs w:val="0"/>
                <w:color w:val="auto"/>
                <w:sz w:val="24"/>
                <w:szCs w:val="24"/>
                <w:highlight w:val="none"/>
                <w:vertAlign w:val="baseline"/>
                <w:lang w:val="en-US" w:eastAsia="zh-CN"/>
              </w:rPr>
              <w:t>固体CMC对光及室温较稳定</w:t>
            </w:r>
            <w:r>
              <w:rPr>
                <w:rFonts w:hint="default" w:ascii="Times New Roman" w:hAnsi="Times New Roman" w:eastAsia="宋体" w:cs="Times New Roman"/>
                <w:b w:val="0"/>
                <w:bCs w:val="0"/>
                <w:color w:val="auto"/>
                <w:sz w:val="24"/>
                <w:szCs w:val="24"/>
                <w:vertAlign w:val="baseline"/>
                <w:lang w:val="en-US" w:eastAsia="zh-CN"/>
              </w:rPr>
              <w:t>，在干燥的环境中，可以长期保存。羧甲基纤维素钠可用作增稠剂，稳定剂，乳化剂。</w:t>
            </w:r>
          </w:p>
          <w:p w14:paraId="023124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复合堵漏剂</w:t>
            </w:r>
            <w:r>
              <w:rPr>
                <w:rFonts w:hint="default" w:ascii="Times New Roman" w:hAnsi="Times New Roman" w:eastAsia="宋体" w:cs="Times New Roman"/>
                <w:b w:val="0"/>
                <w:bCs w:val="0"/>
                <w:color w:val="auto"/>
                <w:sz w:val="24"/>
                <w:szCs w:val="24"/>
                <w:vertAlign w:val="baseline"/>
                <w:lang w:val="en-US" w:eastAsia="zh-CN"/>
              </w:rPr>
              <w:t>：堵漏剂是一种凝结硬化快，小时强度高，具有膨胀的水硬性材料，此原料无毒无味，经严格筛选，性能卓越，操作简便，用水调和即可使用，可在潮湿面上施工，亦可带水堵漏，效果奇特。</w:t>
            </w:r>
          </w:p>
          <w:p w14:paraId="0B58F9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压裂液各成分理化性质一览表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6945"/>
            </w:tblGrid>
            <w:tr w14:paraId="31B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EDB9B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6945" w:type="dxa"/>
                  <w:vAlign w:val="center"/>
                </w:tcPr>
                <w:p w14:paraId="7B76CC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理化性质</w:t>
                  </w:r>
                </w:p>
              </w:tc>
            </w:tr>
            <w:tr w14:paraId="36BF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E4255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改性胍胶</w:t>
                  </w:r>
                </w:p>
              </w:tc>
              <w:tc>
                <w:tcPr>
                  <w:tcW w:w="6945" w:type="dxa"/>
                  <w:vAlign w:val="center"/>
                </w:tcPr>
                <w:p w14:paraId="49C3978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采用昆山羟丙基胍胶，羟丙基胍胶具有增稠能力强，热稳定性好的特点，对水有很强的亲和力。当胍胶粉末加入水中，胍胶的微粒便</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溶胀、水合</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，也就是聚合物分子与许多水分子形成缔合体，然后在溶液中展开、伸长。在水基体系中，聚合物线团的相互作用，产生了粘稠溶液。适合储层温度</w:t>
                  </w:r>
                  <w:r>
                    <w:rPr>
                      <w:rFonts w:hint="default" w:ascii="Times New Roman" w:hAnsi="Times New Roman" w:eastAsia="TimesNewRomanPSMT" w:cs="Times New Roman"/>
                      <w:color w:val="auto"/>
                      <w:sz w:val="21"/>
                      <w:szCs w:val="24"/>
                    </w:rPr>
                    <w:t>80℃-200℃</w:t>
                  </w:r>
                  <w:r>
                    <w:rPr>
                      <w:rFonts w:hint="default" w:ascii="Times New Roman" w:hAnsi="Times New Roman" w:eastAsia="宋体" w:cs="Times New Roman"/>
                      <w:color w:val="auto"/>
                      <w:sz w:val="21"/>
                      <w:szCs w:val="24"/>
                    </w:rPr>
                    <w:t>，降低了压裂液的残渣与施工摩阻，能满足高温、低渗储层压裂改造的需要。</w:t>
                  </w:r>
                </w:p>
              </w:tc>
            </w:tr>
            <w:tr w14:paraId="58A2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BA558D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润湿改进剂</w:t>
                  </w:r>
                </w:p>
              </w:tc>
              <w:tc>
                <w:tcPr>
                  <w:tcW w:w="6945" w:type="dxa"/>
                  <w:vAlign w:val="center"/>
                </w:tcPr>
                <w:p w14:paraId="0A9EBC0C">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常用的润湿剂主要是非离子型表面活性剂，如</w:t>
                  </w:r>
                  <w:r>
                    <w:rPr>
                      <w:rFonts w:hint="default" w:ascii="Times New Roman" w:hAnsi="Times New Roman" w:eastAsia="TimesNewRomanPSMT" w:cs="Times New Roman"/>
                      <w:color w:val="auto"/>
                      <w:sz w:val="21"/>
                      <w:szCs w:val="24"/>
                    </w:rPr>
                    <w:t>AE1910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OP-10</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SP169</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796A</w:t>
                  </w:r>
                  <w:r>
                    <w:rPr>
                      <w:rFonts w:hint="default" w:ascii="Times New Roman" w:hAnsi="Times New Roman" w:eastAsia="宋体" w:cs="Times New Roman"/>
                      <w:color w:val="auto"/>
                      <w:sz w:val="21"/>
                      <w:szCs w:val="24"/>
                    </w:rPr>
                    <w:t>、</w:t>
                  </w:r>
                  <w:r>
                    <w:rPr>
                      <w:rFonts w:hint="default" w:ascii="Times New Roman" w:hAnsi="Times New Roman" w:eastAsia="TimesNewRomanPSMT" w:cs="Times New Roman"/>
                      <w:color w:val="auto"/>
                      <w:sz w:val="21"/>
                      <w:szCs w:val="24"/>
                    </w:rPr>
                    <w:t>TA-1031</w:t>
                  </w:r>
                  <w:r>
                    <w:rPr>
                      <w:rFonts w:hint="default" w:ascii="Times New Roman" w:hAnsi="Times New Roman" w:eastAsia="宋体" w:cs="Times New Roman"/>
                      <w:color w:val="auto"/>
                      <w:sz w:val="21"/>
                      <w:szCs w:val="24"/>
                    </w:rPr>
                    <w:t>等，能将亲油砂岩润湿为亲水砂岩，有利于提高相对渗透率。</w:t>
                  </w:r>
                </w:p>
              </w:tc>
            </w:tr>
            <w:tr w14:paraId="09B8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316E53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高温交联剂</w:t>
                  </w:r>
                </w:p>
              </w:tc>
              <w:tc>
                <w:tcPr>
                  <w:tcW w:w="6945" w:type="dxa"/>
                  <w:vAlign w:val="center"/>
                </w:tcPr>
                <w:p w14:paraId="1D1286D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通过化学键或配位键与稠化剂发生交联反应的试剂称为交联剂。交联剂将聚合物的各种分子联结成一种机构，使原来的聚合物分子量明显地增加，调整压裂液的粘度。</w:t>
                  </w:r>
                </w:p>
              </w:tc>
            </w:tr>
            <w:tr w14:paraId="48E5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2833EFB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有机硼</w:t>
                  </w:r>
                </w:p>
              </w:tc>
              <w:tc>
                <w:tcPr>
                  <w:tcW w:w="6945" w:type="dxa"/>
                  <w:vAlign w:val="center"/>
                </w:tcPr>
                <w:p w14:paraId="131EEC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含有硼原子的有机化合物，作为交联剂辅助用剂。</w:t>
                  </w:r>
                </w:p>
              </w:tc>
            </w:tr>
            <w:tr w14:paraId="5366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172070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高温破胶剂</w:t>
                  </w:r>
                </w:p>
              </w:tc>
              <w:tc>
                <w:tcPr>
                  <w:tcW w:w="6945" w:type="dxa"/>
                  <w:vAlign w:val="center"/>
                </w:tcPr>
                <w:p w14:paraId="395727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目前适用于水基交联冻胶体系的破胶剂，或以硫酸钾作为主要助剂。</w:t>
                  </w:r>
                </w:p>
              </w:tc>
            </w:tr>
            <w:tr w14:paraId="022B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66B6D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碳酸钠</w:t>
                  </w:r>
                </w:p>
              </w:tc>
              <w:tc>
                <w:tcPr>
                  <w:tcW w:w="6945" w:type="dxa"/>
                  <w:vAlign w:val="center"/>
                </w:tcPr>
                <w:p w14:paraId="1963A424">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无水碳酸钠为白色粉末，易溶于水，水溶液呈碱性，</w:t>
                  </w:r>
                  <w:r>
                    <w:rPr>
                      <w:rFonts w:hint="default" w:ascii="Times New Roman" w:hAnsi="Times New Roman" w:eastAsia="宋体" w:cs="Times New Roman"/>
                      <w:color w:val="auto"/>
                      <w:sz w:val="21"/>
                      <w:szCs w:val="24"/>
                      <w:lang w:val="en-US" w:eastAsia="zh-CN"/>
                    </w:rPr>
                    <w:t>p</w:t>
                  </w:r>
                  <w:r>
                    <w:rPr>
                      <w:rFonts w:hint="default" w:ascii="Times New Roman" w:hAnsi="Times New Roman" w:eastAsia="TimesNewRomanPSMT" w:cs="Times New Roman"/>
                      <w:color w:val="auto"/>
                      <w:sz w:val="21"/>
                      <w:szCs w:val="24"/>
                    </w:rPr>
                    <w:t>H</w:t>
                  </w:r>
                  <w:r>
                    <w:rPr>
                      <w:rFonts w:hint="default" w:ascii="Times New Roman" w:hAnsi="Times New Roman" w:eastAsia="宋体" w:cs="Times New Roman"/>
                      <w:color w:val="auto"/>
                      <w:sz w:val="21"/>
                      <w:szCs w:val="24"/>
                    </w:rPr>
                    <w:t>值为</w:t>
                  </w:r>
                  <w:r>
                    <w:rPr>
                      <w:rFonts w:hint="default" w:ascii="Times New Roman" w:hAnsi="Times New Roman" w:eastAsia="TimesNewRomanPSMT" w:cs="Times New Roman"/>
                      <w:color w:val="auto"/>
                      <w:sz w:val="21"/>
                      <w:szCs w:val="24"/>
                    </w:rPr>
                    <w:t>11.5</w:t>
                  </w:r>
                  <w:r>
                    <w:rPr>
                      <w:rFonts w:hint="default" w:ascii="Times New Roman" w:hAnsi="Times New Roman" w:eastAsia="宋体" w:cs="Times New Roman"/>
                      <w:color w:val="auto"/>
                      <w:sz w:val="21"/>
                      <w:szCs w:val="24"/>
                    </w:rPr>
                    <w:t>。在泥浆中发生电离和水解，提供</w:t>
                  </w:r>
                  <w:r>
                    <w:rPr>
                      <w:rFonts w:hint="default" w:ascii="Times New Roman" w:hAnsi="Times New Roman" w:eastAsia="TimesNewRomanPSMT" w:cs="Times New Roman"/>
                      <w:color w:val="auto"/>
                      <w:sz w:val="21"/>
                      <w:szCs w:val="24"/>
                    </w:rPr>
                    <w:t>Na</w:t>
                  </w:r>
                  <w:r>
                    <w:rPr>
                      <w:rFonts w:hint="default" w:ascii="Times New Roman" w:hAnsi="Times New Roman" w:eastAsia="宋体" w:cs="Times New Roman"/>
                      <w:color w:val="auto"/>
                      <w:sz w:val="21"/>
                      <w:szCs w:val="24"/>
                      <w:vertAlign w:val="superscript"/>
                      <w:lang w:val="en-US" w:eastAsia="zh-CN"/>
                    </w:rPr>
                    <w:t>+</w:t>
                  </w:r>
                  <w:r>
                    <w:rPr>
                      <w:rFonts w:hint="default" w:ascii="Times New Roman" w:hAnsi="Times New Roman" w:eastAsia="宋体" w:cs="Times New Roman"/>
                      <w:color w:val="auto"/>
                      <w:sz w:val="21"/>
                      <w:szCs w:val="24"/>
                    </w:rPr>
                    <w:t>和</w:t>
                  </w:r>
                  <w:r>
                    <w:rPr>
                      <w:rFonts w:hint="default" w:ascii="Times New Roman" w:hAnsi="Times New Roman" w:eastAsia="TimesNewRomanPSMT" w:cs="Times New Roman"/>
                      <w:color w:val="auto"/>
                      <w:sz w:val="21"/>
                      <w:szCs w:val="24"/>
                    </w:rPr>
                    <w:t>CO</w:t>
                  </w:r>
                  <w:r>
                    <w:rPr>
                      <w:rFonts w:hint="default" w:ascii="Times New Roman" w:hAnsi="Times New Roman" w:eastAsia="宋体" w:cs="Times New Roman"/>
                      <w:color w:val="auto"/>
                      <w:sz w:val="21"/>
                      <w:szCs w:val="24"/>
                      <w:vertAlign w:val="subscript"/>
                      <w:lang w:val="en-US" w:eastAsia="zh-CN"/>
                    </w:rPr>
                    <w:t>3</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在泥浆中通过离子交换和沉淀作业，使钙质粘土变为钠质粘土。另外可除掉石膏或水泥浸入泥浆中的</w:t>
                  </w:r>
                  <w:r>
                    <w:rPr>
                      <w:rFonts w:hint="default" w:ascii="Times New Roman" w:hAnsi="Times New Roman" w:eastAsia="TimesNewRomanPSMT" w:cs="Times New Roman"/>
                      <w:color w:val="auto"/>
                      <w:sz w:val="21"/>
                      <w:szCs w:val="24"/>
                    </w:rPr>
                    <w:t>Ca</w:t>
                  </w:r>
                  <w:r>
                    <w:rPr>
                      <w:rFonts w:hint="default" w:ascii="Times New Roman" w:hAnsi="Times New Roman" w:eastAsia="宋体" w:cs="Times New Roman"/>
                      <w:color w:val="auto"/>
                      <w:sz w:val="21"/>
                      <w:szCs w:val="24"/>
                      <w:vertAlign w:val="superscript"/>
                      <w:lang w:val="en-US" w:eastAsia="zh-CN"/>
                    </w:rPr>
                    <w:t>2+</w:t>
                  </w:r>
                  <w:r>
                    <w:rPr>
                      <w:rFonts w:hint="default" w:ascii="Times New Roman" w:hAnsi="Times New Roman" w:eastAsia="宋体" w:cs="Times New Roman"/>
                      <w:color w:val="auto"/>
                      <w:sz w:val="21"/>
                      <w:szCs w:val="24"/>
                    </w:rPr>
                    <w:t>离子，使泥浆性能变好。</w:t>
                  </w:r>
                </w:p>
              </w:tc>
            </w:tr>
            <w:tr w14:paraId="7E8F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dxa"/>
                  <w:vAlign w:val="center"/>
                </w:tcPr>
                <w:p w14:paraId="0C014CF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碳酸氢钠</w:t>
                  </w:r>
                </w:p>
              </w:tc>
              <w:tc>
                <w:tcPr>
                  <w:tcW w:w="6945" w:type="dxa"/>
                  <w:vAlign w:val="center"/>
                </w:tcPr>
                <w:p w14:paraId="01CD65A0">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白色细小晶体，溶于水时呈现弱碱性，固体</w:t>
                  </w:r>
                  <w:r>
                    <w:rPr>
                      <w:rFonts w:hint="default" w:ascii="Times New Roman" w:hAnsi="Times New Roman" w:eastAsia="TimesNewRomanPSMT" w:cs="Times New Roman"/>
                      <w:color w:val="auto"/>
                      <w:sz w:val="21"/>
                      <w:szCs w:val="24"/>
                    </w:rPr>
                    <w:t>50℃</w:t>
                  </w:r>
                  <w:r>
                    <w:rPr>
                      <w:rFonts w:hint="default" w:ascii="Times New Roman" w:hAnsi="Times New Roman" w:eastAsia="宋体" w:cs="Times New Roman"/>
                      <w:color w:val="auto"/>
                      <w:sz w:val="21"/>
                      <w:szCs w:val="24"/>
                    </w:rPr>
                    <w:t>以上开始逐渐分解生成碳酸钠、二氧化碳和水，</w:t>
                  </w:r>
                  <w:r>
                    <w:rPr>
                      <w:rFonts w:hint="default" w:ascii="Times New Roman" w:hAnsi="Times New Roman" w:eastAsia="TimesNewRomanPSMT" w:cs="Times New Roman"/>
                      <w:color w:val="auto"/>
                      <w:sz w:val="21"/>
                      <w:szCs w:val="24"/>
                    </w:rPr>
                    <w:t>270℃</w:t>
                  </w:r>
                  <w:r>
                    <w:rPr>
                      <w:rFonts w:hint="default" w:ascii="Times New Roman" w:hAnsi="Times New Roman" w:eastAsia="宋体" w:cs="Times New Roman"/>
                      <w:color w:val="auto"/>
                      <w:sz w:val="21"/>
                      <w:szCs w:val="24"/>
                    </w:rPr>
                    <w:t>时完全分解。</w:t>
                  </w:r>
                </w:p>
              </w:tc>
            </w:tr>
          </w:tbl>
          <w:p w14:paraId="0E6200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表2-</w:t>
            </w:r>
            <w:r>
              <w:rPr>
                <w:rFonts w:hint="eastAsia" w:ascii="Times New Roman" w:hAnsi="Times New Roman" w:eastAsia="宋体" w:cs="Times New Roman"/>
                <w:b/>
                <w:bCs/>
                <w:color w:val="auto"/>
                <w:sz w:val="21"/>
                <w:szCs w:val="21"/>
                <w:vertAlign w:val="baseline"/>
                <w:lang w:val="en-US" w:eastAsia="zh-CN"/>
              </w:rPr>
              <w:t>9</w:t>
            </w:r>
            <w:r>
              <w:rPr>
                <w:rFonts w:hint="default" w:ascii="Times New Roman" w:hAnsi="Times New Roman" w:eastAsia="宋体" w:cs="Times New Roman"/>
                <w:b/>
                <w:bCs/>
                <w:color w:val="auto"/>
                <w:sz w:val="21"/>
                <w:szCs w:val="21"/>
                <w:vertAlign w:val="baseline"/>
                <w:lang w:val="en-US" w:eastAsia="zh-CN"/>
              </w:rPr>
              <w:t xml:space="preserve"> 原辅材料成分、性质一览表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3877"/>
              <w:gridCol w:w="3322"/>
            </w:tblGrid>
            <w:tr w14:paraId="75D7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0754B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311" w:type="pct"/>
                  <w:vAlign w:val="center"/>
                </w:tcPr>
                <w:p w14:paraId="22A04E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钻井液</w:t>
                  </w:r>
                </w:p>
              </w:tc>
              <w:tc>
                <w:tcPr>
                  <w:tcW w:w="1980" w:type="pct"/>
                  <w:vAlign w:val="center"/>
                </w:tcPr>
                <w:p w14:paraId="35FF01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压裂液</w:t>
                  </w:r>
                </w:p>
              </w:tc>
            </w:tr>
            <w:tr w14:paraId="23B8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03D191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成分配方比</w:t>
                  </w:r>
                </w:p>
              </w:tc>
              <w:tc>
                <w:tcPr>
                  <w:tcW w:w="2311" w:type="pct"/>
                  <w:vAlign w:val="center"/>
                </w:tcPr>
                <w:p w14:paraId="614C58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膨润土：6~8%</w:t>
                  </w:r>
                </w:p>
                <w:p w14:paraId="19F0DEE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纯碱：0.3~0.5%</w:t>
                  </w:r>
                </w:p>
                <w:p w14:paraId="4C599A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CMC：0.05~0.1%</w:t>
                  </w:r>
                </w:p>
                <w:p w14:paraId="48C32C7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聚丙烯酰胺：0~0.5%</w:t>
                  </w:r>
                </w:p>
                <w:p w14:paraId="2BE9052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水：90.9~93.65%</w:t>
                  </w:r>
                </w:p>
              </w:tc>
              <w:tc>
                <w:tcPr>
                  <w:tcW w:w="1980" w:type="pct"/>
                  <w:vAlign w:val="center"/>
                </w:tcPr>
                <w:p w14:paraId="7375A256">
                  <w:pPr>
                    <w:keepNext w:val="0"/>
                    <w:keepLines w:val="0"/>
                    <w:widowControl/>
                    <w:suppressLineNumbers w:val="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kern w:val="0"/>
                      <w:sz w:val="21"/>
                      <w:szCs w:val="21"/>
                      <w:lang w:val="en-US" w:eastAsia="zh-CN" w:bidi="ar"/>
                    </w:rPr>
                    <w:t>主要由稠化剂、交联剂、高温稳定剂、破胶剂等一些助剂组成。稠化剂是压裂液主要成分，约占总体系的0.1～1％</w:t>
                  </w:r>
                </w:p>
              </w:tc>
            </w:tr>
            <w:tr w14:paraId="50E4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660F71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性质作用</w:t>
                  </w:r>
                </w:p>
              </w:tc>
              <w:tc>
                <w:tcPr>
                  <w:tcW w:w="2311" w:type="pct"/>
                  <w:vAlign w:val="center"/>
                </w:tcPr>
                <w:p w14:paraId="6B022A95">
                  <w:pPr>
                    <w:spacing w:beforeLines="0" w:afterLine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膨润土是一种以蒙脱石矿物为主要成分的粘性土，水化能力强，膨胀性大，分散性高。泥浆中注入4-8％的膨润土钻井液，具有良好的流变性能固定颗粒含量少，称为低固相优质固壁泥浆，其特点有：1、泥浆比重小，可泵及净化性能好，适用于反循环钻进工艺。2、失水量小，形成的泥皮薄而有韧，固壁效果好。3、具有良好的流变性能，悬浮携带钻碴能力强，利于提高钻进效率。4、省电、省工和省时，机械磨损小，可降低工程成本。</w:t>
                  </w:r>
                </w:p>
              </w:tc>
              <w:tc>
                <w:tcPr>
                  <w:tcW w:w="1980" w:type="pct"/>
                  <w:vAlign w:val="center"/>
                </w:tcPr>
                <w:p w14:paraId="7A99EA5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压裂液是在钻井中将地面所形成的高压传递到下层中去，使得地层造成新的裂缝，撑开或扩大地层原有裂缝，同时把支撑剂带到裂缝中去。压裂液选用的性能要求：黏度高，润滑性好，滤失量小，低摩阻，对被压裂的流体层无堵塞及损害，对流体矿无污染，热稳定性及剪切稳定性能好、低残渣、配伍性好、破胶迅速、货源广，便于配置，经济合理</w:t>
                  </w:r>
                </w:p>
              </w:tc>
            </w:tr>
            <w:tr w14:paraId="7B29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pct"/>
                  <w:vAlign w:val="center"/>
                </w:tcPr>
                <w:p w14:paraId="77BDEC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临时储存环保要求</w:t>
                  </w:r>
                </w:p>
              </w:tc>
              <w:tc>
                <w:tcPr>
                  <w:tcW w:w="2311" w:type="pct"/>
                  <w:vAlign w:val="center"/>
                </w:tcPr>
                <w:p w14:paraId="324F188D">
                  <w:pPr>
                    <w:spacing w:beforeLines="0" w:afterLine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钻井液原料和处理剂的存放，应采取“防雨、防潮、防晒、防冻”等措施；钻井液材料应有详细记录，存放位置有明显标志。钻井液材料堆放台或架应高于地面100mm以上，并加设顶篷，防治雨水淋沥、浸泡造成污染。</w:t>
                  </w:r>
                </w:p>
              </w:tc>
              <w:tc>
                <w:tcPr>
                  <w:tcW w:w="1980" w:type="pct"/>
                  <w:vAlign w:val="center"/>
                </w:tcPr>
                <w:p w14:paraId="32FCA6F4">
                  <w:pPr>
                    <w:spacing w:beforeLines="0" w:afterLines="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lang w:val="en-US" w:eastAsia="zh-CN"/>
                    </w:rPr>
                    <w:t>储存于压裂液储罐内，储区应做好防渗措施，四周设置围堰。</w:t>
                  </w:r>
                </w:p>
              </w:tc>
            </w:tr>
          </w:tbl>
          <w:p w14:paraId="5EB72B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在钻井一开、二开过程中需要注入钻井液（俗称泥浆），钻井液是钻探过程中，孔内使用的循环冲洗介质，主要功用是：①冷却钻头、清净孔底、带出岩屑；②润滑钻具；③停钻时悬浮岩屑，保护孔壁防止坍塌，平衡地层压力、压住高压油气水层；④输送岩心，为孔底动力机传递破碎孔底岩石需要的动力等。</w:t>
            </w:r>
          </w:p>
          <w:p w14:paraId="0DD6E2CA">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钻井液配置过程为：确定钻井液配比→加入按比例称取的水和膨润土→加入其他成分→利用烧碱调pH→倒入高速搅拌机搅拌→钻井液陈化→使用。钻井液配置过程中，为防止泄露对地下水及土壤影响，采取相应的环保措施</w:t>
            </w:r>
            <w:r>
              <w:rPr>
                <w:rFonts w:hint="eastAsia"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cs="Times New Roman"/>
                <w:color w:val="auto"/>
                <w:sz w:val="24"/>
                <w:szCs w:val="24"/>
                <w:highlight w:val="none"/>
                <w:lang w:val="en-US" w:eastAsia="zh-CN" w:bidi="ar"/>
              </w:rPr>
              <w:t>钻井液</w:t>
            </w:r>
            <w:r>
              <w:rPr>
                <w:rFonts w:hint="eastAsia" w:ascii="Times New Roman" w:hAnsi="Times New Roman" w:eastAsia="宋体" w:cs="Times New Roman"/>
                <w:color w:val="auto"/>
                <w:sz w:val="24"/>
                <w:szCs w:val="24"/>
                <w:highlight w:val="none"/>
                <w:lang w:val="en-US" w:eastAsia="zh-CN" w:bidi="ar"/>
              </w:rPr>
              <w:t>配置</w:t>
            </w:r>
            <w:r>
              <w:rPr>
                <w:rFonts w:hint="eastAsia" w:ascii="Times New Roman" w:hAnsi="Times New Roman" w:cs="Times New Roman"/>
                <w:color w:val="auto"/>
                <w:sz w:val="24"/>
                <w:szCs w:val="24"/>
                <w:highlight w:val="none"/>
                <w:lang w:val="en-US" w:eastAsia="zh-CN" w:bidi="ar"/>
              </w:rPr>
              <w:t>在钻井液材料库内进行，其余药品存放在材料库。钻井液材料库内</w:t>
            </w:r>
            <w:r>
              <w:rPr>
                <w:rFonts w:hint="eastAsia" w:ascii="Times New Roman" w:hAnsi="Times New Roman" w:eastAsia="宋体" w:cs="Times New Roman"/>
                <w:color w:val="auto"/>
                <w:sz w:val="24"/>
                <w:szCs w:val="24"/>
                <w:highlight w:val="none"/>
                <w:lang w:val="en-US" w:eastAsia="zh-CN" w:bidi="ar"/>
              </w:rPr>
              <w:t>采取重点防渗，地面连同四周的</w:t>
            </w:r>
            <w:r>
              <w:rPr>
                <w:rFonts w:hint="eastAsia" w:ascii="Times New Roman" w:hAnsi="Times New Roman" w:cs="Times New Roman"/>
                <w:color w:val="auto"/>
                <w:sz w:val="24"/>
                <w:szCs w:val="24"/>
                <w:highlight w:val="none"/>
                <w:lang w:val="en-US" w:eastAsia="zh-CN" w:bidi="ar"/>
              </w:rPr>
              <w:t>裙角</w:t>
            </w:r>
            <w:r>
              <w:rPr>
                <w:rFonts w:hint="eastAsia" w:ascii="Times New Roman" w:hAnsi="Times New Roman" w:eastAsia="宋体" w:cs="Times New Roman"/>
                <w:color w:val="auto"/>
                <w:sz w:val="24"/>
                <w:szCs w:val="24"/>
                <w:highlight w:val="none"/>
                <w:lang w:val="en-US" w:eastAsia="zh-CN" w:bidi="ar"/>
              </w:rPr>
              <w:t>铺设防渗材料（HDPE膜，厚膜不少于2mm）</w:t>
            </w:r>
            <w:r>
              <w:rPr>
                <w:rFonts w:hint="eastAsia" w:ascii="Times New Roman" w:hAnsi="Times New Roman" w:cs="Times New Roman"/>
                <w:color w:val="auto"/>
                <w:sz w:val="24"/>
                <w:szCs w:val="24"/>
                <w:highlight w:val="none"/>
                <w:lang w:val="en-US" w:eastAsia="zh-CN" w:bidi="ar"/>
              </w:rPr>
              <w:t>，材料库采取一般防渗</w:t>
            </w:r>
            <w:r>
              <w:rPr>
                <w:rFonts w:hint="eastAsia" w:ascii="Times New Roman" w:hAnsi="Times New Roman" w:eastAsia="宋体" w:cs="Times New Roman"/>
                <w:color w:val="auto"/>
                <w:sz w:val="24"/>
                <w:szCs w:val="24"/>
                <w:highlight w:val="none"/>
                <w:lang w:val="en-US" w:eastAsia="zh-CN" w:bidi="ar"/>
              </w:rPr>
              <w:t>。</w:t>
            </w:r>
          </w:p>
          <w:p w14:paraId="7EE6A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七</w:t>
            </w:r>
            <w:r>
              <w:rPr>
                <w:rFonts w:hint="default" w:ascii="Times New Roman" w:hAnsi="Times New Roman" w:eastAsia="宋体" w:cs="Times New Roman"/>
                <w:b/>
                <w:bCs/>
                <w:color w:val="auto"/>
                <w:sz w:val="24"/>
                <w:szCs w:val="24"/>
                <w:vertAlign w:val="baseline"/>
                <w:lang w:val="en-US" w:eastAsia="zh-CN"/>
              </w:rPr>
              <w:t>、公用工程</w:t>
            </w:r>
          </w:p>
          <w:p w14:paraId="67937C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1、给水</w:t>
            </w:r>
          </w:p>
          <w:p w14:paraId="0DAF0C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项目用水包括生活用水和生产用水两部分，由罐车拉运至井场。</w:t>
            </w:r>
          </w:p>
          <w:p w14:paraId="2DAC43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（1）生活用水</w:t>
            </w:r>
          </w:p>
          <w:p w14:paraId="1233B0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w:t>
            </w:r>
            <w:r>
              <w:rPr>
                <w:rFonts w:hint="default" w:ascii="Times New Roman" w:hAnsi="Times New Roman" w:eastAsia="宋体" w:cs="Times New Roman"/>
                <w:b w:val="0"/>
                <w:bCs w:val="0"/>
                <w:color w:val="auto"/>
                <w:sz w:val="24"/>
                <w:szCs w:val="24"/>
                <w:vertAlign w:val="baseline"/>
                <w:lang w:val="en-US" w:eastAsia="zh-CN"/>
              </w:rPr>
              <w:t>劳动定员35人，根据《陕西省行业用水定额》（DB61/T943-2020）中相关要求，生活用水量按65L/人·天考虑，</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勘探期预计</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天，则项目施工期用水总量为</w:t>
            </w:r>
            <w:r>
              <w:rPr>
                <w:rFonts w:hint="eastAsia" w:ascii="Times New Roman" w:hAnsi="Times New Roman" w:eastAsia="宋体" w:cs="Times New Roman"/>
                <w:b w:val="0"/>
                <w:bCs w:val="0"/>
                <w:color w:val="auto"/>
                <w:sz w:val="24"/>
                <w:szCs w:val="24"/>
                <w:vertAlign w:val="baseline"/>
                <w:lang w:val="en-US" w:eastAsia="zh-CN"/>
              </w:rPr>
              <w:t>113.75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/井，则三口井总用水量341.25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p>
          <w:p w14:paraId="702EF5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（2）钻井用水</w:t>
            </w:r>
          </w:p>
          <w:p w14:paraId="201094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根据《陕西省行业用水定额》（DB61/T943-2020），常规钻井阶段平均每米进尺用水量约0.25m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本项目各井钻井用水量见下表</w:t>
            </w:r>
            <w:r>
              <w:rPr>
                <w:rFonts w:hint="default" w:ascii="Times New Roman" w:hAnsi="Times New Roman" w:eastAsia="宋体" w:cs="Times New Roman"/>
                <w:b w:val="0"/>
                <w:bCs w:val="0"/>
                <w:color w:val="auto"/>
                <w:sz w:val="24"/>
                <w:szCs w:val="24"/>
                <w:highlight w:val="none"/>
                <w:vertAlign w:val="baseline"/>
                <w:lang w:val="en-US" w:eastAsia="zh-CN"/>
              </w:rPr>
              <w:t>。</w:t>
            </w:r>
          </w:p>
          <w:p w14:paraId="08F63F0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表2-10   钻井用水量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2377"/>
              <w:gridCol w:w="2918"/>
              <w:gridCol w:w="2098"/>
            </w:tblGrid>
            <w:tr w14:paraId="22041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EED8C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2377" w:type="dxa"/>
                  <w:vAlign w:val="center"/>
                </w:tcPr>
                <w:p w14:paraId="331452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井号</w:t>
                  </w:r>
                </w:p>
              </w:tc>
              <w:tc>
                <w:tcPr>
                  <w:tcW w:w="2918" w:type="dxa"/>
                  <w:vAlign w:val="center"/>
                </w:tcPr>
                <w:p w14:paraId="5587AF4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钻井深度</w:t>
                  </w:r>
                </w:p>
              </w:tc>
              <w:tc>
                <w:tcPr>
                  <w:tcW w:w="2098" w:type="dxa"/>
                  <w:vAlign w:val="center"/>
                </w:tcPr>
                <w:p w14:paraId="6EC8D3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钻井用水量（m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r>
            <w:tr w14:paraId="546E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75F24E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2377" w:type="dxa"/>
                  <w:shd w:val="clear" w:color="auto" w:fill="auto"/>
                  <w:vAlign w:val="center"/>
                </w:tcPr>
                <w:p w14:paraId="2665CE5A">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米107-32M</w:t>
                  </w:r>
                </w:p>
              </w:tc>
              <w:tc>
                <w:tcPr>
                  <w:tcW w:w="2918" w:type="dxa"/>
                  <w:shd w:val="clear" w:color="auto" w:fill="auto"/>
                  <w:vAlign w:val="center"/>
                </w:tcPr>
                <w:p w14:paraId="32BBAD67">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2765</w:t>
                  </w:r>
                </w:p>
              </w:tc>
              <w:tc>
                <w:tcPr>
                  <w:tcW w:w="2098" w:type="dxa"/>
                  <w:vAlign w:val="center"/>
                </w:tcPr>
                <w:p w14:paraId="2AA50A98">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691.25</w:t>
                  </w:r>
                </w:p>
              </w:tc>
            </w:tr>
            <w:tr w14:paraId="5695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3A8126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2377" w:type="dxa"/>
                  <w:shd w:val="clear" w:color="auto" w:fill="auto"/>
                  <w:vAlign w:val="center"/>
                </w:tcPr>
                <w:p w14:paraId="051CC3C2">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米107-16M</w:t>
                  </w:r>
                </w:p>
              </w:tc>
              <w:tc>
                <w:tcPr>
                  <w:tcW w:w="2918" w:type="dxa"/>
                  <w:shd w:val="clear" w:color="auto" w:fill="auto"/>
                  <w:vAlign w:val="center"/>
                </w:tcPr>
                <w:p w14:paraId="094F1435">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2850</w:t>
                  </w:r>
                </w:p>
              </w:tc>
              <w:tc>
                <w:tcPr>
                  <w:tcW w:w="2098" w:type="dxa"/>
                  <w:vAlign w:val="center"/>
                </w:tcPr>
                <w:p w14:paraId="11B60A4E">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712.5</w:t>
                  </w:r>
                </w:p>
              </w:tc>
            </w:tr>
            <w:tr w14:paraId="752B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7" w:type="dxa"/>
                  <w:vAlign w:val="center"/>
                </w:tcPr>
                <w:p w14:paraId="6A213A5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2377" w:type="dxa"/>
                  <w:shd w:val="clear" w:color="auto" w:fill="auto"/>
                  <w:vAlign w:val="center"/>
                </w:tcPr>
                <w:p w14:paraId="40C9B67F">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米107-22MH</w:t>
                  </w:r>
                </w:p>
              </w:tc>
              <w:tc>
                <w:tcPr>
                  <w:tcW w:w="2918" w:type="dxa"/>
                  <w:shd w:val="clear" w:color="auto" w:fill="auto"/>
                  <w:vAlign w:val="center"/>
                </w:tcPr>
                <w:p w14:paraId="5C9822D2">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2700</w:t>
                  </w:r>
                </w:p>
              </w:tc>
              <w:tc>
                <w:tcPr>
                  <w:tcW w:w="2098" w:type="dxa"/>
                  <w:vAlign w:val="center"/>
                </w:tcPr>
                <w:p w14:paraId="48328F8F">
                  <w:pPr>
                    <w:widowControl/>
                    <w:spacing w:line="240" w:lineRule="auto"/>
                    <w:ind w:firstLine="0" w:firstLineChars="0"/>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675</w:t>
                  </w:r>
                </w:p>
              </w:tc>
            </w:tr>
            <w:tr w14:paraId="0AB1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92" w:type="dxa"/>
                  <w:gridSpan w:val="3"/>
                  <w:vAlign w:val="center"/>
                </w:tcPr>
                <w:p w14:paraId="0EF2D9A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合计</w:t>
                  </w:r>
                </w:p>
              </w:tc>
              <w:tc>
                <w:tcPr>
                  <w:tcW w:w="2098" w:type="dxa"/>
                  <w:vAlign w:val="center"/>
                </w:tcPr>
                <w:p w14:paraId="75B2690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2078.75</w:t>
                  </w:r>
                </w:p>
              </w:tc>
            </w:tr>
          </w:tbl>
          <w:p w14:paraId="1ADAEE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（3）洗井用水</w:t>
            </w:r>
          </w:p>
          <w:p w14:paraId="2814F9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根据建设单位实际建设经验和统计数据</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洗井用水量为</w:t>
            </w:r>
            <w:r>
              <w:rPr>
                <w:rFonts w:hint="eastAsia" w:ascii="Times New Roman" w:hAnsi="Times New Roman" w:eastAsia="宋体" w:cs="Times New Roman"/>
                <w:b w:val="0"/>
                <w:bCs w:val="0"/>
                <w:color w:val="auto"/>
                <w:sz w:val="24"/>
                <w:szCs w:val="24"/>
                <w:vertAlign w:val="baseline"/>
                <w:lang w:val="en-US" w:eastAsia="zh-CN"/>
              </w:rPr>
              <w:t>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项目洗井</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150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废水</w:t>
            </w:r>
            <w:r>
              <w:rPr>
                <w:rFonts w:hint="default" w:ascii="Times New Roman" w:hAnsi="Times New Roman" w:eastAsia="宋体" w:cs="Times New Roman"/>
                <w:b w:val="0"/>
                <w:bCs w:val="0"/>
                <w:color w:val="auto"/>
                <w:sz w:val="24"/>
                <w:szCs w:val="24"/>
                <w:vertAlign w:val="baseline"/>
                <w:lang w:val="en-US" w:eastAsia="zh-CN"/>
              </w:rPr>
              <w:t>产生量约为用水量的</w:t>
            </w:r>
            <w:r>
              <w:rPr>
                <w:rFonts w:hint="eastAsia" w:ascii="Times New Roman" w:hAnsi="Times New Roman" w:eastAsia="宋体" w:cs="Times New Roman"/>
                <w:b w:val="0"/>
                <w:bCs w:val="0"/>
                <w:color w:val="auto"/>
                <w:sz w:val="24"/>
                <w:szCs w:val="24"/>
                <w:vertAlign w:val="baseline"/>
                <w:lang w:val="en-US" w:eastAsia="zh-CN"/>
              </w:rPr>
              <w:t>9</w:t>
            </w:r>
            <w:r>
              <w:rPr>
                <w:rFonts w:hint="default" w:ascii="Times New Roman" w:hAnsi="Times New Roman" w:eastAsia="宋体" w:cs="Times New Roman"/>
                <w:b w:val="0"/>
                <w:bCs w:val="0"/>
                <w:color w:val="auto"/>
                <w:sz w:val="24"/>
                <w:szCs w:val="24"/>
                <w:vertAlign w:val="baseline"/>
                <w:lang w:val="en-US" w:eastAsia="zh-CN"/>
              </w:rPr>
              <w:t>0%，则洗井废水产生量为</w:t>
            </w:r>
            <w:r>
              <w:rPr>
                <w:rFonts w:hint="eastAsia" w:ascii="Times New Roman" w:hAnsi="Times New Roman" w:eastAsia="宋体" w:cs="Times New Roman"/>
                <w:b w:val="0"/>
                <w:bCs w:val="0"/>
                <w:color w:val="auto"/>
                <w:sz w:val="24"/>
                <w:szCs w:val="24"/>
                <w:vertAlign w:val="baseline"/>
                <w:lang w:val="en-US" w:eastAsia="zh-CN"/>
              </w:rPr>
              <w:t>135</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8D8E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（4）压裂用水</w:t>
            </w:r>
          </w:p>
          <w:p w14:paraId="0ED6FA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压裂用水量为</w:t>
            </w:r>
            <w:r>
              <w:rPr>
                <w:rFonts w:hint="eastAsia" w:ascii="Times New Roman" w:hAnsi="Times New Roman" w:eastAsia="宋体" w:cs="Times New Roman"/>
                <w:b w:val="0"/>
                <w:bCs w:val="0"/>
                <w:color w:val="auto"/>
                <w:sz w:val="24"/>
                <w:szCs w:val="24"/>
                <w:vertAlign w:val="baseline"/>
                <w:lang w:val="en-US" w:eastAsia="zh-CN"/>
              </w:rPr>
              <w:t>300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（压裂液为现场自行配置）</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项目压裂</w:t>
            </w:r>
            <w:r>
              <w:rPr>
                <w:rFonts w:hint="eastAsia" w:ascii="Times New Roman" w:hAnsi="Times New Roman" w:eastAsia="宋体" w:cs="Times New Roman"/>
                <w:b w:val="0"/>
                <w:bCs w:val="0"/>
                <w:color w:val="auto"/>
                <w:sz w:val="24"/>
                <w:szCs w:val="24"/>
                <w:vertAlign w:val="baseline"/>
                <w:lang w:val="en-US" w:eastAsia="zh-CN"/>
              </w:rPr>
              <w:t>总</w:t>
            </w:r>
            <w:r>
              <w:rPr>
                <w:rFonts w:hint="default" w:ascii="Times New Roman" w:hAnsi="Times New Roman" w:eastAsia="宋体" w:cs="Times New Roman"/>
                <w:b w:val="0"/>
                <w:bCs w:val="0"/>
                <w:color w:val="auto"/>
                <w:sz w:val="24"/>
                <w:szCs w:val="24"/>
                <w:vertAlign w:val="baseline"/>
                <w:lang w:val="en-US" w:eastAsia="zh-CN"/>
              </w:rPr>
              <w:t>用水量为</w:t>
            </w:r>
            <w:r>
              <w:rPr>
                <w:rFonts w:hint="eastAsia" w:ascii="Times New Roman" w:hAnsi="Times New Roman" w:eastAsia="宋体" w:cs="Times New Roman"/>
                <w:b w:val="0"/>
                <w:bCs w:val="0"/>
                <w:color w:val="auto"/>
                <w:sz w:val="24"/>
                <w:szCs w:val="24"/>
                <w:vertAlign w:val="baseline"/>
                <w:lang w:val="en-US" w:eastAsia="zh-CN"/>
              </w:rPr>
              <w:t>900</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6250BC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2、排水</w:t>
            </w:r>
          </w:p>
          <w:p w14:paraId="2DEC9E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（1）生活污水</w:t>
            </w:r>
          </w:p>
          <w:p w14:paraId="32B714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生活污水产生量按照用量的80%计，项目生活污水产生量为</w:t>
            </w:r>
            <w:r>
              <w:rPr>
                <w:rFonts w:hint="eastAsia" w:ascii="Times New Roman" w:hAnsi="Times New Roman" w:eastAsia="宋体" w:cs="Times New Roman"/>
                <w:b w:val="0"/>
                <w:bCs w:val="0"/>
                <w:color w:val="auto"/>
                <w:sz w:val="24"/>
                <w:szCs w:val="24"/>
                <w:vertAlign w:val="baseline"/>
                <w:lang w:val="en-US" w:eastAsia="zh-CN"/>
              </w:rPr>
              <w:t>91</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/井，总</w:t>
            </w:r>
            <w:r>
              <w:rPr>
                <w:rFonts w:hint="default" w:ascii="Times New Roman" w:hAnsi="Times New Roman" w:eastAsia="宋体" w:cs="Times New Roman"/>
                <w:b w:val="0"/>
                <w:bCs w:val="0"/>
                <w:color w:val="auto"/>
                <w:sz w:val="24"/>
                <w:szCs w:val="24"/>
                <w:vertAlign w:val="baseline"/>
                <w:lang w:val="en-US" w:eastAsia="zh-CN"/>
              </w:rPr>
              <w:t>生活污水产生量为</w:t>
            </w:r>
            <w:r>
              <w:rPr>
                <w:rFonts w:hint="eastAsia" w:ascii="Times New Roman" w:hAnsi="Times New Roman" w:eastAsia="宋体" w:cs="Times New Roman"/>
                <w:b w:val="0"/>
                <w:bCs w:val="0"/>
                <w:color w:val="auto"/>
                <w:sz w:val="24"/>
                <w:szCs w:val="24"/>
                <w:vertAlign w:val="baseline"/>
                <w:lang w:val="en-US" w:eastAsia="zh-CN"/>
              </w:rPr>
              <w:t>273</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，项目井场内设置旱厕，</w:t>
            </w:r>
            <w:r>
              <w:rPr>
                <w:rFonts w:hint="eastAsia" w:ascii="Times New Roman" w:hAnsi="Times New Roman" w:eastAsia="宋体" w:cs="Times New Roman"/>
                <w:b w:val="0"/>
                <w:bCs w:val="0"/>
                <w:color w:val="auto"/>
                <w:sz w:val="24"/>
                <w:szCs w:val="24"/>
                <w:vertAlign w:val="baseline"/>
                <w:lang w:val="en-US" w:eastAsia="zh-CN"/>
              </w:rPr>
              <w:t>部分</w:t>
            </w:r>
            <w:r>
              <w:rPr>
                <w:rFonts w:hint="default" w:ascii="Times New Roman" w:hAnsi="Times New Roman" w:eastAsia="宋体" w:cs="Times New Roman"/>
                <w:b w:val="0"/>
                <w:bCs w:val="0"/>
                <w:color w:val="auto"/>
                <w:sz w:val="24"/>
                <w:szCs w:val="24"/>
                <w:vertAlign w:val="baseline"/>
                <w:lang w:val="en-US" w:eastAsia="zh-CN"/>
              </w:rPr>
              <w:t>生活污水排至旱厕，用于周围植被施肥</w:t>
            </w:r>
            <w:r>
              <w:rPr>
                <w:rFonts w:hint="eastAsia" w:ascii="Times New Roman" w:hAnsi="Times New Roman" w:eastAsia="宋体" w:cs="Times New Roman"/>
                <w:b w:val="0"/>
                <w:bCs w:val="0"/>
                <w:color w:val="auto"/>
                <w:sz w:val="24"/>
                <w:szCs w:val="24"/>
                <w:vertAlign w:val="baseline"/>
                <w:lang w:val="en-US" w:eastAsia="zh-CN"/>
              </w:rPr>
              <w:t>；部分盥洗废水经沉淀罐沉淀后用于井场洒水抑尘。</w:t>
            </w:r>
          </w:p>
          <w:p w14:paraId="17E6FF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（2）生产废水</w:t>
            </w:r>
          </w:p>
          <w:p w14:paraId="36119B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钻井废水</w:t>
            </w:r>
          </w:p>
          <w:p w14:paraId="347252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作业的泥浆配浆过程中会根据泥浆的不同要求加入不等量的水，这些水随钻井泥浆进入井底协助钻井作业。在钻井泥浆返回地面后，进入地面的泥浆不落地系统，经系统内的振动筛筛分后，岩屑收集于岩屑收集罐内；钻井泥浆暂存于泥浆罐，经静置沉淀后，析出的上清液作为钻井泥浆配液回用，泥浆</w:t>
            </w:r>
            <w:r>
              <w:rPr>
                <w:rFonts w:hint="eastAsia" w:ascii="Times New Roman" w:hAnsi="Times New Roman" w:eastAsia="宋体" w:cs="Times New Roman"/>
                <w:b w:val="0"/>
                <w:bCs w:val="0"/>
                <w:color w:val="auto"/>
                <w:sz w:val="24"/>
                <w:szCs w:val="24"/>
                <w:vertAlign w:val="baseline"/>
                <w:lang w:val="en-US" w:eastAsia="zh-CN"/>
              </w:rPr>
              <w:t>经压滤机压滤后交陕西德禾鑫盛环保科技有限公司</w:t>
            </w:r>
            <w:r>
              <w:rPr>
                <w:rFonts w:hint="default" w:ascii="Times New Roman" w:hAnsi="Times New Roman" w:eastAsia="宋体" w:cs="Times New Roman"/>
                <w:b w:val="0"/>
                <w:bCs w:val="0"/>
                <w:color w:val="auto"/>
                <w:sz w:val="24"/>
                <w:szCs w:val="24"/>
                <w:vertAlign w:val="baseline"/>
                <w:lang w:val="en-US" w:eastAsia="zh-CN"/>
              </w:rPr>
              <w:t>集中</w:t>
            </w:r>
            <w:r>
              <w:rPr>
                <w:rFonts w:hint="eastAsia" w:ascii="Times New Roman" w:hAnsi="Times New Roman" w:eastAsia="宋体" w:cs="Times New Roman"/>
                <w:b w:val="0"/>
                <w:bCs w:val="0"/>
                <w:color w:val="auto"/>
                <w:sz w:val="24"/>
                <w:szCs w:val="24"/>
                <w:vertAlign w:val="baseline"/>
                <w:lang w:val="en-US" w:eastAsia="zh-CN"/>
              </w:rPr>
              <w:t>填埋</w:t>
            </w:r>
            <w:r>
              <w:rPr>
                <w:rFonts w:hint="default" w:ascii="Times New Roman" w:hAnsi="Times New Roman" w:eastAsia="宋体" w:cs="Times New Roman"/>
                <w:b w:val="0"/>
                <w:bCs w:val="0"/>
                <w:color w:val="auto"/>
                <w:sz w:val="24"/>
                <w:szCs w:val="24"/>
                <w:vertAlign w:val="baseline"/>
                <w:lang w:val="en-US" w:eastAsia="zh-CN"/>
              </w:rPr>
              <w:t>处置。</w:t>
            </w:r>
          </w:p>
          <w:p w14:paraId="6B11D1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根据最新钻井工艺要求，泥浆返排率约100%（若返排泥浆量小于钻入泥浆量，可能发生井漏事故），项目泥浆上清液排入井场设置的泥浆罐内，用于配制泥浆，循环使用，最终不能再利用的泥浆</w:t>
            </w:r>
            <w:r>
              <w:rPr>
                <w:rFonts w:hint="eastAsia" w:ascii="Times New Roman" w:hAnsi="Times New Roman" w:eastAsia="宋体" w:cs="Times New Roman"/>
                <w:b w:val="0"/>
                <w:bCs w:val="0"/>
                <w:color w:val="auto"/>
                <w:sz w:val="24"/>
                <w:szCs w:val="24"/>
                <w:vertAlign w:val="baseline"/>
                <w:lang w:val="en-US" w:eastAsia="zh-CN"/>
              </w:rPr>
              <w:t>压滤后交陕西德禾鑫盛环保科技有限公司</w:t>
            </w:r>
            <w:r>
              <w:rPr>
                <w:rFonts w:hint="default" w:ascii="Times New Roman" w:hAnsi="Times New Roman" w:eastAsia="宋体" w:cs="Times New Roman"/>
                <w:b w:val="0"/>
                <w:bCs w:val="0"/>
                <w:color w:val="auto"/>
                <w:sz w:val="24"/>
                <w:szCs w:val="24"/>
                <w:vertAlign w:val="baseline"/>
                <w:lang w:val="en-US" w:eastAsia="zh-CN"/>
              </w:rPr>
              <w:t>集中</w:t>
            </w:r>
            <w:r>
              <w:rPr>
                <w:rFonts w:hint="eastAsia" w:ascii="Times New Roman" w:hAnsi="Times New Roman" w:eastAsia="宋体" w:cs="Times New Roman"/>
                <w:b w:val="0"/>
                <w:bCs w:val="0"/>
                <w:color w:val="auto"/>
                <w:sz w:val="24"/>
                <w:szCs w:val="24"/>
                <w:vertAlign w:val="baseline"/>
                <w:lang w:val="en-US" w:eastAsia="zh-CN"/>
              </w:rPr>
              <w:t>填埋</w:t>
            </w:r>
            <w:r>
              <w:rPr>
                <w:rFonts w:hint="default" w:ascii="Times New Roman" w:hAnsi="Times New Roman" w:eastAsia="宋体" w:cs="Times New Roman"/>
                <w:b w:val="0"/>
                <w:bCs w:val="0"/>
                <w:color w:val="auto"/>
                <w:sz w:val="24"/>
                <w:szCs w:val="24"/>
                <w:vertAlign w:val="baseline"/>
                <w:lang w:val="en-US" w:eastAsia="zh-CN"/>
              </w:rPr>
              <w:t>处置。</w:t>
            </w:r>
          </w:p>
          <w:p w14:paraId="14E6F18D">
            <w:pPr>
              <w:pStyle w:val="26"/>
              <w:bidi w:val="0"/>
              <w:rPr>
                <w:rFonts w:hint="eastAsia"/>
                <w:color w:val="auto"/>
                <w:lang w:val="en-US" w:eastAsia="zh-CN"/>
              </w:rPr>
            </w:pPr>
            <w:r>
              <w:rPr>
                <w:rFonts w:hint="eastAsia"/>
                <w:color w:val="auto"/>
                <w:lang w:val="en-US" w:eastAsia="zh-CN"/>
              </w:rPr>
              <w:t>洗井废水临时收集贮存于洗井废水储罐，委托陕西榆佳环保科技有限公司外运处理。</w:t>
            </w:r>
          </w:p>
          <w:p w14:paraId="0B387AE5">
            <w:pPr>
              <w:pStyle w:val="26"/>
              <w:bidi w:val="0"/>
              <w:rPr>
                <w:rFonts w:hint="eastAsia"/>
                <w:color w:val="auto"/>
                <w:lang w:val="en-US" w:eastAsia="zh-CN"/>
              </w:rPr>
            </w:pPr>
            <w:r>
              <w:rPr>
                <w:rFonts w:hint="eastAsia"/>
                <w:color w:val="auto"/>
                <w:lang w:val="en-US" w:eastAsia="zh-CN"/>
              </w:rPr>
              <w:t>压裂返排液临时收集贮存于压裂返排液储罐，委托陕西榆佳环保科技有限公司外运处理。</w:t>
            </w:r>
          </w:p>
          <w:p w14:paraId="57BB44C1">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object>
                <v:shape id="_x0000_i1025" o:spt="75" type="#_x0000_t75" style="height:242.8pt;width:340.4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14:paraId="505E7A3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图2-</w:t>
            </w:r>
            <w:r>
              <w:rPr>
                <w:rFonts w:hint="eastAsia" w:ascii="Times New Roman" w:hAnsi="Times New Roman" w:eastAsia="宋体" w:cs="Times New Roman"/>
                <w:b/>
                <w:bCs/>
                <w:color w:val="auto"/>
                <w:sz w:val="21"/>
                <w:szCs w:val="21"/>
                <w:highlight w:val="none"/>
                <w:vertAlign w:val="baseline"/>
                <w:lang w:val="en-US" w:eastAsia="zh-CN"/>
              </w:rPr>
              <w:t>2</w:t>
            </w:r>
            <w:r>
              <w:rPr>
                <w:rFonts w:hint="default" w:ascii="Times New Roman" w:hAnsi="Times New Roman" w:eastAsia="宋体" w:cs="Times New Roman"/>
                <w:b/>
                <w:bCs/>
                <w:color w:val="auto"/>
                <w:sz w:val="21"/>
                <w:szCs w:val="21"/>
                <w:highlight w:val="none"/>
                <w:vertAlign w:val="baseline"/>
                <w:lang w:val="en-US" w:eastAsia="zh-CN"/>
              </w:rPr>
              <w:t xml:space="preserve"> 项目水平衡图（单位：m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p w14:paraId="40D0D6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3、供电</w:t>
            </w:r>
          </w:p>
          <w:p w14:paraId="2ADD60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项目施工期由市政电网供电。</w:t>
            </w:r>
          </w:p>
          <w:p w14:paraId="7E6988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4、供暖</w:t>
            </w:r>
          </w:p>
          <w:p w14:paraId="7138AB69">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color w:val="auto"/>
                <w:lang w:val="en-US" w:eastAsia="zh-CN"/>
              </w:rPr>
              <w:t>项目冬季不施工，不涉及供暖。</w:t>
            </w:r>
          </w:p>
          <w:p w14:paraId="6E5FD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5、天然气组分</w:t>
            </w:r>
          </w:p>
          <w:p w14:paraId="044721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由于本项目勘探层位为新层位</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二叠系下统太原组、石炭系上统本溪组</w:t>
            </w:r>
            <w:r>
              <w:rPr>
                <w:rFonts w:hint="default" w:ascii="Times New Roman" w:hAnsi="Times New Roman" w:eastAsia="宋体" w:cs="Times New Roman"/>
                <w:b w:val="0"/>
                <w:bCs w:val="0"/>
                <w:color w:val="auto"/>
                <w:sz w:val="24"/>
                <w:szCs w:val="24"/>
                <w:vertAlign w:val="baseline"/>
                <w:lang w:val="en-US" w:eastAsia="zh-CN"/>
              </w:rPr>
              <w:t>）加密勘探</w:t>
            </w:r>
            <w:r>
              <w:rPr>
                <w:rFonts w:hint="eastAsia" w:ascii="Times New Roman" w:hAnsi="Times New Roman" w:eastAsia="宋体" w:cs="Times New Roman"/>
                <w:b w:val="0"/>
                <w:bCs w:val="0"/>
                <w:color w:val="auto"/>
                <w:sz w:val="24"/>
                <w:szCs w:val="24"/>
                <w:vertAlign w:val="baseline"/>
                <w:lang w:val="en-US" w:eastAsia="zh-CN"/>
              </w:rPr>
              <w:t>，与原有层位（上古层）不同，新层位还未进行天然气组成分析检测，待本项目勘探完后，后期建设单位应对本次新开采层位进行天然气组成分析检测。</w:t>
            </w:r>
          </w:p>
          <w:p w14:paraId="78130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八</w:t>
            </w:r>
            <w:r>
              <w:rPr>
                <w:rFonts w:hint="default" w:ascii="Times New Roman" w:hAnsi="Times New Roman" w:eastAsia="宋体" w:cs="Times New Roman"/>
                <w:b/>
                <w:bCs/>
                <w:color w:val="auto"/>
                <w:sz w:val="24"/>
                <w:szCs w:val="24"/>
                <w:vertAlign w:val="baseline"/>
                <w:lang w:val="en-US" w:eastAsia="zh-CN"/>
              </w:rPr>
              <w:t>、劳动定员及工作制度</w:t>
            </w:r>
          </w:p>
          <w:p w14:paraId="0596E5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钻井期间施工人数35人，每天连续工作24小时，三班两倒</w:t>
            </w:r>
            <w:r>
              <w:rPr>
                <w:rFonts w:hint="eastAsia" w:ascii="Times New Roman" w:hAnsi="Times New Roman" w:eastAsia="宋体" w:cs="Times New Roman"/>
                <w:b w:val="0"/>
                <w:bCs w:val="0"/>
                <w:color w:val="auto"/>
                <w:sz w:val="24"/>
                <w:szCs w:val="24"/>
                <w:vertAlign w:val="baseline"/>
                <w:lang w:val="en-US" w:eastAsia="zh-CN"/>
              </w:rPr>
              <w:t>，工期为150天，单井工期为50天，顺序施工</w:t>
            </w:r>
            <w:r>
              <w:rPr>
                <w:rFonts w:hint="default" w:ascii="Times New Roman" w:hAnsi="Times New Roman" w:eastAsia="宋体" w:cs="Times New Roman"/>
                <w:b w:val="0"/>
                <w:bCs w:val="0"/>
                <w:color w:val="auto"/>
                <w:sz w:val="24"/>
                <w:szCs w:val="24"/>
                <w:vertAlign w:val="baseline"/>
                <w:lang w:val="en-US" w:eastAsia="zh-CN"/>
              </w:rPr>
              <w:t>。</w:t>
            </w:r>
          </w:p>
        </w:tc>
      </w:tr>
      <w:tr w14:paraId="57D0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45734AC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总平面及现场布置</w:t>
            </w:r>
          </w:p>
        </w:tc>
        <w:tc>
          <w:tcPr>
            <w:tcW w:w="8597" w:type="dxa"/>
            <w:vAlign w:val="center"/>
          </w:tcPr>
          <w:p w14:paraId="7B8D90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1、工程布局</w:t>
            </w:r>
          </w:p>
          <w:p w14:paraId="339F7FA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工程主要由钻前工程和钻井工程两大部分组成。井场主要设备设施包括井口、钻井工作区、储罐区、材料区等。整个厂区以钻井工作区和井口为中心，</w:t>
            </w:r>
            <w:r>
              <w:rPr>
                <w:rFonts w:hint="default" w:ascii="Times New Roman" w:hAnsi="Times New Roman" w:cs="Times New Roman"/>
                <w:color w:val="auto"/>
                <w:sz w:val="24"/>
                <w:szCs w:val="24"/>
                <w:highlight w:val="none"/>
                <w:lang w:val="en-US" w:eastAsia="zh-CN"/>
              </w:rPr>
              <w:t>钻井工作区的北侧为临时停车场和临时旱厕，东侧为钻井液值班房和钻井液材料房，南侧为储罐区，主要为泥饼和岩屑储罐、洗井废水储罐和压裂返排液储罐；西侧为修理房、材料房、综合房、发电机房和井控房。</w:t>
            </w:r>
            <w:r>
              <w:rPr>
                <w:rFonts w:hint="default" w:ascii="Times New Roman" w:hAnsi="Times New Roman" w:cs="Times New Roman"/>
                <w:color w:val="auto"/>
                <w:sz w:val="24"/>
                <w:szCs w:val="24"/>
                <w:lang w:val="en-US" w:eastAsia="zh-CN"/>
              </w:rPr>
              <w:t>整体布置符合《钻前工程及井场布置技术要求》（SY/T5466-2013）。井场平面布置见附图。</w:t>
            </w:r>
          </w:p>
          <w:p w14:paraId="40DC54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2、施工布置</w:t>
            </w:r>
          </w:p>
          <w:p w14:paraId="73BB08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（1）项目占地</w:t>
            </w:r>
          </w:p>
          <w:p w14:paraId="1C5535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探井项目现阶段为临时占地。若探井有开采价值应办理临时借地转征手续；若无开采价值，应及时办理土地复垦手续。项目占地类型主要为</w:t>
            </w:r>
            <w:r>
              <w:rPr>
                <w:rFonts w:hint="default" w:ascii="Times New Roman" w:hAnsi="Times New Roman" w:eastAsia="宋体" w:cs="Times New Roman"/>
                <w:b w:val="0"/>
                <w:bCs w:val="0"/>
                <w:color w:val="auto"/>
                <w:sz w:val="24"/>
                <w:szCs w:val="24"/>
                <w:highlight w:val="none"/>
                <w:vertAlign w:val="baseline"/>
                <w:lang w:val="en-US" w:eastAsia="zh-CN"/>
              </w:rPr>
              <w:t>园地</w:t>
            </w:r>
            <w:r>
              <w:rPr>
                <w:rFonts w:hint="eastAsia" w:ascii="Times New Roman" w:hAnsi="Times New Roman" w:eastAsia="宋体" w:cs="Times New Roman"/>
                <w:b w:val="0"/>
                <w:bCs w:val="0"/>
                <w:color w:val="auto"/>
                <w:sz w:val="24"/>
                <w:szCs w:val="24"/>
                <w:highlight w:val="none"/>
                <w:vertAlign w:val="baseline"/>
                <w:lang w:val="en-US" w:eastAsia="zh-CN"/>
              </w:rPr>
              <w:t>、林地、耕地、草地以及交通运输用地。</w:t>
            </w:r>
          </w:p>
          <w:p w14:paraId="7F58E6C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（2）项目土石方平衡</w:t>
            </w:r>
          </w:p>
          <w:p w14:paraId="294C78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本项目涉及的土方项目主要为井场施工</w:t>
            </w:r>
            <w:r>
              <w:rPr>
                <w:rFonts w:hint="eastAsia" w:ascii="Times New Roman" w:hAnsi="Times New Roman" w:eastAsia="宋体" w:cs="Times New Roman"/>
                <w:b w:val="0"/>
                <w:bCs w:val="0"/>
                <w:color w:val="auto"/>
                <w:sz w:val="24"/>
                <w:szCs w:val="24"/>
                <w:highlight w:val="none"/>
                <w:vertAlign w:val="baseline"/>
                <w:lang w:val="en-US" w:eastAsia="zh-CN"/>
              </w:rPr>
              <w:t>、井场平整、施工生活区及进场道路</w:t>
            </w:r>
            <w:r>
              <w:rPr>
                <w:rFonts w:hint="default" w:ascii="Times New Roman" w:hAnsi="Times New Roman" w:eastAsia="宋体" w:cs="Times New Roman"/>
                <w:b w:val="0"/>
                <w:bCs w:val="0"/>
                <w:color w:val="auto"/>
                <w:sz w:val="24"/>
                <w:szCs w:val="24"/>
                <w:highlight w:val="none"/>
                <w:vertAlign w:val="baseline"/>
                <w:lang w:val="en-US" w:eastAsia="zh-CN"/>
              </w:rPr>
              <w:t>。平整后场地标高米107-</w:t>
            </w:r>
            <w:r>
              <w:rPr>
                <w:rFonts w:hint="eastAsia" w:ascii="Times New Roman" w:hAnsi="Times New Roman" w:eastAsia="宋体" w:cs="Times New Roman"/>
                <w:b w:val="0"/>
                <w:bCs w:val="0"/>
                <w:color w:val="auto"/>
                <w:sz w:val="24"/>
                <w:szCs w:val="24"/>
                <w:highlight w:val="none"/>
                <w:vertAlign w:val="baseline"/>
                <w:lang w:val="en-US" w:eastAsia="zh-CN"/>
              </w:rPr>
              <w:t>32M</w:t>
            </w:r>
            <w:r>
              <w:rPr>
                <w:rFonts w:hint="default" w:ascii="Times New Roman" w:hAnsi="Times New Roman" w:eastAsia="宋体" w:cs="Times New Roman"/>
                <w:b w:val="0"/>
                <w:bCs w:val="0"/>
                <w:color w:val="auto"/>
                <w:sz w:val="24"/>
                <w:szCs w:val="24"/>
                <w:highlight w:val="none"/>
                <w:vertAlign w:val="baseline"/>
                <w:lang w:val="en-US" w:eastAsia="zh-CN"/>
              </w:rPr>
              <w:t>井约为11</w:t>
            </w:r>
            <w:r>
              <w:rPr>
                <w:rFonts w:hint="eastAsia" w:ascii="Times New Roman" w:hAnsi="Times New Roman" w:eastAsia="宋体" w:cs="Times New Roman"/>
                <w:b w:val="0"/>
                <w:bCs w:val="0"/>
                <w:color w:val="auto"/>
                <w:sz w:val="24"/>
                <w:szCs w:val="24"/>
                <w:highlight w:val="none"/>
                <w:vertAlign w:val="baseline"/>
                <w:lang w:val="en-US" w:eastAsia="zh-CN"/>
              </w:rPr>
              <w:t>71.51</w:t>
            </w:r>
            <w:r>
              <w:rPr>
                <w:rFonts w:hint="default" w:ascii="Times New Roman" w:hAnsi="Times New Roman" w:eastAsia="宋体" w:cs="Times New Roman"/>
                <w:b w:val="0"/>
                <w:bCs w:val="0"/>
                <w:color w:val="auto"/>
                <w:sz w:val="24"/>
                <w:szCs w:val="24"/>
                <w:highlight w:val="none"/>
                <w:vertAlign w:val="baseline"/>
                <w:lang w:val="en-US" w:eastAsia="zh-CN"/>
              </w:rPr>
              <w:t>m、米107-</w:t>
            </w:r>
            <w:r>
              <w:rPr>
                <w:rFonts w:hint="eastAsia" w:ascii="Times New Roman" w:hAnsi="Times New Roman" w:eastAsia="宋体" w:cs="Times New Roman"/>
                <w:b w:val="0"/>
                <w:bCs w:val="0"/>
                <w:color w:val="auto"/>
                <w:sz w:val="24"/>
                <w:szCs w:val="24"/>
                <w:highlight w:val="none"/>
                <w:vertAlign w:val="baseline"/>
                <w:lang w:val="en-US" w:eastAsia="zh-CN"/>
              </w:rPr>
              <w:t>16M</w:t>
            </w:r>
            <w:r>
              <w:rPr>
                <w:rFonts w:hint="default" w:ascii="Times New Roman" w:hAnsi="Times New Roman" w:eastAsia="宋体" w:cs="Times New Roman"/>
                <w:b w:val="0"/>
                <w:bCs w:val="0"/>
                <w:color w:val="auto"/>
                <w:sz w:val="24"/>
                <w:szCs w:val="24"/>
                <w:highlight w:val="none"/>
                <w:vertAlign w:val="baseline"/>
                <w:lang w:val="en-US" w:eastAsia="zh-CN"/>
              </w:rPr>
              <w:t>井约为10</w:t>
            </w:r>
            <w:r>
              <w:rPr>
                <w:rFonts w:hint="eastAsia" w:ascii="Times New Roman" w:hAnsi="Times New Roman" w:eastAsia="宋体" w:cs="Times New Roman"/>
                <w:b w:val="0"/>
                <w:bCs w:val="0"/>
                <w:color w:val="auto"/>
                <w:sz w:val="24"/>
                <w:szCs w:val="24"/>
                <w:highlight w:val="none"/>
                <w:vertAlign w:val="baseline"/>
                <w:lang w:val="en-US" w:eastAsia="zh-CN"/>
              </w:rPr>
              <w:t>62.48</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米107-</w:t>
            </w:r>
            <w:r>
              <w:rPr>
                <w:rFonts w:hint="eastAsia" w:ascii="Times New Roman" w:hAnsi="Times New Roman" w:eastAsia="宋体" w:cs="Times New Roman"/>
                <w:b w:val="0"/>
                <w:bCs w:val="0"/>
                <w:color w:val="auto"/>
                <w:sz w:val="24"/>
                <w:szCs w:val="24"/>
                <w:highlight w:val="none"/>
                <w:vertAlign w:val="baseline"/>
                <w:lang w:val="en-US" w:eastAsia="zh-CN"/>
              </w:rPr>
              <w:t>22MH</w:t>
            </w:r>
            <w:r>
              <w:rPr>
                <w:rFonts w:hint="default" w:ascii="Times New Roman" w:hAnsi="Times New Roman" w:eastAsia="宋体" w:cs="Times New Roman"/>
                <w:b w:val="0"/>
                <w:bCs w:val="0"/>
                <w:color w:val="auto"/>
                <w:sz w:val="24"/>
                <w:szCs w:val="24"/>
                <w:highlight w:val="none"/>
                <w:vertAlign w:val="baseline"/>
                <w:lang w:val="en-US" w:eastAsia="zh-CN"/>
              </w:rPr>
              <w:t>井约为1</w:t>
            </w:r>
            <w:r>
              <w:rPr>
                <w:rFonts w:hint="eastAsia" w:ascii="Times New Roman" w:hAnsi="Times New Roman" w:eastAsia="宋体" w:cs="Times New Roman"/>
                <w:b w:val="0"/>
                <w:bCs w:val="0"/>
                <w:color w:val="auto"/>
                <w:sz w:val="24"/>
                <w:szCs w:val="24"/>
                <w:highlight w:val="none"/>
                <w:vertAlign w:val="baseline"/>
                <w:lang w:val="en-US" w:eastAsia="zh-CN"/>
              </w:rPr>
              <w:t>208.32</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，项目土石方量见下表：</w:t>
            </w:r>
          </w:p>
          <w:p w14:paraId="7BA579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表2-11 项目土石方平衡</w:t>
            </w:r>
            <w:r>
              <w:rPr>
                <w:rFonts w:hint="eastAsia" w:ascii="Times New Roman" w:hAnsi="Times New Roman" w:eastAsia="宋体" w:cs="Times New Roman"/>
                <w:b/>
                <w:bCs/>
                <w:color w:val="auto"/>
                <w:sz w:val="21"/>
                <w:szCs w:val="21"/>
                <w:vertAlign w:val="baseline"/>
                <w:lang w:val="en-US" w:eastAsia="zh-CN"/>
              </w:rPr>
              <w:t xml:space="preserve">  单位：m</w:t>
            </w:r>
            <w:r>
              <w:rPr>
                <w:rFonts w:hint="eastAsia" w:ascii="Times New Roman" w:hAnsi="Times New Roman" w:eastAsia="宋体" w:cs="Times New Roman"/>
                <w:b/>
                <w:bCs/>
                <w:color w:val="auto"/>
                <w:sz w:val="21"/>
                <w:szCs w:val="21"/>
                <w:vertAlign w:val="superscript"/>
                <w:lang w:val="en-US" w:eastAsia="zh-CN"/>
              </w:rPr>
              <w:t>3</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200"/>
              <w:gridCol w:w="1069"/>
              <w:gridCol w:w="1096"/>
              <w:gridCol w:w="1332"/>
              <w:gridCol w:w="1172"/>
              <w:gridCol w:w="977"/>
              <w:gridCol w:w="823"/>
            </w:tblGrid>
            <w:tr w14:paraId="7337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1" w:type="dxa"/>
                  <w:vMerge w:val="restart"/>
                  <w:vAlign w:val="center"/>
                </w:tcPr>
                <w:p w14:paraId="7F66DFF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序号</w:t>
                  </w:r>
                </w:p>
              </w:tc>
              <w:tc>
                <w:tcPr>
                  <w:tcW w:w="1200" w:type="dxa"/>
                  <w:vMerge w:val="restart"/>
                  <w:vAlign w:val="center"/>
                </w:tcPr>
                <w:p w14:paraId="0013E71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1069" w:type="dxa"/>
                  <w:vMerge w:val="restart"/>
                  <w:vAlign w:val="center"/>
                </w:tcPr>
                <w:p w14:paraId="292F8D2E">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类别</w:t>
                  </w:r>
                </w:p>
              </w:tc>
              <w:tc>
                <w:tcPr>
                  <w:tcW w:w="1096" w:type="dxa"/>
                  <w:vMerge w:val="restart"/>
                  <w:vAlign w:val="center"/>
                </w:tcPr>
                <w:p w14:paraId="63DD6CE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表土</w:t>
                  </w:r>
                </w:p>
              </w:tc>
              <w:tc>
                <w:tcPr>
                  <w:tcW w:w="4304" w:type="dxa"/>
                  <w:gridSpan w:val="4"/>
                  <w:shd w:val="clear" w:color="auto" w:fill="auto"/>
                  <w:vAlign w:val="center"/>
                </w:tcPr>
                <w:p w14:paraId="3C107C9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eastAsia" w:ascii="Times New Roman" w:hAnsi="Times New Roman" w:eastAsia="宋体" w:cs="Times New Roman"/>
                      <w:b/>
                      <w:bCs/>
                      <w:i w:val="0"/>
                      <w:iCs w:val="0"/>
                      <w:color w:val="auto"/>
                      <w:sz w:val="22"/>
                      <w:szCs w:val="22"/>
                      <w:u w:val="none"/>
                      <w:lang w:val="en-US" w:eastAsia="zh-CN" w:bidi="ar-SA"/>
                    </w:rPr>
                    <w:t>一般土石方</w:t>
                  </w:r>
                </w:p>
              </w:tc>
            </w:tr>
            <w:tr w14:paraId="4FE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D97F7B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200" w:type="dxa"/>
                  <w:vMerge w:val="continue"/>
                  <w:vAlign w:val="center"/>
                </w:tcPr>
                <w:p w14:paraId="5287BCA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069" w:type="dxa"/>
                  <w:vMerge w:val="continue"/>
                  <w:vAlign w:val="center"/>
                </w:tcPr>
                <w:p w14:paraId="25B75B5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096" w:type="dxa"/>
                  <w:vMerge w:val="continue"/>
                  <w:vAlign w:val="center"/>
                </w:tcPr>
                <w:p w14:paraId="4C2D0AB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p>
              </w:tc>
              <w:tc>
                <w:tcPr>
                  <w:tcW w:w="1332" w:type="dxa"/>
                  <w:shd w:val="clear" w:color="auto" w:fill="auto"/>
                  <w:vAlign w:val="center"/>
                </w:tcPr>
                <w:p w14:paraId="636BB7E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挖方</w:t>
                  </w:r>
                </w:p>
              </w:tc>
              <w:tc>
                <w:tcPr>
                  <w:tcW w:w="1172" w:type="dxa"/>
                  <w:shd w:val="clear" w:color="auto" w:fill="auto"/>
                  <w:vAlign w:val="center"/>
                </w:tcPr>
                <w:p w14:paraId="2B7E21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填方</w:t>
                  </w:r>
                </w:p>
              </w:tc>
              <w:tc>
                <w:tcPr>
                  <w:tcW w:w="977" w:type="dxa"/>
                  <w:shd w:val="clear" w:color="auto" w:fill="auto"/>
                  <w:vAlign w:val="center"/>
                </w:tcPr>
                <w:p w14:paraId="30FB094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借方</w:t>
                  </w:r>
                </w:p>
              </w:tc>
              <w:tc>
                <w:tcPr>
                  <w:tcW w:w="823" w:type="dxa"/>
                  <w:shd w:val="clear" w:color="auto" w:fill="auto"/>
                  <w:vAlign w:val="center"/>
                </w:tcPr>
                <w:p w14:paraId="428DAAE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2"/>
                      <w:szCs w:val="22"/>
                      <w:u w:val="none"/>
                      <w:lang w:val="en-US" w:eastAsia="zh-CN" w:bidi="ar-SA"/>
                    </w:rPr>
                  </w:pPr>
                  <w:r>
                    <w:rPr>
                      <w:rFonts w:hint="default" w:ascii="Times New Roman" w:hAnsi="Times New Roman" w:eastAsia="宋体" w:cs="Times New Roman"/>
                      <w:b/>
                      <w:bCs/>
                      <w:i w:val="0"/>
                      <w:iCs w:val="0"/>
                      <w:color w:val="auto"/>
                      <w:kern w:val="0"/>
                      <w:sz w:val="22"/>
                      <w:szCs w:val="22"/>
                      <w:u w:val="none"/>
                      <w:lang w:val="en-US" w:eastAsia="zh-CN" w:bidi="ar"/>
                    </w:rPr>
                    <w:t>弃方</w:t>
                  </w:r>
                </w:p>
              </w:tc>
            </w:tr>
            <w:tr w14:paraId="30F7F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51DD94A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w:t>
                  </w:r>
                </w:p>
              </w:tc>
              <w:tc>
                <w:tcPr>
                  <w:tcW w:w="1200" w:type="dxa"/>
                  <w:vMerge w:val="restart"/>
                  <w:shd w:val="clear" w:color="auto" w:fill="auto"/>
                  <w:vAlign w:val="center"/>
                </w:tcPr>
                <w:p w14:paraId="6B465EC1">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米107-32M</w:t>
                  </w:r>
                </w:p>
              </w:tc>
              <w:tc>
                <w:tcPr>
                  <w:tcW w:w="1069" w:type="dxa"/>
                  <w:shd w:val="clear" w:color="auto" w:fill="auto"/>
                  <w:vAlign w:val="center"/>
                </w:tcPr>
                <w:p w14:paraId="466558D9">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0B950523">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2621.30</w:t>
                  </w:r>
                </w:p>
              </w:tc>
              <w:tc>
                <w:tcPr>
                  <w:tcW w:w="1332" w:type="dxa"/>
                  <w:shd w:val="clear" w:color="auto" w:fill="auto"/>
                  <w:vAlign w:val="center"/>
                </w:tcPr>
                <w:p w14:paraId="10F50C7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22260</w:t>
                  </w:r>
                </w:p>
              </w:tc>
              <w:tc>
                <w:tcPr>
                  <w:tcW w:w="1172" w:type="dxa"/>
                  <w:shd w:val="clear" w:color="auto" w:fill="auto"/>
                  <w:vAlign w:val="center"/>
                </w:tcPr>
                <w:p w14:paraId="2E38D92D">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22260</w:t>
                  </w:r>
                </w:p>
              </w:tc>
              <w:tc>
                <w:tcPr>
                  <w:tcW w:w="977" w:type="dxa"/>
                  <w:shd w:val="clear" w:color="auto" w:fill="auto"/>
                  <w:vAlign w:val="center"/>
                </w:tcPr>
                <w:p w14:paraId="51786F0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0146944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954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7B6BC73">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vMerge w:val="continue"/>
                  <w:shd w:val="clear" w:color="auto" w:fill="auto"/>
                  <w:vAlign w:val="center"/>
                </w:tcPr>
                <w:p w14:paraId="7F5F23C6">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36C7CC4B">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4CDEC4BF">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20F6E8CE">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w:t>
                  </w:r>
                  <w:r>
                    <w:rPr>
                      <w:rFonts w:hint="eastAsia" w:ascii="Times New Roman" w:hAnsi="Times New Roman" w:eastAsia="宋体" w:cs="Times New Roman"/>
                      <w:b w:val="0"/>
                      <w:bCs w:val="0"/>
                      <w:color w:val="auto"/>
                      <w:sz w:val="21"/>
                      <w:szCs w:val="21"/>
                      <w:vertAlign w:val="baseline"/>
                      <w:lang w:val="en-US" w:eastAsia="zh-CN"/>
                    </w:rPr>
                    <w:t>0</w:t>
                  </w:r>
                </w:p>
              </w:tc>
              <w:tc>
                <w:tcPr>
                  <w:tcW w:w="1172" w:type="dxa"/>
                  <w:shd w:val="clear" w:color="auto" w:fill="auto"/>
                  <w:vAlign w:val="center"/>
                </w:tcPr>
                <w:p w14:paraId="217F522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w:t>
                  </w:r>
                  <w:r>
                    <w:rPr>
                      <w:rFonts w:hint="eastAsia" w:ascii="Times New Roman" w:hAnsi="Times New Roman" w:eastAsia="宋体" w:cs="Times New Roman"/>
                      <w:i w:val="0"/>
                      <w:iCs w:val="0"/>
                      <w:color w:val="auto"/>
                      <w:kern w:val="0"/>
                      <w:sz w:val="21"/>
                      <w:szCs w:val="21"/>
                      <w:u w:val="none"/>
                      <w:lang w:val="en-US" w:eastAsia="zh-CN" w:bidi="ar"/>
                    </w:rPr>
                    <w:t>0</w:t>
                  </w:r>
                </w:p>
              </w:tc>
              <w:tc>
                <w:tcPr>
                  <w:tcW w:w="977" w:type="dxa"/>
                  <w:shd w:val="clear" w:color="auto" w:fill="auto"/>
                  <w:vAlign w:val="center"/>
                </w:tcPr>
                <w:p w14:paraId="7EDBAD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DDCA67C">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376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36D035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2"/>
                  <w:shd w:val="clear" w:color="auto" w:fill="auto"/>
                  <w:vAlign w:val="center"/>
                </w:tcPr>
                <w:p w14:paraId="46AD2D10">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5769F45F">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2981.3</w:t>
                  </w:r>
                </w:p>
              </w:tc>
              <w:tc>
                <w:tcPr>
                  <w:tcW w:w="1332" w:type="dxa"/>
                  <w:shd w:val="clear" w:color="auto" w:fill="auto"/>
                  <w:vAlign w:val="center"/>
                </w:tcPr>
                <w:p w14:paraId="4839FE6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22800</w:t>
                  </w:r>
                </w:p>
              </w:tc>
              <w:tc>
                <w:tcPr>
                  <w:tcW w:w="1172" w:type="dxa"/>
                  <w:shd w:val="clear" w:color="auto" w:fill="auto"/>
                  <w:vAlign w:val="center"/>
                </w:tcPr>
                <w:p w14:paraId="2C0D5B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22800</w:t>
                  </w:r>
                </w:p>
              </w:tc>
              <w:tc>
                <w:tcPr>
                  <w:tcW w:w="977" w:type="dxa"/>
                  <w:shd w:val="clear" w:color="auto" w:fill="auto"/>
                  <w:vAlign w:val="center"/>
                </w:tcPr>
                <w:p w14:paraId="07B19C3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4A8EB51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2B46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5C9AB97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1200" w:type="dxa"/>
                  <w:vMerge w:val="restart"/>
                  <w:shd w:val="clear" w:color="auto" w:fill="auto"/>
                  <w:vAlign w:val="center"/>
                </w:tcPr>
                <w:p w14:paraId="09F65A49">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米107-22MH</w:t>
                  </w:r>
                </w:p>
              </w:tc>
              <w:tc>
                <w:tcPr>
                  <w:tcW w:w="1069" w:type="dxa"/>
                  <w:shd w:val="clear" w:color="auto" w:fill="auto"/>
                  <w:vAlign w:val="center"/>
                </w:tcPr>
                <w:p w14:paraId="014C9A02">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58413E8B">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2557.44</w:t>
                  </w:r>
                </w:p>
              </w:tc>
              <w:tc>
                <w:tcPr>
                  <w:tcW w:w="1332" w:type="dxa"/>
                  <w:shd w:val="clear" w:color="auto" w:fill="auto"/>
                  <w:vAlign w:val="center"/>
                </w:tcPr>
                <w:p w14:paraId="1EC2FF4A">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14412</w:t>
                  </w:r>
                </w:p>
              </w:tc>
              <w:tc>
                <w:tcPr>
                  <w:tcW w:w="1172" w:type="dxa"/>
                  <w:shd w:val="clear" w:color="auto" w:fill="auto"/>
                  <w:vAlign w:val="center"/>
                </w:tcPr>
                <w:p w14:paraId="2316810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14412</w:t>
                  </w:r>
                </w:p>
              </w:tc>
              <w:tc>
                <w:tcPr>
                  <w:tcW w:w="977" w:type="dxa"/>
                  <w:shd w:val="clear" w:color="auto" w:fill="auto"/>
                  <w:vAlign w:val="center"/>
                </w:tcPr>
                <w:p w14:paraId="694447C1">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557C8D1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1171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3FD54FC2">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vMerge w:val="continue"/>
                  <w:shd w:val="clear" w:color="auto" w:fill="auto"/>
                  <w:vAlign w:val="center"/>
                </w:tcPr>
                <w:p w14:paraId="3E8E6CBA">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3EF89516">
                  <w:pPr>
                    <w:spacing w:line="240" w:lineRule="auto"/>
                    <w:ind w:firstLine="0" w:firstLineChars="0"/>
                    <w:jc w:val="center"/>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69D3632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7032E0FD">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w:t>
                  </w:r>
                  <w:r>
                    <w:rPr>
                      <w:rFonts w:hint="eastAsia" w:ascii="Times New Roman" w:hAnsi="Times New Roman" w:eastAsia="宋体" w:cs="Times New Roman"/>
                      <w:b w:val="0"/>
                      <w:bCs w:val="0"/>
                      <w:color w:val="auto"/>
                      <w:sz w:val="21"/>
                      <w:szCs w:val="21"/>
                      <w:vertAlign w:val="baseline"/>
                      <w:lang w:val="en-US" w:eastAsia="zh-CN"/>
                    </w:rPr>
                    <w:t>0</w:t>
                  </w:r>
                </w:p>
              </w:tc>
              <w:tc>
                <w:tcPr>
                  <w:tcW w:w="1172" w:type="dxa"/>
                  <w:shd w:val="clear" w:color="auto" w:fill="auto"/>
                  <w:vAlign w:val="center"/>
                </w:tcPr>
                <w:p w14:paraId="4D720C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w:t>
                  </w:r>
                  <w:r>
                    <w:rPr>
                      <w:rFonts w:hint="eastAsia" w:ascii="Times New Roman" w:hAnsi="Times New Roman" w:eastAsia="宋体" w:cs="Times New Roman"/>
                      <w:i w:val="0"/>
                      <w:iCs w:val="0"/>
                      <w:color w:val="auto"/>
                      <w:kern w:val="0"/>
                      <w:sz w:val="21"/>
                      <w:szCs w:val="21"/>
                      <w:u w:val="none"/>
                      <w:lang w:val="en-US" w:eastAsia="zh-CN" w:bidi="ar"/>
                    </w:rPr>
                    <w:t>0</w:t>
                  </w:r>
                </w:p>
              </w:tc>
              <w:tc>
                <w:tcPr>
                  <w:tcW w:w="977" w:type="dxa"/>
                  <w:shd w:val="clear" w:color="auto" w:fill="auto"/>
                  <w:vAlign w:val="center"/>
                </w:tcPr>
                <w:p w14:paraId="2EF6952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109B8FEF">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060A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4FA56B6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2"/>
                  <w:shd w:val="clear" w:color="auto" w:fill="auto"/>
                  <w:vAlign w:val="center"/>
                </w:tcPr>
                <w:p w14:paraId="4B13094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7DA1911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2917.44</w:t>
                  </w:r>
                </w:p>
              </w:tc>
              <w:tc>
                <w:tcPr>
                  <w:tcW w:w="1332" w:type="dxa"/>
                  <w:shd w:val="clear" w:color="auto" w:fill="auto"/>
                  <w:vAlign w:val="center"/>
                </w:tcPr>
                <w:p w14:paraId="26F322B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4872</w:t>
                  </w:r>
                </w:p>
              </w:tc>
              <w:tc>
                <w:tcPr>
                  <w:tcW w:w="1172" w:type="dxa"/>
                  <w:shd w:val="clear" w:color="auto" w:fill="auto"/>
                  <w:vAlign w:val="center"/>
                </w:tcPr>
                <w:p w14:paraId="2C4AF73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14872</w:t>
                  </w:r>
                </w:p>
              </w:tc>
              <w:tc>
                <w:tcPr>
                  <w:tcW w:w="977" w:type="dxa"/>
                  <w:shd w:val="clear" w:color="auto" w:fill="auto"/>
                  <w:vAlign w:val="center"/>
                </w:tcPr>
                <w:p w14:paraId="3B00652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454992A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79AE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restart"/>
                  <w:vAlign w:val="center"/>
                </w:tcPr>
                <w:p w14:paraId="763DA347">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c>
                <w:tcPr>
                  <w:tcW w:w="1200" w:type="dxa"/>
                  <w:vMerge w:val="restart"/>
                  <w:shd w:val="clear" w:color="auto" w:fill="auto"/>
                  <w:vAlign w:val="center"/>
                </w:tcPr>
                <w:p w14:paraId="6A51338F">
                  <w:pPr>
                    <w:spacing w:line="240" w:lineRule="auto"/>
                    <w:ind w:firstLine="0" w:firstLineChars="0"/>
                    <w:jc w:val="center"/>
                    <w:rPr>
                      <w:rFonts w:hint="eastAsia"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米107-16M</w:t>
                  </w:r>
                </w:p>
              </w:tc>
              <w:tc>
                <w:tcPr>
                  <w:tcW w:w="1069" w:type="dxa"/>
                  <w:shd w:val="clear" w:color="auto" w:fill="auto"/>
                  <w:vAlign w:val="center"/>
                </w:tcPr>
                <w:p w14:paraId="79593E0B">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井场</w:t>
                  </w:r>
                </w:p>
              </w:tc>
              <w:tc>
                <w:tcPr>
                  <w:tcW w:w="1096" w:type="dxa"/>
                  <w:shd w:val="clear" w:color="auto" w:fill="auto"/>
                  <w:vAlign w:val="center"/>
                </w:tcPr>
                <w:p w14:paraId="4F0F3486">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2559.52</w:t>
                  </w:r>
                </w:p>
              </w:tc>
              <w:tc>
                <w:tcPr>
                  <w:tcW w:w="1332" w:type="dxa"/>
                  <w:shd w:val="clear" w:color="auto" w:fill="auto"/>
                  <w:vAlign w:val="center"/>
                </w:tcPr>
                <w:p w14:paraId="2CA20ADF">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14839</w:t>
                  </w:r>
                </w:p>
              </w:tc>
              <w:tc>
                <w:tcPr>
                  <w:tcW w:w="1172" w:type="dxa"/>
                  <w:shd w:val="clear" w:color="auto" w:fill="auto"/>
                  <w:vAlign w:val="center"/>
                </w:tcPr>
                <w:p w14:paraId="00FD9948">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14839</w:t>
                  </w:r>
                </w:p>
              </w:tc>
              <w:tc>
                <w:tcPr>
                  <w:tcW w:w="977" w:type="dxa"/>
                  <w:shd w:val="clear" w:color="auto" w:fill="auto"/>
                  <w:vAlign w:val="center"/>
                </w:tcPr>
                <w:p w14:paraId="76F42B7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161EC6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5B6D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27A01558">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200" w:type="dxa"/>
                  <w:vMerge w:val="continue"/>
                  <w:shd w:val="clear" w:color="auto" w:fill="auto"/>
                  <w:vAlign w:val="center"/>
                </w:tcPr>
                <w:p w14:paraId="62BFFB54">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p>
              </w:tc>
              <w:tc>
                <w:tcPr>
                  <w:tcW w:w="1069" w:type="dxa"/>
                  <w:shd w:val="clear" w:color="auto" w:fill="auto"/>
                  <w:vAlign w:val="center"/>
                </w:tcPr>
                <w:p w14:paraId="759EBC7C">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bidi="ar-SA"/>
                    </w:rPr>
                  </w:pPr>
                  <w:r>
                    <w:rPr>
                      <w:rFonts w:hint="eastAsia" w:ascii="Times New Roman" w:hAnsi="Times New Roman" w:eastAsia="宋体" w:cs="Times New Roman"/>
                      <w:color w:val="auto"/>
                      <w:sz w:val="21"/>
                      <w:szCs w:val="21"/>
                      <w:u w:val="none"/>
                      <w:vertAlign w:val="baseline"/>
                      <w:lang w:val="en-US" w:eastAsia="zh-CN"/>
                    </w:rPr>
                    <w:t>生活区</w:t>
                  </w:r>
                </w:p>
              </w:tc>
              <w:tc>
                <w:tcPr>
                  <w:tcW w:w="1096" w:type="dxa"/>
                  <w:shd w:val="clear" w:color="auto" w:fill="auto"/>
                  <w:vAlign w:val="center"/>
                </w:tcPr>
                <w:p w14:paraId="0218121C">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360</w:t>
                  </w:r>
                </w:p>
              </w:tc>
              <w:tc>
                <w:tcPr>
                  <w:tcW w:w="1332" w:type="dxa"/>
                  <w:shd w:val="clear" w:color="auto" w:fill="auto"/>
                  <w:vAlign w:val="center"/>
                </w:tcPr>
                <w:p w14:paraId="46F761B4">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477</w:t>
                  </w:r>
                </w:p>
              </w:tc>
              <w:tc>
                <w:tcPr>
                  <w:tcW w:w="1172" w:type="dxa"/>
                  <w:shd w:val="clear" w:color="auto" w:fill="auto"/>
                  <w:vAlign w:val="center"/>
                </w:tcPr>
                <w:p w14:paraId="377B4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477</w:t>
                  </w:r>
                </w:p>
              </w:tc>
              <w:tc>
                <w:tcPr>
                  <w:tcW w:w="977" w:type="dxa"/>
                  <w:shd w:val="clear" w:color="auto" w:fill="auto"/>
                  <w:vAlign w:val="center"/>
                </w:tcPr>
                <w:p w14:paraId="5F3A942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1416BBC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r w14:paraId="12B91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Merge w:val="continue"/>
                  <w:vAlign w:val="center"/>
                </w:tcPr>
                <w:p w14:paraId="5E38774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2269" w:type="dxa"/>
                  <w:gridSpan w:val="2"/>
                  <w:shd w:val="clear" w:color="auto" w:fill="auto"/>
                  <w:vAlign w:val="center"/>
                </w:tcPr>
                <w:p w14:paraId="287D0D57">
                  <w:pPr>
                    <w:spacing w:line="240" w:lineRule="auto"/>
                    <w:ind w:firstLine="0" w:firstLineChars="0"/>
                    <w:jc w:val="center"/>
                    <w:rPr>
                      <w:rFonts w:hint="eastAsia"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合计</w:t>
                  </w:r>
                </w:p>
              </w:tc>
              <w:tc>
                <w:tcPr>
                  <w:tcW w:w="1096" w:type="dxa"/>
                  <w:shd w:val="clear" w:color="auto" w:fill="auto"/>
                  <w:vAlign w:val="center"/>
                </w:tcPr>
                <w:p w14:paraId="65A9C031">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2919.52</w:t>
                  </w:r>
                </w:p>
              </w:tc>
              <w:tc>
                <w:tcPr>
                  <w:tcW w:w="1332" w:type="dxa"/>
                  <w:shd w:val="clear" w:color="auto" w:fill="auto"/>
                  <w:vAlign w:val="center"/>
                </w:tcPr>
                <w:p w14:paraId="48A22ED9">
                  <w:pPr>
                    <w:pStyle w:val="1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15370</w:t>
                  </w:r>
                </w:p>
              </w:tc>
              <w:tc>
                <w:tcPr>
                  <w:tcW w:w="1172" w:type="dxa"/>
                  <w:shd w:val="clear" w:color="auto" w:fill="auto"/>
                  <w:vAlign w:val="center"/>
                </w:tcPr>
                <w:p w14:paraId="02472F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15370</w:t>
                  </w:r>
                </w:p>
              </w:tc>
              <w:tc>
                <w:tcPr>
                  <w:tcW w:w="977" w:type="dxa"/>
                  <w:shd w:val="clear" w:color="auto" w:fill="auto"/>
                  <w:vAlign w:val="center"/>
                </w:tcPr>
                <w:p w14:paraId="0126AD8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c>
                <w:tcPr>
                  <w:tcW w:w="823" w:type="dxa"/>
                  <w:shd w:val="clear" w:color="auto" w:fill="auto"/>
                  <w:vAlign w:val="center"/>
                </w:tcPr>
                <w:p w14:paraId="79E6838D">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p>
              </w:tc>
            </w:tr>
          </w:tbl>
          <w:p w14:paraId="325530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项目井场在开挖地表、平整土地时，</w:t>
            </w:r>
            <w:r>
              <w:rPr>
                <w:rFonts w:hint="eastAsia" w:ascii="Times New Roman" w:hAnsi="Times New Roman" w:eastAsia="宋体" w:cs="Times New Roman"/>
                <w:b w:val="0"/>
                <w:bCs w:val="0"/>
                <w:color w:val="auto"/>
                <w:sz w:val="24"/>
                <w:szCs w:val="24"/>
                <w:vertAlign w:val="baseline"/>
                <w:lang w:val="en-US" w:eastAsia="zh-CN"/>
              </w:rPr>
              <w:t>在</w:t>
            </w:r>
            <w:r>
              <w:rPr>
                <w:rFonts w:hint="default" w:ascii="Times New Roman" w:hAnsi="Times New Roman" w:eastAsia="宋体" w:cs="Times New Roman"/>
                <w:b w:val="0"/>
                <w:bCs w:val="0"/>
                <w:color w:val="auto"/>
                <w:sz w:val="24"/>
                <w:szCs w:val="24"/>
                <w:vertAlign w:val="baseline"/>
                <w:lang w:val="en-US" w:eastAsia="zh-CN"/>
              </w:rPr>
              <w:t>施工场地的征地范围内设置表土堆场，表土厚度为0.</w:t>
            </w:r>
            <w:r>
              <w:rPr>
                <w:rFonts w:hint="eastAsia" w:ascii="Times New Roman" w:hAnsi="Times New Roman" w:eastAsia="宋体" w:cs="Times New Roman"/>
                <w:b w:val="0"/>
                <w:bCs w:val="0"/>
                <w:color w:val="auto"/>
                <w:sz w:val="24"/>
                <w:szCs w:val="24"/>
                <w:vertAlign w:val="baseline"/>
                <w:lang w:val="en-US" w:eastAsia="zh-CN"/>
              </w:rPr>
              <w:t>3</w:t>
            </w:r>
            <w:r>
              <w:rPr>
                <w:rFonts w:hint="default" w:ascii="Times New Roman" w:hAnsi="Times New Roman" w:eastAsia="宋体" w:cs="Times New Roman"/>
                <w:b w:val="0"/>
                <w:bCs w:val="0"/>
                <w:color w:val="auto"/>
                <w:sz w:val="24"/>
                <w:szCs w:val="24"/>
                <w:vertAlign w:val="baseline"/>
                <w:lang w:val="en-US" w:eastAsia="zh-CN"/>
              </w:rPr>
              <w:t>m</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对表土进行单独堆放并苫盖</w:t>
            </w:r>
            <w:r>
              <w:rPr>
                <w:rFonts w:hint="default" w:ascii="Times New Roman" w:hAnsi="Times New Roman" w:eastAsia="宋体" w:cs="Times New Roman"/>
                <w:b w:val="0"/>
                <w:bCs w:val="0"/>
                <w:color w:val="auto"/>
                <w:sz w:val="24"/>
                <w:szCs w:val="24"/>
                <w:vertAlign w:val="baseline"/>
                <w:lang w:val="en-US" w:eastAsia="zh-CN"/>
              </w:rPr>
              <w:t>并</w:t>
            </w:r>
            <w:r>
              <w:rPr>
                <w:rFonts w:hint="eastAsia" w:ascii="Times New Roman" w:hAnsi="Times New Roman" w:eastAsia="宋体" w:cs="Times New Roman"/>
                <w:b w:val="0"/>
                <w:bCs w:val="0"/>
                <w:color w:val="auto"/>
                <w:sz w:val="24"/>
                <w:szCs w:val="24"/>
                <w:vertAlign w:val="baseline"/>
                <w:lang w:val="en-US" w:eastAsia="zh-CN"/>
              </w:rPr>
              <w:t>采用密目网</w:t>
            </w:r>
            <w:r>
              <w:rPr>
                <w:rFonts w:hint="default" w:ascii="Times New Roman" w:hAnsi="Times New Roman" w:eastAsia="宋体" w:cs="Times New Roman"/>
                <w:b w:val="0"/>
                <w:bCs w:val="0"/>
                <w:color w:val="auto"/>
                <w:sz w:val="24"/>
                <w:szCs w:val="24"/>
                <w:vertAlign w:val="baseline"/>
                <w:lang w:val="en-US" w:eastAsia="zh-CN"/>
              </w:rPr>
              <w:t>苫盖</w:t>
            </w:r>
            <w:r>
              <w:rPr>
                <w:rFonts w:hint="default" w:ascii="Times New Roman" w:hAnsi="Times New Roman" w:eastAsia="宋体" w:cs="Times New Roman"/>
                <w:b w:val="0"/>
                <w:bCs w:val="0"/>
                <w:color w:val="auto"/>
                <w:sz w:val="24"/>
                <w:szCs w:val="24"/>
                <w:vertAlign w:val="baseline"/>
                <w:lang w:val="en-US" w:eastAsia="zh-CN"/>
              </w:rPr>
              <w:t>，一般土石方随挖随填，不在井场内长期堆放；施工完毕，应尽快整理施工现场，将表土覆盖在原地表，对临时占地进行植被恢复，恢复原有用地性质。</w:t>
            </w:r>
          </w:p>
          <w:p w14:paraId="57B2FD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表2-13   各井场表土及一般土石方堆场设置情况一览表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975"/>
              <w:gridCol w:w="1961"/>
              <w:gridCol w:w="1720"/>
              <w:gridCol w:w="1350"/>
            </w:tblGrid>
            <w:tr w14:paraId="6F0B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Align w:val="center"/>
                </w:tcPr>
                <w:p w14:paraId="2D6359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井场名称</w:t>
                  </w:r>
                </w:p>
              </w:tc>
              <w:tc>
                <w:tcPr>
                  <w:tcW w:w="1177" w:type="pct"/>
                  <w:vAlign w:val="center"/>
                </w:tcPr>
                <w:p w14:paraId="2BF282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土石方量（m</w:t>
                  </w:r>
                  <w:r>
                    <w:rPr>
                      <w:rFonts w:hint="eastAsia" w:ascii="Times New Roman" w:hAnsi="Times New Roman" w:eastAsia="宋体" w:cs="Times New Roman"/>
                      <w:b/>
                      <w:bCs/>
                      <w:color w:val="auto"/>
                      <w:sz w:val="21"/>
                      <w:szCs w:val="21"/>
                      <w:vertAlign w:val="superscript"/>
                      <w:lang w:val="en-US" w:eastAsia="zh-CN"/>
                    </w:rPr>
                    <w:t>3</w:t>
                  </w:r>
                  <w:r>
                    <w:rPr>
                      <w:rFonts w:hint="eastAsia" w:ascii="Times New Roman" w:hAnsi="Times New Roman" w:eastAsia="宋体" w:cs="Times New Roman"/>
                      <w:b/>
                      <w:bCs/>
                      <w:color w:val="auto"/>
                      <w:sz w:val="21"/>
                      <w:szCs w:val="21"/>
                      <w:vertAlign w:val="baseline"/>
                      <w:lang w:val="en-US" w:eastAsia="zh-CN"/>
                    </w:rPr>
                    <w:t>）</w:t>
                  </w:r>
                </w:p>
              </w:tc>
              <w:tc>
                <w:tcPr>
                  <w:tcW w:w="1169" w:type="pct"/>
                  <w:vAlign w:val="center"/>
                </w:tcPr>
                <w:p w14:paraId="2F7D40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堆场类型</w:t>
                  </w:r>
                </w:p>
              </w:tc>
              <w:tc>
                <w:tcPr>
                  <w:tcW w:w="1025" w:type="pct"/>
                  <w:vAlign w:val="center"/>
                </w:tcPr>
                <w:p w14:paraId="5A8C78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堆场面积（m</w:t>
                  </w:r>
                  <w:r>
                    <w:rPr>
                      <w:rFonts w:hint="eastAsia" w:ascii="Times New Roman" w:hAnsi="Times New Roman" w:eastAsia="宋体" w:cs="Times New Roman"/>
                      <w:b/>
                      <w:bCs/>
                      <w:color w:val="auto"/>
                      <w:sz w:val="21"/>
                      <w:szCs w:val="21"/>
                      <w:vertAlign w:val="superscript"/>
                      <w:lang w:val="en-US" w:eastAsia="zh-CN"/>
                    </w:rPr>
                    <w:t>2</w:t>
                  </w:r>
                  <w:r>
                    <w:rPr>
                      <w:rFonts w:hint="eastAsia" w:ascii="Times New Roman" w:hAnsi="Times New Roman" w:eastAsia="宋体" w:cs="Times New Roman"/>
                      <w:b/>
                      <w:bCs/>
                      <w:color w:val="auto"/>
                      <w:sz w:val="21"/>
                      <w:szCs w:val="21"/>
                      <w:vertAlign w:val="baseline"/>
                      <w:lang w:val="en-US" w:eastAsia="zh-CN"/>
                    </w:rPr>
                    <w:t>）</w:t>
                  </w:r>
                </w:p>
              </w:tc>
              <w:tc>
                <w:tcPr>
                  <w:tcW w:w="805" w:type="pct"/>
                  <w:vAlign w:val="center"/>
                </w:tcPr>
                <w:p w14:paraId="6D6004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堆高（m）</w:t>
                  </w:r>
                </w:p>
              </w:tc>
            </w:tr>
            <w:tr w14:paraId="5D83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0E53F7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米107-32M</w:t>
                  </w:r>
                </w:p>
              </w:tc>
              <w:tc>
                <w:tcPr>
                  <w:tcW w:w="1177" w:type="pct"/>
                  <w:shd w:val="clear" w:color="auto" w:fill="auto"/>
                  <w:vAlign w:val="center"/>
                </w:tcPr>
                <w:p w14:paraId="3AF989B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表土：2981.3</w:t>
                  </w:r>
                </w:p>
              </w:tc>
              <w:tc>
                <w:tcPr>
                  <w:tcW w:w="1169" w:type="pct"/>
                  <w:vAlign w:val="center"/>
                </w:tcPr>
                <w:p w14:paraId="5F7969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1CAEE9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1200</w:t>
                  </w:r>
                </w:p>
              </w:tc>
              <w:tc>
                <w:tcPr>
                  <w:tcW w:w="805" w:type="pct"/>
                  <w:vAlign w:val="center"/>
                </w:tcPr>
                <w:p w14:paraId="16A220C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6428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6A203A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0FDF46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一般：22800</w:t>
                  </w:r>
                </w:p>
              </w:tc>
              <w:tc>
                <w:tcPr>
                  <w:tcW w:w="1169" w:type="pct"/>
                  <w:vAlign w:val="center"/>
                </w:tcPr>
                <w:p w14:paraId="799A1FF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75ED1B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3000</w:t>
                  </w:r>
                </w:p>
              </w:tc>
              <w:tc>
                <w:tcPr>
                  <w:tcW w:w="805" w:type="pct"/>
                  <w:vAlign w:val="center"/>
                </w:tcPr>
                <w:p w14:paraId="254B32C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DBA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4613E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米107-22MH</w:t>
                  </w:r>
                </w:p>
              </w:tc>
              <w:tc>
                <w:tcPr>
                  <w:tcW w:w="1177" w:type="pct"/>
                  <w:shd w:val="clear" w:color="auto" w:fill="auto"/>
                  <w:vAlign w:val="center"/>
                </w:tcPr>
                <w:p w14:paraId="0D68B37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表土：2917.44</w:t>
                  </w:r>
                </w:p>
              </w:tc>
              <w:tc>
                <w:tcPr>
                  <w:tcW w:w="1169" w:type="pct"/>
                  <w:shd w:val="clear" w:color="auto" w:fill="auto"/>
                  <w:vAlign w:val="center"/>
                </w:tcPr>
                <w:p w14:paraId="3809C0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380F68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1200</w:t>
                  </w:r>
                </w:p>
              </w:tc>
              <w:tc>
                <w:tcPr>
                  <w:tcW w:w="805" w:type="pct"/>
                  <w:vAlign w:val="center"/>
                </w:tcPr>
                <w:p w14:paraId="597E09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430B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68780E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68B5B9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w:t>
                  </w:r>
                  <w:r>
                    <w:rPr>
                      <w:rFonts w:hint="default" w:ascii="Times New Roman" w:hAnsi="Times New Roman" w:eastAsia="宋体"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4872</w:t>
                  </w:r>
                </w:p>
              </w:tc>
              <w:tc>
                <w:tcPr>
                  <w:tcW w:w="1169" w:type="pct"/>
                  <w:shd w:val="clear" w:color="auto" w:fill="auto"/>
                  <w:vAlign w:val="center"/>
                </w:tcPr>
                <w:p w14:paraId="571FDB2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36179C4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2800</w:t>
                  </w:r>
                </w:p>
              </w:tc>
              <w:tc>
                <w:tcPr>
                  <w:tcW w:w="805" w:type="pct"/>
                  <w:vAlign w:val="center"/>
                </w:tcPr>
                <w:p w14:paraId="04D6E8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F9F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restart"/>
                  <w:vAlign w:val="center"/>
                </w:tcPr>
                <w:p w14:paraId="2BE6984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米107-16M</w:t>
                  </w:r>
                </w:p>
              </w:tc>
              <w:tc>
                <w:tcPr>
                  <w:tcW w:w="1177" w:type="pct"/>
                  <w:shd w:val="clear" w:color="auto" w:fill="auto"/>
                  <w:vAlign w:val="center"/>
                </w:tcPr>
                <w:p w14:paraId="20DB213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表土：2919.52</w:t>
                  </w:r>
                </w:p>
              </w:tc>
              <w:tc>
                <w:tcPr>
                  <w:tcW w:w="1169" w:type="pct"/>
                  <w:shd w:val="clear" w:color="auto" w:fill="auto"/>
                  <w:vAlign w:val="center"/>
                </w:tcPr>
                <w:p w14:paraId="24AA92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表土堆场</w:t>
                  </w:r>
                </w:p>
              </w:tc>
              <w:tc>
                <w:tcPr>
                  <w:tcW w:w="1025" w:type="pct"/>
                  <w:vAlign w:val="center"/>
                </w:tcPr>
                <w:p w14:paraId="013BC88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1800</w:t>
                  </w:r>
                </w:p>
              </w:tc>
              <w:tc>
                <w:tcPr>
                  <w:tcW w:w="805" w:type="pct"/>
                  <w:vAlign w:val="center"/>
                </w:tcPr>
                <w:p w14:paraId="453FD6D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r w14:paraId="1571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pct"/>
                  <w:vMerge w:val="continue"/>
                  <w:vAlign w:val="center"/>
                </w:tcPr>
                <w:p w14:paraId="26A742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p>
              </w:tc>
              <w:tc>
                <w:tcPr>
                  <w:tcW w:w="1177" w:type="pct"/>
                  <w:shd w:val="clear" w:color="auto" w:fill="auto"/>
                  <w:vAlign w:val="center"/>
                </w:tcPr>
                <w:p w14:paraId="14ABC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一般：15370</w:t>
                  </w:r>
                </w:p>
              </w:tc>
              <w:tc>
                <w:tcPr>
                  <w:tcW w:w="1169" w:type="pct"/>
                  <w:shd w:val="clear" w:color="auto" w:fill="auto"/>
                  <w:vAlign w:val="center"/>
                </w:tcPr>
                <w:p w14:paraId="2EC93B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一般土石方堆场</w:t>
                  </w:r>
                </w:p>
              </w:tc>
              <w:tc>
                <w:tcPr>
                  <w:tcW w:w="1025" w:type="pct"/>
                  <w:vAlign w:val="center"/>
                </w:tcPr>
                <w:p w14:paraId="1DA1D9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3200</w:t>
                  </w:r>
                </w:p>
              </w:tc>
              <w:tc>
                <w:tcPr>
                  <w:tcW w:w="805" w:type="pct"/>
                  <w:vAlign w:val="center"/>
                </w:tcPr>
                <w:p w14:paraId="6017687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3</w:t>
                  </w:r>
                </w:p>
              </w:tc>
            </w:tr>
          </w:tbl>
          <w:p w14:paraId="6ADB061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备注：本项目一般土石方随挖随填，一般土石方堆场能够满足开挖土石方堆存要求。</w:t>
            </w:r>
          </w:p>
          <w:p w14:paraId="385595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井场内按照</w:t>
            </w:r>
            <w:r>
              <w:rPr>
                <w:rFonts w:hint="default" w:ascii="Times New Roman" w:hAnsi="Times New Roman" w:eastAsia="宋体" w:cs="Times New Roman"/>
                <w:b w:val="0"/>
                <w:bCs w:val="0"/>
                <w:color w:val="auto"/>
                <w:sz w:val="24"/>
                <w:szCs w:val="24"/>
                <w:vertAlign w:val="baseline"/>
                <w:lang w:val="en-US" w:eastAsia="zh-CN"/>
              </w:rPr>
              <w:t>《钻前工程及井场布置技术要求》（SY/T5466-20</w:t>
            </w:r>
            <w:r>
              <w:rPr>
                <w:rFonts w:hint="eastAsia" w:ascii="Times New Roman" w:hAnsi="Times New Roman" w:eastAsia="宋体" w:cs="Times New Roman"/>
                <w:b w:val="0"/>
                <w:bCs w:val="0"/>
                <w:color w:val="auto"/>
                <w:sz w:val="24"/>
                <w:szCs w:val="24"/>
                <w:vertAlign w:val="baseline"/>
                <w:lang w:val="en-US" w:eastAsia="zh-CN"/>
              </w:rPr>
              <w:t>13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布置设备，</w:t>
            </w:r>
            <w:r>
              <w:rPr>
                <w:rFonts w:hint="default" w:ascii="Times New Roman" w:hAnsi="Times New Roman" w:eastAsia="宋体" w:cs="Times New Roman"/>
                <w:b w:val="0"/>
                <w:bCs w:val="0"/>
                <w:color w:val="auto"/>
                <w:sz w:val="24"/>
                <w:szCs w:val="24"/>
                <w:vertAlign w:val="baseline"/>
                <w:lang w:val="en-US" w:eastAsia="zh-CN"/>
              </w:rPr>
              <w:t>钻井平台、泥浆不落地系统区、泥浆储罐区、污水罐区、储液罐等</w:t>
            </w:r>
            <w:r>
              <w:rPr>
                <w:rFonts w:hint="eastAsia" w:ascii="Times New Roman" w:hAnsi="Times New Roman" w:eastAsia="宋体" w:cs="Times New Roman"/>
                <w:b w:val="0"/>
                <w:bCs w:val="0"/>
                <w:color w:val="auto"/>
                <w:sz w:val="24"/>
                <w:szCs w:val="24"/>
                <w:vertAlign w:val="baseline"/>
                <w:lang w:val="en-US" w:eastAsia="zh-CN"/>
              </w:rPr>
              <w:t>均为地面设施或设备</w:t>
            </w:r>
            <w:r>
              <w:rPr>
                <w:rFonts w:hint="default" w:ascii="Times New Roman" w:hAnsi="Times New Roman" w:eastAsia="宋体" w:cs="Times New Roman"/>
                <w:b w:val="0"/>
                <w:bCs w:val="0"/>
                <w:color w:val="auto"/>
                <w:sz w:val="24"/>
                <w:szCs w:val="24"/>
                <w:vertAlign w:val="baseline"/>
                <w:lang w:val="en-US" w:eastAsia="zh-CN"/>
              </w:rPr>
              <w:t>。井场内其他构筑物采用活动板房结构，设置均为撬装，生活区设置移动式</w:t>
            </w:r>
            <w:r>
              <w:rPr>
                <w:rFonts w:hint="eastAsia" w:ascii="Times New Roman" w:hAnsi="Times New Roman" w:eastAsia="宋体" w:cs="Times New Roman"/>
                <w:b w:val="0"/>
                <w:bCs w:val="0"/>
                <w:color w:val="auto"/>
                <w:sz w:val="24"/>
                <w:szCs w:val="24"/>
                <w:vertAlign w:val="baseline"/>
                <w:lang w:val="en-US" w:eastAsia="zh-CN"/>
              </w:rPr>
              <w:t>卫生旱厕</w:t>
            </w:r>
            <w:r>
              <w:rPr>
                <w:rFonts w:hint="default" w:ascii="Times New Roman" w:hAnsi="Times New Roman" w:eastAsia="宋体" w:cs="Times New Roman"/>
                <w:b w:val="0"/>
                <w:bCs w:val="0"/>
                <w:color w:val="auto"/>
                <w:sz w:val="24"/>
                <w:szCs w:val="24"/>
                <w:vertAlign w:val="baseline"/>
                <w:lang w:val="en-US" w:eastAsia="zh-CN"/>
              </w:rPr>
              <w:t>和垃圾收集</w:t>
            </w:r>
            <w:r>
              <w:rPr>
                <w:rFonts w:hint="eastAsia" w:ascii="Times New Roman" w:hAnsi="Times New Roman" w:eastAsia="宋体" w:cs="Times New Roman"/>
                <w:b w:val="0"/>
                <w:bCs w:val="0"/>
                <w:color w:val="auto"/>
                <w:sz w:val="24"/>
                <w:szCs w:val="24"/>
                <w:vertAlign w:val="baseline"/>
                <w:lang w:val="en-US" w:eastAsia="zh-CN"/>
              </w:rPr>
              <w:t>桶</w:t>
            </w:r>
            <w:r>
              <w:rPr>
                <w:rFonts w:hint="default" w:ascii="Times New Roman" w:hAnsi="Times New Roman" w:eastAsia="宋体" w:cs="Times New Roman"/>
                <w:b w:val="0"/>
                <w:bCs w:val="0"/>
                <w:color w:val="auto"/>
                <w:sz w:val="24"/>
                <w:szCs w:val="24"/>
                <w:vertAlign w:val="baseline"/>
                <w:lang w:val="en-US" w:eastAsia="zh-CN"/>
              </w:rPr>
              <w:t>。</w:t>
            </w:r>
          </w:p>
        </w:tc>
      </w:tr>
      <w:tr w14:paraId="255A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337D9C3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施工方案</w:t>
            </w:r>
          </w:p>
        </w:tc>
        <w:tc>
          <w:tcPr>
            <w:tcW w:w="8597" w:type="dxa"/>
            <w:vAlign w:val="center"/>
          </w:tcPr>
          <w:p w14:paraId="668E19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本次评价仅涉及天然气井的勘探过程，不涉及天然气的开采和集输。</w:t>
            </w:r>
          </w:p>
          <w:p w14:paraId="50D1B1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1、钻井工程及产污特点</w:t>
            </w:r>
          </w:p>
          <w:p w14:paraId="04CDE7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项目建设内容包括钻前工程、钻井、试井、完井封井。</w:t>
            </w:r>
          </w:p>
          <w:p w14:paraId="3E91A9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包括井场平整、设备基础、活动房搭建等；钻井工程包括设备安装、钻井、完井三部分；试井包括试井设备安装及试井两部分；完井测试结果若表明勘探井有工业开采的价值，拆除与采气无关的设备，剩余临时占地恢复为原有地貌、进行完井搬迁。若完井测试后勘探井不产天然气或所产天然气不具有工业开采价值，则用水泥封井后搬迁，将放弃的井场临时占地恢复为原有地貌。</w:t>
            </w:r>
          </w:p>
          <w:p w14:paraId="522AE64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4"/>
                <w:szCs w:val="24"/>
                <w:lang w:eastAsia="zh-CN"/>
              </w:rPr>
              <w:t>项目主要流程及产污环节见图2-</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352E801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4514850" cy="5086350"/>
                  <wp:effectExtent l="0" t="0" r="0" b="0"/>
                  <wp:docPr id="12" name="图片 12" descr="6c178254ea7f5e3012b25c4e6620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c178254ea7f5e3012b25c4e6620d14"/>
                          <pic:cNvPicPr>
                            <a:picLocks noChangeAspect="1"/>
                          </pic:cNvPicPr>
                        </pic:nvPicPr>
                        <pic:blipFill>
                          <a:blip r:embed="rId13"/>
                          <a:stretch>
                            <a:fillRect/>
                          </a:stretch>
                        </pic:blipFill>
                        <pic:spPr>
                          <a:xfrm>
                            <a:off x="0" y="0"/>
                            <a:ext cx="4514850" cy="5086350"/>
                          </a:xfrm>
                          <a:prstGeom prst="rect">
                            <a:avLst/>
                          </a:prstGeom>
                        </pic:spPr>
                      </pic:pic>
                    </a:graphicData>
                  </a:graphic>
                </wp:inline>
              </w:drawing>
            </w:r>
          </w:p>
          <w:p w14:paraId="7386334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图2-</w:t>
            </w:r>
            <w:r>
              <w:rPr>
                <w:rFonts w:hint="eastAsia" w:ascii="Times New Roman" w:hAnsi="Times New Roman" w:eastAsia="宋体" w:cs="Times New Roman"/>
                <w:b/>
                <w:bCs/>
                <w:color w:val="auto"/>
                <w:sz w:val="21"/>
                <w:szCs w:val="21"/>
                <w:vertAlign w:val="baseline"/>
                <w:lang w:val="en-US" w:eastAsia="zh-CN"/>
              </w:rPr>
              <w:t>3</w:t>
            </w:r>
            <w:r>
              <w:rPr>
                <w:rFonts w:hint="default" w:ascii="Times New Roman" w:hAnsi="Times New Roman" w:eastAsia="宋体" w:cs="Times New Roman"/>
                <w:b/>
                <w:bCs/>
                <w:color w:val="auto"/>
                <w:sz w:val="21"/>
                <w:szCs w:val="21"/>
                <w:vertAlign w:val="baseline"/>
                <w:lang w:val="en-US" w:eastAsia="zh-CN"/>
              </w:rPr>
              <w:t xml:space="preserve"> 项目主要工艺流程及产污环节图</w:t>
            </w:r>
          </w:p>
          <w:p w14:paraId="0AE904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2、施工工艺过程</w:t>
            </w:r>
          </w:p>
          <w:p w14:paraId="7D1DCFE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钻前工程满足钻井作业要求时，各类作业车辆将各类设备逐步运至井场进行安装，通过检查满足钻井要求时开始进行钻井作业。</w:t>
            </w:r>
          </w:p>
          <w:p w14:paraId="6AE033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钻井作业均包括钻进、钻进辅助作业、固井、完井测试等过程。钻井过程中均使用水基泥浆体系。钻进由起下钻、接单根、钻进等作业组成；钻进辅助作业由电测井、取心钻进、综合录井、中途测试等作业组成；固井由下套管和水泥固井两个过程组成。</w:t>
            </w:r>
          </w:p>
          <w:p w14:paraId="15EB77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①钻井</w:t>
            </w:r>
          </w:p>
          <w:p w14:paraId="45070A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钻前工程完成后，进入钻井工程。项目钻井采用直井钻探，</w:t>
            </w:r>
            <w:r>
              <w:rPr>
                <w:rFonts w:hint="default" w:ascii="Times New Roman" w:hAnsi="Times New Roman" w:eastAsia="宋体" w:cs="Times New Roman"/>
                <w:b w:val="0"/>
                <w:bCs w:val="0"/>
                <w:color w:val="auto"/>
                <w:sz w:val="24"/>
                <w:szCs w:val="24"/>
                <w:highlight w:val="none"/>
                <w:vertAlign w:val="baseline"/>
                <w:lang w:val="en-US" w:eastAsia="zh-CN"/>
              </w:rPr>
              <w:t>预计勘探</w:t>
            </w:r>
            <w:r>
              <w:rPr>
                <w:rFonts w:hint="eastAsia" w:ascii="Times New Roman" w:hAnsi="Times New Roman" w:eastAsia="宋体" w:cs="Times New Roman"/>
                <w:b w:val="0"/>
                <w:bCs w:val="0"/>
                <w:color w:val="auto"/>
                <w:sz w:val="24"/>
                <w:szCs w:val="24"/>
                <w:highlight w:val="none"/>
                <w:vertAlign w:val="baseline"/>
                <w:lang w:val="en-US" w:eastAsia="zh-CN"/>
              </w:rPr>
              <w:t>深度在2700~3000m之间</w:t>
            </w:r>
            <w:r>
              <w:rPr>
                <w:rFonts w:hint="default" w:ascii="Times New Roman" w:hAnsi="Times New Roman" w:eastAsia="宋体" w:cs="Times New Roman"/>
                <w:b w:val="0"/>
                <w:bCs w:val="0"/>
                <w:color w:val="auto"/>
                <w:sz w:val="24"/>
                <w:szCs w:val="24"/>
                <w:highlight w:val="none"/>
                <w:vertAlign w:val="baseline"/>
                <w:lang w:val="en-US" w:eastAsia="zh-CN"/>
              </w:rPr>
              <w:t>。钻井工程分为一开和二开钻井工程。一开包括下标称套管</w:t>
            </w:r>
            <w:r>
              <w:rPr>
                <w:rFonts w:hint="default" w:ascii="Times New Roman" w:hAnsi="Times New Roman" w:eastAsia="宋体" w:cs="Times New Roman"/>
                <w:b w:val="0"/>
                <w:bCs w:val="0"/>
                <w:color w:val="auto"/>
                <w:sz w:val="24"/>
                <w:szCs w:val="24"/>
                <w:highlight w:val="none"/>
                <w:vertAlign w:val="baseline"/>
                <w:lang w:val="en-US" w:eastAsia="zh-CN"/>
              </w:rPr>
              <w:t>6</w:t>
            </w:r>
            <w:r>
              <w:rPr>
                <w:rFonts w:hint="eastAsia" w:ascii="Times New Roman" w:hAnsi="Times New Roman" w:eastAsia="宋体" w:cs="Times New Roman"/>
                <w:b w:val="0"/>
                <w:bCs w:val="0"/>
                <w:color w:val="auto"/>
                <w:sz w:val="24"/>
                <w:szCs w:val="24"/>
                <w:highlight w:val="none"/>
                <w:vertAlign w:val="baseline"/>
                <w:lang w:val="en-US" w:eastAsia="zh-CN"/>
              </w:rPr>
              <w:t>00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baseline"/>
                <w:lang w:val="en-US" w:eastAsia="zh-CN"/>
              </w:rPr>
              <w:t>，固表层套管，套管口径273.1mm，此阶段采用清水泥浆（泥浆配方：清水+0.2-0.3%Na</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vertAlign w:val="baseline"/>
                <w:lang w:val="en-US" w:eastAsia="zh-CN"/>
              </w:rPr>
              <w:t>CO</w:t>
            </w:r>
            <w:r>
              <w:rPr>
                <w:rFonts w:hint="default" w:ascii="Times New Roman" w:hAnsi="Times New Roman" w:eastAsia="宋体" w:cs="Times New Roman"/>
                <w:b w:val="0"/>
                <w:bCs w:val="0"/>
                <w:color w:val="auto"/>
                <w:sz w:val="24"/>
                <w:szCs w:val="24"/>
                <w:highlight w:val="none"/>
                <w:vertAlign w:val="sub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+6-7%）迅速钻井，在套管的保护下能有效的保护浅层地下水；二开包括下气层套管、固气层套管，为生产、后期改造做好准备。二开</w:t>
            </w:r>
            <w:r>
              <w:rPr>
                <w:rFonts w:hint="default" w:ascii="Times New Roman" w:hAnsi="Times New Roman" w:eastAsia="宋体" w:cs="Times New Roman"/>
                <w:b w:val="0"/>
                <w:bCs w:val="0"/>
                <w:color w:val="auto"/>
                <w:sz w:val="24"/>
                <w:szCs w:val="24"/>
                <w:vertAlign w:val="baseline"/>
                <w:lang w:val="en-US" w:eastAsia="zh-CN"/>
              </w:rPr>
              <w:t>口径</w:t>
            </w:r>
            <w:r>
              <w:rPr>
                <w:rFonts w:hint="eastAsia" w:ascii="Times New Roman" w:hAnsi="Times New Roman" w:eastAsia="宋体" w:cs="Times New Roman"/>
                <w:b w:val="0"/>
                <w:bCs w:val="0"/>
                <w:color w:val="auto"/>
                <w:sz w:val="24"/>
                <w:szCs w:val="24"/>
                <w:vertAlign w:val="baseline"/>
                <w:lang w:val="en-US" w:eastAsia="zh-CN"/>
              </w:rPr>
              <w:t>219.1</w:t>
            </w:r>
            <w:r>
              <w:rPr>
                <w:rFonts w:hint="default" w:ascii="Times New Roman" w:hAnsi="Times New Roman" w:eastAsia="宋体" w:cs="Times New Roman"/>
                <w:b w:val="0"/>
                <w:bCs w:val="0"/>
                <w:color w:val="auto"/>
                <w:sz w:val="24"/>
                <w:szCs w:val="24"/>
                <w:vertAlign w:val="baseline"/>
                <w:lang w:val="en-US" w:eastAsia="zh-CN"/>
              </w:rPr>
              <w:t>mm。主要的工序简述如下：</w:t>
            </w:r>
          </w:p>
          <w:p w14:paraId="48483D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即钻头破碎岩石并通过钻井液带出岩屑并形成井筒的过程。钻井作业时，依靠钻机动力带动钻杆和钻头旋转，钻头逐次向下破碎岩层，同时通过空心钻杆向地下注入钻井液，将破碎岩屑通过循环钻井液带到地面形成返排液。地面设置泥浆循环系统将返排液中的岩屑清除后，将钻井液再次打入井内循环使用。</w:t>
            </w:r>
          </w:p>
          <w:p w14:paraId="511814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钻井泥浆循环系统是钻井工程的核心部分，主要包括振动筛、</w:t>
            </w:r>
            <w:r>
              <w:rPr>
                <w:rFonts w:hint="eastAsia" w:ascii="Times New Roman" w:hAnsi="Times New Roman" w:eastAsia="宋体" w:cs="Times New Roman"/>
                <w:b w:val="0"/>
                <w:bCs w:val="0"/>
                <w:color w:val="auto"/>
                <w:sz w:val="24"/>
                <w:szCs w:val="24"/>
                <w:vertAlign w:val="baseline"/>
                <w:lang w:val="en-US" w:eastAsia="zh-CN"/>
              </w:rPr>
              <w:t>除泥除沙</w:t>
            </w:r>
            <w:r>
              <w:rPr>
                <w:rFonts w:hint="default" w:ascii="Times New Roman" w:hAnsi="Times New Roman" w:eastAsia="宋体" w:cs="Times New Roman"/>
                <w:b w:val="0"/>
                <w:bCs w:val="0"/>
                <w:color w:val="auto"/>
                <w:sz w:val="24"/>
                <w:szCs w:val="24"/>
                <w:vertAlign w:val="baseline"/>
                <w:lang w:val="en-US" w:eastAsia="zh-CN"/>
              </w:rPr>
              <w:t>器、</w:t>
            </w:r>
            <w:r>
              <w:rPr>
                <w:rFonts w:hint="eastAsia" w:ascii="Times New Roman" w:hAnsi="Times New Roman" w:eastAsia="宋体" w:cs="Times New Roman"/>
                <w:b w:val="0"/>
                <w:bCs w:val="0"/>
                <w:color w:val="auto"/>
                <w:sz w:val="24"/>
                <w:szCs w:val="24"/>
                <w:vertAlign w:val="baseline"/>
                <w:lang w:val="en-US" w:eastAsia="zh-CN"/>
              </w:rPr>
              <w:t>离心机、螺旋输送机</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缓冲罐、</w:t>
            </w:r>
            <w:r>
              <w:rPr>
                <w:rFonts w:hint="default" w:ascii="Times New Roman" w:hAnsi="Times New Roman" w:eastAsia="宋体" w:cs="Times New Roman"/>
                <w:b w:val="0"/>
                <w:bCs w:val="0"/>
                <w:color w:val="auto"/>
                <w:sz w:val="24"/>
                <w:szCs w:val="24"/>
                <w:vertAlign w:val="baseline"/>
                <w:lang w:val="en-US" w:eastAsia="zh-CN"/>
              </w:rPr>
              <w:t>泥浆</w:t>
            </w:r>
            <w:r>
              <w:rPr>
                <w:rFonts w:hint="eastAsia" w:ascii="Times New Roman" w:hAnsi="Times New Roman" w:eastAsia="宋体" w:cs="Times New Roman"/>
                <w:b w:val="0"/>
                <w:bCs w:val="0"/>
                <w:color w:val="auto"/>
                <w:sz w:val="24"/>
                <w:szCs w:val="24"/>
                <w:vertAlign w:val="baseline"/>
                <w:lang w:val="en-US" w:eastAsia="zh-CN"/>
              </w:rPr>
              <w:t>循环</w:t>
            </w:r>
            <w:r>
              <w:rPr>
                <w:rFonts w:hint="default" w:ascii="Times New Roman" w:hAnsi="Times New Roman" w:eastAsia="宋体" w:cs="Times New Roman"/>
                <w:b w:val="0"/>
                <w:bCs w:val="0"/>
                <w:color w:val="auto"/>
                <w:sz w:val="24"/>
                <w:szCs w:val="24"/>
                <w:vertAlign w:val="baseline"/>
                <w:lang w:val="en-US" w:eastAsia="zh-CN"/>
              </w:rPr>
              <w:t>罐等设备。将返排液通过泥浆管输入振动筛进行固液分离，将泥浆中粒径大于0.1mm的固相物质留于筛上，振动筛筛下的液相进入循环罐暂存，再依次通过</w:t>
            </w:r>
            <w:r>
              <w:rPr>
                <w:rFonts w:hint="eastAsia" w:ascii="Times New Roman" w:hAnsi="Times New Roman" w:eastAsia="宋体" w:cs="Times New Roman"/>
                <w:b w:val="0"/>
                <w:bCs w:val="0"/>
                <w:color w:val="auto"/>
                <w:sz w:val="24"/>
                <w:szCs w:val="24"/>
                <w:vertAlign w:val="baseline"/>
                <w:lang w:val="en-US" w:eastAsia="zh-CN"/>
              </w:rPr>
              <w:t>除泥除沙</w:t>
            </w:r>
            <w:r>
              <w:rPr>
                <w:rFonts w:hint="default" w:ascii="Times New Roman" w:hAnsi="Times New Roman" w:eastAsia="宋体" w:cs="Times New Roman"/>
                <w:b w:val="0"/>
                <w:bCs w:val="0"/>
                <w:color w:val="auto"/>
                <w:sz w:val="24"/>
                <w:szCs w:val="24"/>
                <w:vertAlign w:val="baseline"/>
                <w:lang w:val="en-US" w:eastAsia="zh-CN"/>
              </w:rPr>
              <w:t>器分离出粒径大于0.01mm的固相物质后，用于钻井作业和后续的配浆作业。</w:t>
            </w:r>
          </w:p>
          <w:p w14:paraId="62C76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施工结束后无法回用的废弃泥浆通过压滤机处理后，上清液暂存于钻井废水储存罐，完井后由罐车</w:t>
            </w:r>
            <w:r>
              <w:rPr>
                <w:rFonts w:hint="default" w:ascii="Times New Roman" w:hAnsi="Times New Roman" w:eastAsia="宋体" w:cs="Times New Roman"/>
                <w:b w:val="0"/>
                <w:bCs w:val="0"/>
                <w:color w:val="auto"/>
                <w:sz w:val="24"/>
                <w:szCs w:val="24"/>
                <w:highlight w:val="none"/>
                <w:vertAlign w:val="baseline"/>
                <w:lang w:val="en-US" w:eastAsia="zh-CN"/>
              </w:rPr>
              <w:t>送有</w:t>
            </w:r>
            <w:r>
              <w:rPr>
                <w:rFonts w:hint="eastAsia" w:ascii="Times New Roman" w:hAnsi="Times New Roman" w:eastAsia="宋体" w:cs="Times New Roman"/>
                <w:b w:val="0"/>
                <w:bCs w:val="0"/>
                <w:color w:val="auto"/>
                <w:sz w:val="24"/>
                <w:szCs w:val="24"/>
                <w:highlight w:val="none"/>
                <w:vertAlign w:val="baseline"/>
                <w:lang w:val="en-US" w:eastAsia="zh-CN"/>
              </w:rPr>
              <w:t>能力</w:t>
            </w:r>
            <w:r>
              <w:rPr>
                <w:rFonts w:hint="default" w:ascii="Times New Roman" w:hAnsi="Times New Roman" w:eastAsia="宋体" w:cs="Times New Roman"/>
                <w:b w:val="0"/>
                <w:bCs w:val="0"/>
                <w:color w:val="auto"/>
                <w:sz w:val="24"/>
                <w:szCs w:val="24"/>
                <w:highlight w:val="none"/>
                <w:vertAlign w:val="baseline"/>
                <w:lang w:val="en-US" w:eastAsia="zh-CN"/>
              </w:rPr>
              <w:t>单位处置</w:t>
            </w:r>
            <w:r>
              <w:rPr>
                <w:rFonts w:hint="default" w:ascii="Times New Roman" w:hAnsi="Times New Roman" w:eastAsia="宋体" w:cs="Times New Roman"/>
                <w:b w:val="0"/>
                <w:bCs w:val="0"/>
                <w:color w:val="auto"/>
                <w:sz w:val="24"/>
                <w:szCs w:val="24"/>
                <w:vertAlign w:val="baseline"/>
                <w:lang w:val="en-US" w:eastAsia="zh-CN"/>
              </w:rPr>
              <w:t>；压滤后的泥饼暂存于固渣储存罐中；振动筛、除砂器、除泥器、离心机分离出的固相物质即岩屑，暂存于固渣储存罐中，施工结束后委托</w:t>
            </w:r>
            <w:r>
              <w:rPr>
                <w:rFonts w:hint="default" w:ascii="Times New Roman" w:hAnsi="Times New Roman" w:eastAsia="宋体" w:cs="Times New Roman"/>
                <w:b w:val="0"/>
                <w:bCs w:val="0"/>
                <w:color w:val="auto"/>
                <w:sz w:val="24"/>
                <w:szCs w:val="24"/>
                <w:highlight w:val="none"/>
                <w:vertAlign w:val="baseline"/>
                <w:lang w:val="en-US" w:eastAsia="zh-CN"/>
              </w:rPr>
              <w:t>陕西德禾鑫盛环保科技有限公司处置。</w:t>
            </w:r>
          </w:p>
          <w:p w14:paraId="7E2FD6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②录井、测井</w:t>
            </w:r>
          </w:p>
          <w:p w14:paraId="535467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录井：按设计要求进行地质录井、钻时录井、岩屑录井、岩芯录井、钻井液录井等。</w:t>
            </w:r>
          </w:p>
          <w:p w14:paraId="599F2A0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测井：根据地质需要，选用适合的测井项目对钻开地层进行电测，最终根据电测曲线了解地层的特征及地层含气情况。</w:t>
            </w:r>
          </w:p>
          <w:p w14:paraId="23AFB88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③固井</w:t>
            </w:r>
          </w:p>
          <w:p w14:paraId="15EE6A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固井是钻井达到预定深度后，下入套管并注入水泥浆，封固套管和井壁之间环形空间的作业。固井的主要目的是封隔疏松的易塌易漏地层，封隔油、气、水层，防止互相串漏，以保证安全继续钻进下一段井眼的工艺过程。固井水泥的返高也是封隔井筒与地下水的主要措施，本项目导管和一开固井水泥均返高至地面，可以多层防护与隔绝井内流体与含水层之间的联系。</w:t>
            </w:r>
          </w:p>
          <w:p w14:paraId="1C4AA0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④取芯工艺</w:t>
            </w:r>
          </w:p>
          <w:p w14:paraId="04B5C3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天然气埋藏在地下有孔隙裂缝的岩石中。为</w:t>
            </w:r>
            <w:r>
              <w:rPr>
                <w:rFonts w:hint="eastAsia" w:ascii="Times New Roman" w:hAnsi="Times New Roman" w:eastAsia="宋体" w:cs="Times New Roman"/>
                <w:b w:val="0"/>
                <w:bCs w:val="0"/>
                <w:color w:val="auto"/>
                <w:sz w:val="24"/>
                <w:szCs w:val="24"/>
                <w:vertAlign w:val="baseline"/>
                <w:lang w:val="en-US" w:eastAsia="zh-CN"/>
              </w:rPr>
              <w:t>了</w:t>
            </w:r>
            <w:r>
              <w:rPr>
                <w:rFonts w:hint="default" w:ascii="Times New Roman" w:hAnsi="Times New Roman" w:eastAsia="宋体" w:cs="Times New Roman"/>
                <w:b w:val="0"/>
                <w:bCs w:val="0"/>
                <w:color w:val="auto"/>
                <w:sz w:val="24"/>
                <w:szCs w:val="24"/>
                <w:vertAlign w:val="baseline"/>
                <w:lang w:val="en-US" w:eastAsia="zh-CN"/>
              </w:rPr>
              <w:t>了解地层中油气的真实面貌本项目采取常规钻并进行钻井取芯。</w:t>
            </w:r>
          </w:p>
          <w:p w14:paraId="3996CA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取芯时，要在下入井内钻柱的最下端，接上一套特制的取工具，取态钻头在垂直载荷和扭矩的联合作用下，对并底的岩石进行环形破碎，中间保留圆柱状岩芯进入岩芯筒。当钻进取芯到一定长度后，采用与工具相匹配的方法和措施，将钻头端部的岩芯割断后起钻，取工具与钻具一起提出地面，即可取出岩芯筒内的岩芯。钻并取芯可以充分满足地质家对岩芯进行多种项目的化验和测试，是对获取地下储层岩性、物性和储层评价有重要意义的手段。</w:t>
            </w:r>
            <w:r>
              <w:rPr>
                <w:rFonts w:hint="eastAsia" w:ascii="Times New Roman" w:hAnsi="Times New Roman" w:eastAsia="宋体" w:cs="Times New Roman"/>
                <w:b w:val="0"/>
                <w:bCs w:val="0"/>
                <w:color w:val="auto"/>
                <w:sz w:val="24"/>
                <w:szCs w:val="24"/>
                <w:vertAlign w:val="baseline"/>
                <w:lang w:val="en-US" w:eastAsia="zh-CN"/>
              </w:rPr>
              <w:t>根据建设单位提供资料，岩芯用于产气量气密性研究，研究完后的废弃岩芯作为固废委托陕西德禾鑫盛环保科技有限公司处理。</w:t>
            </w:r>
          </w:p>
          <w:p w14:paraId="0ED79E7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drawing>
                <wp:inline distT="0" distB="0" distL="114300" distR="114300">
                  <wp:extent cx="5321300" cy="2965450"/>
                  <wp:effectExtent l="0" t="0" r="12700" b="6350"/>
                  <wp:docPr id="3" name="图片 3" descr="171939110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19391105229"/>
                          <pic:cNvPicPr>
                            <a:picLocks noChangeAspect="1"/>
                          </pic:cNvPicPr>
                        </pic:nvPicPr>
                        <pic:blipFill>
                          <a:blip r:embed="rId14"/>
                          <a:stretch>
                            <a:fillRect/>
                          </a:stretch>
                        </pic:blipFill>
                        <pic:spPr>
                          <a:xfrm>
                            <a:off x="0" y="0"/>
                            <a:ext cx="5321300" cy="2965450"/>
                          </a:xfrm>
                          <a:prstGeom prst="rect">
                            <a:avLst/>
                          </a:prstGeom>
                        </pic:spPr>
                      </pic:pic>
                    </a:graphicData>
                  </a:graphic>
                </wp:inline>
              </w:drawing>
            </w:r>
          </w:p>
          <w:p w14:paraId="57E6382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图2-4 一开、二开井口示意图</w:t>
            </w:r>
          </w:p>
          <w:p w14:paraId="5AC1DEE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（3）压裂工程</w:t>
            </w:r>
          </w:p>
          <w:p w14:paraId="260BDF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后，为了消除井筒附近地层渗透率低的不良影响，以达到增产的目的，需进行压裂作业，主要是通过向井下注入压裂液进行压裂。压裂改造过程中，大量压裂液将进入地层进行储层改造，压裂结束后，需要快速的排液。</w:t>
            </w:r>
          </w:p>
          <w:p w14:paraId="232E3B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压裂后需要关井一段时间，使压裂裂缝闭合，施工造成的压力波在地层中有逐步扩散，液体逐渐水化。压裂放喷一般分为两个阶段。第一阶段：压裂后，由于地层弹性能量较足，井筒可实现自喷；第二阶段：关放排液，压裂后第一次放喷连续2～3小时不出液后，即可以关井，等压力恢复起来后再放喷，往复关放直至彻底不出液后关井。</w:t>
            </w:r>
          </w:p>
          <w:p w14:paraId="7907C3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（4）完井测试</w:t>
            </w:r>
          </w:p>
          <w:p w14:paraId="4A6842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测井方式为电测，不使用放射性测井设备，测井是利用专用仪器设备测量岩层的电化学特性、导电特性、声学特性等地球物理特性，以获取岩层的孔隙度、渗透率以及含油气情况等地层信息。根据地质需要，选用适合的测井项目对钻开地层进行电测，最终根据电测曲线了解地层的特征及地层含气情况。</w:t>
            </w:r>
          </w:p>
          <w:p w14:paraId="0B38FF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①</w:t>
            </w:r>
            <w:r>
              <w:rPr>
                <w:rFonts w:hint="default" w:ascii="Times New Roman" w:hAnsi="Times New Roman" w:eastAsia="宋体" w:cs="Times New Roman"/>
                <w:b w:val="0"/>
                <w:bCs w:val="0"/>
                <w:color w:val="auto"/>
                <w:sz w:val="24"/>
                <w:szCs w:val="24"/>
                <w:vertAlign w:val="baseline"/>
                <w:lang w:val="en-US" w:eastAsia="zh-CN"/>
              </w:rPr>
              <w:t>洗井</w:t>
            </w:r>
          </w:p>
          <w:p w14:paraId="7680CD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项目完钻后开展洗井作业，采用清水清洗套管。洗井废水从井口返排进入专用收集罐中，</w:t>
            </w:r>
            <w:r>
              <w:rPr>
                <w:rFonts w:hint="eastAsia" w:ascii="Times New Roman" w:hAnsi="Times New Roman" w:eastAsia="宋体" w:cs="Times New Roman"/>
                <w:b w:val="0"/>
                <w:bCs w:val="0"/>
                <w:color w:val="auto"/>
                <w:sz w:val="24"/>
                <w:szCs w:val="24"/>
                <w:vertAlign w:val="baseline"/>
                <w:lang w:val="en-US" w:eastAsia="zh-CN"/>
              </w:rPr>
              <w:t>洗井废水循环使用，剩余未利用部分委托</w:t>
            </w:r>
            <w:r>
              <w:rPr>
                <w:rFonts w:hint="default" w:ascii="Times New Roman" w:hAnsi="Times New Roman" w:eastAsia="宋体" w:cs="Times New Roman"/>
                <w:b w:val="0"/>
                <w:bCs w:val="0"/>
                <w:color w:val="auto"/>
                <w:sz w:val="24"/>
                <w:szCs w:val="24"/>
                <w:vertAlign w:val="baseline"/>
                <w:lang w:val="en-US" w:eastAsia="zh-CN"/>
              </w:rPr>
              <w:t>陕西</w:t>
            </w:r>
            <w:r>
              <w:rPr>
                <w:rFonts w:hint="eastAsia" w:ascii="Times New Roman" w:hAnsi="Times New Roman" w:eastAsia="宋体" w:cs="Times New Roman"/>
                <w:b w:val="0"/>
                <w:bCs w:val="0"/>
                <w:color w:val="auto"/>
                <w:sz w:val="24"/>
                <w:szCs w:val="24"/>
                <w:vertAlign w:val="baseline"/>
                <w:lang w:val="en-US" w:eastAsia="zh-CN"/>
              </w:rPr>
              <w:t>榆佳环保科技有限公司外运处理。</w:t>
            </w:r>
          </w:p>
          <w:p w14:paraId="1DB359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②</w:t>
            </w:r>
            <w:r>
              <w:rPr>
                <w:rFonts w:hint="default" w:ascii="Times New Roman" w:hAnsi="Times New Roman" w:eastAsia="宋体" w:cs="Times New Roman"/>
                <w:b w:val="0"/>
                <w:bCs w:val="0"/>
                <w:color w:val="auto"/>
                <w:sz w:val="24"/>
                <w:szCs w:val="24"/>
                <w:vertAlign w:val="baseline"/>
                <w:lang w:val="en-US" w:eastAsia="zh-CN"/>
              </w:rPr>
              <w:t>射孔</w:t>
            </w:r>
          </w:p>
          <w:p w14:paraId="5F25BCD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本项目采用射孔完井方式。射孔完井是指下入</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层套管封固产层后再用电缆射孔将套管、水泥环、部分产层射穿，形成气流通道。射穿产层后</w:t>
            </w:r>
            <w:r>
              <w:rPr>
                <w:rFonts w:hint="eastAsia" w:ascii="Times New Roman" w:hAnsi="Times New Roman" w:eastAsia="宋体" w:cs="Times New Roman"/>
                <w:b w:val="0"/>
                <w:bCs w:val="0"/>
                <w:color w:val="auto"/>
                <w:sz w:val="24"/>
                <w:szCs w:val="24"/>
                <w:vertAlign w:val="baseline"/>
                <w:lang w:val="en-US" w:eastAsia="zh-CN"/>
              </w:rPr>
              <w:t>气</w:t>
            </w:r>
            <w:r>
              <w:rPr>
                <w:rFonts w:hint="default" w:ascii="Times New Roman" w:hAnsi="Times New Roman" w:eastAsia="宋体" w:cs="Times New Roman"/>
                <w:b w:val="0"/>
                <w:bCs w:val="0"/>
                <w:color w:val="auto"/>
                <w:sz w:val="24"/>
                <w:szCs w:val="24"/>
                <w:vertAlign w:val="baseline"/>
                <w:lang w:val="en-US" w:eastAsia="zh-CN"/>
              </w:rPr>
              <w:t>井的生产能力受产层压力、产层性质、射孔参数及质量影响。根据建设单位以往经验，项目单井射孔一般需要射孔液36m³。射孔液主要成分为无机盐类（KCl、NaCl）水溶液加适量粘土稳定剂。</w:t>
            </w:r>
          </w:p>
          <w:p w14:paraId="1EA29D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（5）试气</w:t>
            </w:r>
          </w:p>
          <w:p w14:paraId="5A5A06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测试放喷是在固井、压裂作业后，利用测试放喷专用管线将井内天然气引至放喷火炬点火燃烧对天然气产量进行测试的过程，放喷前需接一条可测试流量的专用管线。依据测试气量，采用间歇性放喷，每次放喷时间约4～6h，废气排放属不连续排放。</w:t>
            </w:r>
          </w:p>
          <w:p w14:paraId="04B92D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（6）完井搬迁</w:t>
            </w:r>
          </w:p>
          <w:p w14:paraId="03BAC5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本项目主要进行预探井的勘探开发，</w:t>
            </w:r>
            <w:r>
              <w:rPr>
                <w:rFonts w:hint="default" w:ascii="Times New Roman" w:hAnsi="Times New Roman" w:eastAsia="宋体" w:cs="Times New Roman"/>
                <w:b w:val="0"/>
                <w:bCs w:val="0"/>
                <w:color w:val="auto"/>
                <w:sz w:val="24"/>
                <w:szCs w:val="24"/>
                <w:vertAlign w:val="baseline"/>
                <w:lang w:val="en-US" w:eastAsia="zh-CN"/>
              </w:rPr>
              <w:t>通过完井后</w:t>
            </w:r>
            <w:r>
              <w:rPr>
                <w:rFonts w:hint="eastAsia" w:ascii="Times New Roman" w:hAnsi="Times New Roman" w:eastAsia="宋体" w:cs="Times New Roman"/>
                <w:b w:val="0"/>
                <w:bCs w:val="0"/>
                <w:color w:val="auto"/>
                <w:sz w:val="24"/>
                <w:szCs w:val="24"/>
                <w:vertAlign w:val="baseline"/>
                <w:lang w:val="en-US" w:eastAsia="zh-CN"/>
              </w:rPr>
              <w:t>试气</w:t>
            </w:r>
            <w:r>
              <w:rPr>
                <w:rFonts w:hint="default" w:ascii="Times New Roman" w:hAnsi="Times New Roman" w:eastAsia="宋体" w:cs="Times New Roman"/>
                <w:b w:val="0"/>
                <w:bCs w:val="0"/>
                <w:color w:val="auto"/>
                <w:sz w:val="24"/>
                <w:szCs w:val="24"/>
                <w:vertAlign w:val="baseline"/>
                <w:lang w:val="en-US" w:eastAsia="zh-CN"/>
              </w:rPr>
              <w:t>测试评价情况，若完井或良好产量则临时封井后期转为生产井（另行办理相应的环评手续，完善永久征地手续），若未获得可利用的资源则永久封井处理（无永久占地，临时占地恢复原貌）。</w:t>
            </w:r>
          </w:p>
          <w:p w14:paraId="526F49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sz w:val="24"/>
                <w:szCs w:val="24"/>
                <w:vertAlign w:val="baseline"/>
                <w:lang w:val="en-US" w:eastAsia="zh-CN"/>
              </w:rPr>
              <w:t>①临时封井：</w:t>
            </w:r>
            <w:r>
              <w:rPr>
                <w:rFonts w:hint="default" w:ascii="Times New Roman" w:hAnsi="Times New Roman" w:eastAsia="宋体" w:cs="Times New Roman"/>
                <w:color w:val="auto"/>
                <w:sz w:val="24"/>
                <w:szCs w:val="24"/>
              </w:rPr>
              <w:t>在试气获得相关参数后，临时封井时按行业规范进行封井作业，对钻井设备、基础进行拆除、搬迁，在井下50-100m注入水泥形成水泥塞，水泥塞试压合格后完成临时封井。在井口位置设标记，注明该井的启用与封闭时间及使用 单位等，在封井结束后清理探井场地，然后对场地的植被予以恢复。</w:t>
            </w:r>
          </w:p>
          <w:p w14:paraId="20CB2E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永久封井：首先，利用钻井过程中套管及套管壁用水泥固封防止天然气窜入地层，同时在射孔段的上部往水泥形成水泥塞面封隔气层;其次，回填并做碉堡(边2m、高2.2m的三角形)和标识，设置醒目的警示标志。永久封井后应保证该井眼无遗留风险。</w:t>
            </w:r>
          </w:p>
          <w:p w14:paraId="462A4216">
            <w:pPr>
              <w:spacing w:line="360" w:lineRule="auto"/>
              <w:ind w:firstLine="440" w:firstLineChars="200"/>
              <w:jc w:val="center"/>
              <w:rPr>
                <w:rFonts w:hint="default" w:ascii="Times New Roman" w:hAnsi="Times New Roman" w:eastAsia="宋体" w:cs="Times New Roman"/>
                <w:color w:val="auto"/>
                <w:sz w:val="24"/>
                <w:szCs w:val="24"/>
                <w:lang w:eastAsia="zh-CN"/>
              </w:rPr>
            </w:pPr>
            <w:r>
              <w:rPr>
                <w:color w:val="auto"/>
              </w:rPr>
              <w:drawing>
                <wp:inline distT="0" distB="0" distL="114300" distR="114300">
                  <wp:extent cx="2781300" cy="2547620"/>
                  <wp:effectExtent l="0" t="0" r="0" b="508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5"/>
                          <a:stretch>
                            <a:fillRect/>
                          </a:stretch>
                        </pic:blipFill>
                        <pic:spPr>
                          <a:xfrm>
                            <a:off x="0" y="0"/>
                            <a:ext cx="2781300" cy="2547620"/>
                          </a:xfrm>
                          <a:prstGeom prst="rect">
                            <a:avLst/>
                          </a:prstGeom>
                          <a:noFill/>
                          <a:ln>
                            <a:noFill/>
                          </a:ln>
                        </pic:spPr>
                      </pic:pic>
                    </a:graphicData>
                  </a:graphic>
                </wp:inline>
              </w:drawing>
            </w:r>
          </w:p>
          <w:p w14:paraId="2D0F10F5">
            <w:pPr>
              <w:keepNext w:val="0"/>
              <w:keepLines w:val="0"/>
              <w:pageBreakBefore w:val="0"/>
              <w:widowControl w:val="0"/>
              <w:kinsoku/>
              <w:wordWrap/>
              <w:overflowPunct/>
              <w:topLinePunct w:val="0"/>
              <w:autoSpaceDE/>
              <w:autoSpaceDN/>
              <w:bidi w:val="0"/>
              <w:adjustRightInd/>
              <w:snapToGrid/>
              <w:spacing w:line="360" w:lineRule="auto"/>
              <w:ind w:firstLine="442" w:firstLineChars="20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图2-</w:t>
            </w:r>
            <w:r>
              <w:rPr>
                <w:rFonts w:hint="eastAsia"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lang w:val="en-US" w:eastAsia="zh-CN"/>
              </w:rPr>
              <w:t xml:space="preserve">  封井示意图</w:t>
            </w:r>
          </w:p>
          <w:p w14:paraId="19036D0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完井搬迁主要包括设备和设施的拆除和搬迁，钻井机、泥浆循环系统等设备和生活设施拆除后搬迁至周边其他井场继续使用。搬迁完成后即对场内基础设施进行拆除，如清除场地碎石、拆除硬化地面等。根据钻井作业规范和钻井环保管理规定，钻井液全部回收，不得遗弃在井场，废水和固体废物须交有</w:t>
            </w:r>
            <w:r>
              <w:rPr>
                <w:rFonts w:hint="eastAsia" w:ascii="Times New Roman" w:hAnsi="Times New Roman" w:eastAsia="宋体" w:cs="Times New Roman"/>
                <w:color w:val="auto"/>
                <w:sz w:val="24"/>
                <w:szCs w:val="24"/>
                <w:lang w:val="en-US" w:eastAsia="zh-CN"/>
              </w:rPr>
              <w:t>能力</w:t>
            </w:r>
            <w:r>
              <w:rPr>
                <w:rFonts w:hint="default" w:ascii="Times New Roman" w:hAnsi="Times New Roman" w:eastAsia="宋体" w:cs="Times New Roman"/>
                <w:color w:val="auto"/>
                <w:sz w:val="24"/>
                <w:szCs w:val="24"/>
                <w:lang w:eastAsia="zh-CN"/>
              </w:rPr>
              <w:t>单位处置，做到“工完、料尽、场地清”，并办理竣工环保验收合格后方可交井。</w:t>
            </w:r>
          </w:p>
          <w:p w14:paraId="3A4719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3、泥浆不落地措施</w:t>
            </w:r>
          </w:p>
          <w:p w14:paraId="0EAB15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泥浆处理过程中严格执行“泥浆不落地”措施，采用振动筛、除泥除沙器离心机、螺旋输送机、缓冲罐、泥浆</w:t>
            </w:r>
            <w:r>
              <w:rPr>
                <w:rFonts w:hint="eastAsia" w:ascii="Times New Roman" w:hAnsi="Times New Roman" w:eastAsia="宋体" w:cs="Times New Roman"/>
                <w:b w:val="0"/>
                <w:bCs w:val="0"/>
                <w:color w:val="auto"/>
                <w:sz w:val="24"/>
                <w:szCs w:val="24"/>
                <w:vertAlign w:val="baseline"/>
                <w:lang w:val="en-US" w:eastAsia="zh-CN"/>
              </w:rPr>
              <w:t>循环</w:t>
            </w:r>
            <w:r>
              <w:rPr>
                <w:rFonts w:hint="default" w:ascii="Times New Roman" w:hAnsi="Times New Roman" w:eastAsia="宋体" w:cs="Times New Roman"/>
                <w:b w:val="0"/>
                <w:bCs w:val="0"/>
                <w:color w:val="auto"/>
                <w:sz w:val="24"/>
                <w:szCs w:val="24"/>
                <w:vertAlign w:val="baseline"/>
                <w:lang w:val="en-US" w:eastAsia="zh-CN"/>
              </w:rPr>
              <w:t>罐等设备。钻井泥浆</w:t>
            </w:r>
            <w:r>
              <w:rPr>
                <w:rFonts w:hint="eastAsia" w:ascii="Times New Roman" w:hAnsi="Times New Roman" w:eastAsia="宋体" w:cs="Times New Roman"/>
                <w:b w:val="0"/>
                <w:bCs w:val="0"/>
                <w:color w:val="auto"/>
                <w:sz w:val="24"/>
                <w:szCs w:val="24"/>
                <w:vertAlign w:val="baseline"/>
                <w:lang w:val="en-US" w:eastAsia="zh-CN"/>
              </w:rPr>
              <w:t>经</w:t>
            </w:r>
            <w:r>
              <w:rPr>
                <w:rFonts w:hint="default" w:ascii="Times New Roman" w:hAnsi="Times New Roman" w:eastAsia="宋体" w:cs="Times New Roman"/>
                <w:b w:val="0"/>
                <w:bCs w:val="0"/>
                <w:color w:val="auto"/>
                <w:sz w:val="24"/>
                <w:szCs w:val="24"/>
                <w:vertAlign w:val="baseline"/>
                <w:lang w:val="en-US" w:eastAsia="zh-CN"/>
              </w:rPr>
              <w:t>岩屑</w:t>
            </w:r>
            <w:r>
              <w:rPr>
                <w:rFonts w:hint="eastAsia" w:ascii="Times New Roman" w:hAnsi="Times New Roman" w:eastAsia="宋体" w:cs="Times New Roman"/>
                <w:b w:val="0"/>
                <w:bCs w:val="0"/>
                <w:color w:val="auto"/>
                <w:sz w:val="24"/>
                <w:szCs w:val="24"/>
                <w:vertAlign w:val="baseline"/>
                <w:lang w:val="en-US" w:eastAsia="zh-CN"/>
              </w:rPr>
              <w:t>收集罐</w:t>
            </w:r>
            <w:r>
              <w:rPr>
                <w:rFonts w:hint="default" w:ascii="Times New Roman" w:hAnsi="Times New Roman" w:eastAsia="宋体" w:cs="Times New Roman"/>
                <w:b w:val="0"/>
                <w:bCs w:val="0"/>
                <w:color w:val="auto"/>
                <w:sz w:val="24"/>
                <w:szCs w:val="24"/>
                <w:vertAlign w:val="baseline"/>
                <w:lang w:val="en-US" w:eastAsia="zh-CN"/>
              </w:rPr>
              <w:t>装置，固液混合收集入罐，在罐内进行破胶脱稳后实现固液分类，分离后的固相经板框压滤机进一步脱水，上清液同洗井废水、</w:t>
            </w:r>
            <w:r>
              <w:rPr>
                <w:rFonts w:hint="eastAsia" w:ascii="Times New Roman" w:hAnsi="Times New Roman" w:eastAsia="宋体" w:cs="Times New Roman"/>
                <w:b w:val="0"/>
                <w:bCs w:val="0"/>
                <w:color w:val="auto"/>
                <w:sz w:val="24"/>
                <w:szCs w:val="24"/>
                <w:vertAlign w:val="baseline"/>
                <w:lang w:val="en-US" w:eastAsia="zh-CN"/>
              </w:rPr>
              <w:t>压裂</w:t>
            </w:r>
            <w:r>
              <w:rPr>
                <w:rFonts w:hint="default" w:ascii="Times New Roman" w:hAnsi="Times New Roman" w:eastAsia="宋体" w:cs="Times New Roman"/>
                <w:b w:val="0"/>
                <w:bCs w:val="0"/>
                <w:color w:val="auto"/>
                <w:sz w:val="24"/>
                <w:szCs w:val="24"/>
                <w:highlight w:val="none"/>
                <w:vertAlign w:val="baseline"/>
                <w:lang w:val="en-US" w:eastAsia="zh-CN"/>
              </w:rPr>
              <w:t>反排液委托陕西榆佳环保科技有限公司外单位处置。</w:t>
            </w:r>
            <w:r>
              <w:rPr>
                <w:rFonts w:hint="default" w:ascii="Times New Roman" w:hAnsi="Times New Roman" w:eastAsia="宋体" w:cs="Times New Roman"/>
                <w:b w:val="0"/>
                <w:bCs w:val="0"/>
                <w:color w:val="auto"/>
                <w:sz w:val="24"/>
                <w:szCs w:val="24"/>
                <w:vertAlign w:val="baseline"/>
                <w:lang w:val="en-US" w:eastAsia="zh-CN"/>
              </w:rPr>
              <w:t>处理后的固相在施工结束后交有</w:t>
            </w:r>
            <w:r>
              <w:rPr>
                <w:rFonts w:hint="eastAsia" w:ascii="Times New Roman" w:hAnsi="Times New Roman" w:eastAsia="宋体" w:cs="Times New Roman"/>
                <w:b w:val="0"/>
                <w:bCs w:val="0"/>
                <w:color w:val="auto"/>
                <w:sz w:val="24"/>
                <w:szCs w:val="24"/>
                <w:vertAlign w:val="baseline"/>
                <w:lang w:val="en-US" w:eastAsia="zh-CN"/>
              </w:rPr>
              <w:t>能力</w:t>
            </w:r>
            <w:r>
              <w:rPr>
                <w:rFonts w:hint="default" w:ascii="Times New Roman" w:hAnsi="Times New Roman" w:eastAsia="宋体" w:cs="Times New Roman"/>
                <w:b w:val="0"/>
                <w:bCs w:val="0"/>
                <w:color w:val="auto"/>
                <w:sz w:val="24"/>
                <w:szCs w:val="24"/>
                <w:vertAlign w:val="baseline"/>
                <w:lang w:val="en-US" w:eastAsia="zh-CN"/>
              </w:rPr>
              <w:t>单位处置</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对于临时存放的固相，暂存时间不得超过1个月，应在施工结束后及时拉运；堆放点要采取“三防”措施，采用四周围堰和“</w:t>
            </w:r>
            <w:r>
              <w:rPr>
                <w:rFonts w:hint="eastAsia" w:ascii="Times New Roman" w:hAnsi="Times New Roman" w:eastAsia="宋体" w:cs="Times New Roman"/>
                <w:b w:val="0"/>
                <w:bCs w:val="0"/>
                <w:color w:val="auto"/>
                <w:sz w:val="24"/>
                <w:szCs w:val="24"/>
                <w:vertAlign w:val="baseline"/>
                <w:lang w:val="en-US" w:eastAsia="zh-CN"/>
              </w:rPr>
              <w:t>下铺上盖</w:t>
            </w:r>
            <w:r>
              <w:rPr>
                <w:rFonts w:hint="default" w:ascii="Times New Roman" w:hAnsi="Times New Roman" w:eastAsia="宋体" w:cs="Times New Roman"/>
                <w:b w:val="0"/>
                <w:bCs w:val="0"/>
                <w:color w:val="auto"/>
                <w:sz w:val="24"/>
                <w:szCs w:val="24"/>
                <w:vertAlign w:val="baseline"/>
                <w:lang w:val="en-US" w:eastAsia="zh-CN"/>
              </w:rPr>
              <w:t>”的防渗防尘技术要求。防渗满足一般防渗区要求，铺设HDPE土工膜进行防渗处理。</w:t>
            </w:r>
          </w:p>
          <w:p w14:paraId="1B6427FA">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2、施工时序</w:t>
            </w:r>
          </w:p>
          <w:p w14:paraId="144BE96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rPr>
            </w:pPr>
            <w:r>
              <w:rPr>
                <w:rFonts w:hint="default" w:ascii="Times New Roman" w:hAnsi="Times New Roman" w:cs="Times New Roman"/>
                <w:color w:val="auto"/>
              </w:rPr>
              <w:t>项目施工时尽可能保证施工连续、均衡和经济，对工程具有控制作用的项目节点作为重点，予以优先安排。施工时首先进行地面平整、井场设施安装，接着完成钻井和固井，钻井分为一开、二开，在每个工段先钻井再下管套然后固井，最后洗井，再根据勘探情况考虑封井或者弃井。本项目安排1个钻井队接续施工，单个井场施工时间为50d。具体施工方式由建设单位统筹安排。</w:t>
            </w:r>
          </w:p>
          <w:p w14:paraId="7D92193F">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3、建设周期</w:t>
            </w:r>
          </w:p>
          <w:p w14:paraId="0D9FC7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本项目计划开工时间为202</w:t>
            </w:r>
            <w:r>
              <w:rPr>
                <w:rFonts w:hint="eastAsia" w:ascii="Times New Roman" w:hAnsi="Times New Roman" w:cs="Times New Roman" w:eastAsiaTheme="minorHAnsi"/>
                <w:color w:val="auto"/>
                <w:kern w:val="0"/>
                <w:sz w:val="24"/>
                <w:szCs w:val="21"/>
                <w:lang w:val="en-US" w:eastAsia="zh-CN" w:bidi="ar-SA"/>
              </w:rPr>
              <w:t>5</w:t>
            </w:r>
            <w:r>
              <w:rPr>
                <w:rFonts w:hint="default" w:ascii="Times New Roman" w:hAnsi="Times New Roman" w:cs="Times New Roman" w:eastAsiaTheme="minorHAnsi"/>
                <w:color w:val="auto"/>
                <w:kern w:val="0"/>
                <w:sz w:val="24"/>
                <w:szCs w:val="21"/>
                <w:lang w:val="en-US" w:eastAsia="en-US" w:bidi="ar-SA"/>
              </w:rPr>
              <w:t>年</w:t>
            </w:r>
            <w:r>
              <w:rPr>
                <w:rFonts w:hint="eastAsia" w:ascii="Times New Roman" w:hAnsi="Times New Roman" w:cs="Times New Roman"/>
                <w:color w:val="auto"/>
                <w:kern w:val="0"/>
                <w:sz w:val="24"/>
                <w:szCs w:val="21"/>
                <w:lang w:val="en-US" w:eastAsia="zh-CN" w:bidi="ar-SA"/>
              </w:rPr>
              <w:t>6</w:t>
            </w:r>
            <w:r>
              <w:rPr>
                <w:rFonts w:hint="default" w:ascii="Times New Roman" w:hAnsi="Times New Roman" w:cs="Times New Roman" w:eastAsiaTheme="minorHAnsi"/>
                <w:color w:val="auto"/>
                <w:kern w:val="0"/>
                <w:sz w:val="24"/>
                <w:szCs w:val="21"/>
                <w:lang w:val="en-US" w:eastAsia="en-US" w:bidi="ar-SA"/>
              </w:rPr>
              <w:t>月</w:t>
            </w:r>
            <w:r>
              <w:rPr>
                <w:rFonts w:hint="eastAsia" w:ascii="Times New Roman" w:hAnsi="Times New Roman" w:eastAsia="宋体" w:cs="Times New Roman"/>
                <w:color w:val="auto"/>
                <w:kern w:val="0"/>
                <w:sz w:val="24"/>
                <w:szCs w:val="21"/>
                <w:lang w:val="en-US" w:eastAsia="zh-CN" w:bidi="ar-SA"/>
              </w:rPr>
              <w:t>，预计完工时间为2025年9月</w:t>
            </w:r>
            <w:r>
              <w:rPr>
                <w:rFonts w:hint="default" w:ascii="Times New Roman" w:hAnsi="Times New Roman" w:cs="Times New Roman" w:eastAsiaTheme="minorHAnsi"/>
                <w:color w:val="auto"/>
                <w:kern w:val="0"/>
                <w:sz w:val="24"/>
                <w:szCs w:val="21"/>
                <w:lang w:val="en-US" w:eastAsia="en-US" w:bidi="ar-SA"/>
              </w:rPr>
              <w:t>。</w:t>
            </w:r>
          </w:p>
        </w:tc>
      </w:tr>
      <w:tr w14:paraId="322AF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Align w:val="center"/>
          </w:tcPr>
          <w:p w14:paraId="46E0180B">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597" w:type="dxa"/>
            <w:vAlign w:val="center"/>
          </w:tcPr>
          <w:p w14:paraId="78942C88">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p w14:paraId="69B026E0">
            <w:pPr>
              <w:numPr>
                <w:ilvl w:val="0"/>
                <w:numId w:val="0"/>
              </w:numPr>
              <w:ind w:firstLine="480" w:firstLineChars="200"/>
              <w:jc w:val="both"/>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本项目无其他比选方案。</w:t>
            </w:r>
          </w:p>
          <w:p w14:paraId="064A1A50">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bl>
    <w:p w14:paraId="41603409">
      <w:pPr>
        <w:numPr>
          <w:ilvl w:val="0"/>
          <w:numId w:val="0"/>
        </w:numPr>
        <w:jc w:val="both"/>
        <w:rPr>
          <w:rFonts w:hint="default" w:ascii="Times New Roman" w:hAnsi="Times New Roman" w:eastAsia="黑体" w:cs="Times New Roman"/>
          <w:b w:val="0"/>
          <w:bCs w:val="0"/>
          <w:color w:val="auto"/>
          <w:sz w:val="28"/>
          <w:szCs w:val="28"/>
          <w:lang w:val="en-US" w:eastAsia="zh-CN"/>
        </w:rPr>
        <w:sectPr>
          <w:footerReference r:id="rId5" w:type="default"/>
          <w:pgSz w:w="11906" w:h="16838"/>
          <w:pgMar w:top="1417" w:right="1417" w:bottom="1417" w:left="1417" w:header="992" w:footer="896" w:gutter="0"/>
          <w:pgBorders>
            <w:top w:val="none" w:sz="0" w:space="0"/>
            <w:left w:val="none" w:sz="0" w:space="0"/>
            <w:bottom w:val="none" w:sz="0" w:space="0"/>
            <w:right w:val="none" w:sz="0" w:space="0"/>
          </w:pgBorders>
          <w:pgNumType w:fmt="decimal" w:start="1"/>
          <w:cols w:space="0" w:num="1"/>
          <w:rtlGutter w:val="0"/>
          <w:docGrid w:type="lines" w:linePitch="318" w:charSpace="0"/>
        </w:sectPr>
      </w:pPr>
    </w:p>
    <w:p w14:paraId="68C24F04">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生态环境现状、保护目标及评价标准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863"/>
      </w:tblGrid>
      <w:tr w14:paraId="420CB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Align w:val="center"/>
          </w:tcPr>
          <w:p w14:paraId="2DEB7A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生态环境现状</w:t>
            </w:r>
          </w:p>
        </w:tc>
        <w:tc>
          <w:tcPr>
            <w:tcW w:w="8483" w:type="dxa"/>
            <w:vAlign w:val="center"/>
          </w:tcPr>
          <w:p w14:paraId="5510571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一、生态环境现状</w:t>
            </w:r>
          </w:p>
          <w:p w14:paraId="75AC81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1、主体功能区划</w:t>
            </w:r>
          </w:p>
          <w:p w14:paraId="778937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根据《陕西省主体功能区划》中陕西省重点开发区域分布图，项目位于国家层面限制开发区域（重点生态功能区）。</w:t>
            </w:r>
          </w:p>
          <w:p w14:paraId="1BA633A7">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color w:val="auto"/>
                <w:sz w:val="22"/>
              </w:rPr>
              <mc:AlternateContent>
                <mc:Choice Requires="wps">
                  <w:drawing>
                    <wp:anchor distT="0" distB="0" distL="114300" distR="114300" simplePos="0" relativeHeight="251664384" behindDoc="0" locked="0" layoutInCell="1" allowOverlap="1">
                      <wp:simplePos x="0" y="0"/>
                      <wp:positionH relativeFrom="column">
                        <wp:posOffset>3089910</wp:posOffset>
                      </wp:positionH>
                      <wp:positionV relativeFrom="paragraph">
                        <wp:posOffset>578485</wp:posOffset>
                      </wp:positionV>
                      <wp:extent cx="930910" cy="358140"/>
                      <wp:effectExtent l="6350" t="6350" r="53340" b="683260"/>
                      <wp:wrapNone/>
                      <wp:docPr id="21" name="圆角矩形标注 21"/>
                      <wp:cNvGraphicFramePr/>
                      <a:graphic xmlns:a="http://schemas.openxmlformats.org/drawingml/2006/main">
                        <a:graphicData uri="http://schemas.microsoft.com/office/word/2010/wordprocessingShape">
                          <wps:wsp>
                            <wps:cNvSpPr/>
                            <wps:spPr>
                              <a:xfrm>
                                <a:off x="2633345" y="3385820"/>
                                <a:ext cx="930910" cy="358140"/>
                              </a:xfrm>
                              <a:prstGeom prst="wedgeRoundRectCallout">
                                <a:avLst>
                                  <a:gd name="adj1" fmla="val 52609"/>
                                  <a:gd name="adj2" fmla="val 227295"/>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3.3pt;margin-top:45.55pt;height:28.2pt;width:73.3pt;z-index:251664384;v-text-anchor:middle;mso-width-relative:page;mso-height-relative:page;" filled="f" stroked="t" coordsize="21600,21600" o:gfxdata="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fzWb&#10;mtgAAAAKAQAADwAAAAAAAAABACAAAAAiAAAAZHJzL2Rvd25yZXYueG1sUEsBAhQAFAAAAAgAh07i&#10;QIgSXsnNAgAAdgUAAA4AAAAAAAAAAQAgAAAAJwEAAGRycy9lMm9Eb2MueG1sUEsFBgAAAAAGAAYA&#10;WQEAAGYGAAAAAA==&#10;" adj="22164,59896,14400">
                      <v:fill on="f" focussize="0,0"/>
                      <v:stroke weight="1pt" color="#FF0000 [2404]" miterlimit="8" joinstyle="miter"/>
                      <v:imagedata o:title=""/>
                      <o:lock v:ext="edit" aspectratio="f"/>
                      <v:textbox>
                        <w:txbxContent>
                          <w:p w14:paraId="412EA386">
                            <w:pPr>
                              <w:jc w:val="center"/>
                              <w:rPr>
                                <w:rFonts w:hint="default" w:eastAsia="宋体"/>
                                <w:b/>
                                <w:bCs/>
                                <w:color w:val="FF0000"/>
                                <w:lang w:val="en-US" w:eastAsia="zh-CN"/>
                              </w:rPr>
                            </w:pPr>
                            <w:r>
                              <w:rPr>
                                <w:rFonts w:hint="eastAsia" w:eastAsia="宋体"/>
                                <w:b/>
                                <w:bCs/>
                                <w:color w:val="FF0000"/>
                                <w:lang w:val="en-US" w:eastAsia="zh-CN"/>
                              </w:rPr>
                              <w:t>项目位置</w:t>
                            </w:r>
                          </w:p>
                        </w:txbxContent>
                      </v:textbox>
                    </v:shape>
                  </w:pict>
                </mc:Fallback>
              </mc:AlternateContent>
            </w:r>
            <w:r>
              <w:rPr>
                <w:color w:val="auto"/>
                <w:sz w:val="22"/>
              </w:rPr>
              <mc:AlternateContent>
                <mc:Choice Requires="wps">
                  <w:drawing>
                    <wp:anchor distT="0" distB="0" distL="114300" distR="114300" simplePos="0" relativeHeight="251663360" behindDoc="0" locked="0" layoutInCell="1" allowOverlap="1">
                      <wp:simplePos x="0" y="0"/>
                      <wp:positionH relativeFrom="column">
                        <wp:posOffset>3955415</wp:posOffset>
                      </wp:positionH>
                      <wp:positionV relativeFrom="paragraph">
                        <wp:posOffset>1440815</wp:posOffset>
                      </wp:positionV>
                      <wp:extent cx="234315" cy="205105"/>
                      <wp:effectExtent l="20955" t="19050" r="30480" b="23495"/>
                      <wp:wrapNone/>
                      <wp:docPr id="9" name="五角星 9"/>
                      <wp:cNvGraphicFramePr/>
                      <a:graphic xmlns:a="http://schemas.openxmlformats.org/drawingml/2006/main">
                        <a:graphicData uri="http://schemas.microsoft.com/office/word/2010/wordprocessingShape">
                          <wps:wsp>
                            <wps:cNvSpPr/>
                            <wps:spPr>
                              <a:xfrm>
                                <a:off x="3212465" y="3749675"/>
                                <a:ext cx="234315" cy="205105"/>
                              </a:xfrm>
                              <a:prstGeom prst="star5">
                                <a:avLst/>
                              </a:prstGeom>
                              <a:solidFill>
                                <a:srgbClr val="FF0000"/>
                              </a:solidFill>
                              <a:ln>
                                <a:solidFill>
                                  <a:schemeClr val="tx1">
                                    <a:lumMod val="95000"/>
                                    <a:lumOff val="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11.45pt;margin-top:113.45pt;height:16.15pt;width:18.45pt;z-index:251663360;v-text-anchor:middle;mso-width-relative:page;mso-height-relative:page;" fillcolor="#FF0000" filled="t" stroked="t" coordsize="234315,205105" o:gfxdata="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C8BQ+NgAAAALAQAADwAAAAAAAAABACAAAAAiAAAAZHJzL2Rvd25yZXYueG1sUEsB&#10;AhQAFAAAAAgAh07iQAlnVgigAgAAOwUAAA4AAAAAAAAAAQAgAAAAJwEAAGRycy9lMm9Eb2MueG1s&#10;UEsFBgAAAAAGAAYAWQEAADkGAAAAAA==&#10;" path="m0,78342l89500,78343,117157,0,144814,78343,234314,78342,161906,126761,189564,205104,117157,156685,44750,205104,72408,126761xe">
                      <v:path o:connectlocs="117157,0;0,78342;44750,205104;189564,205104;234314,78342" o:connectangles="247,164,82,82,0"/>
                      <v:fill on="t" focussize="0,0"/>
                      <v:stroke weight="1pt" color="#0D0D0D [3069]"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4754880" cy="6735445"/>
                  <wp:effectExtent l="9525" t="9525" r="17145" b="17780"/>
                  <wp:docPr id="17" name="图片 4" descr="78f3d18833ce67903d4d2bb064fe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78f3d18833ce67903d4d2bb064fe325"/>
                          <pic:cNvPicPr>
                            <a:picLocks noChangeAspect="1"/>
                          </pic:cNvPicPr>
                        </pic:nvPicPr>
                        <pic:blipFill>
                          <a:blip r:embed="rId16"/>
                          <a:srcRect b="-408"/>
                          <a:stretch>
                            <a:fillRect/>
                          </a:stretch>
                        </pic:blipFill>
                        <pic:spPr>
                          <a:xfrm>
                            <a:off x="0" y="0"/>
                            <a:ext cx="4754880" cy="6735445"/>
                          </a:xfrm>
                          <a:prstGeom prst="rect">
                            <a:avLst/>
                          </a:prstGeom>
                          <a:noFill/>
                          <a:ln>
                            <a:solidFill>
                              <a:schemeClr val="tx1"/>
                            </a:solidFill>
                          </a:ln>
                        </pic:spPr>
                      </pic:pic>
                    </a:graphicData>
                  </a:graphic>
                </wp:inline>
              </w:drawing>
            </w:r>
          </w:p>
          <w:p w14:paraId="6E3FFB0F">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图3-1 陕西省主体功能区划图</w:t>
            </w:r>
          </w:p>
          <w:p w14:paraId="79669C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陕西省生态功能区划》，本项目位于陕西省生态功能区中黄土高原农牧生态区（一级区）、黄土丘陵沟壑水土流失控制生态功能区（二级区）、黄土峁状丘陵沟壑水土流失控制区（三级区）。该区生态敏感性特征为：沟壑纵横，土壤侵蚀极敏感-高度敏感，土壤保持功能极重要。建立基本农田，坡地退耕还林还草，开展流域综合治理，控制水土流失。本项目为陆地矿产资源地质勘察类项目，运行期产生的主要污染物为员工生活污水及生活垃圾，均不外排，不会对当地土壤造成影响，且项目会采取设置排水沟、集水池、临时占用的草地会在施工结束后及时恢复等水土保持措施，因此对当地的水土流失影响较小，因此与《陕西省生态功能区划》相符。</w:t>
            </w:r>
          </w:p>
          <w:p w14:paraId="174828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生态功能区划图见图3-2。</w:t>
            </w:r>
          </w:p>
          <w:p w14:paraId="485580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3638550</wp:posOffset>
                      </wp:positionH>
                      <wp:positionV relativeFrom="paragraph">
                        <wp:posOffset>797560</wp:posOffset>
                      </wp:positionV>
                      <wp:extent cx="948690" cy="403860"/>
                      <wp:effectExtent l="6350" t="6350" r="16510" b="599440"/>
                      <wp:wrapNone/>
                      <wp:docPr id="20" name="圆角矩形标注 20"/>
                      <wp:cNvGraphicFramePr/>
                      <a:graphic xmlns:a="http://schemas.openxmlformats.org/drawingml/2006/main">
                        <a:graphicData uri="http://schemas.microsoft.com/office/word/2010/wordprocessingShape">
                          <wps:wsp>
                            <wps:cNvSpPr/>
                            <wps:spPr>
                              <a:xfrm>
                                <a:off x="0" y="0"/>
                                <a:ext cx="948690" cy="403860"/>
                              </a:xfrm>
                              <a:prstGeom prst="wedgeRoundRectCallout">
                                <a:avLst>
                                  <a:gd name="adj1" fmla="val 35809"/>
                                  <a:gd name="adj2" fmla="val 18694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6.5pt;margin-top:62.8pt;height:31.8pt;width:74.7pt;z-index:251662336;v-text-anchor:middle;mso-width-relative:page;mso-height-relative:page;" filled="f" stroked="t" coordsize="21600,21600" o:gfxdata="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7LY+3aAAAACwEAAA8A&#10;AAAAAAAAAQAgAAAAIgAAAGRycy9kb3ducmV2LnhtbFBLAQIUABQAAAAIAIdO4kAGOdGJwAIAAGoF&#10;AAAOAAAAAAAAAAEAIAAAACkBAABkcnMvZTJvRG9jLnhtbFBLBQYAAAAABgAGAFkBAABbBgAAAAA=&#10;" adj="18535,51181,14400">
                      <v:fill on="f" focussize="0,0"/>
                      <v:stroke weight="1pt" color="#FF0000 [2404]" miterlimit="8" joinstyle="miter"/>
                      <v:imagedata o:title=""/>
                      <o:lock v:ext="edit" aspectratio="f"/>
                      <v:textbox>
                        <w:txbxContent>
                          <w:p w14:paraId="7AF79759">
                            <w:pPr>
                              <w:jc w:val="center"/>
                              <w:rPr>
                                <w:rFonts w:hint="default" w:eastAsia="宋体"/>
                                <w:b/>
                                <w:bCs/>
                                <w:color w:val="FF0000"/>
                                <w:sz w:val="24"/>
                                <w:szCs w:val="24"/>
                                <w:lang w:val="en-US" w:eastAsia="zh-CN"/>
                              </w:rPr>
                            </w:pPr>
                            <w:r>
                              <w:rPr>
                                <w:rFonts w:hint="eastAsia" w:eastAsia="宋体"/>
                                <w:b/>
                                <w:bCs/>
                                <w:color w:val="FF0000"/>
                                <w:sz w:val="24"/>
                                <w:szCs w:val="24"/>
                                <w:lang w:val="en-US" w:eastAsia="zh-CN"/>
                              </w:rPr>
                              <w:t>项目位置</w:t>
                            </w:r>
                          </w:p>
                        </w:txbxContent>
                      </v:textbox>
                    </v:shape>
                  </w:pict>
                </mc:Fallback>
              </mc:AlternateContent>
            </w:r>
            <w:r>
              <w:rPr>
                <w:rFonts w:hint="default" w:ascii="Times New Roman" w:hAnsi="Times New Roman" w:cs="Times New Roman"/>
                <w:color w:val="auto"/>
                <w:sz w:val="22"/>
              </w:rPr>
              <mc:AlternateContent>
                <mc:Choice Requires="wps">
                  <w:drawing>
                    <wp:anchor distT="0" distB="0" distL="114300" distR="114300" simplePos="0" relativeHeight="251661312" behindDoc="0" locked="0" layoutInCell="1" allowOverlap="1">
                      <wp:simplePos x="0" y="0"/>
                      <wp:positionH relativeFrom="column">
                        <wp:posOffset>4382770</wp:posOffset>
                      </wp:positionH>
                      <wp:positionV relativeFrom="paragraph">
                        <wp:posOffset>1670050</wp:posOffset>
                      </wp:positionV>
                      <wp:extent cx="263525" cy="248920"/>
                      <wp:effectExtent l="19685" t="20320" r="21590" b="16510"/>
                      <wp:wrapNone/>
                      <wp:docPr id="19" name="五角星 19"/>
                      <wp:cNvGraphicFramePr/>
                      <a:graphic xmlns:a="http://schemas.openxmlformats.org/drawingml/2006/main">
                        <a:graphicData uri="http://schemas.microsoft.com/office/word/2010/wordprocessingShape">
                          <wps:wsp>
                            <wps:cNvSpPr/>
                            <wps:spPr>
                              <a:xfrm>
                                <a:off x="5631180" y="2743200"/>
                                <a:ext cx="263525" cy="248920"/>
                              </a:xfrm>
                              <a:prstGeom prst="star5">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5.1pt;margin-top:131.5pt;height:19.6pt;width:20.75pt;z-index:251661312;v-text-anchor:middle;mso-width-relative:page;mso-height-relative:page;" fillcolor="#FF0000" filled="t" stroked="t" coordsize="263525,248920" o:gfxdata="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ki0eC2AAAAAsBAAAPAAAAAAAA&#10;AAEAIAAAACIAAABkcnMvZG93bnJldi54bWxQSwECFAAUAAAACACHTuJA6bA4VIQCAAAFBQAADgAA&#10;AAAAAAABACAAAAAnAQAAZHJzL2Uyb0RvYy54bWxQSwUGAAAAAAYABgBZAQAAHQYAAAAA&#10;" path="m0,95078l100658,95079,131762,0,162866,95079,263524,95078,182090,153840,213196,248919,131762,190156,50328,248919,81434,153840xe">
                      <v:path o:connectlocs="131762,0;0,95078;50328,248919;213196,248919;263524,95078" o:connectangles="247,164,82,82,0"/>
                      <v:fill on="t" focussize="0,0"/>
                      <v:stroke weight="1pt" color="#000000 [3213]" miterlimit="8" joinstyle="miter"/>
                      <v:imagedata o:title=""/>
                      <o:lock v:ext="edit" aspectratio="f"/>
                    </v:shape>
                  </w:pict>
                </mc:Fallback>
              </mc:AlternateContent>
            </w:r>
            <w:r>
              <w:rPr>
                <w:rFonts w:hint="default" w:ascii="Times New Roman" w:hAnsi="Times New Roman" w:cs="Times New Roman"/>
                <w:color w:val="auto"/>
              </w:rPr>
              <w:drawing>
                <wp:inline distT="0" distB="0" distL="114300" distR="114300">
                  <wp:extent cx="5372100" cy="6767830"/>
                  <wp:effectExtent l="9525" t="9525" r="9525" b="23495"/>
                  <wp:docPr id="18" name="图片 5" descr="65faaeef0722c45aed252ee0c12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65faaeef0722c45aed252ee0c126857"/>
                          <pic:cNvPicPr>
                            <a:picLocks noChangeAspect="1"/>
                          </pic:cNvPicPr>
                        </pic:nvPicPr>
                        <pic:blipFill>
                          <a:blip r:embed="rId17"/>
                          <a:stretch>
                            <a:fillRect/>
                          </a:stretch>
                        </pic:blipFill>
                        <pic:spPr>
                          <a:xfrm>
                            <a:off x="0" y="0"/>
                            <a:ext cx="5372100" cy="6767830"/>
                          </a:xfrm>
                          <a:prstGeom prst="rect">
                            <a:avLst/>
                          </a:prstGeom>
                          <a:noFill/>
                          <a:ln>
                            <a:solidFill>
                              <a:schemeClr val="tx1"/>
                            </a:solidFill>
                          </a:ln>
                        </pic:spPr>
                      </pic:pic>
                    </a:graphicData>
                  </a:graphic>
                </wp:inline>
              </w:drawing>
            </w:r>
          </w:p>
          <w:p w14:paraId="4920746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图3-2 陕西省生态功能区划图</w:t>
            </w:r>
          </w:p>
          <w:p w14:paraId="62E48A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2、土地利用现状</w:t>
            </w:r>
          </w:p>
          <w:p w14:paraId="519B01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根据《榆林市投资项目选址“一张图”控制线检测报告》</w:t>
            </w:r>
            <w:r>
              <w:rPr>
                <w:rFonts w:hint="default" w:ascii="Times New Roman" w:hAnsi="Times New Roman" w:eastAsia="宋体" w:cs="Times New Roman"/>
                <w:bCs/>
                <w:color w:val="auto"/>
                <w:sz w:val="24"/>
                <w:szCs w:val="24"/>
                <w:highlight w:val="none"/>
                <w:lang w:val="en-US" w:eastAsia="zh-CN"/>
              </w:rPr>
              <w:t>（编号：202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2298</w:t>
            </w:r>
            <w:r>
              <w:rPr>
                <w:rFonts w:hint="default" w:ascii="Times New Roman" w:hAnsi="Times New Roman" w:eastAsia="宋体" w:cs="Times New Roman"/>
                <w:bCs/>
                <w:color w:val="auto"/>
                <w:sz w:val="24"/>
                <w:szCs w:val="24"/>
                <w:highlight w:val="none"/>
                <w:lang w:val="en-US" w:eastAsia="zh-CN"/>
              </w:rPr>
              <w:t>）号、202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2299</w:t>
            </w:r>
            <w:r>
              <w:rPr>
                <w:rFonts w:hint="default" w:ascii="Times New Roman" w:hAnsi="Times New Roman" w:eastAsia="宋体" w:cs="Times New Roman"/>
                <w:bCs/>
                <w:color w:val="auto"/>
                <w:sz w:val="24"/>
                <w:szCs w:val="24"/>
                <w:highlight w:val="none"/>
                <w:lang w:val="en-US" w:eastAsia="zh-CN"/>
              </w:rPr>
              <w:t>）号</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202</w:t>
            </w:r>
            <w:r>
              <w:rPr>
                <w:rFonts w:hint="eastAsia" w:ascii="Times New Roman" w:hAnsi="Times New Roman" w:eastAsia="宋体" w:cs="Times New Roman"/>
                <w:bCs/>
                <w:color w:val="auto"/>
                <w:sz w:val="24"/>
                <w:szCs w:val="24"/>
                <w:highlight w:val="none"/>
                <w:lang w:val="en-US" w:eastAsia="zh-CN"/>
              </w:rPr>
              <w:t>5</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2300</w:t>
            </w:r>
            <w:r>
              <w:rPr>
                <w:rFonts w:hint="default" w:ascii="Times New Roman" w:hAnsi="Times New Roman" w:eastAsia="宋体" w:cs="Times New Roman"/>
                <w:bCs/>
                <w:color w:val="auto"/>
                <w:sz w:val="24"/>
                <w:szCs w:val="24"/>
                <w:highlight w:val="none"/>
                <w:lang w:val="en-US" w:eastAsia="zh-CN"/>
              </w:rPr>
              <w:t>）号，详见附件）</w:t>
            </w:r>
            <w:r>
              <w:rPr>
                <w:rFonts w:hint="default" w:ascii="Times New Roman" w:hAnsi="Times New Roman" w:eastAsia="宋体" w:cs="Times New Roman"/>
                <w:b w:val="0"/>
                <w:bCs w:val="0"/>
                <w:color w:val="auto"/>
                <w:sz w:val="24"/>
                <w:szCs w:val="24"/>
                <w:highlight w:val="none"/>
                <w:vertAlign w:val="baseline"/>
                <w:lang w:val="en-US" w:eastAsia="zh-CN"/>
              </w:rPr>
              <w:t>，本项目土地利用类型为</w:t>
            </w:r>
            <w:r>
              <w:rPr>
                <w:rFonts w:hint="eastAsia" w:ascii="Times New Roman" w:hAnsi="Times New Roman" w:eastAsia="宋体" w:cs="Times New Roman"/>
                <w:b w:val="0"/>
                <w:bCs w:val="0"/>
                <w:color w:val="auto"/>
                <w:sz w:val="24"/>
                <w:szCs w:val="24"/>
                <w:highlight w:val="none"/>
                <w:vertAlign w:val="baseline"/>
                <w:lang w:val="en-US" w:eastAsia="zh-CN"/>
              </w:rPr>
              <w:t>耕地、</w:t>
            </w:r>
            <w:r>
              <w:rPr>
                <w:rFonts w:hint="default" w:ascii="Times New Roman" w:hAnsi="Times New Roman" w:eastAsia="宋体" w:cs="Times New Roman"/>
                <w:b w:val="0"/>
                <w:bCs w:val="0"/>
                <w:color w:val="auto"/>
                <w:sz w:val="24"/>
                <w:szCs w:val="24"/>
                <w:highlight w:val="none"/>
                <w:vertAlign w:val="baseline"/>
                <w:lang w:val="en-US" w:eastAsia="zh-CN"/>
              </w:rPr>
              <w:t>林地、种植园地、草地以及交通运输</w:t>
            </w:r>
            <w:r>
              <w:rPr>
                <w:rFonts w:hint="eastAsia" w:ascii="Times New Roman" w:hAnsi="Times New Roman" w:eastAsia="宋体" w:cs="Times New Roman"/>
                <w:b w:val="0"/>
                <w:bCs w:val="0"/>
                <w:color w:val="auto"/>
                <w:sz w:val="24"/>
                <w:szCs w:val="24"/>
                <w:highlight w:val="none"/>
                <w:vertAlign w:val="baseline"/>
                <w:lang w:val="en-US" w:eastAsia="zh-CN"/>
              </w:rPr>
              <w:t>用</w:t>
            </w:r>
            <w:r>
              <w:rPr>
                <w:rFonts w:hint="default" w:ascii="Times New Roman" w:hAnsi="Times New Roman" w:eastAsia="宋体" w:cs="Times New Roman"/>
                <w:b w:val="0"/>
                <w:bCs w:val="0"/>
                <w:color w:val="auto"/>
                <w:sz w:val="24"/>
                <w:szCs w:val="24"/>
                <w:highlight w:val="none"/>
                <w:vertAlign w:val="baseline"/>
                <w:lang w:val="en-US" w:eastAsia="zh-CN"/>
              </w:rPr>
              <w:t>地。</w:t>
            </w:r>
          </w:p>
          <w:p w14:paraId="6D3D666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项目土地利用现状图如下：</w:t>
            </w:r>
          </w:p>
          <w:p w14:paraId="4690D04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color w:val="auto"/>
              </w:rPr>
              <w:drawing>
                <wp:inline distT="0" distB="0" distL="114300" distR="114300">
                  <wp:extent cx="5496560" cy="6325870"/>
                  <wp:effectExtent l="0" t="0" r="8890" b="1778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a:stretch>
                            <a:fillRect/>
                          </a:stretch>
                        </pic:blipFill>
                        <pic:spPr>
                          <a:xfrm>
                            <a:off x="0" y="0"/>
                            <a:ext cx="5496560" cy="6325870"/>
                          </a:xfrm>
                          <a:prstGeom prst="rect">
                            <a:avLst/>
                          </a:prstGeom>
                          <a:noFill/>
                          <a:ln>
                            <a:noFill/>
                          </a:ln>
                        </pic:spPr>
                      </pic:pic>
                    </a:graphicData>
                  </a:graphic>
                </wp:inline>
              </w:drawing>
            </w:r>
          </w:p>
          <w:p w14:paraId="2F65AD6A">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图3-3   </w:t>
            </w:r>
            <w:r>
              <w:rPr>
                <w:rFonts w:hint="eastAsia" w:ascii="Times New Roman" w:hAnsi="Times New Roman" w:eastAsia="宋体" w:cs="Times New Roman"/>
                <w:b/>
                <w:bCs/>
                <w:color w:val="auto"/>
                <w:sz w:val="21"/>
                <w:szCs w:val="21"/>
                <w:vertAlign w:val="baseline"/>
                <w:lang w:val="en-US" w:eastAsia="zh-CN"/>
              </w:rPr>
              <w:t>米107-16M</w:t>
            </w:r>
            <w:r>
              <w:rPr>
                <w:rFonts w:hint="default" w:ascii="Times New Roman" w:hAnsi="Times New Roman" w:eastAsia="宋体" w:cs="Times New Roman"/>
                <w:b/>
                <w:bCs/>
                <w:color w:val="auto"/>
                <w:sz w:val="21"/>
                <w:szCs w:val="21"/>
                <w:vertAlign w:val="baseline"/>
                <w:lang w:val="en-US" w:eastAsia="zh-CN"/>
              </w:rPr>
              <w:t>井场土地利用现状图</w:t>
            </w:r>
          </w:p>
          <w:p w14:paraId="7EBDA87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color w:val="auto"/>
              </w:rPr>
              <w:drawing>
                <wp:inline distT="0" distB="0" distL="114300" distR="114300">
                  <wp:extent cx="5495925" cy="6330950"/>
                  <wp:effectExtent l="0" t="0" r="9525"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9"/>
                          <a:stretch>
                            <a:fillRect/>
                          </a:stretch>
                        </pic:blipFill>
                        <pic:spPr>
                          <a:xfrm>
                            <a:off x="0" y="0"/>
                            <a:ext cx="5495925" cy="6330950"/>
                          </a:xfrm>
                          <a:prstGeom prst="rect">
                            <a:avLst/>
                          </a:prstGeom>
                          <a:noFill/>
                          <a:ln>
                            <a:noFill/>
                          </a:ln>
                        </pic:spPr>
                      </pic:pic>
                    </a:graphicData>
                  </a:graphic>
                </wp:inline>
              </w:drawing>
            </w:r>
          </w:p>
          <w:p w14:paraId="5BBF80C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图3-4   </w:t>
            </w:r>
            <w:r>
              <w:rPr>
                <w:rFonts w:hint="eastAsia" w:ascii="Times New Roman" w:hAnsi="Times New Roman" w:eastAsia="宋体" w:cs="Times New Roman"/>
                <w:b/>
                <w:bCs/>
                <w:color w:val="auto"/>
                <w:sz w:val="21"/>
                <w:szCs w:val="21"/>
                <w:vertAlign w:val="baseline"/>
                <w:lang w:val="en-US" w:eastAsia="zh-CN"/>
              </w:rPr>
              <w:t>米107-22MH井场</w:t>
            </w:r>
            <w:r>
              <w:rPr>
                <w:rFonts w:hint="default" w:ascii="Times New Roman" w:hAnsi="Times New Roman" w:eastAsia="宋体" w:cs="Times New Roman"/>
                <w:b/>
                <w:bCs/>
                <w:color w:val="auto"/>
                <w:sz w:val="21"/>
                <w:szCs w:val="21"/>
                <w:vertAlign w:val="baseline"/>
                <w:lang w:val="en-US" w:eastAsia="zh-CN"/>
              </w:rPr>
              <w:t>土地利用现状图</w:t>
            </w:r>
          </w:p>
          <w:p w14:paraId="07CCF903">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4"/>
                <w:szCs w:val="24"/>
                <w:vertAlign w:val="baseline"/>
                <w:lang w:val="en-US" w:eastAsia="zh-CN"/>
              </w:rPr>
            </w:pPr>
            <w:r>
              <w:rPr>
                <w:color w:val="auto"/>
              </w:rPr>
              <w:drawing>
                <wp:inline distT="0" distB="0" distL="114300" distR="114300">
                  <wp:extent cx="5251450" cy="6323965"/>
                  <wp:effectExtent l="0" t="0" r="6350" b="63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0"/>
                          <a:stretch>
                            <a:fillRect/>
                          </a:stretch>
                        </pic:blipFill>
                        <pic:spPr>
                          <a:xfrm>
                            <a:off x="0" y="0"/>
                            <a:ext cx="5251450" cy="6323965"/>
                          </a:xfrm>
                          <a:prstGeom prst="rect">
                            <a:avLst/>
                          </a:prstGeom>
                          <a:noFill/>
                          <a:ln>
                            <a:noFill/>
                          </a:ln>
                        </pic:spPr>
                      </pic:pic>
                    </a:graphicData>
                  </a:graphic>
                </wp:inline>
              </w:drawing>
            </w:r>
          </w:p>
          <w:p w14:paraId="2587560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 xml:space="preserve">图3-4   </w:t>
            </w:r>
            <w:r>
              <w:rPr>
                <w:rFonts w:hint="eastAsia" w:ascii="Times New Roman" w:hAnsi="Times New Roman" w:eastAsia="宋体" w:cs="Times New Roman"/>
                <w:b/>
                <w:bCs/>
                <w:color w:val="auto"/>
                <w:sz w:val="21"/>
                <w:szCs w:val="21"/>
                <w:vertAlign w:val="baseline"/>
                <w:lang w:val="en-US" w:eastAsia="zh-CN"/>
              </w:rPr>
              <w:t>米107-32M井场</w:t>
            </w:r>
            <w:r>
              <w:rPr>
                <w:rFonts w:hint="default" w:ascii="Times New Roman" w:hAnsi="Times New Roman" w:eastAsia="宋体" w:cs="Times New Roman"/>
                <w:b/>
                <w:bCs/>
                <w:color w:val="auto"/>
                <w:sz w:val="21"/>
                <w:szCs w:val="21"/>
                <w:vertAlign w:val="baseline"/>
                <w:lang w:val="en-US" w:eastAsia="zh-CN"/>
              </w:rPr>
              <w:t>土地利用现状图</w:t>
            </w:r>
          </w:p>
          <w:p w14:paraId="31B141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38B7C3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324F927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388B53B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7AB190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384CE4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p>
          <w:p w14:paraId="6F7A6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3、植被环境现状</w:t>
            </w:r>
          </w:p>
          <w:p w14:paraId="4E8601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植被类型及地理分布特征，佳县植被可分为三个区，即北部防风固沙林带区，西南丘陵沟壑农作物种植区，东南黄河沿岸土石天然草地和枣林区。项目所在地属北部防风固沙林带区，主要由乔木林地、灌木林地组成。</w:t>
            </w:r>
          </w:p>
          <w:p w14:paraId="5FD825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4、动物资源现状</w:t>
            </w:r>
          </w:p>
          <w:p w14:paraId="65C2DD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根据野外调查资料及现场调查，调查评价区未见珍稀、濒危野生动物和保护物种，小型野生动物较多，主要是松鼠、田鼠、草兔、蛇等。</w:t>
            </w:r>
          </w:p>
          <w:p w14:paraId="6C2248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二、环境空气现状</w:t>
            </w:r>
          </w:p>
          <w:p w14:paraId="07967E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1、大气环境</w:t>
            </w:r>
          </w:p>
          <w:p w14:paraId="5AA018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（1）区域现状评价</w:t>
            </w:r>
          </w:p>
          <w:p w14:paraId="03DB29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位于榆林市佳县，本次优先采用国家或地方生态环境主管部门公开发布的评价基准年环境质量公告或环境质量报告中的数据或结论。本次评价环境空气质量现状数据陕西省生态环境厅办公室发布的环保快报（202</w:t>
            </w:r>
            <w:r>
              <w:rPr>
                <w:rFonts w:hint="eastAsia" w:ascii="Times New Roman" w:hAnsi="Times New Roman" w:eastAsia="宋体" w:cs="Times New Roman"/>
                <w:b w:val="0"/>
                <w:bCs w:val="0"/>
                <w:color w:val="auto"/>
                <w:sz w:val="24"/>
                <w:szCs w:val="24"/>
                <w:vertAlign w:val="baseline"/>
                <w:lang w:val="en-US" w:eastAsia="zh-CN"/>
              </w:rPr>
              <w:t>5</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1</w:t>
            </w:r>
            <w:r>
              <w:rPr>
                <w:rFonts w:hint="default" w:ascii="Times New Roman" w:hAnsi="Times New Roman" w:eastAsia="宋体" w:cs="Times New Roman"/>
                <w:b w:val="0"/>
                <w:bCs w:val="0"/>
                <w:color w:val="auto"/>
                <w:sz w:val="24"/>
                <w:szCs w:val="24"/>
                <w:vertAlign w:val="baseline"/>
                <w:lang w:val="en-US" w:eastAsia="zh-CN"/>
              </w:rPr>
              <w:t>）《202</w:t>
            </w:r>
            <w:r>
              <w:rPr>
                <w:rFonts w:hint="eastAsia" w:ascii="Times New Roman" w:hAnsi="Times New Roman" w:eastAsia="宋体" w:cs="Times New Roman"/>
                <w:b w:val="0"/>
                <w:bCs w:val="0"/>
                <w:color w:val="auto"/>
                <w:sz w:val="24"/>
                <w:szCs w:val="24"/>
                <w:vertAlign w:val="baseline"/>
                <w:lang w:val="en-US" w:eastAsia="zh-CN"/>
              </w:rPr>
              <w:t>4</w:t>
            </w:r>
            <w:r>
              <w:rPr>
                <w:rFonts w:hint="default" w:ascii="Times New Roman" w:hAnsi="Times New Roman" w:eastAsia="宋体" w:cs="Times New Roman"/>
                <w:b w:val="0"/>
                <w:bCs w:val="0"/>
                <w:color w:val="auto"/>
                <w:sz w:val="24"/>
                <w:szCs w:val="24"/>
                <w:vertAlign w:val="baseline"/>
                <w:lang w:val="en-US" w:eastAsia="zh-CN"/>
              </w:rPr>
              <w:t>年</w:t>
            </w:r>
            <w:r>
              <w:rPr>
                <w:rFonts w:hint="eastAsia" w:ascii="Times New Roman" w:hAnsi="Times New Roman" w:eastAsia="宋体" w:cs="Times New Roman"/>
                <w:b w:val="0"/>
                <w:bCs w:val="0"/>
                <w:color w:val="auto"/>
                <w:sz w:val="24"/>
                <w:szCs w:val="24"/>
                <w:vertAlign w:val="baseline"/>
                <w:lang w:val="en-US" w:eastAsia="zh-CN"/>
              </w:rPr>
              <w:t>12月</w:t>
            </w:r>
            <w:r>
              <w:rPr>
                <w:rFonts w:hint="default" w:ascii="Times New Roman" w:hAnsi="Times New Roman" w:eastAsia="宋体" w:cs="Times New Roman"/>
                <w:b w:val="0"/>
                <w:bCs w:val="0"/>
                <w:color w:val="auto"/>
                <w:sz w:val="24"/>
                <w:szCs w:val="24"/>
                <w:vertAlign w:val="baseline"/>
                <w:lang w:val="en-US" w:eastAsia="zh-CN"/>
              </w:rPr>
              <w:t>及1～12月全省环境空气质量状况》中佳县环境空气质量监测数据对该项目空气质量进行评价，具体统计数据见表3-1。</w:t>
            </w:r>
          </w:p>
          <w:p w14:paraId="6701F8F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表3-1   202</w:t>
            </w:r>
            <w:r>
              <w:rPr>
                <w:rFonts w:hint="eastAsia" w:ascii="Times New Roman" w:hAnsi="Times New Roman" w:eastAsia="宋体" w:cs="Times New Roman"/>
                <w:b/>
                <w:bCs/>
                <w:color w:val="auto"/>
                <w:sz w:val="21"/>
                <w:szCs w:val="21"/>
                <w:vertAlign w:val="baseline"/>
                <w:lang w:val="en-US" w:eastAsia="zh-CN"/>
              </w:rPr>
              <w:t>4</w:t>
            </w:r>
            <w:r>
              <w:rPr>
                <w:rFonts w:hint="default" w:ascii="Times New Roman" w:hAnsi="Times New Roman" w:eastAsia="宋体" w:cs="Times New Roman"/>
                <w:b/>
                <w:bCs/>
                <w:color w:val="auto"/>
                <w:sz w:val="21"/>
                <w:szCs w:val="21"/>
                <w:vertAlign w:val="baseline"/>
                <w:lang w:val="en-US" w:eastAsia="zh-CN"/>
              </w:rPr>
              <w:t>年佳县环境空气质量状况统计表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070"/>
              <w:gridCol w:w="1530"/>
              <w:gridCol w:w="1130"/>
              <w:gridCol w:w="1500"/>
              <w:gridCol w:w="1165"/>
            </w:tblGrid>
            <w:tr w14:paraId="0724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18263B9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w:t>
                  </w:r>
                </w:p>
              </w:tc>
              <w:tc>
                <w:tcPr>
                  <w:tcW w:w="2070" w:type="dxa"/>
                  <w:vAlign w:val="center"/>
                </w:tcPr>
                <w:p w14:paraId="1F8D04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年评价指标</w:t>
                  </w:r>
                </w:p>
              </w:tc>
              <w:tc>
                <w:tcPr>
                  <w:tcW w:w="1530" w:type="dxa"/>
                  <w:vAlign w:val="center"/>
                </w:tcPr>
                <w:p w14:paraId="5B75506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现状浓度</w:t>
                  </w:r>
                </w:p>
              </w:tc>
              <w:tc>
                <w:tcPr>
                  <w:tcW w:w="1130" w:type="dxa"/>
                  <w:vAlign w:val="center"/>
                </w:tcPr>
                <w:p w14:paraId="57F3F23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标准值</w:t>
                  </w:r>
                </w:p>
              </w:tc>
              <w:tc>
                <w:tcPr>
                  <w:tcW w:w="1500" w:type="dxa"/>
                  <w:vAlign w:val="center"/>
                </w:tcPr>
                <w:p w14:paraId="1426478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占标率</w:t>
                  </w:r>
                </w:p>
              </w:tc>
              <w:tc>
                <w:tcPr>
                  <w:tcW w:w="1165" w:type="dxa"/>
                  <w:vAlign w:val="center"/>
                </w:tcPr>
                <w:p w14:paraId="4A94BA7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达标情况</w:t>
                  </w:r>
                </w:p>
              </w:tc>
            </w:tr>
            <w:tr w14:paraId="5923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362A0F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0050FE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1AEA41E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53EBE48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38063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13.33%</w:t>
                  </w:r>
                </w:p>
              </w:tc>
              <w:tc>
                <w:tcPr>
                  <w:tcW w:w="1165" w:type="dxa"/>
                  <w:vAlign w:val="center"/>
                </w:tcPr>
                <w:p w14:paraId="5C45CFC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4548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68ECF76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2</w:t>
                  </w:r>
                </w:p>
              </w:tc>
              <w:tc>
                <w:tcPr>
                  <w:tcW w:w="2070" w:type="dxa"/>
                  <w:vAlign w:val="center"/>
                </w:tcPr>
                <w:p w14:paraId="5977D6D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51694F8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765A24B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46B2625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w:t>
                  </w:r>
                </w:p>
              </w:tc>
              <w:tc>
                <w:tcPr>
                  <w:tcW w:w="1165" w:type="dxa"/>
                  <w:vAlign w:val="center"/>
                </w:tcPr>
                <w:p w14:paraId="0C7690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780D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2BBCD6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10</w:t>
                  </w:r>
                </w:p>
              </w:tc>
              <w:tc>
                <w:tcPr>
                  <w:tcW w:w="2070" w:type="dxa"/>
                  <w:vAlign w:val="center"/>
                </w:tcPr>
                <w:p w14:paraId="0F8BCA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3EED503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4D3CD0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7F0C3F9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64.29%</w:t>
                  </w:r>
                </w:p>
              </w:tc>
              <w:tc>
                <w:tcPr>
                  <w:tcW w:w="1165" w:type="dxa"/>
                  <w:vAlign w:val="center"/>
                </w:tcPr>
                <w:p w14:paraId="6AAB2E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4CEE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7B301B2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PM</w:t>
                  </w:r>
                  <w:r>
                    <w:rPr>
                      <w:rFonts w:hint="default" w:ascii="Times New Roman" w:hAnsi="Times New Roman" w:eastAsia="宋体" w:cs="Times New Roman"/>
                      <w:b w:val="0"/>
                      <w:bCs w:val="0"/>
                      <w:color w:val="auto"/>
                      <w:sz w:val="21"/>
                      <w:szCs w:val="21"/>
                      <w:vertAlign w:val="subscript"/>
                      <w:lang w:val="en-US" w:eastAsia="zh-CN"/>
                    </w:rPr>
                    <w:t>2.5</w:t>
                  </w:r>
                </w:p>
              </w:tc>
              <w:tc>
                <w:tcPr>
                  <w:tcW w:w="2070" w:type="dxa"/>
                  <w:vAlign w:val="center"/>
                </w:tcPr>
                <w:p w14:paraId="27470C4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年平均质量浓度</w:t>
                  </w:r>
                </w:p>
              </w:tc>
              <w:tc>
                <w:tcPr>
                  <w:tcW w:w="1530" w:type="dxa"/>
                  <w:vAlign w:val="center"/>
                </w:tcPr>
                <w:p w14:paraId="7B7E41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25</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20D1516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16F0F0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71.43%</w:t>
                  </w:r>
                </w:p>
              </w:tc>
              <w:tc>
                <w:tcPr>
                  <w:tcW w:w="1165" w:type="dxa"/>
                  <w:vAlign w:val="center"/>
                </w:tcPr>
                <w:p w14:paraId="3D56EF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3A77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631523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CO</w:t>
                  </w:r>
                </w:p>
              </w:tc>
              <w:tc>
                <w:tcPr>
                  <w:tcW w:w="2070" w:type="dxa"/>
                  <w:vAlign w:val="center"/>
                </w:tcPr>
                <w:p w14:paraId="725CD23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第95百分位日平均质量浓度</w:t>
                  </w:r>
                </w:p>
              </w:tc>
              <w:tc>
                <w:tcPr>
                  <w:tcW w:w="1530" w:type="dxa"/>
                  <w:vAlign w:val="center"/>
                </w:tcPr>
                <w:p w14:paraId="7ADB85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b w:val="0"/>
                      <w:bCs w:val="0"/>
                      <w:color w:val="auto"/>
                      <w:sz w:val="21"/>
                      <w:szCs w:val="21"/>
                      <w:vertAlign w:val="baseline"/>
                      <w:lang w:val="en-US" w:eastAsia="zh-CN"/>
                    </w:rPr>
                    <w:t>mg/m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0BCF993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4mg/m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5341D7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27.5%</w:t>
                  </w:r>
                </w:p>
              </w:tc>
              <w:tc>
                <w:tcPr>
                  <w:tcW w:w="1165" w:type="dxa"/>
                  <w:vAlign w:val="center"/>
                </w:tcPr>
                <w:p w14:paraId="28E210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达标</w:t>
                  </w:r>
                </w:p>
              </w:tc>
            </w:tr>
            <w:tr w14:paraId="4CCD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59" w:type="dxa"/>
                  <w:vAlign w:val="center"/>
                </w:tcPr>
                <w:p w14:paraId="59D99E5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O</w:t>
                  </w:r>
                  <w:r>
                    <w:rPr>
                      <w:rFonts w:hint="default" w:ascii="Times New Roman" w:hAnsi="Times New Roman" w:eastAsia="宋体" w:cs="Times New Roman"/>
                      <w:b w:val="0"/>
                      <w:bCs w:val="0"/>
                      <w:color w:val="auto"/>
                      <w:sz w:val="21"/>
                      <w:szCs w:val="21"/>
                      <w:vertAlign w:val="subscript"/>
                      <w:lang w:val="en-US" w:eastAsia="zh-CN"/>
                    </w:rPr>
                    <w:t>3</w:t>
                  </w:r>
                </w:p>
              </w:tc>
              <w:tc>
                <w:tcPr>
                  <w:tcW w:w="2070" w:type="dxa"/>
                  <w:vAlign w:val="center"/>
                </w:tcPr>
                <w:p w14:paraId="36078C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第90百分位8h平均质量浓度</w:t>
                  </w:r>
                </w:p>
              </w:tc>
              <w:tc>
                <w:tcPr>
                  <w:tcW w:w="1530" w:type="dxa"/>
                  <w:vAlign w:val="center"/>
                </w:tcPr>
                <w:p w14:paraId="66E6C4C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164</w:t>
                  </w:r>
                  <w:r>
                    <w:rPr>
                      <w:rFonts w:hint="default" w:ascii="Times New Roman" w:hAnsi="Times New Roman" w:eastAsia="宋体" w:cs="Times New Roman"/>
                      <w:b w:val="0"/>
                      <w:bCs w:val="0"/>
                      <w:color w:val="auto"/>
                      <w:sz w:val="21"/>
                      <w:szCs w:val="21"/>
                      <w:vertAlign w:val="baseline"/>
                      <w:lang w:val="en-US" w:eastAsia="zh-CN"/>
                    </w:rPr>
                    <w:t>μg/m</w:t>
                  </w:r>
                  <w:r>
                    <w:rPr>
                      <w:rFonts w:hint="default" w:ascii="Times New Roman" w:hAnsi="Times New Roman" w:eastAsia="宋体" w:cs="Times New Roman"/>
                      <w:b w:val="0"/>
                      <w:bCs w:val="0"/>
                      <w:color w:val="auto"/>
                      <w:sz w:val="21"/>
                      <w:szCs w:val="21"/>
                      <w:vertAlign w:val="superscript"/>
                      <w:lang w:val="en-US" w:eastAsia="zh-CN"/>
                    </w:rPr>
                    <w:t>3</w:t>
                  </w:r>
                </w:p>
              </w:tc>
              <w:tc>
                <w:tcPr>
                  <w:tcW w:w="1130" w:type="dxa"/>
                  <w:vAlign w:val="center"/>
                </w:tcPr>
                <w:p w14:paraId="4F2A72C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160μg/m</w:t>
                  </w:r>
                  <w:r>
                    <w:rPr>
                      <w:rFonts w:hint="default" w:ascii="Times New Roman" w:hAnsi="Times New Roman" w:eastAsia="宋体" w:cs="Times New Roman"/>
                      <w:b w:val="0"/>
                      <w:bCs w:val="0"/>
                      <w:color w:val="auto"/>
                      <w:sz w:val="21"/>
                      <w:szCs w:val="21"/>
                      <w:vertAlign w:val="superscript"/>
                      <w:lang w:val="en-US" w:eastAsia="zh-CN"/>
                    </w:rPr>
                    <w:t>3</w:t>
                  </w:r>
                </w:p>
              </w:tc>
              <w:tc>
                <w:tcPr>
                  <w:tcW w:w="1500" w:type="dxa"/>
                  <w:vAlign w:val="center"/>
                </w:tcPr>
                <w:p w14:paraId="21DECE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102.5%</w:t>
                  </w:r>
                </w:p>
              </w:tc>
              <w:tc>
                <w:tcPr>
                  <w:tcW w:w="1165" w:type="dxa"/>
                  <w:vAlign w:val="center"/>
                </w:tcPr>
                <w:p w14:paraId="15123C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超标</w:t>
                  </w:r>
                </w:p>
              </w:tc>
            </w:tr>
          </w:tbl>
          <w:p w14:paraId="612211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由表3-1可知，佳县属于环境空气质量</w:t>
            </w:r>
            <w:r>
              <w:rPr>
                <w:rFonts w:hint="eastAsia" w:ascii="Times New Roman" w:hAnsi="Times New Roman" w:eastAsia="宋体" w:cs="Times New Roman"/>
                <w:b w:val="0"/>
                <w:bCs w:val="0"/>
                <w:color w:val="auto"/>
                <w:sz w:val="24"/>
                <w:szCs w:val="24"/>
                <w:vertAlign w:val="baseline"/>
                <w:lang w:val="en-US" w:eastAsia="zh-CN"/>
              </w:rPr>
              <w:t>不</w:t>
            </w:r>
            <w:r>
              <w:rPr>
                <w:rFonts w:hint="default" w:ascii="Times New Roman" w:hAnsi="Times New Roman" w:eastAsia="宋体" w:cs="Times New Roman"/>
                <w:b w:val="0"/>
                <w:bCs w:val="0"/>
                <w:color w:val="auto"/>
                <w:sz w:val="24"/>
                <w:szCs w:val="24"/>
                <w:vertAlign w:val="baseline"/>
                <w:lang w:val="en-US" w:eastAsia="zh-CN"/>
              </w:rPr>
              <w:t>达标区域。</w:t>
            </w:r>
          </w:p>
          <w:p w14:paraId="611070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2、声环境</w:t>
            </w:r>
          </w:p>
          <w:p w14:paraId="399C7B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项目场地外周边50m范围内不存在声环境保护目标，不需要开展声环境现状监测。</w:t>
            </w:r>
          </w:p>
          <w:p w14:paraId="5F7E17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w:t>
            </w:r>
          </w:p>
          <w:p w14:paraId="695460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依据建设项目环境影响报告表编制技术指南</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生态影响类</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试行</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中“水、生态、土壤等其他环境要素参照环境影响评价相关技术导则开展补充监测和调查”。对照《环境影响评价技术导则地下水环境》</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HJ610-2016</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项目行业类别为</w:t>
            </w:r>
            <w:r>
              <w:rPr>
                <w:rFonts w:hint="eastAsia" w:ascii="Times New Roman" w:hAnsi="Times New Roman" w:eastAsia="宋体" w:cs="Times New Roman"/>
                <w:b w:val="0"/>
                <w:bCs w:val="0"/>
                <w:color w:val="auto"/>
                <w:sz w:val="24"/>
                <w:szCs w:val="24"/>
                <w:vertAlign w:val="baseline"/>
                <w:lang w:val="en-US" w:eastAsia="zh-CN"/>
              </w:rPr>
              <w:t>“C</w:t>
            </w:r>
            <w:r>
              <w:rPr>
                <w:rFonts w:hint="default" w:ascii="Times New Roman" w:hAnsi="Times New Roman" w:eastAsia="宋体" w:cs="Times New Roman"/>
                <w:b w:val="0"/>
                <w:bCs w:val="0"/>
                <w:color w:val="auto"/>
                <w:sz w:val="24"/>
                <w:szCs w:val="24"/>
                <w:vertAlign w:val="baseline"/>
                <w:lang w:val="en-US" w:eastAsia="zh-CN"/>
              </w:rPr>
              <w:t>地质勘査 24 矿产资源地质勘查</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包括勘探活动</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，属于地下水Ⅳ类建设项目，</w:t>
            </w:r>
            <w:r>
              <w:rPr>
                <w:rFonts w:hint="eastAsia" w:ascii="Times New Roman" w:hAnsi="Times New Roman" w:eastAsia="宋体" w:cs="Times New Roman"/>
                <w:b w:val="0"/>
                <w:bCs w:val="0"/>
                <w:color w:val="auto"/>
                <w:sz w:val="24"/>
                <w:szCs w:val="24"/>
                <w:vertAlign w:val="baseline"/>
                <w:lang w:val="en-US" w:eastAsia="zh-CN"/>
              </w:rPr>
              <w:t>且</w:t>
            </w:r>
            <w:r>
              <w:rPr>
                <w:rFonts w:hint="default" w:ascii="Times New Roman" w:hAnsi="Times New Roman" w:eastAsia="宋体" w:cs="Times New Roman"/>
                <w:b w:val="0"/>
                <w:bCs w:val="0"/>
                <w:color w:val="auto"/>
                <w:sz w:val="24"/>
                <w:szCs w:val="24"/>
                <w:vertAlign w:val="baseline"/>
                <w:lang w:val="en-US" w:eastAsia="zh-CN"/>
              </w:rPr>
              <w:t>本项目地下水污染防治措施按照“源头控制、分区防治、污染监控、应急响应”相结合的原则，从污染物的产生、入渗、扩散、应急响应进行控制，项目占地区域采用分区防渗，可以避免发生地下水污染，因此不开展地下水环境质量现状调查。</w:t>
            </w:r>
          </w:p>
          <w:p w14:paraId="4B740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4、土壤</w:t>
            </w:r>
          </w:p>
          <w:p w14:paraId="55D23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本项目通过采取土壤环境污染防治措施后，不存在土壤污染途径，因此不开展土壤环境质量现状调查。</w:t>
            </w:r>
          </w:p>
        </w:tc>
      </w:tr>
      <w:tr w14:paraId="2F40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Align w:val="center"/>
          </w:tcPr>
          <w:p w14:paraId="1650E56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与项目有关的原有环境污染和生态破坏问题</w:t>
            </w:r>
          </w:p>
        </w:tc>
        <w:tc>
          <w:tcPr>
            <w:tcW w:w="8483" w:type="dxa"/>
            <w:vAlign w:val="center"/>
          </w:tcPr>
          <w:p w14:paraId="67FE911C">
            <w:pPr>
              <w:numPr>
                <w:ilvl w:val="0"/>
                <w:numId w:val="0"/>
              </w:numPr>
              <w:ind w:firstLine="480" w:firstLineChars="200"/>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本项目为新建项目，不存在原有环境污染和生态破坏问题。</w:t>
            </w:r>
          </w:p>
        </w:tc>
      </w:tr>
      <w:tr w14:paraId="2AB3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5" w:hRule="atLeast"/>
        </w:trPr>
        <w:tc>
          <w:tcPr>
            <w:tcW w:w="805" w:type="dxa"/>
            <w:vAlign w:val="center"/>
          </w:tcPr>
          <w:p w14:paraId="7F796B5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生态环境保护目标</w:t>
            </w:r>
          </w:p>
        </w:tc>
        <w:tc>
          <w:tcPr>
            <w:tcW w:w="8483" w:type="dxa"/>
            <w:vAlign w:val="center"/>
          </w:tcPr>
          <w:p w14:paraId="1A44A693">
            <w:pPr>
              <w:keepNext w:val="0"/>
              <w:keepLines w:val="0"/>
              <w:pageBreakBefore w:val="0"/>
              <w:widowControl w:val="0"/>
              <w:kinsoku/>
              <w:wordWrap/>
              <w:overflowPunct/>
              <w:topLinePunct w:val="0"/>
              <w:autoSpaceDE/>
              <w:autoSpaceDN/>
              <w:bidi w:val="0"/>
              <w:adjustRightInd w:val="0"/>
              <w:snapToGrid/>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1.生态环境</w:t>
            </w:r>
          </w:p>
          <w:p w14:paraId="02178A7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参考《</w:t>
            </w:r>
            <w:r>
              <w:rPr>
                <w:rFonts w:hint="default" w:ascii="Times New Roman" w:hAnsi="Times New Roman" w:cs="Times New Roman"/>
                <w:bCs/>
                <w:color w:val="auto"/>
                <w:sz w:val="24"/>
                <w:highlight w:val="none"/>
              </w:rPr>
              <w:t>环境影响评价技术导则</w:t>
            </w:r>
            <w:r>
              <w:rPr>
                <w:rFonts w:hint="eastAsia" w:ascii="Times New Roman" w:hAnsi="Times New Roman" w:cs="Times New Roman"/>
                <w:bCs/>
                <w:color w:val="auto"/>
                <w:sz w:val="24"/>
                <w:highlight w:val="none"/>
                <w:lang w:val="en-US" w:eastAsia="zh-CN"/>
              </w:rPr>
              <w:t xml:space="preserve"> </w:t>
            </w:r>
            <w:r>
              <w:rPr>
                <w:rFonts w:hint="default" w:ascii="Times New Roman" w:hAnsi="Times New Roman" w:cs="Times New Roman"/>
                <w:bCs/>
                <w:color w:val="auto"/>
                <w:sz w:val="24"/>
                <w:highlight w:val="none"/>
              </w:rPr>
              <w:t>陆地石油天然气开发建设项目</w:t>
            </w:r>
            <w:r>
              <w:rPr>
                <w:rFonts w:hint="eastAsia" w:ascii="Times New Roman" w:hAnsi="Times New Roman" w:cs="Times New Roman"/>
                <w:bCs/>
                <w:color w:val="auto"/>
                <w:sz w:val="24"/>
                <w:highlight w:val="none"/>
                <w:lang w:val="en-US" w:eastAsia="zh-CN"/>
              </w:rPr>
              <w:t>》（HJ 349—2023），井场工程以场界周围50m范围为评价范围。</w:t>
            </w:r>
          </w:p>
          <w:p w14:paraId="1816EE2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bCs/>
                <w:color w:val="auto"/>
                <w:sz w:val="24"/>
                <w:highlight w:val="none"/>
                <w:lang w:val="en-US" w:eastAsia="zh-CN"/>
              </w:rPr>
              <w:t>根据调查，</w:t>
            </w:r>
            <w:r>
              <w:rPr>
                <w:rFonts w:hint="default" w:ascii="Times New Roman" w:hAnsi="Times New Roman" w:eastAsia="宋体" w:cs="Times New Roman"/>
                <w:color w:val="auto"/>
                <w:kern w:val="2"/>
                <w:sz w:val="24"/>
                <w:szCs w:val="24"/>
                <w:lang w:val="en-US" w:eastAsia="zh-CN" w:bidi="ar-SA"/>
              </w:rPr>
              <w:t>本项目井场</w:t>
            </w:r>
            <w:r>
              <w:rPr>
                <w:rFonts w:hint="eastAsia" w:ascii="Times New Roman" w:hAnsi="Times New Roman" w:eastAsia="宋体" w:cs="Times New Roman"/>
                <w:color w:val="auto"/>
                <w:kern w:val="2"/>
                <w:sz w:val="24"/>
                <w:szCs w:val="24"/>
                <w:lang w:val="en-US" w:eastAsia="zh-CN" w:bidi="ar-SA"/>
              </w:rPr>
              <w:t>评价范围内</w:t>
            </w:r>
            <w:r>
              <w:rPr>
                <w:rFonts w:hint="default" w:ascii="Times New Roman" w:hAnsi="Times New Roman" w:eastAsia="宋体" w:cs="Times New Roman"/>
                <w:color w:val="auto"/>
                <w:kern w:val="2"/>
                <w:sz w:val="24"/>
                <w:szCs w:val="24"/>
                <w:lang w:val="en-US" w:eastAsia="zh-CN" w:bidi="ar-SA"/>
              </w:rPr>
              <w:t>不涉及森林公园、自然保护区、风景名胜区、世界文化和自然遗产地、文物古迹、饮用水源保护区等环境敏感区，不涉及生态红线保护区。</w:t>
            </w:r>
          </w:p>
          <w:p w14:paraId="1B956DA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2</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大气环境</w:t>
            </w:r>
          </w:p>
          <w:p w14:paraId="39E2C488">
            <w:pPr>
              <w:adjustRightInd w:val="0"/>
              <w:snapToGrid w:val="0"/>
              <w:spacing w:line="360" w:lineRule="auto"/>
              <w:ind w:firstLine="480" w:firstLineChars="200"/>
              <w:jc w:val="both"/>
              <w:rPr>
                <w:rFonts w:hint="default" w:ascii="Times New Roman" w:hAnsi="Times New Roman" w:cs="Times New Roman"/>
                <w:color w:val="auto"/>
              </w:rPr>
            </w:pPr>
            <w:r>
              <w:rPr>
                <w:rFonts w:hint="default" w:ascii="Times New Roman" w:hAnsi="Times New Roman" w:cs="Times New Roman"/>
                <w:bCs/>
                <w:color w:val="auto"/>
                <w:sz w:val="24"/>
              </w:rPr>
              <w:t>本项目周边500m范围内无自然保护区、风景名胜区</w:t>
            </w:r>
            <w:r>
              <w:rPr>
                <w:rFonts w:hint="eastAsia" w:ascii="Times New Roman" w:hAnsi="Times New Roman" w:cs="Times New Roman"/>
                <w:bCs/>
                <w:color w:val="auto"/>
                <w:sz w:val="24"/>
                <w:lang w:val="en-US" w:eastAsia="zh-CN"/>
              </w:rPr>
              <w:t>等，井场周边敏感目标主要为散户居民</w:t>
            </w:r>
            <w:r>
              <w:rPr>
                <w:rFonts w:hint="default" w:ascii="Times New Roman" w:hAnsi="Times New Roman" w:cs="Times New Roman"/>
                <w:bCs/>
                <w:color w:val="auto"/>
                <w:sz w:val="24"/>
              </w:rPr>
              <w:t>。</w:t>
            </w:r>
          </w:p>
          <w:p w14:paraId="1BBF93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3</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声环境</w:t>
            </w:r>
          </w:p>
          <w:p w14:paraId="17CA30E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val="en-US" w:eastAsia="zh-CN"/>
              </w:rPr>
              <w:t>本</w:t>
            </w:r>
            <w:r>
              <w:rPr>
                <w:rFonts w:hint="default" w:ascii="Times New Roman" w:hAnsi="Times New Roman" w:cs="Times New Roman"/>
                <w:color w:val="auto"/>
                <w:sz w:val="24"/>
                <w:highlight w:val="none"/>
              </w:rPr>
              <w:t>项目</w:t>
            </w:r>
            <w:r>
              <w:rPr>
                <w:rFonts w:hint="default" w:ascii="Times New Roman" w:hAnsi="Times New Roman" w:cs="Times New Roman"/>
                <w:color w:val="auto"/>
                <w:sz w:val="24"/>
                <w:highlight w:val="none"/>
                <w:lang w:eastAsia="zh-CN"/>
              </w:rPr>
              <w:t>井场</w:t>
            </w:r>
            <w:r>
              <w:rPr>
                <w:rFonts w:hint="default" w:ascii="Times New Roman" w:hAnsi="Times New Roman" w:cs="Times New Roman"/>
                <w:color w:val="auto"/>
                <w:sz w:val="24"/>
                <w:highlight w:val="none"/>
              </w:rPr>
              <w:t>外50</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rPr>
              <w:t>范围内无声环境保护目标。</w:t>
            </w:r>
          </w:p>
          <w:p w14:paraId="56D256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4</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地表水环境</w:t>
            </w:r>
          </w:p>
          <w:p w14:paraId="36668E51">
            <w:pPr>
              <w:pStyle w:val="3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据现场调查，</w:t>
            </w:r>
            <w:r>
              <w:rPr>
                <w:rFonts w:hint="default" w:ascii="Times New Roman" w:hAnsi="Times New Roman" w:cs="Times New Roman"/>
                <w:snapToGrid w:val="0"/>
                <w:color w:val="auto"/>
                <w:kern w:val="0"/>
                <w:sz w:val="24"/>
                <w:highlight w:val="none"/>
                <w:shd w:val="clear" w:color="auto" w:fill="auto"/>
              </w:rPr>
              <w:t>本项目评价区域内无常年地表径流</w:t>
            </w:r>
            <w:r>
              <w:rPr>
                <w:rFonts w:hint="default" w:ascii="Times New Roman" w:hAnsi="Times New Roman" w:eastAsia="宋体" w:cs="Times New Roman"/>
                <w:color w:val="auto"/>
                <w:kern w:val="0"/>
                <w:sz w:val="24"/>
                <w:szCs w:val="24"/>
                <w:lang w:val="en-US" w:eastAsia="zh-CN" w:bidi="ar"/>
              </w:rPr>
              <w:t>。</w:t>
            </w:r>
          </w:p>
          <w:p w14:paraId="1D9BE01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cs="Times New Roman"/>
                <w:b/>
                <w:bCs/>
                <w:color w:val="auto"/>
                <w:kern w:val="0"/>
                <w:sz w:val="24"/>
                <w:highlight w:val="none"/>
              </w:rPr>
            </w:pPr>
            <w:r>
              <w:rPr>
                <w:rFonts w:hint="default" w:ascii="Times New Roman" w:hAnsi="Times New Roman" w:cs="Times New Roman"/>
                <w:b/>
                <w:bCs/>
                <w:color w:val="auto"/>
                <w:kern w:val="0"/>
                <w:sz w:val="24"/>
                <w:highlight w:val="none"/>
              </w:rPr>
              <w:t>5</w:t>
            </w:r>
            <w:r>
              <w:rPr>
                <w:rFonts w:hint="default" w:ascii="Times New Roman" w:hAnsi="Times New Roman" w:cs="Times New Roman"/>
                <w:b/>
                <w:bCs/>
                <w:color w:val="auto"/>
                <w:kern w:val="0"/>
                <w:sz w:val="24"/>
                <w:highlight w:val="none"/>
                <w:lang w:val="en-US" w:eastAsia="zh-CN"/>
              </w:rPr>
              <w:t>.</w:t>
            </w:r>
            <w:r>
              <w:rPr>
                <w:rFonts w:hint="default" w:ascii="Times New Roman" w:hAnsi="Times New Roman" w:cs="Times New Roman"/>
                <w:b/>
                <w:bCs/>
                <w:color w:val="auto"/>
                <w:kern w:val="0"/>
                <w:sz w:val="24"/>
                <w:highlight w:val="none"/>
              </w:rPr>
              <w:t>地下水环境</w:t>
            </w:r>
          </w:p>
          <w:p w14:paraId="0744478E">
            <w:pPr>
              <w:pStyle w:val="33"/>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项目井场界外500m范围内无地下水集中式</w:t>
            </w:r>
            <w:r>
              <w:rPr>
                <w:rFonts w:hint="eastAsia" w:ascii="Times New Roman" w:hAnsi="Times New Roman" w:eastAsia="宋体" w:cs="Times New Roman"/>
                <w:color w:val="auto"/>
                <w:kern w:val="0"/>
                <w:sz w:val="24"/>
                <w:szCs w:val="24"/>
                <w:lang w:val="en-US" w:eastAsia="zh-CN" w:bidi="ar"/>
              </w:rPr>
              <w:t>和分散式</w:t>
            </w:r>
            <w:r>
              <w:rPr>
                <w:rFonts w:hint="default" w:ascii="Times New Roman" w:hAnsi="Times New Roman" w:eastAsia="宋体" w:cs="Times New Roman"/>
                <w:color w:val="auto"/>
                <w:kern w:val="0"/>
                <w:sz w:val="24"/>
                <w:szCs w:val="24"/>
                <w:lang w:val="en-US" w:eastAsia="zh-CN" w:bidi="ar"/>
              </w:rPr>
              <w:t>饮用水水源和热水、矿泉水、温泉等特殊地下水资源。</w:t>
            </w:r>
          </w:p>
          <w:p w14:paraId="675A0742">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表3-4   主要环境保护目标</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3"/>
              <w:gridCol w:w="1216"/>
              <w:gridCol w:w="1109"/>
              <w:gridCol w:w="1109"/>
              <w:gridCol w:w="1213"/>
              <w:gridCol w:w="919"/>
              <w:gridCol w:w="881"/>
              <w:gridCol w:w="992"/>
            </w:tblGrid>
            <w:tr w14:paraId="2032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restart"/>
                  <w:tcBorders>
                    <w:top w:val="single" w:color="auto" w:sz="4" w:space="0"/>
                    <w:left w:val="single" w:color="auto" w:sz="4" w:space="0"/>
                    <w:bottom w:val="single" w:color="auto" w:sz="4" w:space="0"/>
                    <w:right w:val="single" w:color="auto" w:sz="4" w:space="0"/>
                  </w:tcBorders>
                  <w:noWrap w:val="0"/>
                  <w:vAlign w:val="center"/>
                </w:tcPr>
                <w:p w14:paraId="1DF613E3">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346" w:type="pct"/>
                  <w:gridSpan w:val="2"/>
                  <w:tcBorders>
                    <w:top w:val="single" w:color="auto" w:sz="4" w:space="0"/>
                    <w:left w:val="single" w:color="auto" w:sz="4" w:space="0"/>
                    <w:bottom w:val="single" w:color="auto" w:sz="4" w:space="0"/>
                    <w:right w:val="single" w:color="auto" w:sz="4" w:space="0"/>
                  </w:tcBorders>
                  <w:noWrap w:val="0"/>
                  <w:vAlign w:val="center"/>
                </w:tcPr>
                <w:p w14:paraId="653B206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坐标/</w:t>
                  </w:r>
                  <w:r>
                    <w:rPr>
                      <w:rFonts w:hint="eastAsia" w:ascii="Times New Roman" w:hAnsi="Times New Roman" w:eastAsia="宋体" w:cs="Times New Roman"/>
                      <w:b/>
                      <w:bCs w:val="0"/>
                      <w:color w:val="auto"/>
                      <w:sz w:val="21"/>
                      <w:szCs w:val="21"/>
                      <w:lang w:val="en-US" w:eastAsia="zh-CN"/>
                    </w:rPr>
                    <w:t>°</w:t>
                  </w:r>
                </w:p>
              </w:tc>
              <w:tc>
                <w:tcPr>
                  <w:tcW w:w="642" w:type="pct"/>
                  <w:vMerge w:val="restart"/>
                  <w:tcBorders>
                    <w:top w:val="single" w:color="auto" w:sz="4" w:space="0"/>
                    <w:left w:val="single" w:color="auto" w:sz="4" w:space="0"/>
                    <w:bottom w:val="single" w:color="auto" w:sz="4" w:space="0"/>
                    <w:right w:val="single" w:color="auto" w:sz="4" w:space="0"/>
                  </w:tcBorders>
                  <w:noWrap w:val="0"/>
                  <w:vAlign w:val="center"/>
                </w:tcPr>
                <w:p w14:paraId="259487DC">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保护对象</w:t>
                  </w:r>
                </w:p>
              </w:tc>
              <w:tc>
                <w:tcPr>
                  <w:tcW w:w="702" w:type="pct"/>
                  <w:vMerge w:val="restart"/>
                  <w:tcBorders>
                    <w:top w:val="single" w:color="auto" w:sz="4" w:space="0"/>
                    <w:left w:val="single" w:color="auto" w:sz="4" w:space="0"/>
                    <w:bottom w:val="single" w:color="auto" w:sz="4" w:space="0"/>
                    <w:right w:val="single" w:color="auto" w:sz="4" w:space="0"/>
                  </w:tcBorders>
                  <w:noWrap w:val="0"/>
                  <w:vAlign w:val="center"/>
                </w:tcPr>
                <w:p w14:paraId="28B74C8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保护内容</w:t>
                  </w:r>
                </w:p>
              </w:tc>
              <w:tc>
                <w:tcPr>
                  <w:tcW w:w="532" w:type="pct"/>
                  <w:vMerge w:val="restart"/>
                  <w:tcBorders>
                    <w:top w:val="single" w:color="auto" w:sz="4" w:space="0"/>
                    <w:left w:val="single" w:color="auto" w:sz="4" w:space="0"/>
                    <w:bottom w:val="single" w:color="auto" w:sz="4" w:space="0"/>
                    <w:right w:val="single" w:color="auto" w:sz="4" w:space="0"/>
                  </w:tcBorders>
                  <w:noWrap w:val="0"/>
                  <w:vAlign w:val="center"/>
                </w:tcPr>
                <w:p w14:paraId="674E7F03">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环境功能区</w:t>
                  </w:r>
                </w:p>
              </w:tc>
              <w:tc>
                <w:tcPr>
                  <w:tcW w:w="510" w:type="pct"/>
                  <w:vMerge w:val="restart"/>
                  <w:tcBorders>
                    <w:top w:val="single" w:color="auto" w:sz="4" w:space="0"/>
                    <w:left w:val="single" w:color="auto" w:sz="4" w:space="0"/>
                    <w:bottom w:val="single" w:color="auto" w:sz="4" w:space="0"/>
                    <w:right w:val="single" w:color="auto" w:sz="4" w:space="0"/>
                  </w:tcBorders>
                  <w:noWrap w:val="0"/>
                  <w:vAlign w:val="center"/>
                </w:tcPr>
                <w:p w14:paraId="1042D7D5">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相对厂址方位</w:t>
                  </w:r>
                </w:p>
              </w:tc>
              <w:tc>
                <w:tcPr>
                  <w:tcW w:w="574" w:type="pct"/>
                  <w:vMerge w:val="restart"/>
                  <w:tcBorders>
                    <w:top w:val="single" w:color="auto" w:sz="4" w:space="0"/>
                    <w:left w:val="single" w:color="auto" w:sz="4" w:space="0"/>
                    <w:bottom w:val="single" w:color="auto" w:sz="4" w:space="0"/>
                    <w:right w:val="single" w:color="auto" w:sz="4" w:space="0"/>
                  </w:tcBorders>
                  <w:noWrap w:val="0"/>
                  <w:vAlign w:val="center"/>
                </w:tcPr>
                <w:p w14:paraId="7739FA58">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相对厂界距离/m</w:t>
                  </w:r>
                </w:p>
              </w:tc>
            </w:tr>
            <w:tr w14:paraId="345E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continue"/>
                  <w:tcBorders>
                    <w:top w:val="single" w:color="auto" w:sz="4" w:space="0"/>
                    <w:left w:val="single" w:color="auto" w:sz="4" w:space="0"/>
                    <w:bottom w:val="single" w:color="auto" w:sz="4" w:space="0"/>
                    <w:right w:val="single" w:color="auto" w:sz="4" w:space="0"/>
                  </w:tcBorders>
                  <w:noWrap w:val="0"/>
                  <w:vAlign w:val="center"/>
                </w:tcPr>
                <w:p w14:paraId="709745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704" w:type="pct"/>
                  <w:tcBorders>
                    <w:top w:val="single" w:color="auto" w:sz="4" w:space="0"/>
                    <w:left w:val="single" w:color="auto" w:sz="4" w:space="0"/>
                    <w:bottom w:val="single" w:color="auto" w:sz="4" w:space="0"/>
                    <w:right w:val="single" w:color="auto" w:sz="4" w:space="0"/>
                  </w:tcBorders>
                  <w:noWrap w:val="0"/>
                  <w:vAlign w:val="center"/>
                </w:tcPr>
                <w:p w14:paraId="178FD7F3">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经度</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2F09852B">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val="0"/>
                      <w:color w:val="auto"/>
                      <w:sz w:val="21"/>
                      <w:szCs w:val="21"/>
                      <w:highlight w:val="none"/>
                      <w:lang w:eastAsia="zh-CN"/>
                    </w:rPr>
                  </w:pPr>
                  <w:r>
                    <w:rPr>
                      <w:rFonts w:hint="eastAsia" w:ascii="Times New Roman" w:hAnsi="Times New Roman" w:eastAsia="宋体" w:cs="Times New Roman"/>
                      <w:b/>
                      <w:bCs w:val="0"/>
                      <w:color w:val="auto"/>
                      <w:sz w:val="21"/>
                      <w:szCs w:val="21"/>
                      <w:highlight w:val="none"/>
                      <w:lang w:val="en-US" w:eastAsia="zh-CN"/>
                    </w:rPr>
                    <w:t>纬度</w:t>
                  </w:r>
                </w:p>
              </w:tc>
              <w:tc>
                <w:tcPr>
                  <w:tcW w:w="642" w:type="pct"/>
                  <w:vMerge w:val="continue"/>
                  <w:tcBorders>
                    <w:top w:val="single" w:color="auto" w:sz="4" w:space="0"/>
                    <w:left w:val="single" w:color="auto" w:sz="4" w:space="0"/>
                    <w:bottom w:val="single" w:color="auto" w:sz="4" w:space="0"/>
                    <w:right w:val="single" w:color="auto" w:sz="4" w:space="0"/>
                  </w:tcBorders>
                  <w:noWrap w:val="0"/>
                  <w:vAlign w:val="center"/>
                </w:tcPr>
                <w:p w14:paraId="614FE14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702" w:type="pct"/>
                  <w:vMerge w:val="continue"/>
                  <w:tcBorders>
                    <w:top w:val="single" w:color="auto" w:sz="4" w:space="0"/>
                    <w:left w:val="single" w:color="auto" w:sz="4" w:space="0"/>
                    <w:bottom w:val="single" w:color="auto" w:sz="4" w:space="0"/>
                    <w:right w:val="single" w:color="auto" w:sz="4" w:space="0"/>
                  </w:tcBorders>
                  <w:noWrap w:val="0"/>
                  <w:vAlign w:val="center"/>
                </w:tcPr>
                <w:p w14:paraId="5DC6B63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32" w:type="pct"/>
                  <w:vMerge w:val="continue"/>
                  <w:tcBorders>
                    <w:top w:val="single" w:color="auto" w:sz="4" w:space="0"/>
                    <w:left w:val="single" w:color="auto" w:sz="4" w:space="0"/>
                    <w:bottom w:val="single" w:color="auto" w:sz="4" w:space="0"/>
                    <w:right w:val="single" w:color="auto" w:sz="4" w:space="0"/>
                  </w:tcBorders>
                  <w:noWrap w:val="0"/>
                  <w:vAlign w:val="center"/>
                </w:tcPr>
                <w:p w14:paraId="5C58F5D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10" w:type="pct"/>
                  <w:vMerge w:val="continue"/>
                  <w:tcBorders>
                    <w:top w:val="single" w:color="auto" w:sz="4" w:space="0"/>
                    <w:left w:val="single" w:color="auto" w:sz="4" w:space="0"/>
                    <w:bottom w:val="single" w:color="auto" w:sz="4" w:space="0"/>
                    <w:right w:val="single" w:color="auto" w:sz="4" w:space="0"/>
                  </w:tcBorders>
                  <w:noWrap w:val="0"/>
                  <w:vAlign w:val="center"/>
                </w:tcPr>
                <w:p w14:paraId="44E5EB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c>
                <w:tcPr>
                  <w:tcW w:w="574" w:type="pct"/>
                  <w:vMerge w:val="continue"/>
                  <w:tcBorders>
                    <w:top w:val="single" w:color="auto" w:sz="4" w:space="0"/>
                    <w:left w:val="single" w:color="auto" w:sz="4" w:space="0"/>
                    <w:bottom w:val="single" w:color="auto" w:sz="4" w:space="0"/>
                    <w:right w:val="single" w:color="auto" w:sz="4" w:space="0"/>
                  </w:tcBorders>
                  <w:noWrap w:val="0"/>
                  <w:vAlign w:val="center"/>
                </w:tcPr>
                <w:p w14:paraId="37791F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p>
              </w:tc>
            </w:tr>
            <w:tr w14:paraId="5BF1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tcBorders>
                    <w:top w:val="single" w:color="auto" w:sz="4" w:space="0"/>
                    <w:left w:val="single" w:color="auto" w:sz="4" w:space="0"/>
                    <w:right w:val="single" w:color="auto" w:sz="4" w:space="0"/>
                  </w:tcBorders>
                  <w:noWrap w:val="0"/>
                  <w:vAlign w:val="center"/>
                </w:tcPr>
                <w:p w14:paraId="63C01B35">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米107-32M</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5F0D25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110.</w:t>
                  </w:r>
                  <w:r>
                    <w:rPr>
                      <w:rFonts w:hint="eastAsia" w:ascii="Times New Roman" w:hAnsi="Times New Roman" w:eastAsia="宋体" w:cs="Times New Roman"/>
                      <w:color w:val="auto"/>
                      <w:sz w:val="21"/>
                      <w:szCs w:val="21"/>
                      <w:highlight w:val="none"/>
                      <w:lang w:val="en-US" w:eastAsia="zh-CN"/>
                    </w:rPr>
                    <w:t>169852</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784CD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w:t>
                  </w:r>
                  <w:r>
                    <w:rPr>
                      <w:rFonts w:hint="eastAsia" w:ascii="Times New Roman" w:hAnsi="Times New Roman" w:eastAsia="宋体" w:cs="Times New Roman"/>
                      <w:color w:val="auto"/>
                      <w:sz w:val="21"/>
                      <w:szCs w:val="21"/>
                      <w:highlight w:val="none"/>
                      <w:lang w:val="en-US" w:eastAsia="zh-CN"/>
                    </w:rPr>
                    <w:t>061258</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A47F1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东山</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2C1CA05D">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2户6人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0F30D2A8">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44E35D8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南</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15D5913D">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240</w:t>
                  </w:r>
                </w:p>
              </w:tc>
            </w:tr>
            <w:tr w14:paraId="0856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1" w:type="pct"/>
                  <w:tcBorders>
                    <w:top w:val="single" w:color="auto" w:sz="4" w:space="0"/>
                    <w:left w:val="single" w:color="auto" w:sz="4" w:space="0"/>
                    <w:right w:val="single" w:color="auto" w:sz="4" w:space="0"/>
                  </w:tcBorders>
                  <w:noWrap w:val="0"/>
                  <w:vAlign w:val="center"/>
                </w:tcPr>
                <w:p w14:paraId="517973F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米107-16M</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31AB17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110.</w:t>
                  </w:r>
                  <w:r>
                    <w:rPr>
                      <w:rFonts w:hint="eastAsia" w:ascii="Times New Roman" w:hAnsi="Times New Roman" w:eastAsia="宋体" w:cs="Times New Roman"/>
                      <w:color w:val="auto"/>
                      <w:sz w:val="21"/>
                      <w:szCs w:val="21"/>
                      <w:highlight w:val="none"/>
                      <w:lang w:val="en-US" w:eastAsia="zh-CN"/>
                    </w:rPr>
                    <w:t>212257</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084CED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38.070591</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6AEED1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散户</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5747DE81">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1户2人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1EC308A7">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4D91CC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52CFD8EB">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340</w:t>
                  </w:r>
                </w:p>
              </w:tc>
            </w:tr>
            <w:tr w14:paraId="169F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restart"/>
                  <w:tcBorders>
                    <w:left w:val="single" w:color="auto" w:sz="4" w:space="0"/>
                    <w:right w:val="single" w:color="auto" w:sz="4" w:space="0"/>
                  </w:tcBorders>
                  <w:noWrap w:val="0"/>
                  <w:vAlign w:val="center"/>
                </w:tcPr>
                <w:p w14:paraId="5195196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米107-22MH</w:t>
                  </w:r>
                </w:p>
              </w:tc>
              <w:tc>
                <w:tcPr>
                  <w:tcW w:w="704" w:type="pct"/>
                  <w:tcBorders>
                    <w:top w:val="single" w:color="auto" w:sz="4" w:space="0"/>
                    <w:left w:val="single" w:color="auto" w:sz="4" w:space="0"/>
                    <w:bottom w:val="single" w:color="auto" w:sz="4" w:space="0"/>
                    <w:right w:val="single" w:color="auto" w:sz="4" w:space="0"/>
                  </w:tcBorders>
                  <w:noWrap w:val="0"/>
                  <w:vAlign w:val="center"/>
                </w:tcPr>
                <w:p w14:paraId="44B33D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110.</w:t>
                  </w:r>
                  <w:r>
                    <w:rPr>
                      <w:rFonts w:hint="eastAsia" w:ascii="Times New Roman" w:hAnsi="Times New Roman" w:eastAsia="宋体" w:cs="Times New Roman"/>
                      <w:color w:val="auto"/>
                      <w:sz w:val="21"/>
                      <w:szCs w:val="21"/>
                      <w:highlight w:val="none"/>
                      <w:lang w:val="en-US" w:eastAsia="zh-CN"/>
                    </w:rPr>
                    <w:t>265434</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C4FD52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w:t>
                  </w:r>
                  <w:r>
                    <w:rPr>
                      <w:rFonts w:hint="eastAsia" w:ascii="Times New Roman" w:hAnsi="Times New Roman" w:eastAsia="宋体" w:cs="Times New Roman"/>
                      <w:color w:val="auto"/>
                      <w:sz w:val="21"/>
                      <w:szCs w:val="21"/>
                      <w:highlight w:val="none"/>
                      <w:lang w:val="en-US" w:eastAsia="zh-CN"/>
                    </w:rPr>
                    <w:t>042289</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6172FC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散户</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0DA0D3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1户2人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0364E551">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6A1684D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东北</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42E7A9EF">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303</w:t>
                  </w:r>
                </w:p>
              </w:tc>
            </w:tr>
            <w:tr w14:paraId="0B6B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continue"/>
                  <w:tcBorders>
                    <w:left w:val="single" w:color="auto" w:sz="4" w:space="0"/>
                    <w:right w:val="single" w:color="auto" w:sz="4" w:space="0"/>
                  </w:tcBorders>
                  <w:noWrap w:val="0"/>
                  <w:vAlign w:val="center"/>
                </w:tcPr>
                <w:p w14:paraId="7318E182">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04" w:type="pct"/>
                  <w:tcBorders>
                    <w:top w:val="single" w:color="auto" w:sz="4" w:space="0"/>
                    <w:left w:val="single" w:color="auto" w:sz="4" w:space="0"/>
                    <w:bottom w:val="single" w:color="auto" w:sz="4" w:space="0"/>
                    <w:right w:val="single" w:color="auto" w:sz="4" w:space="0"/>
                  </w:tcBorders>
                  <w:noWrap w:val="0"/>
                  <w:vAlign w:val="center"/>
                </w:tcPr>
                <w:p w14:paraId="171A90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110.265638</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4DAFC1A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38.040722</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7D697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散户</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6C1F44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2户6人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5814081A">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189FF68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7A000427">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211</w:t>
                  </w:r>
                </w:p>
              </w:tc>
            </w:tr>
            <w:tr w14:paraId="2EC0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continue"/>
                  <w:tcBorders>
                    <w:left w:val="single" w:color="auto" w:sz="4" w:space="0"/>
                    <w:right w:val="single" w:color="auto" w:sz="4" w:space="0"/>
                  </w:tcBorders>
                  <w:noWrap w:val="0"/>
                  <w:vAlign w:val="center"/>
                </w:tcPr>
                <w:p w14:paraId="2D8A04E7">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04" w:type="pct"/>
                  <w:tcBorders>
                    <w:top w:val="single" w:color="auto" w:sz="4" w:space="0"/>
                    <w:left w:val="single" w:color="auto" w:sz="4" w:space="0"/>
                    <w:bottom w:val="single" w:color="auto" w:sz="4" w:space="0"/>
                    <w:right w:val="single" w:color="auto" w:sz="4" w:space="0"/>
                  </w:tcBorders>
                  <w:noWrap w:val="0"/>
                  <w:vAlign w:val="center"/>
                </w:tcPr>
                <w:p w14:paraId="59BBF9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110.</w:t>
                  </w:r>
                  <w:r>
                    <w:rPr>
                      <w:rFonts w:hint="eastAsia" w:ascii="Times New Roman" w:hAnsi="Times New Roman" w:eastAsia="宋体" w:cs="Times New Roman"/>
                      <w:color w:val="auto"/>
                      <w:sz w:val="21"/>
                      <w:szCs w:val="21"/>
                      <w:highlight w:val="none"/>
                      <w:lang w:val="en-US" w:eastAsia="zh-CN"/>
                    </w:rPr>
                    <w:t>265606</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6C0F86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38.</w:t>
                  </w:r>
                  <w:r>
                    <w:rPr>
                      <w:rFonts w:hint="eastAsia" w:ascii="Times New Roman" w:hAnsi="Times New Roman" w:eastAsia="宋体" w:cs="Times New Roman"/>
                      <w:color w:val="auto"/>
                      <w:sz w:val="21"/>
                      <w:szCs w:val="21"/>
                      <w:highlight w:val="none"/>
                      <w:lang w:val="en-US" w:eastAsia="zh-CN"/>
                    </w:rPr>
                    <w:t>039499</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1BB88E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散户</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012535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1户2人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7B4CD70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7B82A5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10CB4FBC">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210</w:t>
                  </w:r>
                </w:p>
              </w:tc>
            </w:tr>
            <w:tr w14:paraId="06A5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1" w:type="pct"/>
                  <w:vMerge w:val="continue"/>
                  <w:tcBorders>
                    <w:left w:val="single" w:color="auto" w:sz="4" w:space="0"/>
                    <w:right w:val="single" w:color="auto" w:sz="4" w:space="0"/>
                  </w:tcBorders>
                  <w:noWrap w:val="0"/>
                  <w:vAlign w:val="center"/>
                </w:tcPr>
                <w:p w14:paraId="5867BC0D">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04" w:type="pct"/>
                  <w:tcBorders>
                    <w:top w:val="single" w:color="auto" w:sz="4" w:space="0"/>
                    <w:left w:val="single" w:color="auto" w:sz="4" w:space="0"/>
                    <w:bottom w:val="single" w:color="auto" w:sz="4" w:space="0"/>
                    <w:right w:val="single" w:color="auto" w:sz="4" w:space="0"/>
                  </w:tcBorders>
                  <w:noWrap w:val="0"/>
                  <w:vAlign w:val="center"/>
                </w:tcPr>
                <w:p w14:paraId="655E46C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110.262788</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1FCE39D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38.038566</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35C3334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散户</w:t>
                  </w:r>
                </w:p>
              </w:tc>
              <w:tc>
                <w:tcPr>
                  <w:tcW w:w="702" w:type="pct"/>
                  <w:tcBorders>
                    <w:top w:val="single" w:color="auto" w:sz="4" w:space="0"/>
                    <w:left w:val="single" w:color="auto" w:sz="4" w:space="0"/>
                    <w:bottom w:val="single" w:color="auto" w:sz="4" w:space="0"/>
                    <w:right w:val="single" w:color="auto" w:sz="4" w:space="0"/>
                  </w:tcBorders>
                  <w:noWrap w:val="0"/>
                  <w:vAlign w:val="center"/>
                </w:tcPr>
                <w:p w14:paraId="35F403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4户12人</w:t>
                  </w:r>
                </w:p>
              </w:tc>
              <w:tc>
                <w:tcPr>
                  <w:tcW w:w="532" w:type="pct"/>
                  <w:tcBorders>
                    <w:top w:val="single" w:color="auto" w:sz="4" w:space="0"/>
                    <w:left w:val="single" w:color="auto" w:sz="4" w:space="0"/>
                    <w:bottom w:val="single" w:color="auto" w:sz="4" w:space="0"/>
                    <w:right w:val="single" w:color="auto" w:sz="4" w:space="0"/>
                  </w:tcBorders>
                  <w:noWrap w:val="0"/>
                  <w:vAlign w:val="center"/>
                </w:tcPr>
                <w:p w14:paraId="46D6C93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二类区</w:t>
                  </w:r>
                </w:p>
              </w:tc>
              <w:tc>
                <w:tcPr>
                  <w:tcW w:w="510" w:type="pct"/>
                  <w:tcBorders>
                    <w:top w:val="single" w:color="auto" w:sz="4" w:space="0"/>
                    <w:left w:val="single" w:color="auto" w:sz="4" w:space="0"/>
                    <w:bottom w:val="single" w:color="auto" w:sz="4" w:space="0"/>
                    <w:right w:val="single" w:color="auto" w:sz="4" w:space="0"/>
                  </w:tcBorders>
                  <w:noWrap w:val="0"/>
                  <w:vAlign w:val="center"/>
                </w:tcPr>
                <w:p w14:paraId="240D92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东南</w:t>
                  </w:r>
                </w:p>
              </w:tc>
              <w:tc>
                <w:tcPr>
                  <w:tcW w:w="574" w:type="pct"/>
                  <w:tcBorders>
                    <w:top w:val="single" w:color="auto" w:sz="4" w:space="0"/>
                    <w:left w:val="single" w:color="auto" w:sz="4" w:space="0"/>
                    <w:bottom w:val="single" w:color="auto" w:sz="4" w:space="0"/>
                    <w:right w:val="single" w:color="auto" w:sz="4" w:space="0"/>
                  </w:tcBorders>
                  <w:noWrap w:val="0"/>
                  <w:vAlign w:val="center"/>
                </w:tcPr>
                <w:p w14:paraId="0FED3AAB">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408</w:t>
                  </w:r>
                </w:p>
              </w:tc>
            </w:tr>
          </w:tbl>
          <w:p w14:paraId="749781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tc>
      </w:tr>
      <w:tr w14:paraId="5CF8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Align w:val="center"/>
          </w:tcPr>
          <w:p w14:paraId="6FAD8B7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评价标准</w:t>
            </w:r>
          </w:p>
        </w:tc>
        <w:tc>
          <w:tcPr>
            <w:tcW w:w="8483" w:type="dxa"/>
            <w:vAlign w:val="center"/>
          </w:tcPr>
          <w:p w14:paraId="39EB0C9F">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1、环境质量标准</w:t>
            </w:r>
          </w:p>
          <w:p w14:paraId="60B416BA">
            <w:pPr>
              <w:adjustRightInd w:val="0"/>
              <w:snapToGrid w:val="0"/>
              <w:spacing w:line="360" w:lineRule="auto"/>
              <w:ind w:firstLine="480" w:firstLineChars="200"/>
              <w:jc w:val="both"/>
              <w:rPr>
                <w:rFonts w:hint="default" w:ascii="Times New Roman" w:hAnsi="Times New Roman" w:cs="Times New Roman"/>
                <w:color w:val="auto"/>
                <w:sz w:val="24"/>
                <w:highlight w:val="yellow"/>
              </w:rPr>
            </w:pPr>
            <w:r>
              <w:rPr>
                <w:rFonts w:hint="default" w:ascii="Times New Roman" w:hAnsi="Times New Roman" w:cs="Times New Roman"/>
                <w:color w:val="auto"/>
                <w:sz w:val="24"/>
              </w:rPr>
              <w:t>（1）环境空气质量：基本因子执行《环境空气质量标准》（GB3095-2012）中二级标准。</w:t>
            </w:r>
          </w:p>
          <w:p w14:paraId="3B5409CD">
            <w:pPr>
              <w:pStyle w:val="25"/>
              <w:ind w:right="91" w:firstLine="482"/>
              <w:jc w:val="center"/>
              <w:rPr>
                <w:rFonts w:hint="default" w:ascii="Times New Roman" w:hAnsi="Times New Roman" w:cs="Times New Roman"/>
                <w:b/>
                <w:bCs/>
                <w:color w:val="auto"/>
                <w:sz w:val="21"/>
                <w:szCs w:val="21"/>
                <w:lang w:val="en-US" w:bidi="ar-SA"/>
              </w:rPr>
            </w:pPr>
            <w:r>
              <w:rPr>
                <w:rFonts w:hint="default" w:ascii="Times New Roman" w:hAnsi="Times New Roman" w:cs="Times New Roman"/>
                <w:b/>
                <w:bCs/>
                <w:color w:val="auto"/>
                <w:sz w:val="21"/>
                <w:szCs w:val="21"/>
                <w:lang w:val="en-US" w:bidi="ar-SA"/>
              </w:rPr>
              <w:t>表3-</w:t>
            </w:r>
            <w:r>
              <w:rPr>
                <w:rFonts w:hint="eastAsia" w:ascii="Times New Roman" w:hAnsi="Times New Roman" w:cs="Times New Roman"/>
                <w:b/>
                <w:bCs/>
                <w:color w:val="auto"/>
                <w:sz w:val="21"/>
                <w:szCs w:val="21"/>
                <w:lang w:val="en-US" w:eastAsia="zh-CN" w:bidi="ar-SA"/>
              </w:rPr>
              <w:t>6</w:t>
            </w:r>
            <w:r>
              <w:rPr>
                <w:rFonts w:hint="default" w:ascii="Times New Roman" w:hAnsi="Times New Roman" w:cs="Times New Roman"/>
                <w:b/>
                <w:bCs/>
                <w:color w:val="auto"/>
                <w:sz w:val="21"/>
                <w:szCs w:val="21"/>
                <w:lang w:val="en-US" w:bidi="ar-SA"/>
              </w:rPr>
              <w:t xml:space="preserve"> </w:t>
            </w:r>
            <w:r>
              <w:rPr>
                <w:rFonts w:hint="default" w:ascii="Times New Roman" w:hAnsi="Times New Roman" w:cs="Times New Roman"/>
                <w:b/>
                <w:bCs/>
                <w:color w:val="auto"/>
                <w:sz w:val="21"/>
                <w:szCs w:val="21"/>
                <w:lang w:val="en-US" w:eastAsia="zh-CN" w:bidi="ar-SA"/>
              </w:rPr>
              <w:t xml:space="preserve"> </w:t>
            </w:r>
            <w:r>
              <w:rPr>
                <w:rFonts w:hint="default" w:ascii="Times New Roman" w:hAnsi="Times New Roman" w:cs="Times New Roman"/>
                <w:b/>
                <w:bCs/>
                <w:color w:val="auto"/>
                <w:sz w:val="21"/>
                <w:szCs w:val="21"/>
                <w:lang w:val="en-US" w:bidi="ar-SA"/>
              </w:rPr>
              <w:t>环境空气质量标准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3105"/>
              <w:gridCol w:w="1536"/>
              <w:gridCol w:w="1534"/>
            </w:tblGrid>
            <w:tr w14:paraId="7518F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20F9F6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2686" w:type="pct"/>
                  <w:gridSpan w:val="2"/>
                  <w:noWrap w:val="0"/>
                  <w:vAlign w:val="center"/>
                </w:tcPr>
                <w:p w14:paraId="7F76F3B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执行标准</w:t>
                  </w:r>
                </w:p>
              </w:tc>
              <w:tc>
                <w:tcPr>
                  <w:tcW w:w="888" w:type="pct"/>
                  <w:vMerge w:val="restart"/>
                  <w:noWrap w:val="0"/>
                  <w:vAlign w:val="center"/>
                </w:tcPr>
                <w:p w14:paraId="19061832">
                  <w:pPr>
                    <w:pStyle w:val="22"/>
                    <w:spacing w:beforeLines="0" w:afterLines="0" w:line="240" w:lineRule="auto"/>
                    <w:ind w:left="0" w:firstLine="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zh-CN"/>
                    </w:rPr>
                    <w:t>单位</w:t>
                  </w:r>
                </w:p>
              </w:tc>
            </w:tr>
            <w:tr w14:paraId="6A77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0B12CDB">
                  <w:pPr>
                    <w:jc w:val="center"/>
                    <w:rPr>
                      <w:rFonts w:hint="default" w:ascii="Times New Roman" w:hAnsi="Times New Roman" w:cs="Times New Roman"/>
                      <w:b/>
                      <w:bCs/>
                      <w:color w:val="auto"/>
                      <w:sz w:val="21"/>
                      <w:szCs w:val="21"/>
                    </w:rPr>
                  </w:pPr>
                </w:p>
              </w:tc>
              <w:tc>
                <w:tcPr>
                  <w:tcW w:w="1797" w:type="pct"/>
                  <w:noWrap w:val="0"/>
                  <w:vAlign w:val="center"/>
                </w:tcPr>
                <w:p w14:paraId="5D01148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取值时间</w:t>
                  </w:r>
                </w:p>
              </w:tc>
              <w:tc>
                <w:tcPr>
                  <w:tcW w:w="889" w:type="pct"/>
                  <w:noWrap w:val="0"/>
                  <w:vAlign w:val="center"/>
                </w:tcPr>
                <w:p w14:paraId="6D2A45F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二级标准</w:t>
                  </w:r>
                </w:p>
              </w:tc>
              <w:tc>
                <w:tcPr>
                  <w:tcW w:w="888" w:type="pct"/>
                  <w:vMerge w:val="continue"/>
                  <w:noWrap w:val="0"/>
                  <w:vAlign w:val="center"/>
                </w:tcPr>
                <w:p w14:paraId="17E824C6">
                  <w:pPr>
                    <w:pStyle w:val="22"/>
                    <w:spacing w:beforeLines="0" w:afterLines="0" w:line="240" w:lineRule="auto"/>
                    <w:ind w:left="0" w:firstLine="0"/>
                    <w:rPr>
                      <w:rFonts w:hint="default" w:ascii="Times New Roman" w:hAnsi="Times New Roman" w:cs="Times New Roman"/>
                      <w:color w:val="auto"/>
                      <w:sz w:val="21"/>
                      <w:szCs w:val="21"/>
                    </w:rPr>
                  </w:pPr>
                </w:p>
              </w:tc>
            </w:tr>
            <w:tr w14:paraId="5397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1402E49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二氧化硫（SO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57A53B6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3C4445F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60</w:t>
                  </w:r>
                </w:p>
              </w:tc>
              <w:tc>
                <w:tcPr>
                  <w:tcW w:w="888" w:type="pct"/>
                  <w:vMerge w:val="restart"/>
                  <w:noWrap w:val="0"/>
                  <w:vAlign w:val="center"/>
                </w:tcPr>
                <w:p w14:paraId="5D2A1FE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5389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555B0D6">
                  <w:pPr>
                    <w:widowControl/>
                    <w:jc w:val="center"/>
                    <w:rPr>
                      <w:rFonts w:hint="default" w:ascii="Times New Roman" w:hAnsi="Times New Roman" w:cs="Times New Roman"/>
                      <w:color w:val="auto"/>
                      <w:sz w:val="21"/>
                      <w:szCs w:val="21"/>
                    </w:rPr>
                  </w:pPr>
                </w:p>
              </w:tc>
              <w:tc>
                <w:tcPr>
                  <w:tcW w:w="1797" w:type="pct"/>
                  <w:noWrap w:val="0"/>
                  <w:vAlign w:val="center"/>
                </w:tcPr>
                <w:p w14:paraId="611BEBF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337F457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A00E323">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489B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121C68B6">
                  <w:pPr>
                    <w:widowControl/>
                    <w:jc w:val="center"/>
                    <w:rPr>
                      <w:rFonts w:hint="default" w:ascii="Times New Roman" w:hAnsi="Times New Roman" w:cs="Times New Roman"/>
                      <w:color w:val="auto"/>
                      <w:sz w:val="21"/>
                      <w:szCs w:val="21"/>
                    </w:rPr>
                  </w:pPr>
                </w:p>
              </w:tc>
              <w:tc>
                <w:tcPr>
                  <w:tcW w:w="1797" w:type="pct"/>
                  <w:noWrap w:val="0"/>
                  <w:vAlign w:val="center"/>
                </w:tcPr>
                <w:p w14:paraId="52D646B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842581A">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500</w:t>
                  </w:r>
                </w:p>
              </w:tc>
              <w:tc>
                <w:tcPr>
                  <w:tcW w:w="888" w:type="pct"/>
                  <w:vMerge w:val="continue"/>
                  <w:noWrap w:val="0"/>
                  <w:vAlign w:val="center"/>
                </w:tcPr>
                <w:p w14:paraId="6ABB18F3">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743C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72FFBAE4">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二氧化氮（NO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p>
              </w:tc>
              <w:tc>
                <w:tcPr>
                  <w:tcW w:w="1797" w:type="pct"/>
                  <w:noWrap w:val="0"/>
                  <w:vAlign w:val="center"/>
                </w:tcPr>
                <w:p w14:paraId="7B6A6A3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721A89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40</w:t>
                  </w:r>
                </w:p>
              </w:tc>
              <w:tc>
                <w:tcPr>
                  <w:tcW w:w="888" w:type="pct"/>
                  <w:vMerge w:val="continue"/>
                  <w:noWrap w:val="0"/>
                  <w:vAlign w:val="center"/>
                </w:tcPr>
                <w:p w14:paraId="103FEBF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1C9C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BF8406D">
                  <w:pPr>
                    <w:widowControl/>
                    <w:jc w:val="center"/>
                    <w:rPr>
                      <w:rFonts w:hint="default" w:ascii="Times New Roman" w:hAnsi="Times New Roman" w:cs="Times New Roman"/>
                      <w:color w:val="auto"/>
                      <w:sz w:val="21"/>
                      <w:szCs w:val="21"/>
                    </w:rPr>
                  </w:pPr>
                </w:p>
              </w:tc>
              <w:tc>
                <w:tcPr>
                  <w:tcW w:w="1797" w:type="pct"/>
                  <w:noWrap w:val="0"/>
                  <w:vAlign w:val="center"/>
                </w:tcPr>
                <w:p w14:paraId="00D541DF">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A99B01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80</w:t>
                  </w:r>
                </w:p>
              </w:tc>
              <w:tc>
                <w:tcPr>
                  <w:tcW w:w="888" w:type="pct"/>
                  <w:vMerge w:val="continue"/>
                  <w:noWrap w:val="0"/>
                  <w:vAlign w:val="center"/>
                </w:tcPr>
                <w:p w14:paraId="6098AA22">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0406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E21A7BA">
                  <w:pPr>
                    <w:widowControl/>
                    <w:jc w:val="center"/>
                    <w:rPr>
                      <w:rFonts w:hint="default" w:ascii="Times New Roman" w:hAnsi="Times New Roman" w:cs="Times New Roman"/>
                      <w:color w:val="auto"/>
                      <w:sz w:val="21"/>
                      <w:szCs w:val="21"/>
                    </w:rPr>
                  </w:pPr>
                </w:p>
              </w:tc>
              <w:tc>
                <w:tcPr>
                  <w:tcW w:w="1797" w:type="pct"/>
                  <w:noWrap w:val="0"/>
                  <w:vAlign w:val="center"/>
                </w:tcPr>
                <w:p w14:paraId="049B82A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253224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1432E878">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52BC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C8395F3">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10</w:t>
                  </w:r>
                  <w:r>
                    <w:rPr>
                      <w:rFonts w:hint="default" w:ascii="Times New Roman" w:hAnsi="Times New Roman" w:cs="Times New Roman"/>
                      <w:color w:val="auto"/>
                      <w:sz w:val="21"/>
                      <w:szCs w:val="21"/>
                    </w:rPr>
                    <w:t>）</w:t>
                  </w:r>
                </w:p>
              </w:tc>
              <w:tc>
                <w:tcPr>
                  <w:tcW w:w="1797" w:type="pct"/>
                  <w:noWrap w:val="0"/>
                  <w:vAlign w:val="center"/>
                </w:tcPr>
                <w:p w14:paraId="709F7F9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52BFEFD2">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70</w:t>
                  </w:r>
                </w:p>
              </w:tc>
              <w:tc>
                <w:tcPr>
                  <w:tcW w:w="888" w:type="pct"/>
                  <w:vMerge w:val="continue"/>
                  <w:noWrap w:val="0"/>
                  <w:vAlign w:val="center"/>
                </w:tcPr>
                <w:p w14:paraId="72AA9516">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6404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2CA47CF8">
                  <w:pPr>
                    <w:widowControl/>
                    <w:jc w:val="center"/>
                    <w:rPr>
                      <w:rFonts w:hint="default" w:ascii="Times New Roman" w:hAnsi="Times New Roman" w:cs="Times New Roman"/>
                      <w:color w:val="auto"/>
                      <w:sz w:val="21"/>
                      <w:szCs w:val="21"/>
                    </w:rPr>
                  </w:pPr>
                </w:p>
              </w:tc>
              <w:tc>
                <w:tcPr>
                  <w:tcW w:w="1797" w:type="pct"/>
                  <w:noWrap w:val="0"/>
                  <w:vAlign w:val="center"/>
                </w:tcPr>
                <w:p w14:paraId="5F188FA1">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276330B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150</w:t>
                  </w:r>
                </w:p>
              </w:tc>
              <w:tc>
                <w:tcPr>
                  <w:tcW w:w="888" w:type="pct"/>
                  <w:vMerge w:val="continue"/>
                  <w:noWrap w:val="0"/>
                  <w:vAlign w:val="center"/>
                </w:tcPr>
                <w:p w14:paraId="0D12CFE1">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5581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4E3F84F">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颗粒物（PM</w:t>
                  </w:r>
                  <w:r>
                    <w:rPr>
                      <w:rFonts w:hint="default" w:ascii="Times New Roman" w:hAnsi="Times New Roman" w:cs="Times New Roman"/>
                      <w:color w:val="auto"/>
                      <w:sz w:val="21"/>
                      <w:szCs w:val="21"/>
                      <w:vertAlign w:val="subscript"/>
                    </w:rPr>
                    <w:t>2.5</w:t>
                  </w:r>
                  <w:r>
                    <w:rPr>
                      <w:rFonts w:hint="default" w:ascii="Times New Roman" w:hAnsi="Times New Roman" w:cs="Times New Roman"/>
                      <w:color w:val="auto"/>
                      <w:sz w:val="21"/>
                      <w:szCs w:val="21"/>
                    </w:rPr>
                    <w:t>）</w:t>
                  </w:r>
                </w:p>
              </w:tc>
              <w:tc>
                <w:tcPr>
                  <w:tcW w:w="1797" w:type="pct"/>
                  <w:noWrap w:val="0"/>
                  <w:vAlign w:val="center"/>
                </w:tcPr>
                <w:p w14:paraId="7845B2F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年平均</w:t>
                  </w:r>
                </w:p>
              </w:tc>
              <w:tc>
                <w:tcPr>
                  <w:tcW w:w="889" w:type="pct"/>
                  <w:noWrap w:val="0"/>
                  <w:vAlign w:val="center"/>
                </w:tcPr>
                <w:p w14:paraId="12A14BE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35</w:t>
                  </w:r>
                </w:p>
              </w:tc>
              <w:tc>
                <w:tcPr>
                  <w:tcW w:w="888" w:type="pct"/>
                  <w:vMerge w:val="continue"/>
                  <w:noWrap w:val="0"/>
                  <w:vAlign w:val="center"/>
                </w:tcPr>
                <w:p w14:paraId="641777FC">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29C1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345F2BB2">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661D5279">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0FF95CC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75</w:t>
                  </w:r>
                </w:p>
              </w:tc>
              <w:tc>
                <w:tcPr>
                  <w:tcW w:w="888" w:type="pct"/>
                  <w:vMerge w:val="continue"/>
                  <w:noWrap w:val="0"/>
                  <w:vAlign w:val="center"/>
                </w:tcPr>
                <w:p w14:paraId="6C8A2D2A">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3FCC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06C670B6">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一氧化碳（CO）</w:t>
                  </w:r>
                </w:p>
              </w:tc>
              <w:tc>
                <w:tcPr>
                  <w:tcW w:w="1797" w:type="pct"/>
                  <w:noWrap w:val="0"/>
                  <w:vAlign w:val="center"/>
                </w:tcPr>
                <w:p w14:paraId="12871776">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24小时平均</w:t>
                  </w:r>
                </w:p>
              </w:tc>
              <w:tc>
                <w:tcPr>
                  <w:tcW w:w="889" w:type="pct"/>
                  <w:noWrap w:val="0"/>
                  <w:vAlign w:val="center"/>
                </w:tcPr>
                <w:p w14:paraId="547E876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4</w:t>
                  </w:r>
                </w:p>
              </w:tc>
              <w:tc>
                <w:tcPr>
                  <w:tcW w:w="888" w:type="pct"/>
                  <w:vMerge w:val="restart"/>
                  <w:noWrap w:val="0"/>
                  <w:vAlign w:val="center"/>
                </w:tcPr>
                <w:p w14:paraId="431D21B8">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mg/m</w:t>
                  </w:r>
                  <w:r>
                    <w:rPr>
                      <w:rFonts w:hint="default" w:ascii="Times New Roman" w:hAnsi="Times New Roman" w:cs="Times New Roman"/>
                      <w:b w:val="0"/>
                      <w:bCs/>
                      <w:color w:val="auto"/>
                      <w:sz w:val="21"/>
                      <w:szCs w:val="21"/>
                      <w:vertAlign w:val="superscript"/>
                    </w:rPr>
                    <w:t>3</w:t>
                  </w:r>
                </w:p>
              </w:tc>
            </w:tr>
            <w:tr w14:paraId="7769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472DDFB8">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49FE807C">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00F25F4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10</w:t>
                  </w:r>
                </w:p>
              </w:tc>
              <w:tc>
                <w:tcPr>
                  <w:tcW w:w="888" w:type="pct"/>
                  <w:vMerge w:val="continue"/>
                  <w:noWrap w:val="0"/>
                  <w:vAlign w:val="center"/>
                </w:tcPr>
                <w:p w14:paraId="6AFF8924">
                  <w:pPr>
                    <w:pStyle w:val="22"/>
                    <w:spacing w:beforeLines="0" w:afterLines="0" w:line="240" w:lineRule="auto"/>
                    <w:ind w:left="0" w:firstLine="0"/>
                    <w:rPr>
                      <w:rFonts w:hint="default" w:ascii="Times New Roman" w:hAnsi="Times New Roman" w:cs="Times New Roman"/>
                      <w:b w:val="0"/>
                      <w:bCs/>
                      <w:color w:val="auto"/>
                      <w:sz w:val="21"/>
                      <w:szCs w:val="21"/>
                    </w:rPr>
                  </w:pPr>
                </w:p>
              </w:tc>
            </w:tr>
            <w:tr w14:paraId="4746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restart"/>
                  <w:noWrap w:val="0"/>
                  <w:vAlign w:val="center"/>
                </w:tcPr>
                <w:p w14:paraId="4E628C51">
                  <w:pPr>
                    <w:pStyle w:val="4"/>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臭氧（O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p>
              </w:tc>
              <w:tc>
                <w:tcPr>
                  <w:tcW w:w="1797" w:type="pct"/>
                  <w:noWrap w:val="0"/>
                  <w:vAlign w:val="center"/>
                </w:tcPr>
                <w:p w14:paraId="358873D7">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日最大8h平均</w:t>
                  </w:r>
                </w:p>
              </w:tc>
              <w:tc>
                <w:tcPr>
                  <w:tcW w:w="889" w:type="pct"/>
                  <w:noWrap w:val="0"/>
                  <w:vAlign w:val="center"/>
                </w:tcPr>
                <w:p w14:paraId="55678184">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160</w:t>
                  </w:r>
                </w:p>
              </w:tc>
              <w:tc>
                <w:tcPr>
                  <w:tcW w:w="888" w:type="pct"/>
                  <w:vMerge w:val="restart"/>
                  <w:noWrap w:val="0"/>
                  <w:vAlign w:val="center"/>
                </w:tcPr>
                <w:p w14:paraId="7830AA8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ug/m</w:t>
                  </w:r>
                  <w:r>
                    <w:rPr>
                      <w:rFonts w:hint="default" w:ascii="Times New Roman" w:hAnsi="Times New Roman" w:cs="Times New Roman"/>
                      <w:b w:val="0"/>
                      <w:bCs/>
                      <w:color w:val="auto"/>
                      <w:sz w:val="21"/>
                      <w:szCs w:val="21"/>
                      <w:vertAlign w:val="superscript"/>
                    </w:rPr>
                    <w:t>3</w:t>
                  </w:r>
                </w:p>
              </w:tc>
            </w:tr>
            <w:tr w14:paraId="42C88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5" w:type="pct"/>
                  <w:vMerge w:val="continue"/>
                  <w:noWrap w:val="0"/>
                  <w:vAlign w:val="center"/>
                </w:tcPr>
                <w:p w14:paraId="0E7024CC">
                  <w:pPr>
                    <w:pStyle w:val="4"/>
                    <w:ind w:firstLine="0"/>
                    <w:jc w:val="center"/>
                    <w:rPr>
                      <w:rFonts w:hint="default" w:ascii="Times New Roman" w:hAnsi="Times New Roman" w:cs="Times New Roman"/>
                      <w:color w:val="auto"/>
                      <w:sz w:val="21"/>
                      <w:szCs w:val="21"/>
                    </w:rPr>
                  </w:pPr>
                </w:p>
              </w:tc>
              <w:tc>
                <w:tcPr>
                  <w:tcW w:w="1797" w:type="pct"/>
                  <w:noWrap w:val="0"/>
                  <w:vAlign w:val="center"/>
                </w:tcPr>
                <w:p w14:paraId="2947238E">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1小时平均</w:t>
                  </w:r>
                </w:p>
              </w:tc>
              <w:tc>
                <w:tcPr>
                  <w:tcW w:w="889" w:type="pct"/>
                  <w:noWrap w:val="0"/>
                  <w:vAlign w:val="center"/>
                </w:tcPr>
                <w:p w14:paraId="1D3A5B5B">
                  <w:pPr>
                    <w:pStyle w:val="22"/>
                    <w:spacing w:beforeLines="0" w:afterLines="0" w:line="240" w:lineRule="auto"/>
                    <w:ind w:left="0" w:firstLine="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200</w:t>
                  </w:r>
                </w:p>
              </w:tc>
              <w:tc>
                <w:tcPr>
                  <w:tcW w:w="888" w:type="pct"/>
                  <w:vMerge w:val="continue"/>
                  <w:noWrap w:val="0"/>
                  <w:vAlign w:val="center"/>
                </w:tcPr>
                <w:p w14:paraId="713C1D15">
                  <w:pPr>
                    <w:pStyle w:val="22"/>
                    <w:spacing w:beforeLines="0" w:afterLines="0" w:line="240" w:lineRule="auto"/>
                    <w:ind w:left="0" w:firstLine="0"/>
                    <w:rPr>
                      <w:rFonts w:hint="default" w:ascii="Times New Roman" w:hAnsi="Times New Roman" w:cs="Times New Roman"/>
                      <w:b w:val="0"/>
                      <w:bCs/>
                      <w:color w:val="auto"/>
                      <w:sz w:val="21"/>
                      <w:szCs w:val="21"/>
                    </w:rPr>
                  </w:pPr>
                </w:p>
              </w:tc>
            </w:tr>
          </w:tbl>
          <w:p w14:paraId="2C1F405F">
            <w:pPr>
              <w:adjustRightInd w:val="0"/>
              <w:snapToGrid w:val="0"/>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（2）声环境质量标准：本项目所在区域属</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类声环境功能区，声环境质量执行《声环境质量标准》（GB3096-2008）</w:t>
            </w:r>
            <w:r>
              <w:rPr>
                <w:rFonts w:hint="eastAsia" w:ascii="Times New Roman" w:hAnsi="Times New Roman" w:eastAsia="宋体" w:cs="Times New Roman"/>
                <w:color w:val="auto"/>
                <w:sz w:val="24"/>
                <w:lang w:val="en-US" w:eastAsia="zh-CN"/>
              </w:rPr>
              <w:t>1</w:t>
            </w:r>
            <w:r>
              <w:rPr>
                <w:rFonts w:hint="default" w:ascii="Times New Roman" w:hAnsi="Times New Roman" w:cs="Times New Roman"/>
                <w:color w:val="auto"/>
                <w:sz w:val="24"/>
              </w:rPr>
              <w:t>类标准。</w:t>
            </w:r>
          </w:p>
          <w:p w14:paraId="29431B83">
            <w:pPr>
              <w:widowControl/>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ascii="Times New Roman" w:hAnsi="Times New Roman" w:eastAsia="宋体" w:cs="Times New Roman"/>
                <w:b/>
                <w:bCs/>
                <w:color w:val="auto"/>
                <w:lang w:val="en-US" w:eastAsia="zh-CN"/>
              </w:rPr>
              <w:t>7</w:t>
            </w:r>
            <w:r>
              <w:rPr>
                <w:rFonts w:hint="default" w:ascii="Times New Roman" w:hAnsi="Times New Roman" w:cs="Times New Roman"/>
                <w:b/>
                <w:bCs/>
                <w:color w:val="auto"/>
              </w:rPr>
              <w:t xml:space="preserve"> </w:t>
            </w:r>
            <w:r>
              <w:rPr>
                <w:rFonts w:hint="default" w:ascii="Times New Roman" w:hAnsi="Times New Roman" w:eastAsia="宋体" w:cs="Times New Roman"/>
                <w:b/>
                <w:bCs/>
                <w:color w:val="auto"/>
                <w:lang w:val="en-US" w:eastAsia="zh-CN"/>
              </w:rPr>
              <w:t xml:space="preserve"> </w:t>
            </w:r>
            <w:r>
              <w:rPr>
                <w:rFonts w:hint="default" w:ascii="Times New Roman" w:hAnsi="Times New Roman" w:cs="Times New Roman"/>
                <w:b/>
                <w:bCs/>
                <w:color w:val="auto"/>
              </w:rPr>
              <w:t>环境噪声评价标准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2989"/>
              <w:gridCol w:w="1329"/>
              <w:gridCol w:w="999"/>
              <w:gridCol w:w="997"/>
              <w:gridCol w:w="945"/>
            </w:tblGrid>
            <w:tr w14:paraId="091C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798" w:type="pct"/>
                  <w:vMerge w:val="restart"/>
                  <w:noWrap w:val="0"/>
                  <w:vAlign w:val="center"/>
                </w:tcPr>
                <w:p w14:paraId="6D133C8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环境类别</w:t>
                  </w:r>
                </w:p>
              </w:tc>
              <w:tc>
                <w:tcPr>
                  <w:tcW w:w="1730" w:type="pct"/>
                  <w:vMerge w:val="restart"/>
                  <w:noWrap w:val="0"/>
                  <w:vAlign w:val="center"/>
                </w:tcPr>
                <w:p w14:paraId="35EF745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标准名称及级（类）别</w:t>
                  </w:r>
                </w:p>
              </w:tc>
              <w:tc>
                <w:tcPr>
                  <w:tcW w:w="769" w:type="pct"/>
                  <w:vMerge w:val="restart"/>
                  <w:noWrap w:val="0"/>
                  <w:vAlign w:val="center"/>
                </w:tcPr>
                <w:p w14:paraId="0DC96B57">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702" w:type="pct"/>
                  <w:gridSpan w:val="3"/>
                  <w:noWrap w:val="0"/>
                  <w:vAlign w:val="center"/>
                </w:tcPr>
                <w:p w14:paraId="700B9E4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标准限值</w:t>
                  </w:r>
                </w:p>
              </w:tc>
            </w:tr>
            <w:tr w14:paraId="7ADE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continue"/>
                  <w:noWrap w:val="0"/>
                  <w:vAlign w:val="center"/>
                </w:tcPr>
                <w:p w14:paraId="330F4836">
                  <w:pPr>
                    <w:jc w:val="center"/>
                    <w:rPr>
                      <w:rFonts w:hint="default" w:ascii="Times New Roman" w:hAnsi="Times New Roman" w:cs="Times New Roman"/>
                      <w:b/>
                      <w:bCs/>
                      <w:color w:val="auto"/>
                      <w:sz w:val="21"/>
                      <w:szCs w:val="21"/>
                    </w:rPr>
                  </w:pPr>
                </w:p>
              </w:tc>
              <w:tc>
                <w:tcPr>
                  <w:tcW w:w="1730" w:type="pct"/>
                  <w:vMerge w:val="continue"/>
                  <w:noWrap w:val="0"/>
                  <w:vAlign w:val="center"/>
                </w:tcPr>
                <w:p w14:paraId="4495D903">
                  <w:pPr>
                    <w:jc w:val="center"/>
                    <w:rPr>
                      <w:rFonts w:hint="default" w:ascii="Times New Roman" w:hAnsi="Times New Roman" w:cs="Times New Roman"/>
                      <w:b/>
                      <w:bCs/>
                      <w:color w:val="auto"/>
                      <w:sz w:val="21"/>
                      <w:szCs w:val="21"/>
                    </w:rPr>
                  </w:pPr>
                </w:p>
              </w:tc>
              <w:tc>
                <w:tcPr>
                  <w:tcW w:w="769" w:type="pct"/>
                  <w:vMerge w:val="continue"/>
                  <w:noWrap w:val="0"/>
                  <w:vAlign w:val="center"/>
                </w:tcPr>
                <w:p w14:paraId="6F2B35A2">
                  <w:pPr>
                    <w:jc w:val="center"/>
                    <w:rPr>
                      <w:rFonts w:hint="default" w:ascii="Times New Roman" w:hAnsi="Times New Roman" w:cs="Times New Roman"/>
                      <w:b/>
                      <w:bCs/>
                      <w:color w:val="auto"/>
                      <w:sz w:val="21"/>
                      <w:szCs w:val="21"/>
                    </w:rPr>
                  </w:pPr>
                </w:p>
              </w:tc>
              <w:tc>
                <w:tcPr>
                  <w:tcW w:w="578" w:type="pct"/>
                  <w:noWrap w:val="0"/>
                  <w:vAlign w:val="center"/>
                </w:tcPr>
                <w:p w14:paraId="2A50674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124" w:type="pct"/>
                  <w:gridSpan w:val="2"/>
                  <w:noWrap w:val="0"/>
                  <w:vAlign w:val="center"/>
                </w:tcPr>
                <w:p w14:paraId="234AB06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数值</w:t>
                  </w:r>
                </w:p>
              </w:tc>
            </w:tr>
            <w:tr w14:paraId="2667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98" w:type="pct"/>
                  <w:vMerge w:val="restart"/>
                  <w:noWrap w:val="0"/>
                  <w:vAlign w:val="center"/>
                </w:tcPr>
                <w:p w14:paraId="219B871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730" w:type="pct"/>
                  <w:vMerge w:val="restart"/>
                  <w:noWrap w:val="0"/>
                  <w:vAlign w:val="center"/>
                </w:tcPr>
                <w:p w14:paraId="351611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r>
                    <w:rPr>
                      <w:rFonts w:hint="eastAsia" w:ascii="Times New Roman" w:hAnsi="Times New Roman" w:eastAsia="宋体" w:cs="Times New Roman"/>
                      <w:color w:val="auto"/>
                      <w:sz w:val="21"/>
                      <w:szCs w:val="21"/>
                      <w:lang w:val="en-US" w:eastAsia="zh-CN"/>
                    </w:rPr>
                    <w:t>1</w:t>
                  </w:r>
                  <w:r>
                    <w:rPr>
                      <w:rFonts w:hint="default" w:ascii="Times New Roman" w:hAnsi="Times New Roman" w:cs="Times New Roman"/>
                      <w:color w:val="auto"/>
                      <w:sz w:val="21"/>
                      <w:szCs w:val="21"/>
                    </w:rPr>
                    <w:t>类标准</w:t>
                  </w:r>
                </w:p>
              </w:tc>
              <w:tc>
                <w:tcPr>
                  <w:tcW w:w="769" w:type="pct"/>
                  <w:vMerge w:val="restart"/>
                  <w:noWrap w:val="0"/>
                  <w:vAlign w:val="center"/>
                </w:tcPr>
                <w:p w14:paraId="5419A08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等效声级</w:t>
                  </w:r>
                </w:p>
              </w:tc>
              <w:tc>
                <w:tcPr>
                  <w:tcW w:w="578" w:type="pct"/>
                  <w:vMerge w:val="restart"/>
                  <w:noWrap w:val="0"/>
                  <w:vAlign w:val="center"/>
                </w:tcPr>
                <w:p w14:paraId="0B5334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dB（A）</w:t>
                  </w:r>
                </w:p>
              </w:tc>
              <w:tc>
                <w:tcPr>
                  <w:tcW w:w="577" w:type="pct"/>
                  <w:noWrap w:val="0"/>
                  <w:vAlign w:val="center"/>
                </w:tcPr>
                <w:p w14:paraId="308564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547" w:type="pct"/>
                  <w:noWrap w:val="0"/>
                  <w:vAlign w:val="center"/>
                </w:tcPr>
                <w:p w14:paraId="4C91CB1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r>
            <w:tr w14:paraId="644A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98" w:type="pct"/>
                  <w:vMerge w:val="continue"/>
                  <w:noWrap w:val="0"/>
                  <w:vAlign w:val="center"/>
                </w:tcPr>
                <w:p w14:paraId="29E44F05">
                  <w:pPr>
                    <w:jc w:val="center"/>
                    <w:rPr>
                      <w:rFonts w:hint="default" w:ascii="Times New Roman" w:hAnsi="Times New Roman" w:cs="Times New Roman"/>
                      <w:color w:val="auto"/>
                      <w:sz w:val="21"/>
                      <w:szCs w:val="21"/>
                    </w:rPr>
                  </w:pPr>
                </w:p>
              </w:tc>
              <w:tc>
                <w:tcPr>
                  <w:tcW w:w="1730" w:type="pct"/>
                  <w:vMerge w:val="continue"/>
                  <w:noWrap w:val="0"/>
                  <w:vAlign w:val="center"/>
                </w:tcPr>
                <w:p w14:paraId="37CB6511">
                  <w:pPr>
                    <w:jc w:val="center"/>
                    <w:rPr>
                      <w:rFonts w:hint="default" w:ascii="Times New Roman" w:hAnsi="Times New Roman" w:cs="Times New Roman"/>
                      <w:color w:val="auto"/>
                      <w:sz w:val="21"/>
                      <w:szCs w:val="21"/>
                    </w:rPr>
                  </w:pPr>
                </w:p>
              </w:tc>
              <w:tc>
                <w:tcPr>
                  <w:tcW w:w="769" w:type="pct"/>
                  <w:vMerge w:val="continue"/>
                  <w:noWrap w:val="0"/>
                  <w:vAlign w:val="center"/>
                </w:tcPr>
                <w:p w14:paraId="4D09A531">
                  <w:pPr>
                    <w:jc w:val="center"/>
                    <w:rPr>
                      <w:rFonts w:hint="default" w:ascii="Times New Roman" w:hAnsi="Times New Roman" w:cs="Times New Roman"/>
                      <w:color w:val="auto"/>
                      <w:sz w:val="21"/>
                      <w:szCs w:val="21"/>
                    </w:rPr>
                  </w:pPr>
                </w:p>
              </w:tc>
              <w:tc>
                <w:tcPr>
                  <w:tcW w:w="578" w:type="pct"/>
                  <w:vMerge w:val="continue"/>
                  <w:noWrap w:val="0"/>
                  <w:vAlign w:val="center"/>
                </w:tcPr>
                <w:p w14:paraId="5E40B922">
                  <w:pPr>
                    <w:jc w:val="center"/>
                    <w:rPr>
                      <w:rFonts w:hint="default" w:ascii="Times New Roman" w:hAnsi="Times New Roman" w:cs="Times New Roman"/>
                      <w:color w:val="auto"/>
                      <w:sz w:val="21"/>
                      <w:szCs w:val="21"/>
                    </w:rPr>
                  </w:pPr>
                </w:p>
              </w:tc>
              <w:tc>
                <w:tcPr>
                  <w:tcW w:w="577" w:type="pct"/>
                  <w:noWrap w:val="0"/>
                  <w:vAlign w:val="center"/>
                </w:tcPr>
                <w:p w14:paraId="3CCCCD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c>
                <w:tcPr>
                  <w:tcW w:w="547" w:type="pct"/>
                  <w:noWrap w:val="0"/>
                  <w:vAlign w:val="center"/>
                </w:tcPr>
                <w:p w14:paraId="1A83B9B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bl>
          <w:p w14:paraId="799BF00A">
            <w:pPr>
              <w:adjustRightInd w:val="0"/>
              <w:snapToGrid w:val="0"/>
              <w:spacing w:line="360" w:lineRule="auto"/>
              <w:ind w:firstLine="480" w:firstLineChars="200"/>
              <w:jc w:val="both"/>
              <w:rPr>
                <w:rFonts w:hint="default" w:ascii="Times New Roman" w:hAnsi="Times New Roman" w:cs="Times New Roman"/>
                <w:b/>
                <w:bCs/>
                <w:color w:val="auto"/>
                <w:sz w:val="24"/>
              </w:rPr>
            </w:pPr>
            <w:r>
              <w:rPr>
                <w:rFonts w:hint="default" w:ascii="Times New Roman" w:hAnsi="Times New Roman" w:cs="Times New Roman"/>
                <w:b/>
                <w:bCs/>
                <w:color w:val="auto"/>
                <w:sz w:val="24"/>
              </w:rPr>
              <w:t>2、污染物排放标准</w:t>
            </w:r>
          </w:p>
          <w:p w14:paraId="60B4CC54">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72F23A7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①施工扬尘执行《施工场界扬尘排放限值》（DB61/1078-2017）标准，具体工场界扬尘（总悬浮颗粒物）浓度标准限值</w:t>
            </w:r>
            <w:r>
              <w:rPr>
                <w:rFonts w:hint="default" w:ascii="Times New Roman" w:hAnsi="Times New Roman" w:cs="Times New Roman"/>
                <w:color w:val="auto"/>
                <w:kern w:val="0"/>
                <w:sz w:val="24"/>
              </w:rPr>
              <w:t>见表</w:t>
            </w:r>
            <w:r>
              <w:rPr>
                <w:rFonts w:hint="default" w:ascii="Times New Roman" w:hAnsi="Times New Roman" w:eastAsia="TimesNewRomanPSMT" w:cs="Times New Roman"/>
                <w:color w:val="auto"/>
                <w:kern w:val="0"/>
                <w:sz w:val="24"/>
              </w:rPr>
              <w:t>3-</w:t>
            </w:r>
            <w:r>
              <w:rPr>
                <w:rFonts w:hint="eastAsia" w:ascii="Times New Roman" w:hAnsi="Times New Roman" w:eastAsia="宋体" w:cs="Times New Roman"/>
                <w:color w:val="auto"/>
                <w:kern w:val="0"/>
                <w:sz w:val="24"/>
                <w:lang w:val="en-US" w:eastAsia="zh-CN"/>
              </w:rPr>
              <w:t>8</w:t>
            </w:r>
            <w:r>
              <w:rPr>
                <w:rFonts w:hint="default" w:ascii="Times New Roman" w:hAnsi="Times New Roman" w:cs="Times New Roman"/>
                <w:color w:val="auto"/>
                <w:sz w:val="24"/>
              </w:rPr>
              <w:t>。</w:t>
            </w:r>
          </w:p>
          <w:p w14:paraId="27D2F76D">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施工场界扬尘（总悬浮颗粒物）浓度限值</w:t>
            </w:r>
          </w:p>
          <w:tbl>
            <w:tblPr>
              <w:tblStyle w:val="1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7"/>
              <w:gridCol w:w="2532"/>
              <w:gridCol w:w="3744"/>
            </w:tblGrid>
            <w:tr w14:paraId="3A30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3759CC4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1468" w:type="pct"/>
                  <w:noWrap w:val="0"/>
                  <w:vAlign w:val="center"/>
                </w:tcPr>
                <w:p w14:paraId="71DF95B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169" w:type="pct"/>
                  <w:noWrap w:val="0"/>
                  <w:vAlign w:val="center"/>
                </w:tcPr>
                <w:p w14:paraId="26A4A34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小时平均浓度限值（mg/m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c>
            </w:tr>
            <w:tr w14:paraId="2F96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pct"/>
                  <w:noWrap w:val="0"/>
                  <w:vAlign w:val="center"/>
                </w:tcPr>
                <w:p w14:paraId="6039B2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施工扬尘（即总悬浮颗粒物TSP）</w:t>
                  </w:r>
                </w:p>
              </w:tc>
              <w:tc>
                <w:tcPr>
                  <w:tcW w:w="1468" w:type="pct"/>
                  <w:noWrap w:val="0"/>
                  <w:vAlign w:val="center"/>
                </w:tcPr>
                <w:p w14:paraId="109338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169" w:type="pct"/>
                  <w:noWrap w:val="0"/>
                  <w:vAlign w:val="center"/>
                </w:tcPr>
                <w:p w14:paraId="4FF0DD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w:t>
                  </w:r>
                </w:p>
              </w:tc>
            </w:tr>
            <w:tr w14:paraId="112D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noWrap w:val="0"/>
                  <w:vAlign w:val="center"/>
                </w:tcPr>
                <w:p w14:paraId="61135136">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说明：周界外浓度最高点一般应设置于无组织排放源下风向的单位周界外10m范围内，若预计无组织排放的最大落地浓度点超出10m范围，可将监控点移至该预计浓度最高点附近。</w:t>
                  </w:r>
                </w:p>
              </w:tc>
            </w:tr>
          </w:tbl>
          <w:p w14:paraId="6B5AB5EA">
            <w:pPr>
              <w:spacing w:line="360" w:lineRule="auto"/>
              <w:ind w:firstLine="480" w:firstLineChars="200"/>
              <w:jc w:val="both"/>
              <w:rPr>
                <w:rFonts w:hint="default" w:ascii="Times New Roman" w:hAnsi="Times New Roman" w:cs="Times New Roman"/>
                <w:color w:val="auto"/>
                <w:sz w:val="24"/>
                <w:szCs w:val="24"/>
                <w:lang w:val="en-US"/>
              </w:rPr>
            </w:pPr>
            <w:r>
              <w:rPr>
                <w:rFonts w:hint="default" w:ascii="Times New Roman" w:hAnsi="Times New Roman" w:cs="Times New Roman"/>
                <w:color w:val="auto"/>
                <w:sz w:val="24"/>
              </w:rPr>
              <w:t>②</w:t>
            </w:r>
            <w:r>
              <w:rPr>
                <w:rFonts w:hint="default" w:ascii="Times New Roman" w:hAnsi="Times New Roman" w:cs="Times New Roman"/>
                <w:color w:val="auto"/>
                <w:sz w:val="24"/>
                <w:szCs w:val="24"/>
                <w:lang w:val="en-US" w:eastAsia="zh-CN"/>
              </w:rPr>
              <w:t>试气阶段无组织逸散的非甲烷总烃执行《陆上石油天然气开采工业大气污染物排放标准》（GB 39728-2020）中无组织排放监控浓度限值标准，具体限值见表3-</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w:t>
            </w:r>
          </w:p>
          <w:p w14:paraId="55DD2AA6">
            <w:pPr>
              <w:pStyle w:val="10"/>
              <w:keepNext w:val="0"/>
              <w:keepLines w:val="0"/>
              <w:pageBreakBefore w:val="0"/>
              <w:widowControl w:val="0"/>
              <w:kinsoku/>
              <w:wordWrap/>
              <w:overflowPunct/>
              <w:topLinePunct w:val="0"/>
              <w:autoSpaceDE/>
              <w:autoSpaceDN/>
              <w:bidi w:val="0"/>
              <w:adjustRightInd/>
              <w:snapToGrid/>
              <w:spacing w:before="79" w:beforeLines="25"/>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lang w:eastAsia="zh-CN"/>
              </w:rPr>
              <w:t xml:space="preserve"> 《陆上石油天然气开采工业大气污染物排放标准》（GB 39728-2020）中无组织非甲烷总烃浓度限值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318"/>
              <w:gridCol w:w="4319"/>
            </w:tblGrid>
            <w:tr w14:paraId="7CD3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4A4BF33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2500" w:type="pct"/>
                  <w:vAlign w:val="center"/>
                </w:tcPr>
                <w:p w14:paraId="579E1FE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无组织排放监控浓度限值</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r>
            <w:tr w14:paraId="12E8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2500" w:type="pct"/>
                  <w:vAlign w:val="center"/>
                </w:tcPr>
                <w:p w14:paraId="739617BC">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非甲烷总烃</w:t>
                  </w:r>
                </w:p>
              </w:tc>
              <w:tc>
                <w:tcPr>
                  <w:tcW w:w="2500" w:type="pct"/>
                  <w:vAlign w:val="center"/>
                </w:tcPr>
                <w:p w14:paraId="263A31B3">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r>
          </w:tbl>
          <w:p w14:paraId="7FAEF81A">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（2）项目废水不外排。</w:t>
            </w:r>
          </w:p>
          <w:p w14:paraId="4C3F4ECD">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（3）施工噪声执行《建筑施工场界环境噪声排放标准》（GB12523-2011）标准，具体施工期噪声执行标准见表3-</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0</w:t>
            </w:r>
            <w:r>
              <w:rPr>
                <w:rFonts w:hint="default" w:ascii="Times New Roman" w:hAnsi="Times New Roman" w:cs="Times New Roman"/>
                <w:color w:val="auto"/>
                <w:sz w:val="24"/>
              </w:rPr>
              <w:t>。</w:t>
            </w:r>
          </w:p>
          <w:p w14:paraId="22931DA5">
            <w:pPr>
              <w:widowControl/>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0</w:t>
            </w:r>
            <w:r>
              <w:rPr>
                <w:rFonts w:hint="default" w:ascii="Times New Roman" w:hAnsi="Times New Roman" w:cs="Times New Roman"/>
                <w:b/>
                <w:bCs/>
                <w:color w:val="auto"/>
                <w:sz w:val="21"/>
                <w:szCs w:val="21"/>
              </w:rPr>
              <w:t xml:space="preserve">  《建筑施工场界环境噪声排放标准》  （GB12523-2011）</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4"/>
              <w:gridCol w:w="4503"/>
            </w:tblGrid>
            <w:tr w14:paraId="52B06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0E5B373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607" w:type="pct"/>
                  <w:noWrap w:val="0"/>
                  <w:vAlign w:val="center"/>
                </w:tcPr>
                <w:p w14:paraId="34269FC9">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C15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3" w:type="pct"/>
                  <w:noWrap w:val="0"/>
                  <w:vAlign w:val="center"/>
                </w:tcPr>
                <w:p w14:paraId="2C3E67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70dB（A）</w:t>
                  </w:r>
                </w:p>
              </w:tc>
              <w:tc>
                <w:tcPr>
                  <w:tcW w:w="2607" w:type="pct"/>
                  <w:noWrap w:val="0"/>
                  <w:vAlign w:val="center"/>
                </w:tcPr>
                <w:p w14:paraId="6759E6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55dB（A）</w:t>
                  </w:r>
                </w:p>
              </w:tc>
            </w:tr>
          </w:tbl>
          <w:p w14:paraId="4D2F72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rPr>
              <w:t>（4）固体废物执行《一般工业固体废物贮存和填埋污染控制标准》（GB18599-2020）有关要求；生活垃圾排放执行《生活垃圾填埋场污染控制标准》（GB16889-2008）中的相关规定；《危险废物贮存污染控制标准》（GB18597-2023）标准要求和《危险废物识别标志设置技术规范》（HJ1276—2022）。</w:t>
            </w:r>
          </w:p>
        </w:tc>
      </w:tr>
      <w:tr w14:paraId="7B97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5" w:type="dxa"/>
            <w:vAlign w:val="center"/>
          </w:tcPr>
          <w:p w14:paraId="4C2E844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483" w:type="dxa"/>
            <w:vAlign w:val="center"/>
          </w:tcPr>
          <w:p w14:paraId="0422418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4"/>
                <w:szCs w:val="24"/>
                <w:vertAlign w:val="baseline"/>
                <w:lang w:val="en-US" w:eastAsia="zh-CN"/>
              </w:rPr>
            </w:pPr>
          </w:p>
          <w:p w14:paraId="5F0F11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本项目为气探井项目，不涉及运营期，因此不需要申请总量控制指标。</w:t>
            </w:r>
          </w:p>
          <w:p w14:paraId="41A56732">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r>
    </w:tbl>
    <w:p w14:paraId="32683754">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7D1B0BA">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生态环境影响分析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
        <w:gridCol w:w="8957"/>
      </w:tblGrid>
      <w:tr w14:paraId="02B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center"/>
          </w:tcPr>
          <w:p w14:paraId="22982CD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施工期生态环境影响分析</w:t>
            </w:r>
          </w:p>
        </w:tc>
        <w:tc>
          <w:tcPr>
            <w:tcW w:w="8520" w:type="dxa"/>
            <w:vAlign w:val="top"/>
          </w:tcPr>
          <w:p w14:paraId="21186A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一、施工期生态影响</w:t>
            </w:r>
          </w:p>
          <w:p w14:paraId="7BB9F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本项目钻前工程施工时对场地进行平整、开挖、施工车辆碾压等活动会对活动范围内的土壤质地和性质以及地表植被造成影响，从而造成一定量的水土流失，随着施工的结束，影响也随之消失。</w:t>
            </w:r>
          </w:p>
          <w:p w14:paraId="1432A5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井场附近以</w:t>
            </w:r>
            <w:r>
              <w:rPr>
                <w:rFonts w:hint="eastAsia" w:ascii="Times New Roman" w:hAnsi="Times New Roman" w:eastAsia="宋体" w:cs="Times New Roman"/>
                <w:b w:val="0"/>
                <w:bCs w:val="0"/>
                <w:color w:val="auto"/>
                <w:sz w:val="24"/>
                <w:szCs w:val="24"/>
                <w:highlight w:val="none"/>
                <w:vertAlign w:val="baseline"/>
                <w:lang w:val="en-US" w:eastAsia="zh-CN"/>
              </w:rPr>
              <w:t>耕地、</w:t>
            </w:r>
            <w:r>
              <w:rPr>
                <w:rFonts w:hint="default" w:ascii="Times New Roman" w:hAnsi="Times New Roman" w:eastAsia="宋体" w:cs="Times New Roman"/>
                <w:b w:val="0"/>
                <w:bCs w:val="0"/>
                <w:color w:val="auto"/>
                <w:sz w:val="24"/>
                <w:szCs w:val="24"/>
                <w:highlight w:val="none"/>
                <w:vertAlign w:val="baseline"/>
                <w:lang w:val="en-US" w:eastAsia="zh-CN"/>
              </w:rPr>
              <w:t>林地</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草地、园地</w:t>
            </w:r>
            <w:r>
              <w:rPr>
                <w:rFonts w:hint="eastAsia" w:ascii="Times New Roman" w:hAnsi="Times New Roman" w:eastAsia="宋体" w:cs="Times New Roman"/>
                <w:b w:val="0"/>
                <w:bCs w:val="0"/>
                <w:color w:val="auto"/>
                <w:sz w:val="24"/>
                <w:szCs w:val="24"/>
                <w:highlight w:val="none"/>
                <w:vertAlign w:val="baseline"/>
                <w:lang w:val="en-US" w:eastAsia="zh-CN"/>
              </w:rPr>
              <w:t>和交通运输用地</w:t>
            </w:r>
            <w:r>
              <w:rPr>
                <w:rFonts w:hint="default" w:ascii="Times New Roman" w:hAnsi="Times New Roman" w:eastAsia="宋体" w:cs="Times New Roman"/>
                <w:b w:val="0"/>
                <w:bCs w:val="0"/>
                <w:color w:val="auto"/>
                <w:sz w:val="24"/>
                <w:szCs w:val="24"/>
                <w:highlight w:val="none"/>
                <w:vertAlign w:val="baseline"/>
                <w:lang w:val="en-US" w:eastAsia="zh-CN"/>
              </w:rPr>
              <w:t>为主，本项目工程占地改变了原有土地利用现状，土地利用功能也随之改变。项目临时占地结束后可对土地利用进行恢复，因此对周边生态环境影响不明显。项目施工期对生态环境的影响主要表现在以下几个方面：</w:t>
            </w:r>
          </w:p>
          <w:p w14:paraId="2AEB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1、土地利用现状的改变</w:t>
            </w:r>
          </w:p>
          <w:p w14:paraId="31F22C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本项目井场占地面积</w:t>
            </w:r>
            <w:r>
              <w:rPr>
                <w:rFonts w:hint="eastAsia" w:ascii="Times New Roman" w:hAnsi="Times New Roman" w:eastAsia="宋体" w:cs="Times New Roman"/>
                <w:b w:val="0"/>
                <w:bCs w:val="0"/>
                <w:color w:val="auto"/>
                <w:sz w:val="24"/>
                <w:szCs w:val="24"/>
                <w:highlight w:val="none"/>
                <w:vertAlign w:val="baseline"/>
                <w:lang w:val="en-US" w:eastAsia="zh-CN"/>
              </w:rPr>
              <w:t>53042</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vertAlign w:val="baseline"/>
                <w:lang w:val="en-US" w:eastAsia="zh-CN"/>
              </w:rPr>
              <w:t>全部</w:t>
            </w:r>
            <w:r>
              <w:rPr>
                <w:rFonts w:hint="default" w:ascii="Times New Roman" w:hAnsi="Times New Roman" w:eastAsia="宋体" w:cs="Times New Roman"/>
                <w:b w:val="0"/>
                <w:bCs w:val="0"/>
                <w:color w:val="auto"/>
                <w:sz w:val="24"/>
                <w:szCs w:val="24"/>
                <w:vertAlign w:val="baseline"/>
                <w:lang w:val="en-US" w:eastAsia="zh-CN"/>
              </w:rPr>
              <w:t>为临时用地，不涉及永久占地。项目建设对生态环境的影响主要表现为项目占地使土地功能发生改变；临时占地会在一定程度上改变土地利用方式，临时性的减小牧草地的面积。工程利用挖方回填，同时对土地按照相关要求进行堆放并采取覆盖等措施，尽可能的减小对当地土地资源的影响；临时占地只在短期内改变土地利用性质，钻井工程完成后，若本井不产气，则对本项目钻井期间施工区域进行植被恢复，若本井产气则进行集输工程，征地工作根据集输工程要求进行。</w:t>
            </w:r>
          </w:p>
          <w:p w14:paraId="79589C8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2、水土流失影响分析</w:t>
            </w:r>
          </w:p>
          <w:p w14:paraId="72818B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施工期将损坏施工区域范围原地貌，破坏原有植被，改变其水土保持状况，如遇大风或降雨天气将加剧水土流失。</w:t>
            </w:r>
          </w:p>
          <w:p w14:paraId="6EF651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井场开发建设造成的水土流失主要在施工期，造成水土流失的主要因素有：新建井场、道路、生活区以及钻井及开挖、回填过程中，开挖作业造成土壤结构破坏、微地形改变和植被破坏，使土壤抗蚀性和抗冲性明显降低；工程施工将产生弃土弃渣，弃渣若分散堆置在坡面，极易被水流冲刷，引起水土流失；道路经过陡峻山坡，由于开挖，坡度变陡，失去稳定平衡，为崩塌、滑坡制造了条件，极易引起重力侵蚀。</w:t>
            </w:r>
          </w:p>
          <w:p w14:paraId="232288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严格控制占地范围和施工范围，减少扰动面积；严格控制施工人员、车辆在规定的施工临时占地内活动、行驶，以减少对沿线植被的破坏，凡受到施工人员、车辆破坏的地方，施工结束后立即采取人工措施播撒草种，尽快降低土壤侵蚀，对裸露地表进行植被恢复，增强地表稳定性。</w:t>
            </w:r>
          </w:p>
          <w:p w14:paraId="775CB5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3、动物及植被影响分析</w:t>
            </w:r>
          </w:p>
          <w:p w14:paraId="003166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工程施工期对植被的影响主要为建设过程中的植被剥离、清理和占压，临时占地土方回填后，可以恢复原植被类型。对动物的影响主要为栖息地破坏引起的动物逃离、施工噪声对动物的干扰。</w:t>
            </w:r>
          </w:p>
          <w:p w14:paraId="613388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（1）对植被的影响</w:t>
            </w:r>
          </w:p>
          <w:p w14:paraId="23F7FB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期对植被的影响主要有占地范围内原有植物的剥离、清理及占压。在施工过程中，土壤开挖区范围内植物的地上部分与根系均被清除，施工区的植被由于挖掘土石的堆放、人员的践踏、施工车辆和机具的碾压而受到不同程度的破坏，会造成植被破坏甚至死亡。</w:t>
            </w:r>
          </w:p>
          <w:p w14:paraId="64F7C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工程填挖方均占压和清除一定数量的地表植物，使填挖区被生土覆盖或出露生土，植物恢复须经过较长时间。项目工期较短，建设完毕后即进行植被恢复，长期来看对植被的影响较小。</w:t>
            </w:r>
          </w:p>
          <w:p w14:paraId="559666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（2）对动物的影响</w:t>
            </w:r>
          </w:p>
          <w:p w14:paraId="27B26F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建设期对动物的影响，主要是运输、施工噪声和人为活动，迫使动物离开场站区域，大规模的建设活动，将使建设期内难以见到野生动物。但项目周边无自然保护区，无珍稀濒危动物，野生动物稀少，主要为鼠类和草兔等常见种。工程施工对野生动物的影响较小，随着施工结束这种影响亦结束。</w:t>
            </w:r>
          </w:p>
          <w:p w14:paraId="5EAE53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4、景观生态影响分析</w:t>
            </w:r>
          </w:p>
          <w:p w14:paraId="7B6C465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建设期主要是对原有景观的破坏，井场建设破坏其所在地及其附近的原有景观，形成片状人工景观。由于建设期工程占地均为临时占地，施工完采取生态恢复措施后，评价认为项目对评价区景观格局影响有限。</w:t>
            </w:r>
          </w:p>
          <w:p w14:paraId="6FE7C817">
            <w:pPr>
              <w:pStyle w:val="5"/>
              <w:keepNext w:val="0"/>
              <w:keepLines w:val="0"/>
              <w:pageBreakBefore w:val="0"/>
              <w:kinsoku/>
              <w:wordWrap/>
              <w:overflowPunct/>
              <w:topLinePunct w:val="0"/>
              <w:autoSpaceDE/>
              <w:autoSpaceDN/>
              <w:bidi w:val="0"/>
              <w:adjustRightInd/>
              <w:snapToGrid/>
              <w:spacing w:before="0"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b/>
                <w:bCs/>
                <w:color w:val="auto"/>
                <w:sz w:val="24"/>
                <w:szCs w:val="24"/>
                <w:vertAlign w:val="baseline"/>
                <w:lang w:val="en-US" w:eastAsia="zh-CN"/>
              </w:rPr>
              <w:t>5、对土壤沙化影响分析</w:t>
            </w:r>
          </w:p>
          <w:p w14:paraId="45FCF5F6">
            <w:pPr>
              <w:pStyle w:val="2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防沙治沙规划（2021-2030年）》，佳县属于黄土（丘陵）覆沙治理区，不涉及沙化土地封禁保护区及沙地。由于施工中土体被剥离、扰动土壤以及破坏地表植物，可能会导致土地沙化。根据现场踏勘，本项目所处区域土地未完全沙化，生态功能较好，且通过采取分段施工、控制施工作业带、及时对植被进行恢复，并加强管理，避免施工乱砍滥发植物资源、避免机械随意行驶等措施，防止因本项目建设导致土地沙化。</w:t>
            </w:r>
          </w:p>
          <w:p w14:paraId="221937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二、大气环境影响</w:t>
            </w:r>
          </w:p>
          <w:p w14:paraId="49FA90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本项目为天然气勘探工程，不涉及运营期，本次评价仅对勘探过程中对环境的影响进行分析，不包括天然气开采、外输管道建设的评价，如需进行天然气开采、外输管道建设，需另行开展环境影响评价。</w:t>
            </w:r>
          </w:p>
          <w:p w14:paraId="65BDA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施工期废气主要为施工扬尘、施工车辆和机械尾气以及测试放喷和事故放喷天然气燃烧废气。项目施工期施工扬尘、施工车辆和机械尾气产生废物污染物较小，施工期较短，加之当地扩散条件良好，经自然扩散后能达标排放，对周围环境影响较小。</w:t>
            </w:r>
          </w:p>
          <w:p w14:paraId="3002DC0F">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施工扬尘</w:t>
            </w:r>
          </w:p>
          <w:p w14:paraId="504F4B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施工扬尘主要来自场地平整与土方开挖、物料堆放及运输车辆行驶道路扬尘。场地整平过程扬尘的起尘量与许多因素有关，挖土机等在工作时的起尘量与挖坑深度、挖土机抓斗与地面的相对高度、风速、土壤的颗粒度、土壤含水量等有关。在不采取任何防治措施的情况下，不同的风速和稳定度下，挖土的扬尘对环境的浓度贡献都较大。</w:t>
            </w:r>
          </w:p>
          <w:p w14:paraId="14115F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工程施工阶段土地平整、开挖、回填土方会形成大面积裸露地面，使各种沉降在地表上的气溶胶粒子等成为扬尘的天然来源。在施工过程中，如果管理措施不够完善，粗放式施工，工地料堆遮挡不够完善、严密，不能及时清理，在不利气候如大风（风速≥5m/s）条件下，这些颗粒物就会从地表进入空气中。在不利天气条件下，施工扬尘可在150m范围内超过</w:t>
            </w:r>
            <w:r>
              <w:rPr>
                <w:rFonts w:hint="default" w:ascii="Times New Roman" w:hAnsi="Times New Roman" w:cs="Times New Roman"/>
                <w:color w:val="auto"/>
                <w:sz w:val="24"/>
              </w:rPr>
              <w:t>《施工场界扬尘排放限值》（DB61/1078-2017）标准</w:t>
            </w:r>
            <w:r>
              <w:rPr>
                <w:rFonts w:hint="default" w:ascii="Times New Roman" w:hAnsi="Times New Roman" w:eastAsia="宋体" w:cs="Times New Roman"/>
                <w:b w:val="0"/>
                <w:bCs w:val="0"/>
                <w:color w:val="auto"/>
                <w:sz w:val="24"/>
                <w:szCs w:val="24"/>
                <w:vertAlign w:val="baseline"/>
                <w:lang w:val="en-US" w:eastAsia="zh-CN"/>
              </w:rPr>
              <w:t>，对大气环境可造成不利影响，150m范围外一般不会有大的影响</w:t>
            </w:r>
            <w:r>
              <w:rPr>
                <w:rFonts w:hint="eastAsia" w:ascii="Times New Roman" w:hAnsi="Times New Roman" w:eastAsia="宋体" w:cs="Times New Roman"/>
                <w:b w:val="0"/>
                <w:bCs w:val="0"/>
                <w:color w:val="auto"/>
                <w:sz w:val="24"/>
                <w:szCs w:val="24"/>
                <w:vertAlign w:val="baseline"/>
                <w:lang w:val="en-US" w:eastAsia="zh-CN"/>
              </w:rPr>
              <w:t>。各</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150m范围内无</w:t>
            </w:r>
            <w:r>
              <w:rPr>
                <w:rFonts w:hint="default" w:ascii="Times New Roman" w:hAnsi="Times New Roman" w:eastAsia="宋体" w:cs="Times New Roman"/>
                <w:b w:val="0"/>
                <w:bCs w:val="0"/>
                <w:color w:val="auto"/>
                <w:sz w:val="24"/>
                <w:szCs w:val="24"/>
                <w:vertAlign w:val="baseline"/>
                <w:lang w:val="en-US" w:eastAsia="zh-CN"/>
              </w:rPr>
              <w:t>敏感保护目标，因此，井场施工扬尘对周边主要敏感目标影响较小。</w:t>
            </w:r>
          </w:p>
          <w:p w14:paraId="0CFB66C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2、机械废气</w:t>
            </w:r>
          </w:p>
          <w:p w14:paraId="053C1787">
            <w:pPr>
              <w:pStyle w:val="26"/>
              <w:bidi w:val="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机械废气包括施工机械废气和运输车辆废气，</w:t>
            </w:r>
            <w:r>
              <w:rPr>
                <w:rFonts w:hint="eastAsia" w:ascii="Times New Roman" w:hAnsi="Times New Roman" w:cs="Times New Roman"/>
                <w:color w:val="auto"/>
                <w:lang w:val="en-US" w:eastAsia="zh-CN"/>
              </w:rPr>
              <w:t>本项目各类施工机械均使用电驱动，不会产生废气。</w:t>
            </w:r>
          </w:p>
          <w:p w14:paraId="770FBA54">
            <w:pPr>
              <w:pStyle w:val="26"/>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本项目运输车辆使用低硫燃料（含硫量低于10ppm），定期对车辆维修保养，减少废气的排放量。由于本项目施工期较短，运输车辆产生的废气量较少，项目周边扩散条件较好，对周边环境影响较小。</w:t>
            </w:r>
          </w:p>
          <w:p w14:paraId="251D34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3、测试放喷天然气燃烧废气</w:t>
            </w:r>
          </w:p>
          <w:p w14:paraId="2B7CED3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为了准确了解和进一步核定气井的产气量，在完井后，通常需进行测试放喷，单井测试时间约1-2天，依据测试气量间歇放喷，每次持续时间约4～6h，属短时间歇排放，测试的天然气经专用管线引至</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进行点火放喷，废气产生量较小。类比周围探井的天然气组分，天然气中不含H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w:t>
            </w:r>
            <w:r>
              <w:rPr>
                <w:rFonts w:hint="eastAsia" w:ascii="Times New Roman" w:hAnsi="Times New Roman" w:cs="Times New Roman"/>
                <w:color w:val="auto"/>
                <w:lang w:val="en-US" w:eastAsia="zh-CN"/>
              </w:rPr>
              <w:t>、</w:t>
            </w:r>
            <w:r>
              <w:rPr>
                <w:rFonts w:hint="eastAsia" w:ascii="Times New Roman" w:hAnsi="Times New Roman" w:cs="Times New Roman"/>
                <w:color w:val="auto"/>
                <w:lang w:val="en-US" w:eastAsia="zh-CN"/>
              </w:rPr>
              <w:t>SO</w:t>
            </w:r>
            <w:r>
              <w:rPr>
                <w:rFonts w:hint="eastAsia"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，故排放的气体主要含颗粒物、H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O、CO</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、NOx以及未完全燃烧的少量非甲烷总烃。</w:t>
            </w:r>
          </w:p>
          <w:p w14:paraId="0319326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根据相关设计资料，钻井试压作业中约</w:t>
            </w:r>
            <w:r>
              <w:rPr>
                <w:rFonts w:hint="default" w:ascii="Times New Roman" w:hAnsi="Times New Roman" w:cs="Times New Roman"/>
                <w:color w:val="auto"/>
                <w:lang w:val="en-US" w:eastAsia="zh-CN"/>
              </w:rPr>
              <w:t>有1×10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的天然气通过井场</w:t>
            </w:r>
            <w:r>
              <w:rPr>
                <w:rFonts w:hint="eastAsia" w:ascii="Times New Roman" w:hAnsi="Times New Roman" w:cs="Times New Roman"/>
                <w:color w:val="auto"/>
                <w:lang w:val="en-US" w:eastAsia="zh-CN"/>
              </w:rPr>
              <w:t>放喷池内</w:t>
            </w:r>
            <w:r>
              <w:rPr>
                <w:rFonts w:hint="default" w:ascii="Times New Roman" w:hAnsi="Times New Roman" w:cs="Times New Roman"/>
                <w:color w:val="auto"/>
                <w:lang w:val="en-US" w:eastAsia="zh-CN"/>
              </w:rPr>
              <w:t>燃烧排放，废气中的主要污染物为颗粒物和NOx，以及未完全燃烧的少量非甲烷总烃。参照《排放源统计调查产排污核算方法和系数手册》（生态环境部办公厅2021年6月11日印发）中“4430 工业锅炉（热力生产和供应行业）产污系数表-燃气工业锅炉”的排放系数进行源强估算，颗粒物排放系数为1.039kg/万m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天然气，NOx排放系数为18.71kg/万m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天然气，经计算，烟尘排放量为1.039kg，NOx 排放量为18.71kg。排放废气中非甲烷总烃为不完全燃烧产生，其排放量非常少不再进行定量计算。</w:t>
            </w:r>
            <w:r>
              <w:rPr>
                <w:rFonts w:hint="eastAsia" w:ascii="Times New Roman" w:hAnsi="Times New Roman" w:cs="Times New Roman"/>
                <w:color w:val="auto"/>
                <w:lang w:val="en-US" w:eastAsia="zh-CN"/>
              </w:rPr>
              <w:t>由于本项目属于新层位勘探，因此暂无天然气成分表，无法确定天然气中硫含量，因此环评要求项目钻探期间发现天然气后立即进行成分分析并且对井场H</w:t>
            </w:r>
            <w:r>
              <w:rPr>
                <w:rFonts w:hint="eastAsia" w:ascii="Times New Roman" w:hAnsi="Times New Roman" w:cs="Times New Roman"/>
                <w:color w:val="auto"/>
                <w:vertAlign w:val="subscript"/>
                <w:lang w:val="en-US" w:eastAsia="zh-CN"/>
              </w:rPr>
              <w:t>2</w:t>
            </w:r>
            <w:r>
              <w:rPr>
                <w:rFonts w:hint="eastAsia" w:ascii="Times New Roman" w:hAnsi="Times New Roman" w:cs="Times New Roman"/>
                <w:color w:val="auto"/>
                <w:lang w:val="en-US" w:eastAsia="zh-CN"/>
              </w:rPr>
              <w:t>S含量进行监测，避免对钻井人员身体健康造成危害。</w:t>
            </w:r>
          </w:p>
          <w:p w14:paraId="43738C78">
            <w:pPr>
              <w:pStyle w:val="26"/>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选址位于距离井口100m外的厂地上，</w:t>
            </w:r>
            <w:r>
              <w:rPr>
                <w:rFonts w:hint="default" w:ascii="Times New Roman" w:hAnsi="Times New Roman" w:cs="Times New Roman"/>
                <w:color w:val="auto"/>
                <w:lang w:val="en-US" w:eastAsia="zh-CN"/>
              </w:rPr>
              <w:t>项目放喷池内壁由防火砖砌成，外侧设有钢筋水泥墙及钢板，周边50m范围植被以草地为主，无高大林木，地势空旷便于废气扩散，且放喷池位于当地常年风向的</w:t>
            </w:r>
            <w:r>
              <w:rPr>
                <w:rFonts w:hint="eastAsia" w:ascii="Times New Roman" w:hAnsi="Times New Roman" w:cs="Times New Roman"/>
                <w:color w:val="auto"/>
                <w:lang w:val="en-US" w:eastAsia="zh-CN"/>
              </w:rPr>
              <w:t>下</w:t>
            </w:r>
            <w:r>
              <w:rPr>
                <w:rFonts w:hint="default" w:ascii="Times New Roman" w:hAnsi="Times New Roman" w:cs="Times New Roman"/>
                <w:color w:val="auto"/>
                <w:lang w:val="en-US" w:eastAsia="zh-CN"/>
              </w:rPr>
              <w:t>风向处。</w:t>
            </w:r>
          </w:p>
          <w:p w14:paraId="4544BF5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虽然产生的废气对环境影响微小，但为了最大程度降低测试放喷废气对环境的影响，测试放喷时，要选择合适的时间，在天气晴朗，且风较大的天气进行，便于废气扩散；加之测试放喷时间短，对大气环境的影响较短，测试完毕，影响很快消除，因此对环境影响较小。</w:t>
            </w:r>
          </w:p>
          <w:p w14:paraId="2019E5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、事故放喷天然气燃烧废气</w:t>
            </w:r>
          </w:p>
          <w:p w14:paraId="346310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事故放喷是由于地层高压异常导致的，在石油天然气行业是低概率事件。事故放喷时间持续较短，且通过专用的放喷管线将天然气引至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B6264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5</w:t>
            </w:r>
            <w:r>
              <w:rPr>
                <w:rFonts w:hint="default" w:ascii="Times New Roman" w:hAnsi="Times New Roman" w:eastAsia="宋体" w:cs="Times New Roman"/>
                <w:b/>
                <w:bCs/>
                <w:color w:val="auto"/>
                <w:sz w:val="24"/>
                <w:szCs w:val="24"/>
                <w:vertAlign w:val="baseline"/>
                <w:lang w:val="en-US" w:eastAsia="zh-CN"/>
              </w:rPr>
              <w:t>、临时道路扬尘</w:t>
            </w:r>
          </w:p>
          <w:p w14:paraId="24249A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项目组出入井场时，在临时道路行驶，应控制车速，以减少道路扬尘污染，临时道路两侧应根据情况设置排水渠，减少水土流失，施工结束后，根据需求，对临时道路进行生态恢复。</w:t>
            </w:r>
          </w:p>
          <w:p w14:paraId="419AFC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综上所述，工程废气对周边大气环境和环境保护目标的影响可接受。</w:t>
            </w:r>
          </w:p>
          <w:p w14:paraId="50BD5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三、地表水环境影响</w:t>
            </w:r>
          </w:p>
          <w:p w14:paraId="08572B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项目用水主要为施工人员的生活用水和钻井生产用水，生产用水由水罐车运送，生活用水采用桶装水；废水主要为施工废水、钻井废水、洗井废水、</w:t>
            </w:r>
            <w:r>
              <w:rPr>
                <w:rFonts w:hint="eastAsia" w:ascii="Times New Roman" w:hAnsi="Times New Roman" w:eastAsia="宋体" w:cs="Times New Roman"/>
                <w:b w:val="0"/>
                <w:bCs w:val="0"/>
                <w:color w:val="auto"/>
                <w:sz w:val="24"/>
                <w:szCs w:val="24"/>
                <w:vertAlign w:val="baseline"/>
                <w:lang w:val="en-US" w:eastAsia="zh-CN"/>
              </w:rPr>
              <w:t>压裂</w:t>
            </w:r>
            <w:r>
              <w:rPr>
                <w:rFonts w:hint="default" w:ascii="Times New Roman" w:hAnsi="Times New Roman" w:eastAsia="宋体" w:cs="Times New Roman"/>
                <w:b w:val="0"/>
                <w:bCs w:val="0"/>
                <w:color w:val="auto"/>
                <w:sz w:val="24"/>
                <w:szCs w:val="24"/>
                <w:vertAlign w:val="baseline"/>
                <w:lang w:val="en-US" w:eastAsia="zh-CN"/>
              </w:rPr>
              <w:t>返排液以及生活污水。</w:t>
            </w:r>
          </w:p>
          <w:p w14:paraId="29FA02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（1）钻井废水</w:t>
            </w:r>
          </w:p>
          <w:p w14:paraId="3018074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项目通过对中国石油天然气股份有限公司长庆油田分公司已勘探的天然气井资料调查，每钻进1m平均产生钻井废水0.2m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eastAsia" w:ascii="Times New Roman" w:hAnsi="Times New Roman" w:cs="Times New Roman"/>
                <w:color w:val="auto"/>
                <w:lang w:val="en-US" w:eastAsia="zh-CN"/>
              </w:rPr>
              <w:t>单口井钻进结束后钻井废水用于下一口井钻井液配置，</w:t>
            </w:r>
            <w:r>
              <w:rPr>
                <w:rFonts w:hint="eastAsia" w:ascii="Times New Roman" w:hAnsi="Times New Roman" w:cs="Times New Roman"/>
                <w:color w:val="auto"/>
                <w:vertAlign w:val="baseline"/>
                <w:lang w:val="en-US" w:eastAsia="zh-CN"/>
              </w:rPr>
              <w:t>则项目钻井废水产生量共为1663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钻井结束后，不能回用的钻井废水委托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外运处置。</w:t>
            </w:r>
          </w:p>
          <w:p w14:paraId="64DEFCC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表4-1   钻井废水水质指标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950"/>
              <w:gridCol w:w="1175"/>
              <w:gridCol w:w="1172"/>
              <w:gridCol w:w="1357"/>
              <w:gridCol w:w="1581"/>
              <w:gridCol w:w="1247"/>
            </w:tblGrid>
            <w:tr w14:paraId="3D05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14:paraId="598044E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废液类型</w:t>
                  </w:r>
                </w:p>
              </w:tc>
              <w:tc>
                <w:tcPr>
                  <w:tcW w:w="544" w:type="pct"/>
                  <w:vAlign w:val="center"/>
                </w:tcPr>
                <w:p w14:paraId="618F179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pH</w:t>
                  </w:r>
                </w:p>
              </w:tc>
              <w:tc>
                <w:tcPr>
                  <w:tcW w:w="673" w:type="pct"/>
                  <w:vAlign w:val="center"/>
                </w:tcPr>
                <w:p w14:paraId="1EE92E41">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悬浮物（mg/L）</w:t>
                  </w:r>
                </w:p>
              </w:tc>
              <w:tc>
                <w:tcPr>
                  <w:tcW w:w="671" w:type="pct"/>
                  <w:vAlign w:val="center"/>
                </w:tcPr>
                <w:p w14:paraId="6328A74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石油类（mg/L）</w:t>
                  </w:r>
                </w:p>
              </w:tc>
              <w:tc>
                <w:tcPr>
                  <w:tcW w:w="777" w:type="pct"/>
                  <w:vAlign w:val="center"/>
                </w:tcPr>
                <w:p w14:paraId="57AEFC42">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COD（mg/L）</w:t>
                  </w:r>
                </w:p>
              </w:tc>
              <w:tc>
                <w:tcPr>
                  <w:tcW w:w="905" w:type="pct"/>
                  <w:vAlign w:val="center"/>
                </w:tcPr>
                <w:p w14:paraId="042C0F5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氯化物（mg/L）</w:t>
                  </w:r>
                </w:p>
              </w:tc>
              <w:tc>
                <w:tcPr>
                  <w:tcW w:w="714" w:type="pct"/>
                  <w:vAlign w:val="center"/>
                </w:tcPr>
                <w:p w14:paraId="59E5796C">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溶解性总固体（mg/L）</w:t>
                  </w:r>
                </w:p>
              </w:tc>
            </w:tr>
            <w:tr w14:paraId="5C09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pct"/>
                  <w:vAlign w:val="center"/>
                </w:tcPr>
                <w:p w14:paraId="45289085">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钻井废水</w:t>
                  </w:r>
                </w:p>
              </w:tc>
              <w:tc>
                <w:tcPr>
                  <w:tcW w:w="544" w:type="pct"/>
                  <w:vAlign w:val="center"/>
                </w:tcPr>
                <w:p w14:paraId="4D77CC8F">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7-8</w:t>
                  </w:r>
                </w:p>
              </w:tc>
              <w:tc>
                <w:tcPr>
                  <w:tcW w:w="673" w:type="pct"/>
                  <w:vAlign w:val="center"/>
                </w:tcPr>
                <w:p w14:paraId="4B780C10">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r>
                    <w:rPr>
                      <w:rFonts w:hint="default" w:ascii="Times New Roman" w:hAnsi="Times New Roman" w:cs="Times New Roman"/>
                      <w:color w:val="auto"/>
                      <w:vertAlign w:val="baseline"/>
                      <w:lang w:val="en-US" w:eastAsia="zh-CN"/>
                    </w:rPr>
                    <w:t>500</w:t>
                  </w:r>
                </w:p>
              </w:tc>
              <w:tc>
                <w:tcPr>
                  <w:tcW w:w="671" w:type="pct"/>
                  <w:vAlign w:val="center"/>
                </w:tcPr>
                <w:p w14:paraId="5D1CD1B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≦20</w:t>
                  </w:r>
                </w:p>
              </w:tc>
              <w:tc>
                <w:tcPr>
                  <w:tcW w:w="777" w:type="pct"/>
                  <w:vAlign w:val="center"/>
                </w:tcPr>
                <w:p w14:paraId="16186534">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≦3000</w:t>
                  </w:r>
                </w:p>
              </w:tc>
              <w:tc>
                <w:tcPr>
                  <w:tcW w:w="905" w:type="pct"/>
                  <w:vAlign w:val="center"/>
                </w:tcPr>
                <w:p w14:paraId="7FB8FE9D">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≦800</w:t>
                  </w:r>
                </w:p>
              </w:tc>
              <w:tc>
                <w:tcPr>
                  <w:tcW w:w="714" w:type="pct"/>
                  <w:vAlign w:val="center"/>
                </w:tcPr>
                <w:p w14:paraId="49EEB39B">
                  <w:pPr>
                    <w:pStyle w:val="2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≦4000</w:t>
                  </w:r>
                </w:p>
              </w:tc>
            </w:tr>
          </w:tbl>
          <w:p w14:paraId="4A24D2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钻井废水除含有以上污染物外，另含有挥发酚等，矿化度较高。</w:t>
            </w:r>
          </w:p>
          <w:p w14:paraId="04E2D19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非正常状况下，应立即停止钻井减少钻井泥浆产生量，将钻井泥浆暂存至洗井废水罐，确保钻井废水在井场内不落地、不外排。因此，钻井废水不会对地表水体产生影响。</w:t>
            </w:r>
          </w:p>
          <w:p w14:paraId="5E1640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（2）洗井废水</w:t>
            </w:r>
          </w:p>
          <w:p w14:paraId="230D32CC">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本项目施工期较短，洗井废水属于水基矿物质悬浊液，主要由清水、氯化钾、重晶石、碳酸钠、膨润土、盐、石灰、石膏、腐殖酸等多种物质组成，回返地面时携带大量来自地下的泥土、矿物等</w:t>
            </w:r>
            <w:r>
              <w:rPr>
                <w:rFonts w:hint="eastAsia" w:ascii="Times New Roman" w:hAnsi="Times New Roman" w:cs="Times New Roman"/>
                <w:color w:val="auto"/>
                <w:lang w:val="en-US" w:eastAsia="zh-CN"/>
              </w:rPr>
              <w:t>。</w:t>
            </w:r>
          </w:p>
          <w:p w14:paraId="4B04833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w:t>
            </w:r>
            <w:r>
              <w:rPr>
                <w:rFonts w:hint="eastAsia" w:ascii="Times New Roman" w:hAnsi="Times New Roman" w:cs="Times New Roman"/>
                <w:color w:val="auto"/>
                <w:lang w:val="en-US" w:eastAsia="zh-CN"/>
              </w:rPr>
              <w:t>前文水平衡分析</w:t>
            </w:r>
            <w:r>
              <w:rPr>
                <w:rFonts w:hint="default" w:ascii="Times New Roman" w:hAnsi="Times New Roman" w:cs="Times New Roman"/>
                <w:color w:val="auto"/>
                <w:lang w:val="en-US" w:eastAsia="zh-CN"/>
              </w:rPr>
              <w:t>，项目洗井废水产生量</w:t>
            </w:r>
            <w:r>
              <w:rPr>
                <w:rFonts w:hint="eastAsia" w:ascii="Times New Roman" w:hAnsi="Times New Roman" w:cs="Times New Roman"/>
                <w:color w:val="auto"/>
                <w:lang w:val="en-US" w:eastAsia="zh-CN"/>
              </w:rPr>
              <w:t>约</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135</w:t>
            </w:r>
            <w:r>
              <w:rPr>
                <w:rFonts w:hint="default" w:ascii="Times New Roman" w:hAnsi="Times New Roman" w:cs="Times New Roman"/>
                <w:color w:val="auto"/>
                <w:lang w:val="en-US" w:eastAsia="zh-CN"/>
              </w:rPr>
              <w:t>t</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每个井场均设置专用收集罐</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个（单个容积为75m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）。由专用收集罐临时收集贮存后委托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lang w:val="en-US" w:eastAsia="zh-CN"/>
              </w:rPr>
              <w:t>外运处理。洗井废水在井场内不落地、不外排</w:t>
            </w:r>
            <w:r>
              <w:rPr>
                <w:rFonts w:hint="eastAsia" w:ascii="Times New Roman" w:hAnsi="Times New Roman" w:cs="Times New Roman"/>
                <w:color w:val="auto"/>
                <w:lang w:val="en-US" w:eastAsia="zh-CN"/>
              </w:rPr>
              <w:t>。</w:t>
            </w:r>
          </w:p>
          <w:p w14:paraId="4ADB620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洗井废水主要污染物及浓度见下表。</w:t>
            </w:r>
          </w:p>
          <w:p w14:paraId="4BF2B04F">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2</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洗井</w:t>
            </w:r>
            <w:r>
              <w:rPr>
                <w:rFonts w:hint="default" w:ascii="Times New Roman" w:hAnsi="Times New Roman" w:cs="Times New Roman"/>
                <w:b/>
                <w:bCs/>
                <w:color w:val="auto"/>
                <w:lang w:val="en-US" w:eastAsia="zh-CN"/>
              </w:rPr>
              <w:t>废水水质指标</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1201"/>
              <w:gridCol w:w="1861"/>
              <w:gridCol w:w="1841"/>
              <w:gridCol w:w="1958"/>
            </w:tblGrid>
            <w:tr w14:paraId="56A4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4261EF0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688" w:type="pct"/>
                  <w:vAlign w:val="center"/>
                </w:tcPr>
                <w:p w14:paraId="60567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1066" w:type="pct"/>
                  <w:vAlign w:val="center"/>
                </w:tcPr>
                <w:p w14:paraId="54A1D4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168C238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054" w:type="pct"/>
                  <w:vAlign w:val="center"/>
                </w:tcPr>
                <w:p w14:paraId="5E523C7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石油类</w:t>
                  </w:r>
                </w:p>
                <w:p w14:paraId="4C50F51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1121" w:type="pct"/>
                  <w:vAlign w:val="center"/>
                </w:tcPr>
                <w:p w14:paraId="66B056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1DBD2D0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r>
            <w:tr w14:paraId="26D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pct"/>
                  <w:vAlign w:val="center"/>
                </w:tcPr>
                <w:p w14:paraId="3B05C7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洗井废水</w:t>
                  </w:r>
                </w:p>
              </w:tc>
              <w:tc>
                <w:tcPr>
                  <w:tcW w:w="688" w:type="pct"/>
                  <w:vAlign w:val="center"/>
                </w:tcPr>
                <w:p w14:paraId="23291E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7-8</w:t>
                  </w:r>
                </w:p>
              </w:tc>
              <w:tc>
                <w:tcPr>
                  <w:tcW w:w="1066" w:type="pct"/>
                  <w:vAlign w:val="center"/>
                </w:tcPr>
                <w:p w14:paraId="6DBB579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2</w:t>
                  </w:r>
                  <w:r>
                    <w:rPr>
                      <w:rFonts w:hint="default" w:ascii="Times New Roman" w:hAnsi="Times New Roman" w:eastAsia="宋体" w:cs="Times New Roman"/>
                      <w:b w:val="0"/>
                      <w:bCs w:val="0"/>
                      <w:color w:val="auto"/>
                      <w:sz w:val="21"/>
                      <w:szCs w:val="21"/>
                      <w:vertAlign w:val="baseline"/>
                      <w:lang w:val="en-US" w:eastAsia="zh-CN"/>
                    </w:rPr>
                    <w:t>500</w:t>
                  </w:r>
                </w:p>
              </w:tc>
              <w:tc>
                <w:tcPr>
                  <w:tcW w:w="1054" w:type="pct"/>
                  <w:vAlign w:val="center"/>
                </w:tcPr>
                <w:p w14:paraId="666F73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8</w:t>
                  </w:r>
                  <w:r>
                    <w:rPr>
                      <w:rFonts w:hint="default" w:ascii="Times New Roman" w:hAnsi="Times New Roman" w:eastAsia="宋体" w:cs="Times New Roman"/>
                      <w:b w:val="0"/>
                      <w:bCs w:val="0"/>
                      <w:color w:val="auto"/>
                      <w:sz w:val="21"/>
                      <w:szCs w:val="21"/>
                      <w:vertAlign w:val="baseline"/>
                      <w:lang w:val="en-US" w:eastAsia="zh-CN"/>
                    </w:rPr>
                    <w:t>0</w:t>
                  </w:r>
                </w:p>
              </w:tc>
              <w:tc>
                <w:tcPr>
                  <w:tcW w:w="1121" w:type="pct"/>
                  <w:vAlign w:val="center"/>
                </w:tcPr>
                <w:p w14:paraId="04F76C6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45</w:t>
                  </w:r>
                  <w:r>
                    <w:rPr>
                      <w:rFonts w:hint="default" w:ascii="Times New Roman" w:hAnsi="Times New Roman" w:eastAsia="宋体" w:cs="Times New Roman"/>
                      <w:b w:val="0"/>
                      <w:bCs w:val="0"/>
                      <w:color w:val="auto"/>
                      <w:sz w:val="21"/>
                      <w:szCs w:val="21"/>
                      <w:vertAlign w:val="baseline"/>
                      <w:lang w:val="en-US" w:eastAsia="zh-CN"/>
                    </w:rPr>
                    <w:t>00</w:t>
                  </w:r>
                </w:p>
              </w:tc>
            </w:tr>
          </w:tbl>
          <w:p w14:paraId="2B6200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（3）压裂返排液</w:t>
            </w:r>
          </w:p>
          <w:p w14:paraId="3D6B45D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根据勘探项目组多年勘探经验，每次注入压裂液量约</w:t>
            </w:r>
            <w:r>
              <w:rPr>
                <w:rFonts w:hint="eastAsia" w:ascii="Times New Roman" w:hAnsi="Times New Roman" w:cs="Times New Roman"/>
                <w:color w:val="auto"/>
                <w:lang w:val="en-US" w:eastAsia="zh-CN"/>
              </w:rPr>
              <w:t>150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（通过泵注入，每次注入时间约2-3h），共注入2次，</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注入压裂液总量约</w:t>
            </w:r>
            <w:r>
              <w:rPr>
                <w:rFonts w:hint="eastAsia" w:ascii="Times New Roman" w:hAnsi="Times New Roman" w:cs="Times New Roman"/>
                <w:color w:val="auto"/>
                <w:lang w:val="en-US" w:eastAsia="zh-CN"/>
              </w:rPr>
              <w:t>300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。受地层压力作用，压裂后会产生压裂返排液，返排时间约为6-10天，每天返排压裂废水量约15-25m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240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则共产生</w:t>
            </w:r>
            <w:r>
              <w:rPr>
                <w:rFonts w:hint="default" w:ascii="Times New Roman" w:hAnsi="Times New Roman" w:cs="Times New Roman"/>
                <w:color w:val="auto"/>
                <w:lang w:val="en-US" w:eastAsia="zh-CN"/>
              </w:rPr>
              <w:t>压裂废水产生量约为</w:t>
            </w:r>
            <w:r>
              <w:rPr>
                <w:rFonts w:hint="eastAsia" w:ascii="Times New Roman" w:hAnsi="Times New Roman" w:cs="Times New Roman"/>
                <w:color w:val="auto"/>
                <w:lang w:val="en-US" w:eastAsia="zh-CN"/>
              </w:rPr>
              <w:t>720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w:t>
            </w:r>
            <w:r>
              <w:rPr>
                <w:rFonts w:hint="default" w:ascii="Times New Roman" w:hAnsi="Times New Roman" w:cs="Times New Roman"/>
                <w:color w:val="auto"/>
                <w:lang w:val="en-US" w:eastAsia="zh-CN"/>
              </w:rPr>
              <w:t>其余压裂液在压裂过程中进入</w:t>
            </w:r>
            <w:r>
              <w:rPr>
                <w:rFonts w:hint="eastAsia" w:ascii="Times New Roman" w:hAnsi="Times New Roman" w:cs="Times New Roman"/>
                <w:color w:val="auto"/>
                <w:lang w:val="en-US" w:eastAsia="zh-CN"/>
              </w:rPr>
              <w:t>压裂</w:t>
            </w:r>
            <w:r>
              <w:rPr>
                <w:rFonts w:hint="default" w:ascii="Times New Roman" w:hAnsi="Times New Roman" w:cs="Times New Roman"/>
                <w:color w:val="auto"/>
                <w:lang w:val="en-US" w:eastAsia="zh-CN"/>
              </w:rPr>
              <w:t>层</w:t>
            </w:r>
            <w:r>
              <w:rPr>
                <w:rFonts w:hint="default" w:ascii="Times New Roman" w:hAnsi="Times New Roman" w:cs="Times New Roman"/>
                <w:color w:val="auto"/>
                <w:lang w:val="en-US" w:eastAsia="zh-CN"/>
              </w:rPr>
              <w:t>。</w:t>
            </w:r>
          </w:p>
          <w:p w14:paraId="744B949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根据榆林市生态环境局《关于印发榆林市油气开发压裂反排液处置管理规定的通知》（榆政环发</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2023</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71号）规定：油（气）井场要在压裂及其它井下作业前配备废水地上收集罐，对压裂返排液及其它废水进行统一收集；未配备废水收集罐的井场不得开展相关作业。</w:t>
            </w:r>
            <w:r>
              <w:rPr>
                <w:rFonts w:hint="default" w:ascii="Times New Roman" w:hAnsi="Times New Roman" w:cs="Times New Roman"/>
                <w:color w:val="auto"/>
                <w:lang w:val="en-US" w:eastAsia="zh-CN"/>
              </w:rPr>
              <w:t>本项目压裂返排液临时收集贮存于专用收集罐，委托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w:t>
            </w:r>
            <w:r>
              <w:rPr>
                <w:rFonts w:hint="default" w:ascii="Times New Roman" w:hAnsi="Times New Roman" w:cs="Times New Roman"/>
                <w:color w:val="auto"/>
                <w:sz w:val="24"/>
              </w:rPr>
              <w:t>防渗漏、防溢流的罐车</w:t>
            </w:r>
            <w:r>
              <w:rPr>
                <w:rFonts w:hint="default" w:ascii="Times New Roman" w:hAnsi="Times New Roman" w:cs="Times New Roman"/>
                <w:color w:val="auto"/>
                <w:sz w:val="24"/>
                <w:lang w:val="en-US" w:eastAsia="zh-CN"/>
              </w:rPr>
              <w:t>外运</w:t>
            </w:r>
            <w:r>
              <w:rPr>
                <w:rFonts w:hint="default" w:ascii="Times New Roman" w:hAnsi="Times New Roman" w:cs="Times New Roman"/>
                <w:color w:val="auto"/>
                <w:lang w:val="en-US" w:eastAsia="zh-CN"/>
              </w:rPr>
              <w:t>处置。符合《榆林市油气开采废弃物不落地集中处置推广项目建设管理指南（试行）》的管理规定。</w:t>
            </w:r>
          </w:p>
          <w:p w14:paraId="1DA671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依据《长庆油田2019年措施返排液处理站实施方案（第一批）》（西安长庆科技工程有限责任公司）对各采气厂运行过程中产生的各类措施返排液成分进行了实测分析，以作为措施返排液处理站设计进水水质指标，根据该普测统计数据，水质指标见下表。</w:t>
            </w:r>
          </w:p>
          <w:p w14:paraId="11261BC2">
            <w:pPr>
              <w:pStyle w:val="2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eastAsia" w:ascii="Times New Roman" w:hAnsi="Times New Roman" w:cs="Times New Roman"/>
                <w:b/>
                <w:bCs/>
                <w:color w:val="auto"/>
                <w:lang w:val="en-US" w:eastAsia="zh-CN"/>
              </w:rPr>
              <w:t>压裂返排液</w:t>
            </w:r>
            <w:r>
              <w:rPr>
                <w:rFonts w:hint="default" w:ascii="Times New Roman" w:hAnsi="Times New Roman" w:cs="Times New Roman"/>
                <w:b/>
                <w:bCs/>
                <w:color w:val="auto"/>
                <w:lang w:val="en-US" w:eastAsia="zh-CN"/>
              </w:rPr>
              <w:t>水质指标</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555"/>
              <w:gridCol w:w="1116"/>
              <w:gridCol w:w="1116"/>
              <w:gridCol w:w="1126"/>
              <w:gridCol w:w="1231"/>
              <w:gridCol w:w="1330"/>
              <w:gridCol w:w="1330"/>
            </w:tblGrid>
            <w:tr w14:paraId="083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7CBAD33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废液类型</w:t>
                  </w:r>
                </w:p>
              </w:tc>
              <w:tc>
                <w:tcPr>
                  <w:tcW w:w="379" w:type="pct"/>
                  <w:vAlign w:val="center"/>
                </w:tcPr>
                <w:p w14:paraId="403BF13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pH</w:t>
                  </w:r>
                </w:p>
              </w:tc>
              <w:tc>
                <w:tcPr>
                  <w:tcW w:w="589" w:type="pct"/>
                  <w:vAlign w:val="center"/>
                </w:tcPr>
                <w:p w14:paraId="6F110F3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悬浮物</w:t>
                  </w:r>
                </w:p>
                <w:p w14:paraId="64D387F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582" w:type="pct"/>
                  <w:vAlign w:val="center"/>
                </w:tcPr>
                <w:p w14:paraId="004127E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含油量</w:t>
                  </w:r>
                  <w:r>
                    <w:rPr>
                      <w:rFonts w:hint="default" w:ascii="Times New Roman" w:hAnsi="Times New Roman" w:eastAsia="宋体" w:cs="Times New Roman"/>
                      <w:b/>
                      <w:bCs/>
                      <w:color w:val="auto"/>
                      <w:sz w:val="21"/>
                      <w:szCs w:val="21"/>
                      <w:vertAlign w:val="baseline"/>
                      <w:lang w:val="en-US" w:eastAsia="zh-CN"/>
                    </w:rPr>
                    <w:t>（mg/L）</w:t>
                  </w:r>
                </w:p>
              </w:tc>
              <w:tc>
                <w:tcPr>
                  <w:tcW w:w="620" w:type="pct"/>
                  <w:vAlign w:val="center"/>
                </w:tcPr>
                <w:p w14:paraId="0FB8787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COD</w:t>
                  </w:r>
                </w:p>
                <w:p w14:paraId="68C8BEC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（mg/L）</w:t>
                  </w:r>
                </w:p>
              </w:tc>
              <w:tc>
                <w:tcPr>
                  <w:tcW w:w="591" w:type="pct"/>
                  <w:vAlign w:val="center"/>
                </w:tcPr>
                <w:p w14:paraId="4A9A87A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矿化度</w:t>
                  </w:r>
                  <w:r>
                    <w:rPr>
                      <w:rFonts w:hint="default" w:ascii="Times New Roman" w:hAnsi="Times New Roman" w:eastAsia="宋体" w:cs="Times New Roman"/>
                      <w:b/>
                      <w:bCs/>
                      <w:color w:val="auto"/>
                      <w:sz w:val="21"/>
                      <w:szCs w:val="21"/>
                      <w:vertAlign w:val="baseline"/>
                      <w:lang w:val="en-US" w:eastAsia="zh-CN"/>
                    </w:rPr>
                    <w:t>（mg/L）</w:t>
                  </w:r>
                </w:p>
              </w:tc>
              <w:tc>
                <w:tcPr>
                  <w:tcW w:w="823" w:type="pct"/>
                  <w:vAlign w:val="center"/>
                </w:tcPr>
                <w:p w14:paraId="203EB82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总硬度</w:t>
                  </w:r>
                  <w:r>
                    <w:rPr>
                      <w:rFonts w:hint="default" w:ascii="Times New Roman" w:hAnsi="Times New Roman" w:eastAsia="宋体" w:cs="Times New Roman"/>
                      <w:b/>
                      <w:bCs/>
                      <w:color w:val="auto"/>
                      <w:sz w:val="21"/>
                      <w:szCs w:val="21"/>
                      <w:vertAlign w:val="baseline"/>
                      <w:lang w:val="en-US" w:eastAsia="zh-CN"/>
                    </w:rPr>
                    <w:t>（mg/L）</w:t>
                  </w:r>
                </w:p>
              </w:tc>
              <w:tc>
                <w:tcPr>
                  <w:tcW w:w="823" w:type="pct"/>
                  <w:vAlign w:val="center"/>
                </w:tcPr>
                <w:p w14:paraId="14EB008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溶解</w:t>
                  </w:r>
                  <w:r>
                    <w:rPr>
                      <w:rFonts w:hint="eastAsia" w:ascii="Times New Roman" w:hAnsi="Times New Roman" w:eastAsia="宋体" w:cs="Times New Roman"/>
                      <w:b/>
                      <w:bCs/>
                      <w:color w:val="auto"/>
                      <w:sz w:val="21"/>
                      <w:szCs w:val="21"/>
                      <w:vertAlign w:val="baseline"/>
                      <w:lang w:val="en-US" w:eastAsia="zh-CN"/>
                    </w:rPr>
                    <w:t>氧</w:t>
                  </w:r>
                  <w:r>
                    <w:rPr>
                      <w:rFonts w:hint="default" w:ascii="Times New Roman" w:hAnsi="Times New Roman" w:eastAsia="宋体" w:cs="Times New Roman"/>
                      <w:b/>
                      <w:bCs/>
                      <w:color w:val="auto"/>
                      <w:sz w:val="21"/>
                      <w:szCs w:val="21"/>
                      <w:vertAlign w:val="baseline"/>
                      <w:lang w:val="en-US" w:eastAsia="zh-CN"/>
                    </w:rPr>
                    <w:t>（mg/L）</w:t>
                  </w:r>
                </w:p>
              </w:tc>
            </w:tr>
            <w:tr w14:paraId="515B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vAlign w:val="center"/>
                </w:tcPr>
                <w:p w14:paraId="3841EF1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压裂返排液</w:t>
                  </w:r>
                </w:p>
              </w:tc>
              <w:tc>
                <w:tcPr>
                  <w:tcW w:w="379" w:type="pct"/>
                  <w:vAlign w:val="center"/>
                </w:tcPr>
                <w:p w14:paraId="716FDFD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6-9</w:t>
                  </w:r>
                </w:p>
              </w:tc>
              <w:tc>
                <w:tcPr>
                  <w:tcW w:w="589" w:type="pct"/>
                  <w:vAlign w:val="center"/>
                </w:tcPr>
                <w:p w14:paraId="4434CA0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100-300</w:t>
                  </w:r>
                </w:p>
              </w:tc>
              <w:tc>
                <w:tcPr>
                  <w:tcW w:w="582" w:type="pct"/>
                  <w:vAlign w:val="center"/>
                </w:tcPr>
                <w:p w14:paraId="5B629E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20-50</w:t>
                  </w:r>
                </w:p>
              </w:tc>
              <w:tc>
                <w:tcPr>
                  <w:tcW w:w="620" w:type="pct"/>
                  <w:vAlign w:val="center"/>
                </w:tcPr>
                <w:p w14:paraId="593D944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3000</w:t>
                  </w:r>
                  <w:r>
                    <w:rPr>
                      <w:rFonts w:hint="eastAsia" w:ascii="Times New Roman" w:hAnsi="Times New Roman" w:eastAsia="宋体" w:cs="Times New Roman"/>
                      <w:b w:val="0"/>
                      <w:bCs w:val="0"/>
                      <w:color w:val="auto"/>
                      <w:sz w:val="21"/>
                      <w:szCs w:val="21"/>
                      <w:vertAlign w:val="baseline"/>
                      <w:lang w:val="en-US" w:eastAsia="zh-CN"/>
                    </w:rPr>
                    <w:t>-7000</w:t>
                  </w:r>
                </w:p>
              </w:tc>
              <w:tc>
                <w:tcPr>
                  <w:tcW w:w="591" w:type="pct"/>
                  <w:vAlign w:val="center"/>
                </w:tcPr>
                <w:p w14:paraId="7A4E2B4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5000-10000</w:t>
                  </w:r>
                </w:p>
              </w:tc>
              <w:tc>
                <w:tcPr>
                  <w:tcW w:w="823" w:type="pct"/>
                  <w:vAlign w:val="center"/>
                </w:tcPr>
                <w:p w14:paraId="14D3D4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1000-2500</w:t>
                  </w:r>
                </w:p>
              </w:tc>
              <w:tc>
                <w:tcPr>
                  <w:tcW w:w="823" w:type="pct"/>
                  <w:vAlign w:val="center"/>
                </w:tcPr>
                <w:p w14:paraId="2568EB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1-3</w:t>
                  </w:r>
                </w:p>
              </w:tc>
            </w:tr>
          </w:tbl>
          <w:p w14:paraId="31DFB2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（4）放喷废水</w:t>
            </w:r>
          </w:p>
          <w:p w14:paraId="1DB20F5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cs="Times New Roman"/>
                <w:color w:val="auto"/>
                <w:lang w:val="en-US" w:eastAsia="zh-CN"/>
              </w:rPr>
              <w:t>试气过程中，天然气通过井场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燃烧排放，燃烧产生少量的冷凝水，收集至井场</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内暂存，根据同类型项目资料显示，</w:t>
            </w:r>
            <w:r>
              <w:rPr>
                <w:rFonts w:hint="eastAsia" w:ascii="Times New Roman" w:hAnsi="Times New Roman" w:cs="Times New Roman"/>
                <w:color w:val="auto"/>
                <w:lang w:val="en-US" w:eastAsia="zh-CN"/>
              </w:rPr>
              <w:t>单井</w:t>
            </w:r>
            <w:r>
              <w:rPr>
                <w:rFonts w:hint="default" w:ascii="Times New Roman" w:hAnsi="Times New Roman" w:cs="Times New Roman"/>
                <w:color w:val="auto"/>
                <w:lang w:val="en-US" w:eastAsia="zh-CN"/>
              </w:rPr>
              <w:t>产生放喷废水的量约为2m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则共</w:t>
            </w:r>
            <w:r>
              <w:rPr>
                <w:rFonts w:hint="default" w:ascii="Times New Roman" w:hAnsi="Times New Roman" w:cs="Times New Roman"/>
                <w:color w:val="auto"/>
                <w:lang w:val="en-US" w:eastAsia="zh-CN"/>
              </w:rPr>
              <w:t>产生放喷废水的量约为</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。待钻井结束后，委托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油气开采废弃物集中处理厂外运处理。放喷废水在井场内不落地、不外排。</w:t>
            </w:r>
          </w:p>
          <w:p w14:paraId="5A2835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（5）生活污水</w:t>
            </w:r>
          </w:p>
          <w:p w14:paraId="7D2234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本项目生活污水产生量为</w:t>
            </w:r>
            <w:r>
              <w:rPr>
                <w:rFonts w:hint="eastAsia" w:ascii="Times New Roman" w:hAnsi="Times New Roman" w:eastAsia="宋体" w:cs="Times New Roman"/>
                <w:b w:val="0"/>
                <w:bCs w:val="0"/>
                <w:color w:val="auto"/>
                <w:sz w:val="24"/>
                <w:szCs w:val="24"/>
                <w:vertAlign w:val="baseline"/>
                <w:lang w:val="en-US" w:eastAsia="zh-CN"/>
              </w:rPr>
              <w:t>273</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井场区设置</w:t>
            </w:r>
            <w:r>
              <w:rPr>
                <w:rFonts w:hint="eastAsia" w:ascii="Times New Roman" w:hAnsi="Times New Roman" w:eastAsia="宋体" w:cs="Times New Roman"/>
                <w:b w:val="0"/>
                <w:bCs w:val="0"/>
                <w:color w:val="auto"/>
                <w:sz w:val="24"/>
                <w:szCs w:val="24"/>
                <w:vertAlign w:val="baseline"/>
                <w:lang w:val="en-US" w:eastAsia="zh-CN"/>
              </w:rPr>
              <w:t>卫生</w:t>
            </w:r>
            <w:r>
              <w:rPr>
                <w:rFonts w:hint="default" w:ascii="Times New Roman" w:hAnsi="Times New Roman" w:eastAsia="宋体" w:cs="Times New Roman"/>
                <w:b w:val="0"/>
                <w:bCs w:val="0"/>
                <w:color w:val="auto"/>
                <w:sz w:val="24"/>
                <w:szCs w:val="24"/>
                <w:vertAlign w:val="baseline"/>
                <w:lang w:val="en-US" w:eastAsia="zh-CN"/>
              </w:rPr>
              <w:t>旱厕1座，</w:t>
            </w:r>
            <w:r>
              <w:rPr>
                <w:rFonts w:hint="eastAsia" w:ascii="Times New Roman" w:hAnsi="Times New Roman" w:eastAsia="宋体" w:cs="Times New Roman"/>
                <w:b w:val="0"/>
                <w:bCs w:val="0"/>
                <w:color w:val="auto"/>
                <w:sz w:val="24"/>
                <w:szCs w:val="24"/>
                <w:vertAlign w:val="baseline"/>
                <w:lang w:val="en-US" w:eastAsia="zh-CN"/>
              </w:rPr>
              <w:t>卫生</w:t>
            </w:r>
            <w:r>
              <w:rPr>
                <w:rFonts w:hint="default" w:ascii="Times New Roman" w:hAnsi="Times New Roman" w:eastAsia="宋体" w:cs="Times New Roman"/>
                <w:b w:val="0"/>
                <w:bCs w:val="0"/>
                <w:color w:val="auto"/>
                <w:sz w:val="24"/>
                <w:szCs w:val="24"/>
                <w:vertAlign w:val="baseline"/>
                <w:lang w:val="en-US" w:eastAsia="zh-CN"/>
              </w:rPr>
              <w:t>旱厕定期清掏用于施肥。</w:t>
            </w:r>
            <w:r>
              <w:rPr>
                <w:rFonts w:hint="eastAsia" w:ascii="Times New Roman" w:hAnsi="Times New Roman" w:eastAsia="宋体" w:cs="Times New Roman"/>
                <w:b w:val="0"/>
                <w:bCs w:val="0"/>
                <w:color w:val="auto"/>
                <w:sz w:val="24"/>
                <w:szCs w:val="24"/>
                <w:vertAlign w:val="baseline"/>
                <w:lang w:val="en-US" w:eastAsia="zh-CN"/>
              </w:rPr>
              <w:t>盥洗废水</w:t>
            </w:r>
            <w:r>
              <w:rPr>
                <w:rFonts w:hint="eastAsia" w:ascii="Times New Roman" w:hAnsi="Times New Roman" w:eastAsia="宋体" w:cs="Times New Roman"/>
                <w:b w:val="0"/>
                <w:bCs w:val="0"/>
                <w:color w:val="auto"/>
                <w:sz w:val="24"/>
                <w:szCs w:val="24"/>
                <w:vertAlign w:val="baseline"/>
                <w:lang w:val="en-US" w:eastAsia="zh-CN"/>
              </w:rPr>
              <w:t>设置15m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沉淀罐，沉淀后的废水全部用于井场洒水抑尘，不外排</w:t>
            </w:r>
            <w:r>
              <w:rPr>
                <w:rFonts w:hint="default" w:ascii="Times New Roman" w:hAnsi="Times New Roman" w:eastAsia="宋体" w:cs="Times New Roman"/>
                <w:b w:val="0"/>
                <w:bCs w:val="0"/>
                <w:color w:val="auto"/>
                <w:sz w:val="24"/>
                <w:szCs w:val="24"/>
                <w:vertAlign w:val="baseline"/>
                <w:lang w:val="en-US" w:eastAsia="zh-CN"/>
              </w:rPr>
              <w:t>。</w:t>
            </w:r>
          </w:p>
          <w:p w14:paraId="7E2AC7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此外，井场采用雨污分流制。在暴雨季节，加强对井场内废水储存设施巡查，防止场地内废水溢出井场污染环境。</w:t>
            </w:r>
          </w:p>
          <w:p w14:paraId="0D06FC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综上所述，本项目钻井废水、洗井废水、压裂返排液及生活污水采取的水污染控制和水环境影响减缓措施有效，能够确保废水不外排，因此对地表水环境影响可以接受。</w:t>
            </w:r>
          </w:p>
          <w:p w14:paraId="1A3AE6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四、地下水</w:t>
            </w:r>
          </w:p>
          <w:p w14:paraId="76C61C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（1）钻井过程对地下水的影响</w:t>
            </w:r>
          </w:p>
          <w:p w14:paraId="490512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各地层岩性、孔隙度不同，对于孔隙度大的地层，在钻井过程中可能会发生钻井液漏失的现象，若漏失地层与含水层之间存在较多的断裂或裂隙，漏失的钻井液就有可能顺着岩层断裂、裂隙进入地下水，造成地下水污染。另外，固井过程中固井液的漏失对地下水也有一定的影响。</w:t>
            </w:r>
          </w:p>
          <w:p w14:paraId="731A63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整个钻井作业按照规章操作，尽量避免因压力激增和开泵过猛使泥浆泵入地层污染地下水；钻井过程中采取泥浆监测，一旦发现漏失采取及时堵漏等措施，既能满足工程要求，又可减少对地下水的影响。项目钻井时采用膨润土浆钻井，固井技术完善，在套管的保护下能有效地保护浅层地下水，对地下水影响较小。</w:t>
            </w:r>
          </w:p>
          <w:p w14:paraId="6544D0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（2）井场污染物入渗对地下水的影响</w:t>
            </w:r>
          </w:p>
          <w:p w14:paraId="0153E5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场污染物收集、存储措施不到位，容易造成地表污染物入渗，对浅层地下水造成一定的污染。造成地表污染物入渗的主要因素有：洗井废水罐和压裂返排液罐基础防渗措施不到位，运行中出现渗漏；井口作业区、泥浆循环系统区散落的泥浆、废水渗入地下。本项目对洗井废水罐、压裂返排液罐、泥浆循环罐区、岩屑收集箱等位置进行地面防渗和设置围堰，可有效阻断井场污染物入渗地下。</w:t>
            </w:r>
          </w:p>
          <w:p w14:paraId="6A0BCE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（3）地下水串层影响</w:t>
            </w:r>
          </w:p>
          <w:p w14:paraId="75A7E5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w:t>
            </w:r>
            <w:r>
              <w:rPr>
                <w:rFonts w:hint="default" w:ascii="Times New Roman" w:hAnsi="Times New Roman" w:eastAsia="宋体" w:cs="Times New Roman"/>
                <w:b w:val="0"/>
                <w:bCs w:val="0"/>
                <w:color w:val="auto"/>
                <w:sz w:val="24"/>
                <w:szCs w:val="24"/>
                <w:vertAlign w:val="baseline"/>
                <w:lang w:val="en-US" w:eastAsia="zh-CN"/>
              </w:rPr>
              <w:t>评价区地下水为石炭系—侏罗系碎屑岩裂隙与上覆松散层孔隙含水层系统</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在自然状态下，由于存在隔水层，浅层水与深层水很难相互沟通混合。如果隔水层被人为破坏形成孔洞，浅层污染水就会下渗污染深层水，造成地下水串层污染。因此工程施工时必须做好防治地下水串层的措施。</w:t>
            </w:r>
          </w:p>
          <w:p w14:paraId="4C1EE7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污染防治措施：在钻井过程中防止地下水污染的途径主要是封堵串层污染通道：</w:t>
            </w:r>
          </w:p>
          <w:p w14:paraId="4073F2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a. 钻井中遇到浅水层，下套管时应注水泥封固，防止地下水层被地层其它流体或过，钻井泥浆污染；</w:t>
            </w:r>
          </w:p>
          <w:p w14:paraId="067DAA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b. 工程导管段利用高坂含钻井液迅速钻井，在套管的保护下能有效保护浅层地下</w:t>
            </w:r>
            <w:r>
              <w:rPr>
                <w:rFonts w:hint="eastAsia" w:ascii="Times New Roman" w:hAnsi="Times New Roman" w:eastAsia="宋体" w:cs="Times New Roman"/>
                <w:b w:val="0"/>
                <w:bCs w:val="0"/>
                <w:color w:val="auto"/>
                <w:sz w:val="24"/>
                <w:szCs w:val="24"/>
                <w:vertAlign w:val="baseline"/>
                <w:lang w:val="en-US" w:eastAsia="zh-CN"/>
              </w:rPr>
              <w:t>；</w:t>
            </w:r>
          </w:p>
          <w:p w14:paraId="619F9C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c. 每开钻井结束后的固井作业可有效封隔地层与套管之间的环空，防治污染地下；</w:t>
            </w:r>
          </w:p>
          <w:p w14:paraId="202FA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 表层钻进时，使用高坂含泥浆；尽可能采用低毒、低碱泥浆；</w:t>
            </w:r>
          </w:p>
          <w:p w14:paraId="6628261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e. 井场储备足够的封堵剂，钻井过程中应密切注意钻井液的漏失情况，一旦出现漏失，应立即采取堵漏措施，防止钻井液的漏失污染地下水，漏剂的选取应考虑清洁、无毒、对人体无害、环境污染轻的种类，建议使用水泥堵漏。通过采取以上措施，可有效预防地下水串层污染。</w:t>
            </w:r>
          </w:p>
          <w:p w14:paraId="38CE35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五、声环境影响</w:t>
            </w:r>
          </w:p>
          <w:p w14:paraId="53C581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1、钻井噪声影响</w:t>
            </w:r>
          </w:p>
          <w:p w14:paraId="3E9276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由于本项目钻井过程为24小时连续运行，对声环境影响大的主要为钻井过程中钻机、泵类等设备运行产生的连续性噪声。</w:t>
            </w:r>
            <w:r>
              <w:rPr>
                <w:rFonts w:hint="default" w:ascii="Times New Roman" w:hAnsi="Times New Roman" w:eastAsia="宋体" w:cs="Times New Roman"/>
                <w:b w:val="0"/>
                <w:bCs w:val="0"/>
                <w:color w:val="auto"/>
                <w:sz w:val="24"/>
                <w:szCs w:val="24"/>
                <w:vertAlign w:val="baseline"/>
                <w:lang w:val="en-US" w:eastAsia="zh-CN"/>
              </w:rPr>
              <w:t>拟建工程</w:t>
            </w:r>
            <w:r>
              <w:rPr>
                <w:rFonts w:hint="eastAsia" w:ascii="Times New Roman" w:hAnsi="Times New Roman" w:eastAsia="宋体" w:cs="Times New Roman"/>
                <w:b w:val="0"/>
                <w:bCs w:val="0"/>
                <w:color w:val="auto"/>
                <w:sz w:val="24"/>
                <w:szCs w:val="24"/>
                <w:vertAlign w:val="baseline"/>
                <w:lang w:val="en-US" w:eastAsia="zh-CN"/>
              </w:rPr>
              <w:t>钻井前设备主要包括推土机、装载机、翻斗车等，</w:t>
            </w:r>
            <w:r>
              <w:rPr>
                <w:rFonts w:hint="eastAsia" w:ascii="Times New Roman" w:hAnsi="Times New Roman" w:eastAsia="宋体" w:cs="Times New Roman"/>
                <w:b w:val="0"/>
                <w:bCs w:val="0"/>
                <w:color w:val="auto"/>
                <w:sz w:val="24"/>
                <w:szCs w:val="24"/>
                <w:vertAlign w:val="baseline"/>
                <w:lang w:val="en-US" w:eastAsia="zh-CN"/>
              </w:rPr>
              <w:t>主要用于场地平整，</w:t>
            </w:r>
            <w:r>
              <w:rPr>
                <w:rFonts w:hint="eastAsia" w:ascii="Times New Roman" w:hAnsi="Times New Roman" w:eastAsia="宋体" w:cs="Times New Roman"/>
                <w:b w:val="0"/>
                <w:bCs w:val="0"/>
                <w:color w:val="auto"/>
                <w:sz w:val="24"/>
                <w:szCs w:val="24"/>
                <w:vertAlign w:val="baseline"/>
                <w:lang w:val="en-US" w:eastAsia="zh-CN"/>
              </w:rPr>
              <w:t>施工时间在3-5天之间，施工噪声值较小，对周边环境影响较小。</w:t>
            </w:r>
            <w:r>
              <w:rPr>
                <w:rFonts w:hint="default" w:ascii="Times New Roman" w:hAnsi="Times New Roman" w:eastAsia="宋体" w:cs="Times New Roman"/>
                <w:b w:val="0"/>
                <w:bCs w:val="0"/>
                <w:color w:val="auto"/>
                <w:sz w:val="24"/>
                <w:szCs w:val="24"/>
                <w:vertAlign w:val="baseline"/>
                <w:lang w:val="en-US" w:eastAsia="zh-CN"/>
              </w:rPr>
              <w:t>拟建工程钻井工程主要噪声源及源强见表4-3，主要施工机械噪声不同距离处的噪声级见表4-4。</w:t>
            </w:r>
          </w:p>
          <w:p w14:paraId="1E9F01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表4-3   拟建钻井工程主要噪声源统计表 单位：dB（A）</w:t>
            </w:r>
          </w:p>
          <w:tbl>
            <w:tblPr>
              <w:tblStyle w:val="19"/>
              <w:tblW w:w="499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8"/>
              <w:gridCol w:w="1423"/>
              <w:gridCol w:w="776"/>
              <w:gridCol w:w="1011"/>
              <w:gridCol w:w="934"/>
              <w:gridCol w:w="764"/>
              <w:gridCol w:w="1227"/>
              <w:gridCol w:w="1332"/>
              <w:gridCol w:w="792"/>
            </w:tblGrid>
            <w:tr w14:paraId="3F94D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70" w:hRule="atLeast"/>
              </w:trPr>
              <w:tc>
                <w:tcPr>
                  <w:tcW w:w="263" w:type="pct"/>
                  <w:vMerge w:val="restart"/>
                  <w:noWrap w:val="0"/>
                  <w:vAlign w:val="center"/>
                </w:tcPr>
                <w:p w14:paraId="5868183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816" w:type="pct"/>
                  <w:vMerge w:val="restart"/>
                  <w:noWrap w:val="0"/>
                  <w:vAlign w:val="center"/>
                </w:tcPr>
                <w:p w14:paraId="7F379773">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声源名称</w:t>
                  </w:r>
                </w:p>
              </w:tc>
              <w:tc>
                <w:tcPr>
                  <w:tcW w:w="445" w:type="pct"/>
                  <w:vMerge w:val="restart"/>
                  <w:noWrap w:val="0"/>
                  <w:vAlign w:val="center"/>
                </w:tcPr>
                <w:p w14:paraId="40CF717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型号</w:t>
                  </w:r>
                </w:p>
              </w:tc>
              <w:tc>
                <w:tcPr>
                  <w:tcW w:w="1554" w:type="pct"/>
                  <w:gridSpan w:val="3"/>
                  <w:noWrap w:val="0"/>
                  <w:vAlign w:val="center"/>
                </w:tcPr>
                <w:p w14:paraId="31D9D44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空间相对位置/m</w:t>
                  </w:r>
                </w:p>
              </w:tc>
              <w:tc>
                <w:tcPr>
                  <w:tcW w:w="704" w:type="pct"/>
                  <w:noWrap w:val="0"/>
                  <w:vAlign w:val="center"/>
                </w:tcPr>
                <w:p w14:paraId="02AF956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声源源强</w:t>
                  </w:r>
                </w:p>
              </w:tc>
              <w:tc>
                <w:tcPr>
                  <w:tcW w:w="764" w:type="pct"/>
                  <w:vMerge w:val="restart"/>
                  <w:noWrap w:val="0"/>
                  <w:vAlign w:val="center"/>
                </w:tcPr>
                <w:p w14:paraId="345BDEA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声源控制措施</w:t>
                  </w:r>
                </w:p>
              </w:tc>
              <w:tc>
                <w:tcPr>
                  <w:tcW w:w="450" w:type="pct"/>
                  <w:vMerge w:val="restart"/>
                  <w:noWrap w:val="0"/>
                  <w:vAlign w:val="center"/>
                </w:tcPr>
                <w:p w14:paraId="26822EF5">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运行时段</w:t>
                  </w:r>
                </w:p>
              </w:tc>
            </w:tr>
            <w:tr w14:paraId="02649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263" w:type="pct"/>
                  <w:vMerge w:val="continue"/>
                  <w:noWrap w:val="0"/>
                  <w:vAlign w:val="center"/>
                </w:tcPr>
                <w:p w14:paraId="02931720">
                  <w:pPr>
                    <w:jc w:val="center"/>
                    <w:rPr>
                      <w:rFonts w:hint="default" w:ascii="Times New Roman" w:hAnsi="Times New Roman" w:cs="Times New Roman"/>
                      <w:b/>
                      <w:bCs/>
                      <w:color w:val="auto"/>
                      <w:sz w:val="21"/>
                      <w:szCs w:val="21"/>
                    </w:rPr>
                  </w:pPr>
                </w:p>
              </w:tc>
              <w:tc>
                <w:tcPr>
                  <w:tcW w:w="816" w:type="pct"/>
                  <w:vMerge w:val="continue"/>
                  <w:noWrap w:val="0"/>
                  <w:vAlign w:val="center"/>
                </w:tcPr>
                <w:p w14:paraId="2140BFDC">
                  <w:pPr>
                    <w:jc w:val="center"/>
                    <w:rPr>
                      <w:rFonts w:hint="default" w:ascii="Times New Roman" w:hAnsi="Times New Roman" w:cs="Times New Roman"/>
                      <w:b/>
                      <w:bCs/>
                      <w:color w:val="auto"/>
                      <w:sz w:val="21"/>
                      <w:szCs w:val="21"/>
                    </w:rPr>
                  </w:pPr>
                </w:p>
              </w:tc>
              <w:tc>
                <w:tcPr>
                  <w:tcW w:w="445" w:type="pct"/>
                  <w:vMerge w:val="continue"/>
                  <w:noWrap w:val="0"/>
                  <w:vAlign w:val="center"/>
                </w:tcPr>
                <w:p w14:paraId="1B2FAE7E">
                  <w:pPr>
                    <w:jc w:val="center"/>
                    <w:rPr>
                      <w:rFonts w:hint="default" w:ascii="Times New Roman" w:hAnsi="Times New Roman" w:cs="Times New Roman"/>
                      <w:b/>
                      <w:bCs/>
                      <w:color w:val="auto"/>
                      <w:sz w:val="21"/>
                      <w:szCs w:val="21"/>
                    </w:rPr>
                  </w:pPr>
                </w:p>
              </w:tc>
              <w:tc>
                <w:tcPr>
                  <w:tcW w:w="580" w:type="pct"/>
                  <w:noWrap w:val="0"/>
                  <w:vAlign w:val="center"/>
                </w:tcPr>
                <w:p w14:paraId="1299CCCA">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X</w:t>
                  </w:r>
                </w:p>
              </w:tc>
              <w:tc>
                <w:tcPr>
                  <w:tcW w:w="536" w:type="pct"/>
                  <w:noWrap w:val="0"/>
                  <w:vAlign w:val="center"/>
                </w:tcPr>
                <w:p w14:paraId="72B90A9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Y</w:t>
                  </w:r>
                </w:p>
              </w:tc>
              <w:tc>
                <w:tcPr>
                  <w:tcW w:w="437" w:type="pct"/>
                  <w:noWrap w:val="0"/>
                  <w:vAlign w:val="center"/>
                </w:tcPr>
                <w:p w14:paraId="293915C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Z</w:t>
                  </w:r>
                </w:p>
              </w:tc>
              <w:tc>
                <w:tcPr>
                  <w:tcW w:w="704" w:type="pct"/>
                  <w:noWrap w:val="0"/>
                  <w:vAlign w:val="center"/>
                </w:tcPr>
                <w:p w14:paraId="2879DA41">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声功率级dB(A)</w:t>
                  </w:r>
                </w:p>
              </w:tc>
              <w:tc>
                <w:tcPr>
                  <w:tcW w:w="764" w:type="pct"/>
                  <w:vMerge w:val="continue"/>
                  <w:noWrap w:val="0"/>
                  <w:vAlign w:val="center"/>
                </w:tcPr>
                <w:p w14:paraId="4DE86179">
                  <w:pPr>
                    <w:jc w:val="center"/>
                    <w:rPr>
                      <w:rFonts w:hint="default" w:ascii="Times New Roman" w:hAnsi="Times New Roman" w:cs="Times New Roman"/>
                      <w:color w:val="auto"/>
                      <w:sz w:val="21"/>
                      <w:szCs w:val="21"/>
                    </w:rPr>
                  </w:pPr>
                </w:p>
              </w:tc>
              <w:tc>
                <w:tcPr>
                  <w:tcW w:w="450" w:type="pct"/>
                  <w:vMerge w:val="continue"/>
                  <w:noWrap w:val="0"/>
                  <w:vAlign w:val="center"/>
                </w:tcPr>
                <w:p w14:paraId="561C43D9">
                  <w:pPr>
                    <w:jc w:val="center"/>
                    <w:rPr>
                      <w:rFonts w:hint="default" w:ascii="Times New Roman" w:hAnsi="Times New Roman" w:cs="Times New Roman"/>
                      <w:color w:val="auto"/>
                      <w:sz w:val="21"/>
                      <w:szCs w:val="21"/>
                    </w:rPr>
                  </w:pPr>
                </w:p>
              </w:tc>
            </w:tr>
            <w:tr w14:paraId="7FB3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2" w:hRule="atLeast"/>
              </w:trPr>
              <w:tc>
                <w:tcPr>
                  <w:tcW w:w="5000" w:type="pct"/>
                  <w:gridSpan w:val="9"/>
                  <w:noWrap w:val="0"/>
                  <w:vAlign w:val="center"/>
                </w:tcPr>
                <w:p w14:paraId="3B60AA6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32M</w:t>
                  </w:r>
                </w:p>
              </w:tc>
            </w:tr>
            <w:tr w14:paraId="1831F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314364F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16" w:type="pct"/>
                  <w:noWrap w:val="0"/>
                  <w:vAlign w:val="center"/>
                </w:tcPr>
                <w:p w14:paraId="7353563F">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钻机</w:t>
                  </w:r>
                </w:p>
              </w:tc>
              <w:tc>
                <w:tcPr>
                  <w:tcW w:w="445" w:type="pct"/>
                  <w:noWrap w:val="0"/>
                  <w:vAlign w:val="center"/>
                </w:tcPr>
                <w:p w14:paraId="790C80C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CE0297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50.6</w:t>
                  </w:r>
                </w:p>
              </w:tc>
              <w:tc>
                <w:tcPr>
                  <w:tcW w:w="536" w:type="pct"/>
                  <w:noWrap w:val="0"/>
                  <w:vAlign w:val="center"/>
                </w:tcPr>
                <w:p w14:paraId="1C4251C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38.82</w:t>
                  </w:r>
                </w:p>
              </w:tc>
              <w:tc>
                <w:tcPr>
                  <w:tcW w:w="437" w:type="pct"/>
                  <w:noWrap w:val="0"/>
                  <w:vAlign w:val="center"/>
                </w:tcPr>
                <w:p w14:paraId="3F6F9976">
                  <w:pPr>
                    <w:pStyle w:val="14"/>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noWrap w:val="0"/>
                  <w:vAlign w:val="center"/>
                </w:tcPr>
                <w:p w14:paraId="1C9F69C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23190A22">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336C9800">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07C66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7EEF36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816" w:type="pct"/>
                  <w:noWrap w:val="0"/>
                  <w:vAlign w:val="center"/>
                </w:tcPr>
                <w:p w14:paraId="6C86613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泥浆泵（2台）</w:t>
                  </w:r>
                </w:p>
              </w:tc>
              <w:tc>
                <w:tcPr>
                  <w:tcW w:w="445" w:type="pct"/>
                  <w:noWrap w:val="0"/>
                  <w:vAlign w:val="center"/>
                </w:tcPr>
                <w:p w14:paraId="1692D0F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C7AA43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74.14</w:t>
                  </w:r>
                </w:p>
              </w:tc>
              <w:tc>
                <w:tcPr>
                  <w:tcW w:w="536" w:type="pct"/>
                  <w:noWrap w:val="0"/>
                  <w:vAlign w:val="center"/>
                </w:tcPr>
                <w:p w14:paraId="3DF582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34.73</w:t>
                  </w:r>
                </w:p>
              </w:tc>
              <w:tc>
                <w:tcPr>
                  <w:tcW w:w="437" w:type="pct"/>
                  <w:noWrap w:val="0"/>
                  <w:vAlign w:val="center"/>
                </w:tcPr>
                <w:p w14:paraId="7DA2BCE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69D610C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5C01312F">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2DF89F08">
                  <w:pPr>
                    <w:pStyle w:val="14"/>
                    <w:spacing w:after="0" w:line="240" w:lineRule="auto"/>
                    <w:ind w:left="0" w:leftChars="0"/>
                    <w:jc w:val="center"/>
                    <w:rPr>
                      <w:rFonts w:hint="default" w:ascii="Times New Roman" w:hAnsi="Times New Roman" w:cs="Times New Roman"/>
                      <w:color w:val="auto"/>
                      <w:szCs w:val="21"/>
                    </w:rPr>
                  </w:pPr>
                </w:p>
              </w:tc>
            </w:tr>
            <w:tr w14:paraId="31AA1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trPr>
              <w:tc>
                <w:tcPr>
                  <w:tcW w:w="263" w:type="pct"/>
                  <w:noWrap w:val="0"/>
                  <w:vAlign w:val="center"/>
                </w:tcPr>
                <w:p w14:paraId="1D38FD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816" w:type="pct"/>
                  <w:noWrap w:val="0"/>
                  <w:vAlign w:val="center"/>
                </w:tcPr>
                <w:p w14:paraId="3F1FAF32">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除泥器</w:t>
                  </w:r>
                </w:p>
              </w:tc>
              <w:tc>
                <w:tcPr>
                  <w:tcW w:w="445" w:type="pct"/>
                  <w:noWrap w:val="0"/>
                  <w:vAlign w:val="center"/>
                </w:tcPr>
                <w:p w14:paraId="596039E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0D34238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72.87</w:t>
                  </w:r>
                </w:p>
              </w:tc>
              <w:tc>
                <w:tcPr>
                  <w:tcW w:w="536" w:type="pct"/>
                  <w:noWrap w:val="0"/>
                  <w:vAlign w:val="center"/>
                </w:tcPr>
                <w:p w14:paraId="776D06D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21.18</w:t>
                  </w:r>
                </w:p>
              </w:tc>
              <w:tc>
                <w:tcPr>
                  <w:tcW w:w="437" w:type="pct"/>
                  <w:noWrap w:val="0"/>
                  <w:vAlign w:val="center"/>
                </w:tcPr>
                <w:p w14:paraId="19E36A1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402A39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17496CDC">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0694704">
                  <w:pPr>
                    <w:pStyle w:val="14"/>
                    <w:spacing w:after="0" w:line="240" w:lineRule="auto"/>
                    <w:ind w:left="0" w:leftChars="0"/>
                    <w:jc w:val="center"/>
                    <w:rPr>
                      <w:rFonts w:hint="default" w:ascii="Times New Roman" w:hAnsi="Times New Roman" w:cs="Times New Roman"/>
                      <w:color w:val="auto"/>
                      <w:szCs w:val="21"/>
                    </w:rPr>
                  </w:pPr>
                </w:p>
              </w:tc>
            </w:tr>
            <w:tr w14:paraId="0A406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18CE13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816" w:type="pct"/>
                  <w:noWrap w:val="0"/>
                  <w:vAlign w:val="center"/>
                </w:tcPr>
                <w:p w14:paraId="36895659">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除砂器</w:t>
                  </w:r>
                </w:p>
              </w:tc>
              <w:tc>
                <w:tcPr>
                  <w:tcW w:w="445" w:type="pct"/>
                  <w:noWrap w:val="0"/>
                  <w:vAlign w:val="center"/>
                </w:tcPr>
                <w:p w14:paraId="7EB4763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CF19D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76.29</w:t>
                  </w:r>
                </w:p>
              </w:tc>
              <w:tc>
                <w:tcPr>
                  <w:tcW w:w="536" w:type="pct"/>
                  <w:noWrap w:val="0"/>
                  <w:vAlign w:val="center"/>
                </w:tcPr>
                <w:p w14:paraId="3A322AD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44.61</w:t>
                  </w:r>
                </w:p>
              </w:tc>
              <w:tc>
                <w:tcPr>
                  <w:tcW w:w="437" w:type="pct"/>
                  <w:noWrap w:val="0"/>
                  <w:vAlign w:val="center"/>
                </w:tcPr>
                <w:p w14:paraId="14553C2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0F8B1F4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6BFD7749">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7EF0700">
                  <w:pPr>
                    <w:pStyle w:val="14"/>
                    <w:spacing w:after="0" w:line="240" w:lineRule="auto"/>
                    <w:ind w:left="0" w:leftChars="0"/>
                    <w:jc w:val="center"/>
                    <w:rPr>
                      <w:rFonts w:hint="default" w:ascii="Times New Roman" w:hAnsi="Times New Roman" w:cs="Times New Roman"/>
                      <w:color w:val="auto"/>
                      <w:szCs w:val="21"/>
                    </w:rPr>
                  </w:pPr>
                </w:p>
              </w:tc>
            </w:tr>
            <w:tr w14:paraId="4EEDE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70470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816" w:type="pct"/>
                  <w:noWrap w:val="0"/>
                  <w:vAlign w:val="center"/>
                </w:tcPr>
                <w:p w14:paraId="7D50895A">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振动筛（3台）</w:t>
                  </w:r>
                </w:p>
              </w:tc>
              <w:tc>
                <w:tcPr>
                  <w:tcW w:w="445" w:type="pct"/>
                  <w:noWrap w:val="0"/>
                  <w:vAlign w:val="center"/>
                </w:tcPr>
                <w:p w14:paraId="54DF591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770DEE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77.87</w:t>
                  </w:r>
                </w:p>
              </w:tc>
              <w:tc>
                <w:tcPr>
                  <w:tcW w:w="536" w:type="pct"/>
                  <w:noWrap w:val="0"/>
                  <w:vAlign w:val="center"/>
                </w:tcPr>
                <w:p w14:paraId="028A6F7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51.46</w:t>
                  </w:r>
                </w:p>
              </w:tc>
              <w:tc>
                <w:tcPr>
                  <w:tcW w:w="437" w:type="pct"/>
                  <w:noWrap w:val="0"/>
                  <w:vAlign w:val="center"/>
                </w:tcPr>
                <w:p w14:paraId="0589994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652F0EB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780E4E7F">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12B5D476">
                  <w:pPr>
                    <w:pStyle w:val="14"/>
                    <w:spacing w:after="0" w:line="240" w:lineRule="auto"/>
                    <w:ind w:left="0" w:leftChars="0"/>
                    <w:jc w:val="center"/>
                    <w:rPr>
                      <w:rFonts w:hint="default" w:ascii="Times New Roman" w:hAnsi="Times New Roman" w:cs="Times New Roman"/>
                      <w:color w:val="auto"/>
                      <w:szCs w:val="21"/>
                    </w:rPr>
                  </w:pPr>
                </w:p>
              </w:tc>
            </w:tr>
            <w:tr w14:paraId="3E806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3EE5206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816" w:type="pct"/>
                  <w:noWrap w:val="0"/>
                  <w:vAlign w:val="center"/>
                </w:tcPr>
                <w:p w14:paraId="6621489A">
                  <w:pPr>
                    <w:tabs>
                      <w:tab w:val="left" w:pos="600"/>
                    </w:tabs>
                    <w:adjustRightInd w:val="0"/>
                    <w:snapToGrid w:val="0"/>
                    <w:spacing w:line="240" w:lineRule="exact"/>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离心机（2台）</w:t>
                  </w:r>
                </w:p>
              </w:tc>
              <w:tc>
                <w:tcPr>
                  <w:tcW w:w="445" w:type="pct"/>
                  <w:noWrap w:val="0"/>
                  <w:vAlign w:val="center"/>
                </w:tcPr>
                <w:p w14:paraId="1840749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D082A8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71.55</w:t>
                  </w:r>
                </w:p>
              </w:tc>
              <w:tc>
                <w:tcPr>
                  <w:tcW w:w="536" w:type="pct"/>
                  <w:noWrap w:val="0"/>
                  <w:vAlign w:val="center"/>
                </w:tcPr>
                <w:p w14:paraId="4CCC58C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3.81</w:t>
                  </w:r>
                </w:p>
              </w:tc>
              <w:tc>
                <w:tcPr>
                  <w:tcW w:w="437" w:type="pct"/>
                  <w:noWrap w:val="0"/>
                  <w:vAlign w:val="center"/>
                </w:tcPr>
                <w:p w14:paraId="33E19CC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55C6B72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8A5EA40">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308361EE">
                  <w:pPr>
                    <w:pStyle w:val="14"/>
                    <w:spacing w:after="0" w:line="240" w:lineRule="auto"/>
                    <w:ind w:left="0" w:leftChars="0"/>
                    <w:jc w:val="center"/>
                    <w:rPr>
                      <w:rFonts w:hint="default" w:ascii="Times New Roman" w:hAnsi="Times New Roman" w:cs="Times New Roman"/>
                      <w:color w:val="auto"/>
                      <w:szCs w:val="21"/>
                    </w:rPr>
                  </w:pPr>
                </w:p>
              </w:tc>
            </w:tr>
            <w:tr w14:paraId="34DA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6724622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16" w:type="pct"/>
                  <w:noWrap w:val="0"/>
                  <w:vAlign w:val="center"/>
                </w:tcPr>
                <w:p w14:paraId="7100A5F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自动压风机</w:t>
                  </w:r>
                </w:p>
              </w:tc>
              <w:tc>
                <w:tcPr>
                  <w:tcW w:w="445" w:type="pct"/>
                  <w:noWrap w:val="0"/>
                  <w:vAlign w:val="center"/>
                </w:tcPr>
                <w:p w14:paraId="48771A5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A23B9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61.02</w:t>
                  </w:r>
                </w:p>
              </w:tc>
              <w:tc>
                <w:tcPr>
                  <w:tcW w:w="536" w:type="pct"/>
                  <w:noWrap w:val="0"/>
                  <w:vAlign w:val="center"/>
                </w:tcPr>
                <w:p w14:paraId="415E6A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3.55</w:t>
                  </w:r>
                </w:p>
              </w:tc>
              <w:tc>
                <w:tcPr>
                  <w:tcW w:w="437" w:type="pct"/>
                  <w:noWrap w:val="0"/>
                  <w:vAlign w:val="center"/>
                </w:tcPr>
                <w:p w14:paraId="62E231F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7C3B47A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08777648">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1A61BA3">
                  <w:pPr>
                    <w:pStyle w:val="14"/>
                    <w:spacing w:after="0" w:line="240" w:lineRule="auto"/>
                    <w:ind w:left="0" w:leftChars="0"/>
                    <w:jc w:val="center"/>
                    <w:rPr>
                      <w:rFonts w:hint="default" w:ascii="Times New Roman" w:hAnsi="Times New Roman" w:cs="Times New Roman"/>
                      <w:color w:val="auto"/>
                      <w:szCs w:val="21"/>
                    </w:rPr>
                  </w:pPr>
                </w:p>
              </w:tc>
            </w:tr>
            <w:tr w14:paraId="78D21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4076902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816" w:type="pct"/>
                  <w:noWrap w:val="0"/>
                  <w:vAlign w:val="center"/>
                </w:tcPr>
                <w:p w14:paraId="1C63D424">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电动压风机</w:t>
                  </w:r>
                </w:p>
              </w:tc>
              <w:tc>
                <w:tcPr>
                  <w:tcW w:w="445" w:type="pct"/>
                  <w:noWrap w:val="0"/>
                  <w:vAlign w:val="center"/>
                </w:tcPr>
                <w:p w14:paraId="24892C3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68DBC0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52.86</w:t>
                  </w:r>
                </w:p>
              </w:tc>
              <w:tc>
                <w:tcPr>
                  <w:tcW w:w="536" w:type="pct"/>
                  <w:noWrap w:val="0"/>
                  <w:vAlign w:val="center"/>
                </w:tcPr>
                <w:p w14:paraId="0BD5384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4.86</w:t>
                  </w:r>
                </w:p>
              </w:tc>
              <w:tc>
                <w:tcPr>
                  <w:tcW w:w="437" w:type="pct"/>
                  <w:noWrap w:val="0"/>
                  <w:vAlign w:val="center"/>
                </w:tcPr>
                <w:p w14:paraId="1F5973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C19BD9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35325C35">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511B6A70">
                  <w:pPr>
                    <w:pStyle w:val="14"/>
                    <w:spacing w:after="0" w:line="240" w:lineRule="auto"/>
                    <w:ind w:left="0" w:leftChars="0"/>
                    <w:jc w:val="center"/>
                    <w:rPr>
                      <w:rFonts w:hint="default" w:ascii="Times New Roman" w:hAnsi="Times New Roman" w:cs="Times New Roman"/>
                      <w:color w:val="auto"/>
                      <w:szCs w:val="21"/>
                    </w:rPr>
                  </w:pPr>
                </w:p>
              </w:tc>
            </w:tr>
            <w:tr w14:paraId="10D37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0D9E1BE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816" w:type="pct"/>
                  <w:noWrap w:val="0"/>
                  <w:vAlign w:val="center"/>
                </w:tcPr>
                <w:p w14:paraId="062C4956">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钻井泵（2台）</w:t>
                  </w:r>
                </w:p>
              </w:tc>
              <w:tc>
                <w:tcPr>
                  <w:tcW w:w="445" w:type="pct"/>
                  <w:noWrap w:val="0"/>
                  <w:vAlign w:val="center"/>
                </w:tcPr>
                <w:p w14:paraId="2060A77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CBE06B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55.49</w:t>
                  </w:r>
                </w:p>
              </w:tc>
              <w:tc>
                <w:tcPr>
                  <w:tcW w:w="536" w:type="pct"/>
                  <w:noWrap w:val="0"/>
                  <w:vAlign w:val="center"/>
                </w:tcPr>
                <w:p w14:paraId="5ED81A7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38.03</w:t>
                  </w:r>
                </w:p>
              </w:tc>
              <w:tc>
                <w:tcPr>
                  <w:tcW w:w="437" w:type="pct"/>
                  <w:noWrap w:val="0"/>
                  <w:vAlign w:val="center"/>
                </w:tcPr>
                <w:p w14:paraId="0B901C7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0084D89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07C3DA20">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7AF0786D">
                  <w:pPr>
                    <w:pStyle w:val="14"/>
                    <w:spacing w:after="0" w:line="240" w:lineRule="auto"/>
                    <w:ind w:left="0" w:leftChars="0"/>
                    <w:jc w:val="center"/>
                    <w:rPr>
                      <w:rFonts w:hint="default" w:ascii="Times New Roman" w:hAnsi="Times New Roman" w:cs="Times New Roman"/>
                      <w:color w:val="auto"/>
                      <w:szCs w:val="21"/>
                    </w:rPr>
                  </w:pPr>
                </w:p>
              </w:tc>
            </w:tr>
            <w:tr w14:paraId="038AB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4E2816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816" w:type="pct"/>
                  <w:noWrap w:val="0"/>
                  <w:vAlign w:val="center"/>
                </w:tcPr>
                <w:p w14:paraId="0161CD7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加重泵（2台）</w:t>
                  </w:r>
                </w:p>
              </w:tc>
              <w:tc>
                <w:tcPr>
                  <w:tcW w:w="445" w:type="pct"/>
                  <w:noWrap w:val="0"/>
                  <w:vAlign w:val="center"/>
                </w:tcPr>
                <w:p w14:paraId="193A3A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441DF0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51.97</w:t>
                  </w:r>
                </w:p>
              </w:tc>
              <w:tc>
                <w:tcPr>
                  <w:tcW w:w="536" w:type="pct"/>
                  <w:noWrap w:val="0"/>
                  <w:vAlign w:val="center"/>
                </w:tcPr>
                <w:p w14:paraId="471F230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18.79</w:t>
                  </w:r>
                </w:p>
              </w:tc>
              <w:tc>
                <w:tcPr>
                  <w:tcW w:w="437" w:type="pct"/>
                  <w:noWrap w:val="0"/>
                  <w:vAlign w:val="center"/>
                </w:tcPr>
                <w:p w14:paraId="6ED1E54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78084D7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239F366A">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32AC7471">
                  <w:pPr>
                    <w:pStyle w:val="14"/>
                    <w:spacing w:after="0" w:line="240" w:lineRule="auto"/>
                    <w:ind w:left="0" w:leftChars="0"/>
                    <w:jc w:val="center"/>
                    <w:rPr>
                      <w:rFonts w:hint="default" w:ascii="Times New Roman" w:hAnsi="Times New Roman" w:cs="Times New Roman"/>
                      <w:color w:val="auto"/>
                      <w:szCs w:val="21"/>
                    </w:rPr>
                  </w:pPr>
                </w:p>
              </w:tc>
            </w:tr>
            <w:tr w14:paraId="71F79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noWrap w:val="0"/>
                  <w:vAlign w:val="center"/>
                </w:tcPr>
                <w:p w14:paraId="5838550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noWrap w:val="0"/>
                  <w:vAlign w:val="center"/>
                </w:tcPr>
                <w:p w14:paraId="2480102D">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noWrap w:val="0"/>
                  <w:vAlign w:val="center"/>
                </w:tcPr>
                <w:p w14:paraId="6AEA7D1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F490D6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75.31</w:t>
                  </w:r>
                </w:p>
              </w:tc>
              <w:tc>
                <w:tcPr>
                  <w:tcW w:w="536" w:type="pct"/>
                  <w:noWrap w:val="0"/>
                  <w:vAlign w:val="center"/>
                </w:tcPr>
                <w:p w14:paraId="0E54CE2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5.46</w:t>
                  </w:r>
                </w:p>
              </w:tc>
              <w:tc>
                <w:tcPr>
                  <w:tcW w:w="437" w:type="pct"/>
                  <w:noWrap w:val="0"/>
                  <w:vAlign w:val="center"/>
                </w:tcPr>
                <w:p w14:paraId="3EE4B9F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noWrap w:val="0"/>
                  <w:vAlign w:val="center"/>
                </w:tcPr>
                <w:p w14:paraId="1886329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4D4E23C2">
                  <w:pPr>
                    <w:pStyle w:val="14"/>
                    <w:spacing w:after="0" w:line="240" w:lineRule="auto"/>
                    <w:ind w:left="0" w:leftChars="0"/>
                    <w:jc w:val="center"/>
                    <w:rPr>
                      <w:rFonts w:hint="default" w:ascii="Times New Roman" w:hAnsi="Times New Roman" w:cs="Times New Roman"/>
                      <w:color w:val="auto"/>
                      <w:szCs w:val="21"/>
                    </w:rPr>
                  </w:pPr>
                </w:p>
              </w:tc>
              <w:tc>
                <w:tcPr>
                  <w:tcW w:w="450" w:type="pct"/>
                  <w:vMerge w:val="continue"/>
                  <w:noWrap w:val="0"/>
                  <w:vAlign w:val="center"/>
                </w:tcPr>
                <w:p w14:paraId="6E747A16">
                  <w:pPr>
                    <w:pStyle w:val="14"/>
                    <w:spacing w:after="0" w:line="240" w:lineRule="auto"/>
                    <w:ind w:left="0" w:leftChars="0"/>
                    <w:jc w:val="center"/>
                    <w:rPr>
                      <w:rFonts w:hint="default" w:ascii="Times New Roman" w:hAnsi="Times New Roman" w:cs="Times New Roman"/>
                      <w:color w:val="auto"/>
                      <w:szCs w:val="21"/>
                    </w:rPr>
                  </w:pPr>
                </w:p>
              </w:tc>
            </w:tr>
            <w:tr w14:paraId="6E1D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438C8981">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w:t>
                  </w:r>
                  <w:r>
                    <w:rPr>
                      <w:rFonts w:hint="default" w:ascii="Times New Roman" w:hAnsi="Times New Roman" w:cs="Times New Roman"/>
                      <w:color w:val="auto"/>
                      <w:szCs w:val="21"/>
                    </w:rPr>
                    <w:t>西南角边界。</w:t>
                  </w:r>
                </w:p>
              </w:tc>
            </w:tr>
            <w:tr w14:paraId="19772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F8831D1">
                  <w:pPr>
                    <w:pStyle w:val="14"/>
                    <w:spacing w:after="0" w:line="240" w:lineRule="auto"/>
                    <w:ind w:left="0" w:leftChars="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lang w:val="en-US" w:eastAsia="zh-CN"/>
                    </w:rPr>
                    <w:t>H</w:t>
                  </w:r>
                </w:p>
              </w:tc>
            </w:tr>
            <w:tr w14:paraId="59B99B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1D89A55">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716D760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7C19E56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1661DE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48.73</w:t>
                  </w:r>
                </w:p>
              </w:tc>
              <w:tc>
                <w:tcPr>
                  <w:tcW w:w="536" w:type="pct"/>
                  <w:noWrap w:val="0"/>
                  <w:vAlign w:val="center"/>
                </w:tcPr>
                <w:p w14:paraId="0401CB8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63.36</w:t>
                  </w:r>
                </w:p>
              </w:tc>
              <w:tc>
                <w:tcPr>
                  <w:tcW w:w="437" w:type="pct"/>
                  <w:noWrap w:val="0"/>
                  <w:vAlign w:val="center"/>
                </w:tcPr>
                <w:p w14:paraId="60C42B1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753BB00D">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noWrap w:val="0"/>
                  <w:vAlign w:val="center"/>
                </w:tcPr>
                <w:p w14:paraId="1F476347">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noWrap w:val="0"/>
                  <w:vAlign w:val="center"/>
                </w:tcPr>
                <w:p w14:paraId="149C2824">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昼间、夜间</w:t>
                  </w:r>
                </w:p>
              </w:tc>
            </w:tr>
            <w:tr w14:paraId="39E2B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5B2F3FF">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44B23EC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17C7A9E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7596A8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0.66</w:t>
                  </w:r>
                </w:p>
              </w:tc>
              <w:tc>
                <w:tcPr>
                  <w:tcW w:w="536" w:type="pct"/>
                  <w:noWrap w:val="0"/>
                  <w:vAlign w:val="center"/>
                </w:tcPr>
                <w:p w14:paraId="3E196F9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43.24</w:t>
                  </w:r>
                </w:p>
              </w:tc>
              <w:tc>
                <w:tcPr>
                  <w:tcW w:w="437" w:type="pct"/>
                  <w:noWrap w:val="0"/>
                  <w:vAlign w:val="center"/>
                </w:tcPr>
                <w:p w14:paraId="1499F9D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284E16F">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495CB7AD">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1B8CD67">
                  <w:pPr>
                    <w:pStyle w:val="14"/>
                    <w:spacing w:after="0" w:line="240" w:lineRule="auto"/>
                    <w:ind w:left="0" w:leftChars="0"/>
                    <w:jc w:val="left"/>
                    <w:rPr>
                      <w:rFonts w:hint="default" w:ascii="Times New Roman" w:hAnsi="Times New Roman" w:cs="Times New Roman"/>
                      <w:color w:val="auto"/>
                      <w:szCs w:val="21"/>
                    </w:rPr>
                  </w:pPr>
                </w:p>
              </w:tc>
            </w:tr>
            <w:tr w14:paraId="28B87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3A89A32">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6C53355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317A63F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5F2C9E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7.52</w:t>
                  </w:r>
                </w:p>
              </w:tc>
              <w:tc>
                <w:tcPr>
                  <w:tcW w:w="536" w:type="pct"/>
                  <w:noWrap w:val="0"/>
                  <w:vAlign w:val="center"/>
                </w:tcPr>
                <w:p w14:paraId="55F54DE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22.66</w:t>
                  </w:r>
                </w:p>
              </w:tc>
              <w:tc>
                <w:tcPr>
                  <w:tcW w:w="437" w:type="pct"/>
                  <w:noWrap w:val="0"/>
                  <w:vAlign w:val="center"/>
                </w:tcPr>
                <w:p w14:paraId="06F0991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7BCF919">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63EFBF1C">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BE4BB30">
                  <w:pPr>
                    <w:pStyle w:val="14"/>
                    <w:spacing w:after="0" w:line="240" w:lineRule="auto"/>
                    <w:ind w:left="0" w:leftChars="0"/>
                    <w:jc w:val="left"/>
                    <w:rPr>
                      <w:rFonts w:hint="default" w:ascii="Times New Roman" w:hAnsi="Times New Roman" w:cs="Times New Roman"/>
                      <w:color w:val="auto"/>
                      <w:szCs w:val="21"/>
                    </w:rPr>
                  </w:pPr>
                </w:p>
              </w:tc>
            </w:tr>
            <w:tr w14:paraId="2C1FF7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A9E9F82">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2507D931">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343A7CB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1ECC0A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-12.51</w:t>
                  </w:r>
                </w:p>
              </w:tc>
              <w:tc>
                <w:tcPr>
                  <w:tcW w:w="536" w:type="pct"/>
                  <w:noWrap w:val="0"/>
                  <w:vAlign w:val="center"/>
                </w:tcPr>
                <w:p w14:paraId="20F520E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55.89</w:t>
                  </w:r>
                </w:p>
              </w:tc>
              <w:tc>
                <w:tcPr>
                  <w:tcW w:w="437" w:type="pct"/>
                  <w:noWrap w:val="0"/>
                  <w:vAlign w:val="center"/>
                </w:tcPr>
                <w:p w14:paraId="0900864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31AA4FB9">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24927959">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A37A1C8">
                  <w:pPr>
                    <w:pStyle w:val="14"/>
                    <w:spacing w:after="0" w:line="240" w:lineRule="auto"/>
                    <w:ind w:left="0" w:leftChars="0"/>
                    <w:jc w:val="left"/>
                    <w:rPr>
                      <w:rFonts w:hint="default" w:ascii="Times New Roman" w:hAnsi="Times New Roman" w:cs="Times New Roman"/>
                      <w:color w:val="auto"/>
                      <w:szCs w:val="21"/>
                    </w:rPr>
                  </w:pPr>
                </w:p>
              </w:tc>
            </w:tr>
            <w:tr w14:paraId="22C822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1CF7BE9">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0BFC0EE3">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371419D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568418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15.51</w:t>
                  </w:r>
                </w:p>
              </w:tc>
              <w:tc>
                <w:tcPr>
                  <w:tcW w:w="536" w:type="pct"/>
                  <w:noWrap w:val="0"/>
                  <w:vAlign w:val="center"/>
                </w:tcPr>
                <w:p w14:paraId="0A87624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47.4</w:t>
                  </w:r>
                </w:p>
              </w:tc>
              <w:tc>
                <w:tcPr>
                  <w:tcW w:w="437" w:type="pct"/>
                  <w:noWrap w:val="0"/>
                  <w:vAlign w:val="center"/>
                </w:tcPr>
                <w:p w14:paraId="4439EAA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EB903B6">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372D5C22">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5DDE5877">
                  <w:pPr>
                    <w:pStyle w:val="14"/>
                    <w:spacing w:after="0" w:line="240" w:lineRule="auto"/>
                    <w:ind w:left="0" w:leftChars="0"/>
                    <w:jc w:val="left"/>
                    <w:rPr>
                      <w:rFonts w:hint="default" w:ascii="Times New Roman" w:hAnsi="Times New Roman" w:cs="Times New Roman"/>
                      <w:color w:val="auto"/>
                      <w:szCs w:val="21"/>
                    </w:rPr>
                  </w:pPr>
                </w:p>
              </w:tc>
            </w:tr>
            <w:tr w14:paraId="13EEF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F1E5CC6">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1FA54EA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1E912493">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40F5B3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536" w:type="pct"/>
                  <w:noWrap w:val="0"/>
                  <w:vAlign w:val="center"/>
                </w:tcPr>
                <w:p w14:paraId="77D92CB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59.4</w:t>
                  </w:r>
                </w:p>
              </w:tc>
              <w:tc>
                <w:tcPr>
                  <w:tcW w:w="437" w:type="pct"/>
                  <w:noWrap w:val="0"/>
                  <w:vAlign w:val="center"/>
                </w:tcPr>
                <w:p w14:paraId="20B6631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831F9CA">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56687FB">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D92AA4F">
                  <w:pPr>
                    <w:pStyle w:val="14"/>
                    <w:spacing w:after="0" w:line="240" w:lineRule="auto"/>
                    <w:ind w:left="0" w:leftChars="0"/>
                    <w:jc w:val="left"/>
                    <w:rPr>
                      <w:rFonts w:hint="default" w:ascii="Times New Roman" w:hAnsi="Times New Roman" w:cs="Times New Roman"/>
                      <w:color w:val="auto"/>
                      <w:szCs w:val="21"/>
                    </w:rPr>
                  </w:pPr>
                </w:p>
              </w:tc>
            </w:tr>
            <w:tr w14:paraId="48593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B91FA9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79DA9F62">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51EC57B5">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C21CFD">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20.39</w:t>
                  </w:r>
                </w:p>
              </w:tc>
              <w:tc>
                <w:tcPr>
                  <w:tcW w:w="536" w:type="pct"/>
                  <w:noWrap w:val="0"/>
                  <w:vAlign w:val="center"/>
                </w:tcPr>
                <w:p w14:paraId="344AF23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25.15</w:t>
                  </w:r>
                </w:p>
              </w:tc>
              <w:tc>
                <w:tcPr>
                  <w:tcW w:w="437" w:type="pct"/>
                  <w:noWrap w:val="0"/>
                  <w:vAlign w:val="center"/>
                </w:tcPr>
                <w:p w14:paraId="2E50E9F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D814378">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2042AD45">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6B790270">
                  <w:pPr>
                    <w:pStyle w:val="14"/>
                    <w:spacing w:after="0" w:line="240" w:lineRule="auto"/>
                    <w:ind w:left="0" w:leftChars="0"/>
                    <w:jc w:val="left"/>
                    <w:rPr>
                      <w:rFonts w:hint="default" w:ascii="Times New Roman" w:hAnsi="Times New Roman" w:cs="Times New Roman"/>
                      <w:color w:val="auto"/>
                      <w:szCs w:val="21"/>
                    </w:rPr>
                  </w:pPr>
                </w:p>
              </w:tc>
            </w:tr>
            <w:tr w14:paraId="0573B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B2C7673">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4E367AF3">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5B26736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BF023F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26.72</w:t>
                  </w:r>
                </w:p>
              </w:tc>
              <w:tc>
                <w:tcPr>
                  <w:tcW w:w="536" w:type="pct"/>
                  <w:noWrap w:val="0"/>
                  <w:vAlign w:val="center"/>
                </w:tcPr>
                <w:p w14:paraId="2D888EB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27.09</w:t>
                  </w:r>
                </w:p>
              </w:tc>
              <w:tc>
                <w:tcPr>
                  <w:tcW w:w="437" w:type="pct"/>
                  <w:noWrap w:val="0"/>
                  <w:vAlign w:val="center"/>
                </w:tcPr>
                <w:p w14:paraId="34E5A45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EC9B276">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52531CB2">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B1B4489">
                  <w:pPr>
                    <w:pStyle w:val="14"/>
                    <w:spacing w:after="0" w:line="240" w:lineRule="auto"/>
                    <w:ind w:left="0" w:leftChars="0"/>
                    <w:jc w:val="left"/>
                    <w:rPr>
                      <w:rFonts w:hint="default" w:ascii="Times New Roman" w:hAnsi="Times New Roman" w:cs="Times New Roman"/>
                      <w:color w:val="auto"/>
                      <w:szCs w:val="21"/>
                    </w:rPr>
                  </w:pPr>
                </w:p>
              </w:tc>
            </w:tr>
            <w:tr w14:paraId="7482F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D7C65A6">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6B74A073">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55C41BEE">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B1494C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31.82</w:t>
                  </w:r>
                </w:p>
              </w:tc>
              <w:tc>
                <w:tcPr>
                  <w:tcW w:w="536" w:type="pct"/>
                  <w:noWrap w:val="0"/>
                  <w:vAlign w:val="center"/>
                </w:tcPr>
                <w:p w14:paraId="4D0B43F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34.39</w:t>
                  </w:r>
                </w:p>
              </w:tc>
              <w:tc>
                <w:tcPr>
                  <w:tcW w:w="437" w:type="pct"/>
                  <w:noWrap w:val="0"/>
                  <w:vAlign w:val="center"/>
                </w:tcPr>
                <w:p w14:paraId="71450FE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97FF667">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6C662800">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9FF9E9C">
                  <w:pPr>
                    <w:pStyle w:val="14"/>
                    <w:spacing w:after="0" w:line="240" w:lineRule="auto"/>
                    <w:ind w:left="0" w:leftChars="0"/>
                    <w:jc w:val="left"/>
                    <w:rPr>
                      <w:rFonts w:hint="default" w:ascii="Times New Roman" w:hAnsi="Times New Roman" w:cs="Times New Roman"/>
                      <w:color w:val="auto"/>
                      <w:szCs w:val="21"/>
                    </w:rPr>
                  </w:pPr>
                </w:p>
              </w:tc>
            </w:tr>
            <w:tr w14:paraId="1FCA8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6CA2D31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7E903790">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34F1D2F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449420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31.58</w:t>
                  </w:r>
                </w:p>
              </w:tc>
              <w:tc>
                <w:tcPr>
                  <w:tcW w:w="536" w:type="pct"/>
                  <w:noWrap w:val="0"/>
                  <w:vAlign w:val="center"/>
                </w:tcPr>
                <w:p w14:paraId="52125A6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39.26</w:t>
                  </w:r>
                </w:p>
              </w:tc>
              <w:tc>
                <w:tcPr>
                  <w:tcW w:w="437" w:type="pct"/>
                  <w:noWrap w:val="0"/>
                  <w:vAlign w:val="center"/>
                </w:tcPr>
                <w:p w14:paraId="2B8990E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18148A1F">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3C5A18BF">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9AB88E1">
                  <w:pPr>
                    <w:pStyle w:val="14"/>
                    <w:spacing w:after="0" w:line="240" w:lineRule="auto"/>
                    <w:ind w:left="0" w:leftChars="0"/>
                    <w:jc w:val="left"/>
                    <w:rPr>
                      <w:rFonts w:hint="default" w:ascii="Times New Roman" w:hAnsi="Times New Roman" w:cs="Times New Roman"/>
                      <w:color w:val="auto"/>
                      <w:szCs w:val="21"/>
                    </w:rPr>
                  </w:pPr>
                </w:p>
              </w:tc>
            </w:tr>
            <w:tr w14:paraId="5B8D3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4E1018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1524621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478EA3B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2506C9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4.6</w:t>
                  </w:r>
                </w:p>
              </w:tc>
              <w:tc>
                <w:tcPr>
                  <w:tcW w:w="536" w:type="pct"/>
                  <w:noWrap w:val="0"/>
                  <w:vAlign w:val="center"/>
                </w:tcPr>
                <w:p w14:paraId="6B14827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61.8</w:t>
                  </w:r>
                </w:p>
              </w:tc>
              <w:tc>
                <w:tcPr>
                  <w:tcW w:w="437" w:type="pct"/>
                  <w:noWrap w:val="0"/>
                  <w:vAlign w:val="center"/>
                </w:tcPr>
                <w:p w14:paraId="4AF8FED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F60442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66FEA293">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EC53753">
                  <w:pPr>
                    <w:pStyle w:val="14"/>
                    <w:spacing w:after="0" w:line="240" w:lineRule="auto"/>
                    <w:ind w:left="0" w:leftChars="0"/>
                    <w:jc w:val="left"/>
                    <w:rPr>
                      <w:rFonts w:hint="default" w:ascii="Times New Roman" w:hAnsi="Times New Roman" w:cs="Times New Roman"/>
                      <w:color w:val="auto"/>
                      <w:szCs w:val="21"/>
                    </w:rPr>
                  </w:pPr>
                </w:p>
              </w:tc>
            </w:tr>
            <w:tr w14:paraId="0F7D3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36E32654">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井场最南侧边界点</w:t>
                  </w:r>
                  <w:r>
                    <w:rPr>
                      <w:rFonts w:hint="default" w:ascii="Times New Roman" w:hAnsi="Times New Roman" w:cs="Times New Roman"/>
                      <w:color w:val="auto"/>
                      <w:szCs w:val="21"/>
                    </w:rPr>
                    <w:t>。</w:t>
                  </w:r>
                </w:p>
              </w:tc>
            </w:tr>
            <w:tr w14:paraId="75B05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noWrap w:val="0"/>
                  <w:vAlign w:val="center"/>
                </w:tcPr>
                <w:p w14:paraId="0AF874E6">
                  <w:pPr>
                    <w:pStyle w:val="14"/>
                    <w:spacing w:after="0" w:line="240" w:lineRule="auto"/>
                    <w:ind w:left="0" w:lef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米107-</w:t>
                  </w: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lang w:val="en-US" w:eastAsia="zh-CN"/>
                    </w:rPr>
                    <w:t>M</w:t>
                  </w:r>
                </w:p>
              </w:tc>
            </w:tr>
            <w:tr w14:paraId="3D210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33346195">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1</w:t>
                  </w:r>
                </w:p>
              </w:tc>
              <w:tc>
                <w:tcPr>
                  <w:tcW w:w="816" w:type="pct"/>
                  <w:shd w:val="clear" w:color="auto" w:fill="auto"/>
                  <w:noWrap w:val="0"/>
                  <w:vAlign w:val="center"/>
                </w:tcPr>
                <w:p w14:paraId="0FC432FD">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钻机</w:t>
                  </w:r>
                </w:p>
              </w:tc>
              <w:tc>
                <w:tcPr>
                  <w:tcW w:w="445" w:type="pct"/>
                  <w:shd w:val="clear" w:color="auto" w:fill="auto"/>
                  <w:noWrap w:val="0"/>
                  <w:vAlign w:val="center"/>
                </w:tcPr>
                <w:p w14:paraId="68846A8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32A20D0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12.65</w:t>
                  </w:r>
                </w:p>
              </w:tc>
              <w:tc>
                <w:tcPr>
                  <w:tcW w:w="536" w:type="pct"/>
                  <w:noWrap w:val="0"/>
                  <w:vAlign w:val="center"/>
                </w:tcPr>
                <w:p w14:paraId="76251DA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97.93</w:t>
                  </w:r>
                </w:p>
              </w:tc>
              <w:tc>
                <w:tcPr>
                  <w:tcW w:w="437" w:type="pct"/>
                  <w:noWrap w:val="0"/>
                  <w:vAlign w:val="center"/>
                </w:tcPr>
                <w:p w14:paraId="159FD4BD">
                  <w:pPr>
                    <w:pStyle w:val="14"/>
                    <w:spacing w:after="0" w:line="240" w:lineRule="auto"/>
                    <w:ind w:left="0" w:leftChars="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w:t>
                  </w:r>
                </w:p>
              </w:tc>
              <w:tc>
                <w:tcPr>
                  <w:tcW w:w="704" w:type="pct"/>
                  <w:shd w:val="clear" w:color="auto" w:fill="auto"/>
                  <w:noWrap w:val="0"/>
                  <w:vAlign w:val="center"/>
                </w:tcPr>
                <w:p w14:paraId="1879E8E0">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90</w:t>
                  </w:r>
                </w:p>
              </w:tc>
              <w:tc>
                <w:tcPr>
                  <w:tcW w:w="764" w:type="pct"/>
                  <w:vMerge w:val="restart"/>
                  <w:shd w:val="clear" w:color="auto" w:fill="auto"/>
                  <w:noWrap w:val="0"/>
                  <w:vAlign w:val="center"/>
                </w:tcPr>
                <w:p w14:paraId="5B2039A1">
                  <w:pPr>
                    <w:pStyle w:val="14"/>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选用低噪声型号</w:t>
                  </w:r>
                  <w:r>
                    <w:rPr>
                      <w:rFonts w:hint="eastAsia" w:ascii="Times New Roman" w:hAnsi="Times New Roman" w:eastAsia="宋体" w:cs="Times New Roman"/>
                      <w:color w:val="auto"/>
                      <w:szCs w:val="21"/>
                      <w:lang w:val="en-US" w:eastAsia="zh-CN"/>
                    </w:rPr>
                    <w:t>设备</w:t>
                  </w:r>
                  <w:r>
                    <w:rPr>
                      <w:rFonts w:hint="default" w:ascii="Times New Roman" w:hAnsi="Times New Roman" w:cs="Times New Roman"/>
                      <w:color w:val="auto"/>
                      <w:szCs w:val="21"/>
                    </w:rPr>
                    <w:t>、基础减振、管道软连接等降噪</w:t>
                  </w:r>
                </w:p>
              </w:tc>
              <w:tc>
                <w:tcPr>
                  <w:tcW w:w="450" w:type="pct"/>
                  <w:vMerge w:val="restart"/>
                  <w:shd w:val="clear" w:color="auto" w:fill="auto"/>
                  <w:noWrap w:val="0"/>
                  <w:vAlign w:val="center"/>
                </w:tcPr>
                <w:p w14:paraId="61B855AB">
                  <w:pPr>
                    <w:pStyle w:val="14"/>
                    <w:spacing w:after="0" w:line="240" w:lineRule="auto"/>
                    <w:ind w:left="0" w:leftChars="0"/>
                    <w:jc w:val="left"/>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Cs w:val="21"/>
                    </w:rPr>
                    <w:t>昼间、夜间</w:t>
                  </w:r>
                </w:p>
              </w:tc>
            </w:tr>
            <w:tr w14:paraId="7F641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C2AF1A0">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2</w:t>
                  </w:r>
                </w:p>
              </w:tc>
              <w:tc>
                <w:tcPr>
                  <w:tcW w:w="816" w:type="pct"/>
                  <w:shd w:val="clear" w:color="auto" w:fill="auto"/>
                  <w:noWrap w:val="0"/>
                  <w:vAlign w:val="center"/>
                </w:tcPr>
                <w:p w14:paraId="34D6DA15">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泥浆泵（2台）</w:t>
                  </w:r>
                </w:p>
              </w:tc>
              <w:tc>
                <w:tcPr>
                  <w:tcW w:w="445" w:type="pct"/>
                  <w:shd w:val="clear" w:color="auto" w:fill="auto"/>
                  <w:noWrap w:val="0"/>
                  <w:vAlign w:val="center"/>
                </w:tcPr>
                <w:p w14:paraId="59D64314">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28873B5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-38.62</w:t>
                  </w:r>
                </w:p>
              </w:tc>
              <w:tc>
                <w:tcPr>
                  <w:tcW w:w="536" w:type="pct"/>
                  <w:noWrap w:val="0"/>
                  <w:vAlign w:val="center"/>
                </w:tcPr>
                <w:p w14:paraId="0758CF34">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124.59</w:t>
                  </w:r>
                </w:p>
              </w:tc>
              <w:tc>
                <w:tcPr>
                  <w:tcW w:w="437" w:type="pct"/>
                  <w:noWrap w:val="0"/>
                  <w:vAlign w:val="center"/>
                </w:tcPr>
                <w:p w14:paraId="4A0CBA8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DEACFB4">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2F58FCF4">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CAF01BF">
                  <w:pPr>
                    <w:pStyle w:val="14"/>
                    <w:spacing w:after="0" w:line="240" w:lineRule="auto"/>
                    <w:ind w:left="0" w:leftChars="0"/>
                    <w:jc w:val="left"/>
                    <w:rPr>
                      <w:rFonts w:hint="default" w:ascii="Times New Roman" w:hAnsi="Times New Roman" w:cs="Times New Roman"/>
                      <w:color w:val="auto"/>
                      <w:szCs w:val="21"/>
                    </w:rPr>
                  </w:pPr>
                </w:p>
              </w:tc>
            </w:tr>
            <w:tr w14:paraId="6AEA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487EA14D">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3</w:t>
                  </w:r>
                </w:p>
              </w:tc>
              <w:tc>
                <w:tcPr>
                  <w:tcW w:w="816" w:type="pct"/>
                  <w:shd w:val="clear" w:color="auto" w:fill="auto"/>
                  <w:noWrap w:val="0"/>
                  <w:vAlign w:val="center"/>
                </w:tcPr>
                <w:p w14:paraId="40AC6A9E">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除泥器</w:t>
                  </w:r>
                </w:p>
              </w:tc>
              <w:tc>
                <w:tcPr>
                  <w:tcW w:w="445" w:type="pct"/>
                  <w:shd w:val="clear" w:color="auto" w:fill="auto"/>
                  <w:noWrap w:val="0"/>
                  <w:vAlign w:val="center"/>
                </w:tcPr>
                <w:p w14:paraId="3897361F">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289B0E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-21.3</w:t>
                  </w:r>
                </w:p>
              </w:tc>
              <w:tc>
                <w:tcPr>
                  <w:tcW w:w="536" w:type="pct"/>
                  <w:noWrap w:val="0"/>
                  <w:vAlign w:val="center"/>
                </w:tcPr>
                <w:p w14:paraId="3CBCD410">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138.2</w:t>
                  </w:r>
                </w:p>
              </w:tc>
              <w:tc>
                <w:tcPr>
                  <w:tcW w:w="437" w:type="pct"/>
                  <w:noWrap w:val="0"/>
                  <w:vAlign w:val="center"/>
                </w:tcPr>
                <w:p w14:paraId="2DCF440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2AA9C79F">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0BD56C08">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9AB7C5F">
                  <w:pPr>
                    <w:pStyle w:val="14"/>
                    <w:spacing w:after="0" w:line="240" w:lineRule="auto"/>
                    <w:ind w:left="0" w:leftChars="0"/>
                    <w:jc w:val="left"/>
                    <w:rPr>
                      <w:rFonts w:hint="default" w:ascii="Times New Roman" w:hAnsi="Times New Roman" w:cs="Times New Roman"/>
                      <w:color w:val="auto"/>
                      <w:szCs w:val="21"/>
                    </w:rPr>
                  </w:pPr>
                </w:p>
              </w:tc>
            </w:tr>
            <w:tr w14:paraId="4419F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BB880C5">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4</w:t>
                  </w:r>
                </w:p>
              </w:tc>
              <w:tc>
                <w:tcPr>
                  <w:tcW w:w="816" w:type="pct"/>
                  <w:shd w:val="clear" w:color="auto" w:fill="auto"/>
                  <w:noWrap w:val="0"/>
                  <w:vAlign w:val="center"/>
                </w:tcPr>
                <w:p w14:paraId="07176851">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除砂器</w:t>
                  </w:r>
                </w:p>
              </w:tc>
              <w:tc>
                <w:tcPr>
                  <w:tcW w:w="445" w:type="pct"/>
                  <w:shd w:val="clear" w:color="auto" w:fill="auto"/>
                  <w:noWrap w:val="0"/>
                  <w:vAlign w:val="center"/>
                </w:tcPr>
                <w:p w14:paraId="2083EF3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0815E3C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-1.51</w:t>
                  </w:r>
                </w:p>
              </w:tc>
              <w:tc>
                <w:tcPr>
                  <w:tcW w:w="536" w:type="pct"/>
                  <w:noWrap w:val="0"/>
                  <w:vAlign w:val="center"/>
                </w:tcPr>
                <w:p w14:paraId="29FB3B83">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148.71</w:t>
                  </w:r>
                </w:p>
              </w:tc>
              <w:tc>
                <w:tcPr>
                  <w:tcW w:w="437" w:type="pct"/>
                  <w:noWrap w:val="0"/>
                  <w:vAlign w:val="center"/>
                </w:tcPr>
                <w:p w14:paraId="76530CF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D47EADF">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65</w:t>
                  </w:r>
                </w:p>
              </w:tc>
              <w:tc>
                <w:tcPr>
                  <w:tcW w:w="764" w:type="pct"/>
                  <w:vMerge w:val="continue"/>
                  <w:noWrap w:val="0"/>
                  <w:vAlign w:val="center"/>
                </w:tcPr>
                <w:p w14:paraId="581850BF">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487E5CE7">
                  <w:pPr>
                    <w:pStyle w:val="14"/>
                    <w:spacing w:after="0" w:line="240" w:lineRule="auto"/>
                    <w:ind w:left="0" w:leftChars="0"/>
                    <w:jc w:val="left"/>
                    <w:rPr>
                      <w:rFonts w:hint="default" w:ascii="Times New Roman" w:hAnsi="Times New Roman" w:cs="Times New Roman"/>
                      <w:color w:val="auto"/>
                      <w:szCs w:val="21"/>
                    </w:rPr>
                  </w:pPr>
                </w:p>
              </w:tc>
            </w:tr>
            <w:tr w14:paraId="6903F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09E00387">
                  <w:pPr>
                    <w:jc w:val="center"/>
                    <w:rPr>
                      <w:rFonts w:hint="default" w:ascii="Times New Roman" w:hAnsi="Times New Roman" w:cs="Times New Roman" w:eastAsiaTheme="minorHAnsi"/>
                      <w:color w:val="auto"/>
                      <w:sz w:val="21"/>
                      <w:szCs w:val="21"/>
                      <w:lang w:val="en-US" w:eastAsia="en-US" w:bidi="ar-SA"/>
                    </w:rPr>
                  </w:pPr>
                  <w:r>
                    <w:rPr>
                      <w:rFonts w:hint="default" w:ascii="Times New Roman" w:hAnsi="Times New Roman" w:cs="Times New Roman"/>
                      <w:color w:val="auto"/>
                      <w:sz w:val="21"/>
                      <w:szCs w:val="21"/>
                    </w:rPr>
                    <w:t>5</w:t>
                  </w:r>
                </w:p>
              </w:tc>
              <w:tc>
                <w:tcPr>
                  <w:tcW w:w="816" w:type="pct"/>
                  <w:shd w:val="clear" w:color="auto" w:fill="auto"/>
                  <w:noWrap w:val="0"/>
                  <w:vAlign w:val="center"/>
                </w:tcPr>
                <w:p w14:paraId="3BF7A93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振动筛（3台）</w:t>
                  </w:r>
                </w:p>
              </w:tc>
              <w:tc>
                <w:tcPr>
                  <w:tcW w:w="445" w:type="pct"/>
                  <w:shd w:val="clear" w:color="auto" w:fill="auto"/>
                  <w:noWrap w:val="0"/>
                  <w:vAlign w:val="center"/>
                </w:tcPr>
                <w:p w14:paraId="6A627B2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16B772E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15.2</w:t>
                  </w:r>
                </w:p>
              </w:tc>
              <w:tc>
                <w:tcPr>
                  <w:tcW w:w="536" w:type="pct"/>
                  <w:noWrap w:val="0"/>
                  <w:vAlign w:val="center"/>
                </w:tcPr>
                <w:p w14:paraId="27DFA3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159.85</w:t>
                  </w:r>
                </w:p>
              </w:tc>
              <w:tc>
                <w:tcPr>
                  <w:tcW w:w="437" w:type="pct"/>
                  <w:noWrap w:val="0"/>
                  <w:vAlign w:val="center"/>
                </w:tcPr>
                <w:p w14:paraId="340635C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4C4FCBF2">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69.7</w:t>
                  </w:r>
                </w:p>
              </w:tc>
              <w:tc>
                <w:tcPr>
                  <w:tcW w:w="764" w:type="pct"/>
                  <w:vMerge w:val="continue"/>
                  <w:noWrap w:val="0"/>
                  <w:vAlign w:val="center"/>
                </w:tcPr>
                <w:p w14:paraId="65C449CA">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209D168A">
                  <w:pPr>
                    <w:pStyle w:val="14"/>
                    <w:spacing w:after="0" w:line="240" w:lineRule="auto"/>
                    <w:ind w:left="0" w:leftChars="0"/>
                    <w:jc w:val="left"/>
                    <w:rPr>
                      <w:rFonts w:hint="default" w:ascii="Times New Roman" w:hAnsi="Times New Roman" w:cs="Times New Roman"/>
                      <w:color w:val="auto"/>
                      <w:szCs w:val="21"/>
                    </w:rPr>
                  </w:pPr>
                </w:p>
              </w:tc>
            </w:tr>
            <w:tr w14:paraId="312DB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76C2473">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6</w:t>
                  </w:r>
                </w:p>
              </w:tc>
              <w:tc>
                <w:tcPr>
                  <w:tcW w:w="816" w:type="pct"/>
                  <w:shd w:val="clear" w:color="auto" w:fill="auto"/>
                  <w:noWrap w:val="0"/>
                  <w:vAlign w:val="center"/>
                </w:tcPr>
                <w:p w14:paraId="4B5255BF">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离心机（2台）</w:t>
                  </w:r>
                </w:p>
              </w:tc>
              <w:tc>
                <w:tcPr>
                  <w:tcW w:w="445" w:type="pct"/>
                  <w:shd w:val="clear" w:color="auto" w:fill="auto"/>
                  <w:noWrap w:val="0"/>
                  <w:vAlign w:val="center"/>
                </w:tcPr>
                <w:p w14:paraId="05D99279">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4A3267E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-47.9</w:t>
                  </w:r>
                </w:p>
              </w:tc>
              <w:tc>
                <w:tcPr>
                  <w:tcW w:w="536" w:type="pct"/>
                  <w:noWrap w:val="0"/>
                  <w:vAlign w:val="center"/>
                </w:tcPr>
                <w:p w14:paraId="6910C9D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139.43</w:t>
                  </w:r>
                </w:p>
              </w:tc>
              <w:tc>
                <w:tcPr>
                  <w:tcW w:w="437" w:type="pct"/>
                  <w:noWrap w:val="0"/>
                  <w:vAlign w:val="center"/>
                </w:tcPr>
                <w:p w14:paraId="120C446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41B13B5">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1C572E02">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6D949FB">
                  <w:pPr>
                    <w:pStyle w:val="14"/>
                    <w:spacing w:after="0" w:line="240" w:lineRule="auto"/>
                    <w:ind w:left="0" w:leftChars="0"/>
                    <w:jc w:val="left"/>
                    <w:rPr>
                      <w:rFonts w:hint="default" w:ascii="Times New Roman" w:hAnsi="Times New Roman" w:cs="Times New Roman"/>
                      <w:color w:val="auto"/>
                      <w:szCs w:val="21"/>
                    </w:rPr>
                  </w:pPr>
                </w:p>
              </w:tc>
            </w:tr>
            <w:tr w14:paraId="2922F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2F732C0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7</w:t>
                  </w:r>
                </w:p>
              </w:tc>
              <w:tc>
                <w:tcPr>
                  <w:tcW w:w="816" w:type="pct"/>
                  <w:shd w:val="clear" w:color="auto" w:fill="auto"/>
                  <w:noWrap w:val="0"/>
                  <w:vAlign w:val="center"/>
                </w:tcPr>
                <w:p w14:paraId="00B8C11B">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自动压风机</w:t>
                  </w:r>
                </w:p>
              </w:tc>
              <w:tc>
                <w:tcPr>
                  <w:tcW w:w="445" w:type="pct"/>
                  <w:shd w:val="clear" w:color="auto" w:fill="auto"/>
                  <w:noWrap w:val="0"/>
                  <w:vAlign w:val="center"/>
                </w:tcPr>
                <w:p w14:paraId="68535C88">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74DD83C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-31.2</w:t>
                  </w:r>
                </w:p>
              </w:tc>
              <w:tc>
                <w:tcPr>
                  <w:tcW w:w="536" w:type="pct"/>
                  <w:noWrap w:val="0"/>
                  <w:vAlign w:val="center"/>
                </w:tcPr>
                <w:p w14:paraId="6A16DF7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148.71</w:t>
                  </w:r>
                </w:p>
              </w:tc>
              <w:tc>
                <w:tcPr>
                  <w:tcW w:w="437" w:type="pct"/>
                  <w:noWrap w:val="0"/>
                  <w:vAlign w:val="center"/>
                </w:tcPr>
                <w:p w14:paraId="18DB394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C94C632">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71</w:t>
                  </w:r>
                </w:p>
              </w:tc>
              <w:tc>
                <w:tcPr>
                  <w:tcW w:w="764" w:type="pct"/>
                  <w:vMerge w:val="continue"/>
                  <w:noWrap w:val="0"/>
                  <w:vAlign w:val="center"/>
                </w:tcPr>
                <w:p w14:paraId="2B165053">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58523A9">
                  <w:pPr>
                    <w:pStyle w:val="14"/>
                    <w:spacing w:after="0" w:line="240" w:lineRule="auto"/>
                    <w:ind w:left="0" w:leftChars="0"/>
                    <w:jc w:val="left"/>
                    <w:rPr>
                      <w:rFonts w:hint="default" w:ascii="Times New Roman" w:hAnsi="Times New Roman" w:cs="Times New Roman"/>
                      <w:color w:val="auto"/>
                      <w:szCs w:val="21"/>
                    </w:rPr>
                  </w:pPr>
                </w:p>
              </w:tc>
            </w:tr>
            <w:tr w14:paraId="73300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49E9D2A">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8</w:t>
                  </w:r>
                </w:p>
              </w:tc>
              <w:tc>
                <w:tcPr>
                  <w:tcW w:w="816" w:type="pct"/>
                  <w:shd w:val="clear" w:color="auto" w:fill="auto"/>
                  <w:noWrap w:val="0"/>
                  <w:vAlign w:val="center"/>
                </w:tcPr>
                <w:p w14:paraId="53FAA86C">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电动压风机</w:t>
                  </w:r>
                </w:p>
              </w:tc>
              <w:tc>
                <w:tcPr>
                  <w:tcW w:w="445" w:type="pct"/>
                  <w:shd w:val="clear" w:color="auto" w:fill="auto"/>
                  <w:noWrap w:val="0"/>
                  <w:vAlign w:val="center"/>
                </w:tcPr>
                <w:p w14:paraId="0DFCA587">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8CE6801">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-15.73</w:t>
                  </w:r>
                </w:p>
              </w:tc>
              <w:tc>
                <w:tcPr>
                  <w:tcW w:w="536" w:type="pct"/>
                  <w:noWrap w:val="0"/>
                  <w:vAlign w:val="center"/>
                </w:tcPr>
                <w:p w14:paraId="05AF80EF">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156.13</w:t>
                  </w:r>
                </w:p>
              </w:tc>
              <w:tc>
                <w:tcPr>
                  <w:tcW w:w="437" w:type="pct"/>
                  <w:noWrap w:val="0"/>
                  <w:vAlign w:val="center"/>
                </w:tcPr>
                <w:p w14:paraId="5AAE43E6">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BF9F3ED">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70</w:t>
                  </w:r>
                </w:p>
              </w:tc>
              <w:tc>
                <w:tcPr>
                  <w:tcW w:w="764" w:type="pct"/>
                  <w:vMerge w:val="continue"/>
                  <w:noWrap w:val="0"/>
                  <w:vAlign w:val="center"/>
                </w:tcPr>
                <w:p w14:paraId="0C4EF60B">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939C860">
                  <w:pPr>
                    <w:pStyle w:val="14"/>
                    <w:spacing w:after="0" w:line="240" w:lineRule="auto"/>
                    <w:ind w:left="0" w:leftChars="0"/>
                    <w:jc w:val="left"/>
                    <w:rPr>
                      <w:rFonts w:hint="default" w:ascii="Times New Roman" w:hAnsi="Times New Roman" w:cs="Times New Roman"/>
                      <w:color w:val="auto"/>
                      <w:szCs w:val="21"/>
                    </w:rPr>
                  </w:pPr>
                </w:p>
              </w:tc>
            </w:tr>
            <w:tr w14:paraId="55051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5888FBB0">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p>
              </w:tc>
              <w:tc>
                <w:tcPr>
                  <w:tcW w:w="816" w:type="pct"/>
                  <w:shd w:val="clear" w:color="auto" w:fill="auto"/>
                  <w:noWrap w:val="0"/>
                  <w:vAlign w:val="center"/>
                </w:tcPr>
                <w:p w14:paraId="7F028637">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钻井泵（2台）</w:t>
                  </w:r>
                </w:p>
              </w:tc>
              <w:tc>
                <w:tcPr>
                  <w:tcW w:w="445" w:type="pct"/>
                  <w:shd w:val="clear" w:color="auto" w:fill="auto"/>
                  <w:noWrap w:val="0"/>
                  <w:vAlign w:val="center"/>
                </w:tcPr>
                <w:p w14:paraId="0DC11823">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58062229">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536" w:type="pct"/>
                  <w:noWrap w:val="0"/>
                  <w:vAlign w:val="center"/>
                </w:tcPr>
                <w:p w14:paraId="6FE12CEB">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112.22</w:t>
                  </w:r>
                </w:p>
              </w:tc>
              <w:tc>
                <w:tcPr>
                  <w:tcW w:w="437" w:type="pct"/>
                  <w:noWrap w:val="0"/>
                  <w:vAlign w:val="center"/>
                </w:tcPr>
                <w:p w14:paraId="1C199B0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0C71204B">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71B00B08">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77AA92B9">
                  <w:pPr>
                    <w:pStyle w:val="14"/>
                    <w:spacing w:after="0" w:line="240" w:lineRule="auto"/>
                    <w:ind w:left="0" w:leftChars="0"/>
                    <w:jc w:val="left"/>
                    <w:rPr>
                      <w:rFonts w:hint="default" w:ascii="Times New Roman" w:hAnsi="Times New Roman" w:cs="Times New Roman"/>
                      <w:color w:val="auto"/>
                      <w:szCs w:val="21"/>
                    </w:rPr>
                  </w:pPr>
                </w:p>
              </w:tc>
            </w:tr>
            <w:tr w14:paraId="2004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7C0A47B1">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10</w:t>
                  </w:r>
                </w:p>
              </w:tc>
              <w:tc>
                <w:tcPr>
                  <w:tcW w:w="816" w:type="pct"/>
                  <w:shd w:val="clear" w:color="auto" w:fill="auto"/>
                  <w:noWrap w:val="0"/>
                  <w:vAlign w:val="center"/>
                </w:tcPr>
                <w:p w14:paraId="4F5C5312">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加重泵（2台）</w:t>
                  </w:r>
                </w:p>
              </w:tc>
              <w:tc>
                <w:tcPr>
                  <w:tcW w:w="445" w:type="pct"/>
                  <w:shd w:val="clear" w:color="auto" w:fill="auto"/>
                  <w:noWrap w:val="0"/>
                  <w:vAlign w:val="center"/>
                </w:tcPr>
                <w:p w14:paraId="12516BCB">
                  <w:pPr>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66548FC">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23.24</w:t>
                  </w:r>
                </w:p>
              </w:tc>
              <w:tc>
                <w:tcPr>
                  <w:tcW w:w="536" w:type="pct"/>
                  <w:noWrap w:val="0"/>
                  <w:vAlign w:val="center"/>
                </w:tcPr>
                <w:p w14:paraId="66EEAA1A">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121.5</w:t>
                  </w:r>
                </w:p>
              </w:tc>
              <w:tc>
                <w:tcPr>
                  <w:tcW w:w="437" w:type="pct"/>
                  <w:noWrap w:val="0"/>
                  <w:vAlign w:val="center"/>
                </w:tcPr>
                <w:p w14:paraId="0E315B28">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58FA1337">
                  <w:pPr>
                    <w:pStyle w:val="14"/>
                    <w:spacing w:after="0" w:line="240" w:lineRule="auto"/>
                    <w:ind w:left="0" w:leftChars="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764" w:type="pct"/>
                  <w:vMerge w:val="continue"/>
                  <w:noWrap w:val="0"/>
                  <w:vAlign w:val="center"/>
                </w:tcPr>
                <w:p w14:paraId="6D38D5AF">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3BFB27C1">
                  <w:pPr>
                    <w:pStyle w:val="14"/>
                    <w:spacing w:after="0" w:line="240" w:lineRule="auto"/>
                    <w:ind w:left="0" w:leftChars="0"/>
                    <w:jc w:val="left"/>
                    <w:rPr>
                      <w:rFonts w:hint="default" w:ascii="Times New Roman" w:hAnsi="Times New Roman" w:cs="Times New Roman"/>
                      <w:color w:val="auto"/>
                      <w:szCs w:val="21"/>
                    </w:rPr>
                  </w:pPr>
                </w:p>
              </w:tc>
            </w:tr>
            <w:tr w14:paraId="052EF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263" w:type="pct"/>
                  <w:shd w:val="clear" w:color="auto" w:fill="auto"/>
                  <w:noWrap w:val="0"/>
                  <w:vAlign w:val="center"/>
                </w:tcPr>
                <w:p w14:paraId="19DCFF0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816" w:type="pct"/>
                  <w:shd w:val="clear" w:color="auto" w:fill="auto"/>
                  <w:noWrap w:val="0"/>
                  <w:vAlign w:val="center"/>
                </w:tcPr>
                <w:p w14:paraId="25B9CDA5">
                  <w:pPr>
                    <w:tabs>
                      <w:tab w:val="left" w:pos="600"/>
                    </w:tabs>
                    <w:adjustRightInd w:val="0"/>
                    <w:snapToGrid w:val="0"/>
                    <w:spacing w:line="24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压滤机</w:t>
                  </w:r>
                </w:p>
              </w:tc>
              <w:tc>
                <w:tcPr>
                  <w:tcW w:w="445" w:type="pct"/>
                  <w:shd w:val="clear" w:color="auto" w:fill="auto"/>
                  <w:noWrap w:val="0"/>
                  <w:vAlign w:val="center"/>
                </w:tcPr>
                <w:p w14:paraId="1BE8D59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80" w:type="pct"/>
                  <w:noWrap w:val="0"/>
                  <w:vAlign w:val="center"/>
                </w:tcPr>
                <w:p w14:paraId="6C13BDF7">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-44.69</w:t>
                  </w:r>
                </w:p>
              </w:tc>
              <w:tc>
                <w:tcPr>
                  <w:tcW w:w="536" w:type="pct"/>
                  <w:noWrap w:val="0"/>
                  <w:vAlign w:val="center"/>
                </w:tcPr>
                <w:p w14:paraId="25275C82">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146.58</w:t>
                  </w:r>
                </w:p>
              </w:tc>
              <w:tc>
                <w:tcPr>
                  <w:tcW w:w="437" w:type="pct"/>
                  <w:noWrap w:val="0"/>
                  <w:vAlign w:val="center"/>
                </w:tcPr>
                <w:p w14:paraId="7BBD6BDE">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w:t>
                  </w:r>
                </w:p>
              </w:tc>
              <w:tc>
                <w:tcPr>
                  <w:tcW w:w="704" w:type="pct"/>
                  <w:shd w:val="clear" w:color="auto" w:fill="auto"/>
                  <w:noWrap w:val="0"/>
                  <w:vAlign w:val="center"/>
                </w:tcPr>
                <w:p w14:paraId="7CB61DD5">
                  <w:pPr>
                    <w:pStyle w:val="14"/>
                    <w:spacing w:after="0" w:line="240" w:lineRule="auto"/>
                    <w:ind w:left="0" w:leftChars="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64" w:type="pct"/>
                  <w:vMerge w:val="continue"/>
                  <w:noWrap w:val="0"/>
                  <w:vAlign w:val="center"/>
                </w:tcPr>
                <w:p w14:paraId="1F3AF6B9">
                  <w:pPr>
                    <w:pStyle w:val="14"/>
                    <w:spacing w:after="0" w:line="240" w:lineRule="auto"/>
                    <w:ind w:left="0" w:leftChars="0"/>
                    <w:jc w:val="left"/>
                    <w:rPr>
                      <w:rFonts w:hint="default" w:ascii="Times New Roman" w:hAnsi="Times New Roman" w:cs="Times New Roman"/>
                      <w:color w:val="auto"/>
                      <w:szCs w:val="21"/>
                    </w:rPr>
                  </w:pPr>
                </w:p>
              </w:tc>
              <w:tc>
                <w:tcPr>
                  <w:tcW w:w="450" w:type="pct"/>
                  <w:vMerge w:val="continue"/>
                  <w:noWrap w:val="0"/>
                  <w:vAlign w:val="center"/>
                </w:tcPr>
                <w:p w14:paraId="1CFE2B43">
                  <w:pPr>
                    <w:pStyle w:val="14"/>
                    <w:spacing w:after="0" w:line="240" w:lineRule="auto"/>
                    <w:ind w:left="0" w:leftChars="0"/>
                    <w:jc w:val="left"/>
                    <w:rPr>
                      <w:rFonts w:hint="default" w:ascii="Times New Roman" w:hAnsi="Times New Roman" w:cs="Times New Roman"/>
                      <w:color w:val="auto"/>
                      <w:szCs w:val="21"/>
                    </w:rPr>
                  </w:pPr>
                </w:p>
              </w:tc>
            </w:tr>
            <w:tr w14:paraId="52364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9"/>
                  <w:shd w:val="clear" w:color="auto" w:fill="auto"/>
                  <w:noWrap w:val="0"/>
                  <w:vAlign w:val="center"/>
                </w:tcPr>
                <w:p w14:paraId="0AB8CE66">
                  <w:pPr>
                    <w:pStyle w:val="14"/>
                    <w:spacing w:after="0" w:line="240" w:lineRule="auto"/>
                    <w:ind w:left="0" w:leftChars="0"/>
                    <w:jc w:val="left"/>
                    <w:rPr>
                      <w:rFonts w:hint="default" w:ascii="Times New Roman" w:hAnsi="Times New Roman" w:cs="Times New Roman"/>
                      <w:color w:val="auto"/>
                      <w:szCs w:val="21"/>
                    </w:rPr>
                  </w:pPr>
                  <w:r>
                    <w:rPr>
                      <w:rFonts w:hint="default" w:ascii="Times New Roman" w:hAnsi="Times New Roman" w:cs="Times New Roman"/>
                      <w:color w:val="auto"/>
                      <w:szCs w:val="21"/>
                    </w:rPr>
                    <w:t>备注：基准点选取为</w:t>
                  </w:r>
                  <w:r>
                    <w:rPr>
                      <w:rFonts w:hint="eastAsia" w:ascii="Times New Roman" w:hAnsi="Times New Roman" w:eastAsia="宋体" w:cs="Times New Roman"/>
                      <w:color w:val="auto"/>
                      <w:szCs w:val="21"/>
                      <w:lang w:val="en-US" w:eastAsia="zh-CN"/>
                    </w:rPr>
                    <w:t>井场最南侧边界点</w:t>
                  </w:r>
                  <w:r>
                    <w:rPr>
                      <w:rFonts w:hint="default" w:ascii="Times New Roman" w:hAnsi="Times New Roman" w:cs="Times New Roman"/>
                      <w:color w:val="auto"/>
                      <w:szCs w:val="21"/>
                    </w:rPr>
                    <w:t>。</w:t>
                  </w:r>
                </w:p>
              </w:tc>
            </w:tr>
          </w:tbl>
          <w:p w14:paraId="1DA8A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在不考虑声传播过程中屏障隔声、空气吸收、地面效应的前提下，利用点声源衰减模式，对噪声影响的范围进行计算，结果见表4-4。</w:t>
            </w:r>
          </w:p>
          <w:p w14:paraId="2BB9F5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根据本项目施工期间主要噪声源的特征，可采用点声源距离衰减公式对主要声源产生声环境质量影响进行预测，具体公式如下：</w:t>
            </w:r>
          </w:p>
          <w:p w14:paraId="3F3001E2">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本项目室外声源按照点声源几何发散衰减模式计算：</w:t>
            </w:r>
          </w:p>
          <w:p w14:paraId="1BE8F3D0">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i/>
                <w:color w:val="auto"/>
                <w:position w:val="-30"/>
              </w:rPr>
              <w:object>
                <v:shape id="_x0000_i1026" o:spt="75" type="#_x0000_t75" style="height:34pt;width:114.95pt;" o:ole="t" filled="f" o:preferrelative="t" stroked="f" coordsize="21600,21600">
                  <v:path/>
                  <v:fill on="f" focussize="0,0"/>
                  <v:stroke on="f"/>
                  <v:imagedata r:id="rId22" o:title=""/>
                  <o:lock v:ext="edit" aspectratio="t"/>
                  <w10:wrap type="none"/>
                  <w10:anchorlock/>
                </v:shape>
                <o:OLEObject Type="Embed" ProgID="Equation.KSEE3" ShapeID="_x0000_i1026" DrawAspect="Content" ObjectID="_1468075726" r:id="rId21">
                  <o:LockedField>false</o:LockedField>
                </o:OLEObject>
              </w:object>
            </w:r>
          </w:p>
          <w:p w14:paraId="63A02342">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val="0"/>
                <w:color w:val="auto"/>
              </w:rPr>
              <w:t>）——预测点处声压级，dB；</w:t>
            </w:r>
          </w:p>
          <w:p w14:paraId="16A61039">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p</w:t>
            </w:r>
            <w:r>
              <w:rPr>
                <w:rFonts w:hint="default" w:ascii="Times New Roman" w:hAnsi="Times New Roman" w:cs="Times New Roman"/>
                <w:i w:val="0"/>
                <w:color w:val="auto"/>
              </w:rPr>
              <w:t>（</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w:t>
            </w: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处的声压级，dB；</w:t>
            </w:r>
          </w:p>
          <w:p w14:paraId="4E6F04CD">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val="0"/>
                <w:color w:val="auto"/>
              </w:rPr>
              <w:t>——预测点距声源的距离；</w:t>
            </w:r>
          </w:p>
          <w:p w14:paraId="2DF5C266">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r</w:t>
            </w:r>
            <w:r>
              <w:rPr>
                <w:rFonts w:hint="default" w:ascii="Times New Roman" w:hAnsi="Times New Roman" w:cs="Times New Roman"/>
                <w:i/>
                <w:iCs/>
                <w:color w:val="auto"/>
                <w:vertAlign w:val="subscript"/>
              </w:rPr>
              <w:t>0</w:t>
            </w:r>
            <w:r>
              <w:rPr>
                <w:rFonts w:hint="default" w:ascii="Times New Roman" w:hAnsi="Times New Roman" w:cs="Times New Roman"/>
                <w:i w:val="0"/>
                <w:color w:val="auto"/>
              </w:rPr>
              <w:t>——参考位置距声源的距离。</w:t>
            </w:r>
          </w:p>
          <w:p w14:paraId="2B1868D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（3）工业企业噪声计算</w:t>
            </w:r>
          </w:p>
          <w:p w14:paraId="46FCF8DA">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设第i个室外声源在预测点产生的A声级为L</w:t>
            </w:r>
            <w:r>
              <w:rPr>
                <w:rFonts w:hint="default" w:ascii="Times New Roman" w:hAnsi="Times New Roman" w:cs="Times New Roman"/>
                <w:i w:val="0"/>
                <w:color w:val="auto"/>
                <w:vertAlign w:val="subscript"/>
              </w:rPr>
              <w:t>Ai</w:t>
            </w:r>
            <w:r>
              <w:rPr>
                <w:rFonts w:hint="default" w:ascii="Times New Roman" w:hAnsi="Times New Roman" w:cs="Times New Roman"/>
                <w:i w:val="0"/>
                <w:color w:val="auto"/>
              </w:rPr>
              <w:t>，在T时间内该声源工作时间为t</w:t>
            </w:r>
            <w:r>
              <w:rPr>
                <w:rFonts w:hint="default" w:ascii="Times New Roman" w:hAnsi="Times New Roman" w:cs="Times New Roman"/>
                <w:i w:val="0"/>
                <w:color w:val="auto"/>
                <w:vertAlign w:val="subscript"/>
              </w:rPr>
              <w:t>i</w:t>
            </w:r>
            <w:r>
              <w:rPr>
                <w:rFonts w:hint="default" w:ascii="Times New Roman" w:hAnsi="Times New Roman" w:cs="Times New Roman"/>
                <w:i w:val="0"/>
                <w:color w:val="auto"/>
              </w:rPr>
              <w:t>；第j个等效室外声源在预测点产生的A声级为L</w:t>
            </w:r>
            <w:r>
              <w:rPr>
                <w:rFonts w:hint="default" w:ascii="Times New Roman" w:hAnsi="Times New Roman" w:cs="Times New Roman"/>
                <w:i w:val="0"/>
                <w:color w:val="auto"/>
                <w:vertAlign w:val="subscript"/>
              </w:rPr>
              <w:t>Aj</w:t>
            </w:r>
            <w:r>
              <w:rPr>
                <w:rFonts w:hint="default" w:ascii="Times New Roman" w:hAnsi="Times New Roman" w:cs="Times New Roman"/>
                <w:i w:val="0"/>
                <w:color w:val="auto"/>
              </w:rPr>
              <w:t>，在T时间内该声源工作时间为t</w:t>
            </w:r>
            <w:r>
              <w:rPr>
                <w:rFonts w:hint="default" w:ascii="Times New Roman" w:hAnsi="Times New Roman" w:cs="Times New Roman"/>
                <w:i w:val="0"/>
                <w:color w:val="auto"/>
                <w:vertAlign w:val="subscript"/>
              </w:rPr>
              <w:t>j</w:t>
            </w:r>
            <w:r>
              <w:rPr>
                <w:rFonts w:hint="default" w:ascii="Times New Roman" w:hAnsi="Times New Roman" w:cs="Times New Roman"/>
                <w:i w:val="0"/>
                <w:color w:val="auto"/>
              </w:rPr>
              <w:t>，则拟建工程声源对预测点产生的贡献值（L</w:t>
            </w:r>
            <w:r>
              <w:rPr>
                <w:rFonts w:hint="default" w:ascii="Times New Roman" w:hAnsi="Times New Roman" w:cs="Times New Roman"/>
                <w:i w:val="0"/>
                <w:color w:val="auto"/>
                <w:vertAlign w:val="subscript"/>
              </w:rPr>
              <w:t>eqg</w:t>
            </w:r>
            <w:r>
              <w:rPr>
                <w:rFonts w:hint="default" w:ascii="Times New Roman" w:hAnsi="Times New Roman" w:cs="Times New Roman"/>
                <w:i w:val="0"/>
                <w:color w:val="auto"/>
              </w:rPr>
              <w:t>）为：</w:t>
            </w:r>
          </w:p>
          <w:p w14:paraId="29BD8DC5">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i/>
                <w:color w:val="auto"/>
                <w:position w:val="-28"/>
              </w:rPr>
              <w:object>
                <v:shape id="_x0000_i1027" o:spt="75" type="#_x0000_t75" style="height:34pt;width:219pt;" o:ole="t" filled="f" o:preferrelative="t" stroked="f" coordsize="21600,21600">
                  <v:path/>
                  <v:fill on="f" focussize="0,0"/>
                  <v:stroke on="f"/>
                  <v:imagedata r:id="rId24" o:title=""/>
                  <o:lock v:ext="edit" aspectratio="t"/>
                  <w10:wrap type="none"/>
                  <w10:anchorlock/>
                </v:shape>
                <o:OLEObject Type="Embed" ProgID="Equation.KSEE3" ShapeID="_x0000_i1027" DrawAspect="Content" ObjectID="_1468075727" r:id="rId23">
                  <o:LockedField>false</o:LockedField>
                </o:OLEObject>
              </w:object>
            </w:r>
          </w:p>
          <w:p w14:paraId="61FBB955">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eqg</w:t>
            </w:r>
            <w:r>
              <w:rPr>
                <w:rFonts w:hint="default" w:ascii="Times New Roman" w:hAnsi="Times New Roman" w:cs="Times New Roman"/>
                <w:i w:val="0"/>
                <w:color w:val="auto"/>
              </w:rPr>
              <w:t>——建设项目声源在预测点产生的噪声贡献值，dB；</w:t>
            </w:r>
          </w:p>
          <w:p w14:paraId="5E8BCA9C">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val="0"/>
                <w:color w:val="auto"/>
              </w:rPr>
              <w:t>——用于计算等效声级的时间，s；</w:t>
            </w:r>
          </w:p>
          <w:p w14:paraId="3BDCBE5C">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N</w:t>
            </w:r>
            <w:r>
              <w:rPr>
                <w:rFonts w:hint="default" w:ascii="Times New Roman" w:hAnsi="Times New Roman" w:cs="Times New Roman"/>
                <w:i w:val="0"/>
                <w:color w:val="auto"/>
              </w:rPr>
              <w:t>——室内声源个数；</w:t>
            </w:r>
          </w:p>
          <w:p w14:paraId="59C37445">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iCs/>
                <w:color w:val="auto"/>
                <w:vertAlign w:val="subscript"/>
              </w:rPr>
              <w:t>i</w:t>
            </w:r>
            <w:r>
              <w:rPr>
                <w:rFonts w:hint="default" w:ascii="Times New Roman" w:hAnsi="Times New Roman" w:cs="Times New Roman"/>
                <w:i w:val="0"/>
                <w:color w:val="auto"/>
              </w:rPr>
              <w:t>——在</w:t>
            </w:r>
            <w:r>
              <w:rPr>
                <w:rFonts w:hint="default" w:ascii="Times New Roman" w:hAnsi="Times New Roman" w:cs="Times New Roman"/>
                <w:i/>
                <w:iCs/>
                <w:color w:val="auto"/>
              </w:rPr>
              <w:t>T</w:t>
            </w:r>
            <w:r>
              <w:rPr>
                <w:rFonts w:hint="default" w:ascii="Times New Roman" w:hAnsi="Times New Roman" w:cs="Times New Roman"/>
                <w:i w:val="0"/>
                <w:color w:val="auto"/>
              </w:rPr>
              <w:t>时间内</w:t>
            </w:r>
            <w:r>
              <w:rPr>
                <w:rFonts w:hint="default" w:ascii="Times New Roman" w:hAnsi="Times New Roman" w:cs="Times New Roman"/>
                <w:i/>
                <w:iCs/>
                <w:color w:val="auto"/>
              </w:rPr>
              <w:t>i</w:t>
            </w:r>
            <w:r>
              <w:rPr>
                <w:rFonts w:hint="default" w:ascii="Times New Roman" w:hAnsi="Times New Roman" w:cs="Times New Roman"/>
                <w:i w:val="0"/>
                <w:color w:val="auto"/>
              </w:rPr>
              <w:t>声源工作时间，s；</w:t>
            </w:r>
          </w:p>
          <w:p w14:paraId="441F4064">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M</w:t>
            </w:r>
            <w:r>
              <w:rPr>
                <w:rFonts w:hint="default" w:ascii="Times New Roman" w:hAnsi="Times New Roman" w:cs="Times New Roman"/>
                <w:i w:val="0"/>
                <w:color w:val="auto"/>
              </w:rPr>
              <w:t>——等效室外声源个数；</w:t>
            </w:r>
          </w:p>
          <w:p w14:paraId="0248BB28">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t</w:t>
            </w:r>
            <w:r>
              <w:rPr>
                <w:rFonts w:hint="default" w:ascii="Times New Roman" w:hAnsi="Times New Roman" w:cs="Times New Roman"/>
                <w:i/>
                <w:iCs/>
                <w:color w:val="auto"/>
                <w:vertAlign w:val="subscript"/>
              </w:rPr>
              <w:t>j</w:t>
            </w:r>
            <w:r>
              <w:rPr>
                <w:rFonts w:hint="default" w:ascii="Times New Roman" w:hAnsi="Times New Roman" w:cs="Times New Roman"/>
                <w:i w:val="0"/>
                <w:color w:val="auto"/>
              </w:rPr>
              <w:t>——在</w:t>
            </w:r>
            <w:r>
              <w:rPr>
                <w:rFonts w:hint="default" w:ascii="Times New Roman" w:hAnsi="Times New Roman" w:cs="Times New Roman"/>
                <w:i/>
                <w:iCs/>
                <w:color w:val="auto"/>
              </w:rPr>
              <w:t>T</w:t>
            </w:r>
            <w:r>
              <w:rPr>
                <w:rFonts w:hint="default" w:ascii="Times New Roman" w:hAnsi="Times New Roman" w:cs="Times New Roman"/>
                <w:i w:val="0"/>
                <w:color w:val="auto"/>
              </w:rPr>
              <w:t>时间内</w:t>
            </w:r>
            <w:r>
              <w:rPr>
                <w:rFonts w:hint="default" w:ascii="Times New Roman" w:hAnsi="Times New Roman" w:cs="Times New Roman"/>
                <w:i/>
                <w:iCs/>
                <w:color w:val="auto"/>
              </w:rPr>
              <w:t>j</w:t>
            </w:r>
            <w:r>
              <w:rPr>
                <w:rFonts w:hint="default" w:ascii="Times New Roman" w:hAnsi="Times New Roman" w:cs="Times New Roman"/>
                <w:i w:val="0"/>
                <w:color w:val="auto"/>
              </w:rPr>
              <w:t>声源工作时间，s。</w:t>
            </w:r>
          </w:p>
          <w:p w14:paraId="4CDB86D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（4）敏感目标噪声预测值计算</w:t>
            </w:r>
          </w:p>
          <w:p w14:paraId="4AD0ACAA">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噪声预测值计算公式为：</w:t>
            </w:r>
          </w:p>
          <w:p w14:paraId="29D2BF96">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i w:val="0"/>
                <w:color w:val="auto"/>
                <w:lang w:eastAsia="zh-CN"/>
              </w:rPr>
            </w:pPr>
            <w:r>
              <w:rPr>
                <w:rFonts w:hint="default" w:ascii="Times New Roman" w:hAnsi="Times New Roman" w:cs="Times New Roman"/>
                <w:color w:val="auto"/>
                <w:position w:val="-14"/>
              </w:rPr>
              <w:object>
                <v:shape id="_x0000_i1028" o:spt="75" type="#_x0000_t75" style="height:21pt;width:135pt;" o:ole="t" filled="f" o:preferrelative="t" stroked="f" coordsize="21600,21600">
                  <v:path/>
                  <v:fill on="f" focussize="0,0"/>
                  <v:stroke on="f"/>
                  <v:imagedata r:id="rId26" o:title=""/>
                  <o:lock v:ext="edit" aspectratio="t"/>
                  <w10:wrap type="none"/>
                  <w10:anchorlock/>
                </v:shape>
                <o:OLEObject Type="Embed" ProgID="Equation.KSEE3" ShapeID="_x0000_i1028" DrawAspect="Content" ObjectID="_1468075728" r:id="rId25">
                  <o:LockedField>false</o:LockedField>
                </o:OLEObject>
              </w:object>
            </w:r>
          </w:p>
          <w:p w14:paraId="02413054">
            <w:pPr>
              <w:pStyle w:val="26"/>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i w:val="0"/>
                <w:color w:val="auto"/>
              </w:rPr>
            </w:pPr>
            <w:r>
              <w:rPr>
                <w:rFonts w:hint="default" w:ascii="Times New Roman" w:hAnsi="Times New Roman" w:cs="Times New Roman"/>
                <w:i w:val="0"/>
                <w:color w:val="auto"/>
              </w:rPr>
              <w:t>式中：</w:t>
            </w: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w:t>
            </w:r>
            <w:r>
              <w:rPr>
                <w:rFonts w:hint="default" w:ascii="Times New Roman" w:hAnsi="Times New Roman" w:cs="Times New Roman"/>
                <w:i w:val="0"/>
                <w:color w:val="auto"/>
              </w:rPr>
              <w:t>——预测点的噪声预测值，dB；</w:t>
            </w:r>
          </w:p>
          <w:p w14:paraId="0C6FF2B3">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eqg</w:t>
            </w:r>
            <w:r>
              <w:rPr>
                <w:rFonts w:hint="default" w:ascii="Times New Roman" w:hAnsi="Times New Roman" w:cs="Times New Roman"/>
                <w:i w:val="0"/>
                <w:color w:val="auto"/>
              </w:rPr>
              <w:t>——建设项目声源在预测点产生的噪声贡献值，dB；</w:t>
            </w:r>
          </w:p>
          <w:p w14:paraId="23FC10B6">
            <w:pPr>
              <w:pStyle w:val="26"/>
              <w:keepNext w:val="0"/>
              <w:keepLines w:val="0"/>
              <w:pageBreakBefore w:val="0"/>
              <w:widowControl w:val="0"/>
              <w:kinsoku/>
              <w:wordWrap/>
              <w:overflowPunct/>
              <w:topLinePunct w:val="0"/>
              <w:autoSpaceDE/>
              <w:autoSpaceDN/>
              <w:bidi w:val="0"/>
              <w:adjustRightInd/>
              <w:snapToGrid/>
              <w:ind w:firstLine="1200" w:firstLineChars="500"/>
              <w:jc w:val="both"/>
              <w:textAlignment w:val="auto"/>
              <w:rPr>
                <w:rFonts w:hint="default" w:ascii="Times New Roman" w:hAnsi="Times New Roman" w:cs="Times New Roman"/>
                <w:i w:val="0"/>
                <w:color w:val="auto"/>
              </w:rPr>
            </w:pPr>
            <w:r>
              <w:rPr>
                <w:rFonts w:hint="default" w:ascii="Times New Roman" w:hAnsi="Times New Roman" w:cs="Times New Roman"/>
                <w:i/>
                <w:iCs/>
                <w:color w:val="auto"/>
              </w:rPr>
              <w:t>L</w:t>
            </w:r>
            <w:r>
              <w:rPr>
                <w:rFonts w:hint="default" w:ascii="Times New Roman" w:hAnsi="Times New Roman" w:cs="Times New Roman"/>
                <w:i/>
                <w:iCs/>
                <w:color w:val="auto"/>
                <w:vertAlign w:val="subscript"/>
              </w:rPr>
              <w:t>eqb</w:t>
            </w:r>
            <w:r>
              <w:rPr>
                <w:rFonts w:hint="default" w:ascii="Times New Roman" w:hAnsi="Times New Roman" w:cs="Times New Roman"/>
                <w:i w:val="0"/>
                <w:color w:val="auto"/>
              </w:rPr>
              <w:t>——预测点的背景预测值，dB。</w:t>
            </w:r>
          </w:p>
          <w:p w14:paraId="7CA796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表4-4   施工设备噪声衰减结果表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826"/>
              <w:gridCol w:w="581"/>
              <w:gridCol w:w="833"/>
              <w:gridCol w:w="684"/>
              <w:gridCol w:w="684"/>
              <w:gridCol w:w="753"/>
              <w:gridCol w:w="753"/>
              <w:gridCol w:w="756"/>
              <w:gridCol w:w="756"/>
              <w:gridCol w:w="779"/>
            </w:tblGrid>
            <w:tr w14:paraId="01F4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restart"/>
                  <w:vAlign w:val="center"/>
                </w:tcPr>
                <w:p w14:paraId="0FBE8DD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设备</w:t>
                  </w:r>
                </w:p>
              </w:tc>
              <w:tc>
                <w:tcPr>
                  <w:tcW w:w="473" w:type="pct"/>
                  <w:vMerge w:val="restart"/>
                  <w:vAlign w:val="center"/>
                </w:tcPr>
                <w:p w14:paraId="77D02E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降噪后声级dB（A）</w:t>
                  </w:r>
                </w:p>
              </w:tc>
              <w:tc>
                <w:tcPr>
                  <w:tcW w:w="333" w:type="pct"/>
                  <w:vMerge w:val="restart"/>
                  <w:vAlign w:val="center"/>
                </w:tcPr>
                <w:p w14:paraId="2E26970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运行数量</w:t>
                  </w:r>
                </w:p>
              </w:tc>
              <w:tc>
                <w:tcPr>
                  <w:tcW w:w="476" w:type="pct"/>
                  <w:vMerge w:val="restart"/>
                  <w:vAlign w:val="center"/>
                </w:tcPr>
                <w:p w14:paraId="07FA11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合成声压级dB（A）</w:t>
                  </w:r>
                </w:p>
              </w:tc>
              <w:tc>
                <w:tcPr>
                  <w:tcW w:w="2958" w:type="pct"/>
                  <w:gridSpan w:val="7"/>
                  <w:vAlign w:val="center"/>
                </w:tcPr>
                <w:p w14:paraId="2B3684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受声点不同距离处噪声衰减值/dB（A）</w:t>
                  </w:r>
                </w:p>
              </w:tc>
            </w:tr>
            <w:tr w14:paraId="1C0E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Merge w:val="continue"/>
                  <w:vAlign w:val="center"/>
                </w:tcPr>
                <w:p w14:paraId="522DC71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3" w:type="pct"/>
                  <w:vMerge w:val="continue"/>
                  <w:vAlign w:val="center"/>
                </w:tcPr>
                <w:p w14:paraId="3BFB5BD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33" w:type="pct"/>
                  <w:vMerge w:val="continue"/>
                  <w:vAlign w:val="center"/>
                </w:tcPr>
                <w:p w14:paraId="6F0CE4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76" w:type="pct"/>
                  <w:vMerge w:val="continue"/>
                  <w:vAlign w:val="center"/>
                </w:tcPr>
                <w:p w14:paraId="453B2FC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92" w:type="pct"/>
                  <w:vAlign w:val="center"/>
                </w:tcPr>
                <w:p w14:paraId="0D67C08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10m</w:t>
                  </w:r>
                </w:p>
              </w:tc>
              <w:tc>
                <w:tcPr>
                  <w:tcW w:w="392" w:type="pct"/>
                  <w:vAlign w:val="center"/>
                </w:tcPr>
                <w:p w14:paraId="2EFF982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50m</w:t>
                  </w:r>
                </w:p>
              </w:tc>
              <w:tc>
                <w:tcPr>
                  <w:tcW w:w="431" w:type="pct"/>
                  <w:vAlign w:val="center"/>
                </w:tcPr>
                <w:p w14:paraId="2C5B3C7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100m</w:t>
                  </w:r>
                </w:p>
              </w:tc>
              <w:tc>
                <w:tcPr>
                  <w:tcW w:w="431" w:type="pct"/>
                  <w:vAlign w:val="center"/>
                </w:tcPr>
                <w:p w14:paraId="14B3A2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150m</w:t>
                  </w:r>
                </w:p>
              </w:tc>
              <w:tc>
                <w:tcPr>
                  <w:tcW w:w="433" w:type="pct"/>
                  <w:vAlign w:val="center"/>
                </w:tcPr>
                <w:p w14:paraId="01BCAA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200m</w:t>
                  </w:r>
                </w:p>
              </w:tc>
              <w:tc>
                <w:tcPr>
                  <w:tcW w:w="433" w:type="pct"/>
                  <w:vAlign w:val="center"/>
                </w:tcPr>
                <w:p w14:paraId="402E35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250m</w:t>
                  </w:r>
                </w:p>
              </w:tc>
              <w:tc>
                <w:tcPr>
                  <w:tcW w:w="444" w:type="pct"/>
                  <w:vAlign w:val="center"/>
                </w:tcPr>
                <w:p w14:paraId="02A69B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300m</w:t>
                  </w:r>
                </w:p>
              </w:tc>
            </w:tr>
            <w:tr w14:paraId="1BB9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6656D2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钻机</w:t>
                  </w:r>
                </w:p>
              </w:tc>
              <w:tc>
                <w:tcPr>
                  <w:tcW w:w="473" w:type="pct"/>
                  <w:vAlign w:val="center"/>
                </w:tcPr>
                <w:p w14:paraId="68831B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95</w:t>
                  </w:r>
                </w:p>
              </w:tc>
              <w:tc>
                <w:tcPr>
                  <w:tcW w:w="333" w:type="pct"/>
                  <w:vAlign w:val="center"/>
                </w:tcPr>
                <w:p w14:paraId="2E800B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6" w:type="pct"/>
                  <w:vAlign w:val="center"/>
                </w:tcPr>
                <w:p w14:paraId="7E2892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95</w:t>
                  </w:r>
                </w:p>
              </w:tc>
              <w:tc>
                <w:tcPr>
                  <w:tcW w:w="682" w:type="dxa"/>
                  <w:vAlign w:val="center"/>
                </w:tcPr>
                <w:p w14:paraId="390C53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75</w:t>
                  </w:r>
                </w:p>
              </w:tc>
              <w:tc>
                <w:tcPr>
                  <w:tcW w:w="682" w:type="dxa"/>
                  <w:vAlign w:val="center"/>
                </w:tcPr>
                <w:p w14:paraId="0C9814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61</w:t>
                  </w:r>
                </w:p>
              </w:tc>
              <w:tc>
                <w:tcPr>
                  <w:tcW w:w="750" w:type="dxa"/>
                  <w:vAlign w:val="center"/>
                </w:tcPr>
                <w:p w14:paraId="07F56B8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55</w:t>
                  </w:r>
                </w:p>
              </w:tc>
              <w:tc>
                <w:tcPr>
                  <w:tcW w:w="750" w:type="dxa"/>
                  <w:vAlign w:val="center"/>
                </w:tcPr>
                <w:p w14:paraId="556943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51</w:t>
                  </w:r>
                </w:p>
              </w:tc>
              <w:tc>
                <w:tcPr>
                  <w:tcW w:w="753" w:type="dxa"/>
                  <w:vAlign w:val="center"/>
                </w:tcPr>
                <w:p w14:paraId="4C2EF03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49</w:t>
                  </w:r>
                </w:p>
              </w:tc>
              <w:tc>
                <w:tcPr>
                  <w:tcW w:w="753" w:type="dxa"/>
                  <w:vAlign w:val="center"/>
                </w:tcPr>
                <w:p w14:paraId="4B076A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47</w:t>
                  </w:r>
                </w:p>
              </w:tc>
              <w:tc>
                <w:tcPr>
                  <w:tcW w:w="776" w:type="dxa"/>
                  <w:vAlign w:val="center"/>
                </w:tcPr>
                <w:p w14:paraId="6B7EDC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bidi="ar-SA"/>
                    </w:rPr>
                    <w:t>45</w:t>
                  </w:r>
                </w:p>
              </w:tc>
            </w:tr>
            <w:tr w14:paraId="76C0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594AF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泥浆泵</w:t>
                  </w:r>
                </w:p>
              </w:tc>
              <w:tc>
                <w:tcPr>
                  <w:tcW w:w="473" w:type="pct"/>
                  <w:vAlign w:val="center"/>
                </w:tcPr>
                <w:p w14:paraId="25DC9D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70</w:t>
                  </w:r>
                </w:p>
              </w:tc>
              <w:tc>
                <w:tcPr>
                  <w:tcW w:w="333" w:type="pct"/>
                  <w:vAlign w:val="center"/>
                </w:tcPr>
                <w:p w14:paraId="192D959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476" w:type="pct"/>
                  <w:vAlign w:val="center"/>
                </w:tcPr>
                <w:p w14:paraId="240AB8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392" w:type="pct"/>
                  <w:vAlign w:val="center"/>
                </w:tcPr>
                <w:p w14:paraId="7E878E2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392" w:type="pct"/>
                  <w:vAlign w:val="center"/>
                </w:tcPr>
                <w:p w14:paraId="48B7B8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39</w:t>
                  </w:r>
                </w:p>
              </w:tc>
              <w:tc>
                <w:tcPr>
                  <w:tcW w:w="431" w:type="pct"/>
                  <w:vAlign w:val="center"/>
                </w:tcPr>
                <w:p w14:paraId="419DF4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431" w:type="pct"/>
                  <w:vAlign w:val="center"/>
                </w:tcPr>
                <w:p w14:paraId="1295C3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29.5</w:t>
                  </w:r>
                </w:p>
              </w:tc>
              <w:tc>
                <w:tcPr>
                  <w:tcW w:w="433" w:type="pct"/>
                  <w:vAlign w:val="center"/>
                </w:tcPr>
                <w:p w14:paraId="48D62E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27</w:t>
                  </w:r>
                </w:p>
              </w:tc>
              <w:tc>
                <w:tcPr>
                  <w:tcW w:w="433" w:type="pct"/>
                  <w:vAlign w:val="center"/>
                </w:tcPr>
                <w:p w14:paraId="3EF6BC6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25</w:t>
                  </w:r>
                </w:p>
              </w:tc>
              <w:tc>
                <w:tcPr>
                  <w:tcW w:w="444" w:type="pct"/>
                  <w:vAlign w:val="center"/>
                </w:tcPr>
                <w:p w14:paraId="70DEF16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r>
                    <w:rPr>
                      <w:rFonts w:hint="eastAsia" w:ascii="Times New Roman" w:hAnsi="Times New Roman" w:eastAsia="宋体" w:cs="Times New Roman"/>
                      <w:b w:val="0"/>
                      <w:bCs w:val="0"/>
                      <w:color w:val="auto"/>
                      <w:sz w:val="21"/>
                      <w:szCs w:val="21"/>
                      <w:highlight w:val="none"/>
                      <w:vertAlign w:val="baseline"/>
                      <w:lang w:val="en-US" w:eastAsia="zh-CN"/>
                    </w:rPr>
                    <w:t>3.5</w:t>
                  </w:r>
                </w:p>
              </w:tc>
            </w:tr>
            <w:tr w14:paraId="7167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A1651D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除砂器</w:t>
                  </w:r>
                </w:p>
              </w:tc>
              <w:tc>
                <w:tcPr>
                  <w:tcW w:w="473" w:type="pct"/>
                  <w:vAlign w:val="center"/>
                </w:tcPr>
                <w:p w14:paraId="7DBB388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0D5B99E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6" w:type="pct"/>
                  <w:vAlign w:val="center"/>
                </w:tcPr>
                <w:p w14:paraId="229AE1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392" w:type="pct"/>
                  <w:vAlign w:val="center"/>
                </w:tcPr>
                <w:p w14:paraId="1B96A7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45</w:t>
                  </w:r>
                </w:p>
              </w:tc>
              <w:tc>
                <w:tcPr>
                  <w:tcW w:w="392" w:type="pct"/>
                  <w:vAlign w:val="center"/>
                </w:tcPr>
                <w:p w14:paraId="5F99A3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31</w:t>
                  </w:r>
                </w:p>
              </w:tc>
              <w:tc>
                <w:tcPr>
                  <w:tcW w:w="431" w:type="pct"/>
                  <w:vAlign w:val="center"/>
                </w:tcPr>
                <w:p w14:paraId="6645079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31" w:type="pct"/>
                  <w:vAlign w:val="center"/>
                </w:tcPr>
                <w:p w14:paraId="1295FA9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21.5</w:t>
                  </w:r>
                </w:p>
              </w:tc>
              <w:tc>
                <w:tcPr>
                  <w:tcW w:w="433" w:type="pct"/>
                  <w:vAlign w:val="center"/>
                </w:tcPr>
                <w:p w14:paraId="162DE8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19</w:t>
                  </w:r>
                </w:p>
              </w:tc>
              <w:tc>
                <w:tcPr>
                  <w:tcW w:w="433" w:type="pct"/>
                  <w:vAlign w:val="center"/>
                </w:tcPr>
                <w:p w14:paraId="578A24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w:t>
                  </w:r>
                </w:p>
              </w:tc>
              <w:tc>
                <w:tcPr>
                  <w:tcW w:w="444" w:type="pct"/>
                  <w:vAlign w:val="center"/>
                </w:tcPr>
                <w:p w14:paraId="461C6AA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15.5</w:t>
                  </w:r>
                </w:p>
              </w:tc>
            </w:tr>
            <w:tr w14:paraId="463B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522D6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除泥器</w:t>
                  </w:r>
                </w:p>
              </w:tc>
              <w:tc>
                <w:tcPr>
                  <w:tcW w:w="473" w:type="pct"/>
                  <w:vAlign w:val="center"/>
                </w:tcPr>
                <w:p w14:paraId="39FFB3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196376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6" w:type="pct"/>
                  <w:vAlign w:val="center"/>
                </w:tcPr>
                <w:p w14:paraId="4AE0EF0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392" w:type="pct"/>
                  <w:vAlign w:val="center"/>
                </w:tcPr>
                <w:p w14:paraId="17A4C1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45</w:t>
                  </w:r>
                </w:p>
              </w:tc>
              <w:tc>
                <w:tcPr>
                  <w:tcW w:w="392" w:type="pct"/>
                  <w:vAlign w:val="center"/>
                </w:tcPr>
                <w:p w14:paraId="74A3EA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31</w:t>
                  </w:r>
                </w:p>
              </w:tc>
              <w:tc>
                <w:tcPr>
                  <w:tcW w:w="431" w:type="pct"/>
                  <w:vAlign w:val="center"/>
                </w:tcPr>
                <w:p w14:paraId="147DF2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31" w:type="pct"/>
                  <w:vAlign w:val="center"/>
                </w:tcPr>
                <w:p w14:paraId="558BE7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21.5</w:t>
                  </w:r>
                </w:p>
              </w:tc>
              <w:tc>
                <w:tcPr>
                  <w:tcW w:w="433" w:type="pct"/>
                  <w:vAlign w:val="center"/>
                </w:tcPr>
                <w:p w14:paraId="45D116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19</w:t>
                  </w:r>
                </w:p>
              </w:tc>
              <w:tc>
                <w:tcPr>
                  <w:tcW w:w="433" w:type="pct"/>
                  <w:vAlign w:val="center"/>
                </w:tcPr>
                <w:p w14:paraId="6EC7B6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17</w:t>
                  </w:r>
                </w:p>
              </w:tc>
              <w:tc>
                <w:tcPr>
                  <w:tcW w:w="444" w:type="pct"/>
                  <w:vAlign w:val="center"/>
                </w:tcPr>
                <w:p w14:paraId="1007C6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15.5</w:t>
                  </w:r>
                </w:p>
              </w:tc>
            </w:tr>
            <w:tr w14:paraId="1A3B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0E0A6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离心机</w:t>
                  </w:r>
                </w:p>
              </w:tc>
              <w:tc>
                <w:tcPr>
                  <w:tcW w:w="473" w:type="pct"/>
                  <w:vAlign w:val="center"/>
                </w:tcPr>
                <w:p w14:paraId="2A66A3E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33D497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6" w:type="pct"/>
                  <w:vAlign w:val="center"/>
                </w:tcPr>
                <w:p w14:paraId="627F70E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392" w:type="pct"/>
                  <w:vAlign w:val="center"/>
                </w:tcPr>
                <w:p w14:paraId="08467BF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52690DB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431" w:type="pct"/>
                  <w:vAlign w:val="center"/>
                </w:tcPr>
                <w:p w14:paraId="12B1D5D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431" w:type="pct"/>
                  <w:vAlign w:val="center"/>
                </w:tcPr>
                <w:p w14:paraId="4D18187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7CB7075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57783F6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44" w:type="pct"/>
                  <w:vAlign w:val="center"/>
                </w:tcPr>
                <w:p w14:paraId="4DECB3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08759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4DDF11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振动筛</w:t>
                  </w:r>
                </w:p>
              </w:tc>
              <w:tc>
                <w:tcPr>
                  <w:tcW w:w="473" w:type="pct"/>
                  <w:vAlign w:val="center"/>
                </w:tcPr>
                <w:p w14:paraId="4F9B87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65</w:t>
                  </w:r>
                </w:p>
              </w:tc>
              <w:tc>
                <w:tcPr>
                  <w:tcW w:w="333" w:type="pct"/>
                  <w:vAlign w:val="center"/>
                </w:tcPr>
                <w:p w14:paraId="05E92FC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w:t>
                  </w:r>
                </w:p>
              </w:tc>
              <w:tc>
                <w:tcPr>
                  <w:tcW w:w="476" w:type="pct"/>
                </w:tcPr>
                <w:p w14:paraId="6B601A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69.7</w:t>
                  </w:r>
                </w:p>
              </w:tc>
              <w:tc>
                <w:tcPr>
                  <w:tcW w:w="392" w:type="pct"/>
                </w:tcPr>
                <w:p w14:paraId="5EA001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49.7</w:t>
                  </w:r>
                </w:p>
              </w:tc>
              <w:tc>
                <w:tcPr>
                  <w:tcW w:w="392" w:type="pct"/>
                </w:tcPr>
                <w:p w14:paraId="50F4A8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35.7</w:t>
                  </w:r>
                </w:p>
              </w:tc>
              <w:tc>
                <w:tcPr>
                  <w:tcW w:w="431" w:type="pct"/>
                </w:tcPr>
                <w:p w14:paraId="4D6A09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29.7</w:t>
                  </w:r>
                </w:p>
              </w:tc>
              <w:tc>
                <w:tcPr>
                  <w:tcW w:w="431" w:type="pct"/>
                </w:tcPr>
                <w:p w14:paraId="20834AD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26.2</w:t>
                  </w:r>
                </w:p>
              </w:tc>
              <w:tc>
                <w:tcPr>
                  <w:tcW w:w="433" w:type="pct"/>
                </w:tcPr>
                <w:p w14:paraId="1AED213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23.7</w:t>
                  </w:r>
                </w:p>
              </w:tc>
              <w:tc>
                <w:tcPr>
                  <w:tcW w:w="433" w:type="pct"/>
                </w:tcPr>
                <w:p w14:paraId="3D7AF6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21.7</w:t>
                  </w:r>
                </w:p>
              </w:tc>
              <w:tc>
                <w:tcPr>
                  <w:tcW w:w="444" w:type="pct"/>
                </w:tcPr>
                <w:p w14:paraId="3B90AC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20.2</w:t>
                  </w:r>
                </w:p>
              </w:tc>
            </w:tr>
            <w:tr w14:paraId="09FF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135CBE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加重泵</w:t>
                  </w:r>
                </w:p>
              </w:tc>
              <w:tc>
                <w:tcPr>
                  <w:tcW w:w="473" w:type="pct"/>
                  <w:vAlign w:val="center"/>
                </w:tcPr>
                <w:p w14:paraId="1A106AA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2D17098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6" w:type="pct"/>
                </w:tcPr>
                <w:p w14:paraId="1B15A3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73</w:t>
                  </w:r>
                </w:p>
              </w:tc>
              <w:tc>
                <w:tcPr>
                  <w:tcW w:w="392" w:type="pct"/>
                  <w:vAlign w:val="center"/>
                </w:tcPr>
                <w:p w14:paraId="1D71FD5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3A5097E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39</w:t>
                  </w:r>
                </w:p>
              </w:tc>
              <w:tc>
                <w:tcPr>
                  <w:tcW w:w="431" w:type="pct"/>
                  <w:vAlign w:val="center"/>
                </w:tcPr>
                <w:p w14:paraId="1C364E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33</w:t>
                  </w:r>
                </w:p>
              </w:tc>
              <w:tc>
                <w:tcPr>
                  <w:tcW w:w="431" w:type="pct"/>
                  <w:vAlign w:val="center"/>
                </w:tcPr>
                <w:p w14:paraId="3AF298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5E51AE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3CF4A50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25</w:t>
                  </w:r>
                </w:p>
              </w:tc>
              <w:tc>
                <w:tcPr>
                  <w:tcW w:w="444" w:type="pct"/>
                  <w:vAlign w:val="center"/>
                </w:tcPr>
                <w:p w14:paraId="720DE8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23.5</w:t>
                  </w:r>
                </w:p>
              </w:tc>
            </w:tr>
            <w:tr w14:paraId="536C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2105F3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自动压风机</w:t>
                  </w:r>
                </w:p>
              </w:tc>
              <w:tc>
                <w:tcPr>
                  <w:tcW w:w="473" w:type="pct"/>
                  <w:vAlign w:val="center"/>
                </w:tcPr>
                <w:p w14:paraId="5DFCE1D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5027314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6" w:type="pct"/>
                  <w:vAlign w:val="center"/>
                </w:tcPr>
                <w:p w14:paraId="5DDCE5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2" w:type="pct"/>
                  <w:vAlign w:val="center"/>
                </w:tcPr>
                <w:p w14:paraId="292323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2" w:type="pct"/>
                  <w:vAlign w:val="center"/>
                </w:tcPr>
                <w:p w14:paraId="42DEB8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1" w:type="pct"/>
                  <w:vAlign w:val="center"/>
                </w:tcPr>
                <w:p w14:paraId="399A41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1" w:type="pct"/>
                  <w:vAlign w:val="center"/>
                </w:tcPr>
                <w:p w14:paraId="57B79F6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3" w:type="pct"/>
                  <w:vAlign w:val="center"/>
                </w:tcPr>
                <w:p w14:paraId="42D8B8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3" w:type="pct"/>
                  <w:vAlign w:val="center"/>
                </w:tcPr>
                <w:p w14:paraId="4B808C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44" w:type="pct"/>
                  <w:vAlign w:val="center"/>
                </w:tcPr>
                <w:p w14:paraId="125DE0A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7B33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5F8697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电动压风机</w:t>
                  </w:r>
                </w:p>
              </w:tc>
              <w:tc>
                <w:tcPr>
                  <w:tcW w:w="473" w:type="pct"/>
                  <w:vAlign w:val="center"/>
                </w:tcPr>
                <w:p w14:paraId="193BF0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40B2899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w:t>
                  </w:r>
                </w:p>
              </w:tc>
              <w:tc>
                <w:tcPr>
                  <w:tcW w:w="476" w:type="pct"/>
                  <w:vAlign w:val="center"/>
                </w:tcPr>
                <w:p w14:paraId="57578D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70</w:t>
                  </w:r>
                </w:p>
              </w:tc>
              <w:tc>
                <w:tcPr>
                  <w:tcW w:w="392" w:type="pct"/>
                  <w:vAlign w:val="center"/>
                </w:tcPr>
                <w:p w14:paraId="08E42F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50</w:t>
                  </w:r>
                </w:p>
              </w:tc>
              <w:tc>
                <w:tcPr>
                  <w:tcW w:w="392" w:type="pct"/>
                  <w:vAlign w:val="center"/>
                </w:tcPr>
                <w:p w14:paraId="07F0B81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36</w:t>
                  </w:r>
                </w:p>
              </w:tc>
              <w:tc>
                <w:tcPr>
                  <w:tcW w:w="431" w:type="pct"/>
                  <w:vAlign w:val="center"/>
                </w:tcPr>
                <w:p w14:paraId="49EC5C0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30</w:t>
                  </w:r>
                </w:p>
              </w:tc>
              <w:tc>
                <w:tcPr>
                  <w:tcW w:w="431" w:type="pct"/>
                  <w:vAlign w:val="center"/>
                </w:tcPr>
                <w:p w14:paraId="055C00B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27</w:t>
                  </w:r>
                </w:p>
              </w:tc>
              <w:tc>
                <w:tcPr>
                  <w:tcW w:w="433" w:type="pct"/>
                  <w:vAlign w:val="center"/>
                </w:tcPr>
                <w:p w14:paraId="2B0C0D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24</w:t>
                  </w:r>
                </w:p>
              </w:tc>
              <w:tc>
                <w:tcPr>
                  <w:tcW w:w="433" w:type="pct"/>
                  <w:vAlign w:val="center"/>
                </w:tcPr>
                <w:p w14:paraId="680CBD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22</w:t>
                  </w:r>
                </w:p>
              </w:tc>
              <w:tc>
                <w:tcPr>
                  <w:tcW w:w="444" w:type="pct"/>
                  <w:vAlign w:val="center"/>
                </w:tcPr>
                <w:p w14:paraId="43AA7E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20</w:t>
                  </w:r>
                </w:p>
              </w:tc>
            </w:tr>
            <w:tr w14:paraId="3C59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3CFB7B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钻井泵</w:t>
                  </w:r>
                </w:p>
              </w:tc>
              <w:tc>
                <w:tcPr>
                  <w:tcW w:w="473" w:type="pct"/>
                  <w:vAlign w:val="center"/>
                </w:tcPr>
                <w:p w14:paraId="569A23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70</w:t>
                  </w:r>
                </w:p>
              </w:tc>
              <w:tc>
                <w:tcPr>
                  <w:tcW w:w="333" w:type="pct"/>
                  <w:vAlign w:val="center"/>
                </w:tcPr>
                <w:p w14:paraId="33B539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w:t>
                  </w:r>
                </w:p>
              </w:tc>
              <w:tc>
                <w:tcPr>
                  <w:tcW w:w="476" w:type="pct"/>
                </w:tcPr>
                <w:p w14:paraId="00A61A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73</w:t>
                  </w:r>
                </w:p>
              </w:tc>
              <w:tc>
                <w:tcPr>
                  <w:tcW w:w="392" w:type="pct"/>
                  <w:vAlign w:val="center"/>
                </w:tcPr>
                <w:p w14:paraId="0D734F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53</w:t>
                  </w:r>
                </w:p>
              </w:tc>
              <w:tc>
                <w:tcPr>
                  <w:tcW w:w="392" w:type="pct"/>
                  <w:vAlign w:val="center"/>
                </w:tcPr>
                <w:p w14:paraId="5F278AC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39</w:t>
                  </w:r>
                </w:p>
              </w:tc>
              <w:tc>
                <w:tcPr>
                  <w:tcW w:w="431" w:type="pct"/>
                  <w:vAlign w:val="center"/>
                </w:tcPr>
                <w:p w14:paraId="0748B51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33</w:t>
                  </w:r>
                </w:p>
              </w:tc>
              <w:tc>
                <w:tcPr>
                  <w:tcW w:w="431" w:type="pct"/>
                  <w:vAlign w:val="center"/>
                </w:tcPr>
                <w:p w14:paraId="74A721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29.5</w:t>
                  </w:r>
                </w:p>
              </w:tc>
              <w:tc>
                <w:tcPr>
                  <w:tcW w:w="433" w:type="pct"/>
                  <w:vAlign w:val="center"/>
                </w:tcPr>
                <w:p w14:paraId="79B6C4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27</w:t>
                  </w:r>
                </w:p>
              </w:tc>
              <w:tc>
                <w:tcPr>
                  <w:tcW w:w="433" w:type="pct"/>
                  <w:vAlign w:val="center"/>
                </w:tcPr>
                <w:p w14:paraId="24C84D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25</w:t>
                  </w:r>
                </w:p>
              </w:tc>
              <w:tc>
                <w:tcPr>
                  <w:tcW w:w="444" w:type="pct"/>
                  <w:vAlign w:val="center"/>
                </w:tcPr>
                <w:p w14:paraId="6130EE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23.5</w:t>
                  </w:r>
                </w:p>
              </w:tc>
            </w:tr>
            <w:tr w14:paraId="1FB7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pct"/>
                  <w:vAlign w:val="center"/>
                </w:tcPr>
                <w:p w14:paraId="77295E8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压裂设备</w:t>
                  </w:r>
                </w:p>
              </w:tc>
              <w:tc>
                <w:tcPr>
                  <w:tcW w:w="473" w:type="pct"/>
                  <w:vAlign w:val="center"/>
                </w:tcPr>
                <w:p w14:paraId="3E360B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90</w:t>
                  </w:r>
                </w:p>
              </w:tc>
              <w:tc>
                <w:tcPr>
                  <w:tcW w:w="333" w:type="pct"/>
                  <w:vAlign w:val="center"/>
                </w:tcPr>
                <w:p w14:paraId="5324DA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w:t>
                  </w:r>
                </w:p>
              </w:tc>
              <w:tc>
                <w:tcPr>
                  <w:tcW w:w="476" w:type="pct"/>
                  <w:vAlign w:val="top"/>
                </w:tcPr>
                <w:p w14:paraId="1B7B42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93</w:t>
                  </w:r>
                </w:p>
              </w:tc>
              <w:tc>
                <w:tcPr>
                  <w:tcW w:w="392" w:type="pct"/>
                  <w:vAlign w:val="center"/>
                </w:tcPr>
                <w:p w14:paraId="653257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80</w:t>
                  </w:r>
                </w:p>
              </w:tc>
              <w:tc>
                <w:tcPr>
                  <w:tcW w:w="392" w:type="pct"/>
                  <w:vAlign w:val="center"/>
                </w:tcPr>
                <w:p w14:paraId="0FBEB5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74</w:t>
                  </w:r>
                </w:p>
              </w:tc>
              <w:tc>
                <w:tcPr>
                  <w:tcW w:w="431" w:type="pct"/>
                  <w:vAlign w:val="center"/>
                </w:tcPr>
                <w:p w14:paraId="21EAB04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68</w:t>
                  </w:r>
                </w:p>
              </w:tc>
              <w:tc>
                <w:tcPr>
                  <w:tcW w:w="431" w:type="pct"/>
                  <w:vAlign w:val="center"/>
                </w:tcPr>
                <w:p w14:paraId="277EAA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60</w:t>
                  </w:r>
                </w:p>
              </w:tc>
              <w:tc>
                <w:tcPr>
                  <w:tcW w:w="433" w:type="pct"/>
                  <w:vAlign w:val="center"/>
                </w:tcPr>
                <w:p w14:paraId="08088E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433" w:type="pct"/>
                  <w:vAlign w:val="center"/>
                </w:tcPr>
                <w:p w14:paraId="07EADD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45</w:t>
                  </w:r>
                </w:p>
              </w:tc>
              <w:tc>
                <w:tcPr>
                  <w:tcW w:w="444" w:type="pct"/>
                  <w:vAlign w:val="center"/>
                </w:tcPr>
                <w:p w14:paraId="730496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43.6</w:t>
                  </w:r>
                </w:p>
              </w:tc>
            </w:tr>
            <w:tr w14:paraId="0BC9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1" w:type="pct"/>
                  <w:gridSpan w:val="4"/>
                  <w:vAlign w:val="center"/>
                </w:tcPr>
                <w:p w14:paraId="306DA8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bidi="ar-SA"/>
                    </w:rPr>
                    <w:t>贡献值</w:t>
                  </w:r>
                </w:p>
              </w:tc>
              <w:tc>
                <w:tcPr>
                  <w:tcW w:w="682" w:type="dxa"/>
                  <w:vAlign w:val="center"/>
                </w:tcPr>
                <w:p w14:paraId="4CFC00FE">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75</w:t>
                  </w:r>
                </w:p>
              </w:tc>
              <w:tc>
                <w:tcPr>
                  <w:tcW w:w="682" w:type="dxa"/>
                  <w:vAlign w:val="center"/>
                </w:tcPr>
                <w:p w14:paraId="603599B3">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61</w:t>
                  </w:r>
                </w:p>
              </w:tc>
              <w:tc>
                <w:tcPr>
                  <w:tcW w:w="750" w:type="dxa"/>
                  <w:vAlign w:val="center"/>
                </w:tcPr>
                <w:p w14:paraId="23D5F890">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66</w:t>
                  </w:r>
                </w:p>
              </w:tc>
              <w:tc>
                <w:tcPr>
                  <w:tcW w:w="750" w:type="dxa"/>
                  <w:vAlign w:val="center"/>
                </w:tcPr>
                <w:p w14:paraId="34D485F9">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51</w:t>
                  </w:r>
                </w:p>
              </w:tc>
              <w:tc>
                <w:tcPr>
                  <w:tcW w:w="753" w:type="dxa"/>
                  <w:vAlign w:val="center"/>
                </w:tcPr>
                <w:p w14:paraId="7A471BA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49</w:t>
                  </w:r>
                </w:p>
              </w:tc>
              <w:tc>
                <w:tcPr>
                  <w:tcW w:w="753" w:type="dxa"/>
                  <w:vAlign w:val="center"/>
                </w:tcPr>
                <w:p w14:paraId="7217A09B">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47</w:t>
                  </w:r>
                </w:p>
              </w:tc>
              <w:tc>
                <w:tcPr>
                  <w:tcW w:w="776" w:type="dxa"/>
                  <w:vAlign w:val="center"/>
                </w:tcPr>
                <w:p w14:paraId="3E393735">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45</w:t>
                  </w:r>
                </w:p>
              </w:tc>
            </w:tr>
          </w:tbl>
          <w:p w14:paraId="40D9D4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3、施工期声环境影响分析</w:t>
            </w:r>
          </w:p>
          <w:p w14:paraId="0FA64D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（1）土石方结算影响分析</w:t>
            </w:r>
          </w:p>
          <w:p w14:paraId="663833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土石方阶段主要使用推土机、装载机、翻斗车等设备，由于施工量较小，施工期很短，设备噪声值相对较小，类比同类型项目，昼间在距离设备50米处，夜间在距离施工设备250米处可满足《建筑施工场界环境噪声排放标准》（GB12523-2011）中相关规定。</w:t>
            </w:r>
          </w:p>
          <w:p w14:paraId="32E129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根据现场勘查，项目距离最近居民位于</w:t>
            </w:r>
            <w:r>
              <w:rPr>
                <w:rFonts w:hint="default" w:ascii="Times New Roman" w:hAnsi="Times New Roman" w:eastAsia="宋体" w:cs="Times New Roman"/>
                <w:b w:val="0"/>
                <w:bCs w:val="0"/>
                <w:color w:val="auto"/>
                <w:sz w:val="24"/>
                <w:szCs w:val="24"/>
                <w:vertAlign w:val="baseline"/>
                <w:lang w:val="en-US" w:eastAsia="zh-CN"/>
              </w:rPr>
              <w:t>米107-</w:t>
            </w:r>
            <w:r>
              <w:rPr>
                <w:rFonts w:hint="eastAsia" w:ascii="Times New Roman" w:hAnsi="Times New Roman" w:eastAsia="宋体" w:cs="Times New Roman"/>
                <w:b w:val="0"/>
                <w:bCs w:val="0"/>
                <w:color w:val="auto"/>
                <w:sz w:val="24"/>
                <w:szCs w:val="24"/>
                <w:vertAlign w:val="baseline"/>
                <w:lang w:val="en-US" w:eastAsia="zh-CN"/>
              </w:rPr>
              <w:t>22MH</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东</w:t>
            </w:r>
            <w:r>
              <w:rPr>
                <w:rFonts w:hint="default" w:ascii="Times New Roman" w:hAnsi="Times New Roman" w:eastAsia="宋体" w:cs="Times New Roman"/>
                <w:b w:val="0"/>
                <w:bCs w:val="0"/>
                <w:color w:val="auto"/>
                <w:sz w:val="24"/>
                <w:szCs w:val="24"/>
                <w:vertAlign w:val="baseline"/>
                <w:lang w:val="en-US" w:eastAsia="zh-CN"/>
              </w:rPr>
              <w:t>侧</w:t>
            </w:r>
            <w:r>
              <w:rPr>
                <w:rFonts w:hint="eastAsia" w:ascii="Times New Roman" w:hAnsi="Times New Roman" w:eastAsia="宋体" w:cs="Times New Roman"/>
                <w:b w:val="0"/>
                <w:bCs w:val="0"/>
                <w:color w:val="auto"/>
                <w:sz w:val="24"/>
                <w:szCs w:val="24"/>
                <w:vertAlign w:val="baseline"/>
                <w:lang w:val="en-US" w:eastAsia="zh-CN"/>
              </w:rPr>
              <w:t>210</w:t>
            </w:r>
            <w:r>
              <w:rPr>
                <w:rFonts w:hint="default" w:ascii="Times New Roman" w:hAnsi="Times New Roman" w:eastAsia="宋体" w:cs="Times New Roman"/>
                <w:b w:val="0"/>
                <w:bCs w:val="0"/>
                <w:color w:val="auto"/>
                <w:sz w:val="24"/>
                <w:szCs w:val="24"/>
                <w:vertAlign w:val="baseline"/>
                <w:lang w:val="en-US" w:eastAsia="zh-CN"/>
              </w:rPr>
              <w:t>m处</w:t>
            </w:r>
            <w:r>
              <w:rPr>
                <w:rFonts w:hint="eastAsia" w:ascii="Times New Roman" w:hAnsi="Times New Roman" w:eastAsia="宋体" w:cs="Times New Roman"/>
                <w:b w:val="0"/>
                <w:bCs w:val="0"/>
                <w:color w:val="auto"/>
                <w:sz w:val="24"/>
                <w:szCs w:val="24"/>
                <w:vertAlign w:val="baseline"/>
                <w:lang w:val="en-US" w:eastAsia="zh-CN"/>
              </w:rPr>
              <w:t>，土石方工程施工期段，设备间歇运行，本项目夜间严禁土石方作业。因此，土石方工程施工对居民造成影响较小。</w:t>
            </w:r>
          </w:p>
          <w:p w14:paraId="2387DA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（2）钻井作业影响分析</w:t>
            </w:r>
          </w:p>
          <w:p w14:paraId="19F05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昼间</w:t>
            </w:r>
            <w:r>
              <w:rPr>
                <w:rFonts w:hint="default" w:ascii="Times New Roman" w:hAnsi="Times New Roman" w:eastAsia="宋体" w:cs="Times New Roman"/>
                <w:b w:val="0"/>
                <w:bCs w:val="0"/>
                <w:color w:val="auto"/>
                <w:sz w:val="24"/>
                <w:szCs w:val="24"/>
                <w:vertAlign w:val="baseline"/>
                <w:lang w:val="en-US" w:eastAsia="zh-CN"/>
              </w:rPr>
              <w:t>在距离施工设备噪声</w:t>
            </w:r>
            <w:r>
              <w:rPr>
                <w:rFonts w:hint="eastAsia" w:ascii="Times New Roman" w:hAnsi="Times New Roman" w:eastAsia="宋体" w:cs="Times New Roman"/>
                <w:b w:val="0"/>
                <w:bCs w:val="0"/>
                <w:color w:val="auto"/>
                <w:sz w:val="24"/>
                <w:szCs w:val="24"/>
                <w:highlight w:val="none"/>
                <w:vertAlign w:val="baseline"/>
                <w:lang w:val="en-US" w:eastAsia="zh-CN"/>
              </w:rPr>
              <w:t>10</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eastAsia" w:ascii="Times New Roman" w:hAnsi="Times New Roman" w:eastAsia="宋体" w:cs="Times New Roman"/>
                <w:b w:val="0"/>
                <w:bCs w:val="0"/>
                <w:color w:val="auto"/>
                <w:sz w:val="24"/>
                <w:szCs w:val="24"/>
                <w:highlight w:val="none"/>
                <w:vertAlign w:val="baseline"/>
                <w:lang w:val="en-US" w:eastAsia="zh-CN"/>
              </w:rPr>
              <w:t>，夜间</w:t>
            </w:r>
            <w:r>
              <w:rPr>
                <w:rFonts w:hint="default" w:ascii="Times New Roman" w:hAnsi="Times New Roman" w:eastAsia="宋体" w:cs="Times New Roman"/>
                <w:b w:val="0"/>
                <w:bCs w:val="0"/>
                <w:color w:val="auto"/>
                <w:sz w:val="24"/>
                <w:szCs w:val="24"/>
                <w:highlight w:val="none"/>
                <w:vertAlign w:val="baseline"/>
                <w:lang w:val="en-US" w:eastAsia="zh-CN"/>
              </w:rPr>
              <w:t>距离施工设备噪声150m处昼夜间噪声贡献值可以满足《建筑施工场界环境噪声排放标准》（GB12523-2011）中相关规定</w:t>
            </w:r>
            <w:r>
              <w:rPr>
                <w:rFonts w:hint="default" w:ascii="Times New Roman" w:hAnsi="Times New Roman" w:eastAsia="宋体" w:cs="Times New Roman"/>
                <w:b w:val="0"/>
                <w:bCs w:val="0"/>
                <w:color w:val="auto"/>
                <w:sz w:val="24"/>
                <w:szCs w:val="24"/>
                <w:vertAlign w:val="baseline"/>
                <w:lang w:val="en-US" w:eastAsia="zh-CN"/>
              </w:rPr>
              <w:t>。</w:t>
            </w:r>
          </w:p>
          <w:p w14:paraId="458FB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根据预测结果，距离钻井设备300米处夜间噪声方可满足《声环境质量标准》（GB3096-2008）1类区标准限值要求。根据现场踏勘，距离本项目井场最近的敏感目标位于</w:t>
            </w:r>
            <w:r>
              <w:rPr>
                <w:rFonts w:hint="default" w:ascii="Times New Roman" w:hAnsi="Times New Roman" w:eastAsia="宋体" w:cs="Times New Roman"/>
                <w:b w:val="0"/>
                <w:bCs w:val="0"/>
                <w:color w:val="auto"/>
                <w:sz w:val="24"/>
                <w:szCs w:val="24"/>
                <w:vertAlign w:val="baseline"/>
                <w:lang w:val="en-US" w:eastAsia="zh-CN"/>
              </w:rPr>
              <w:t>米107-</w:t>
            </w:r>
            <w:r>
              <w:rPr>
                <w:rFonts w:hint="eastAsia" w:ascii="Times New Roman" w:hAnsi="Times New Roman" w:eastAsia="宋体" w:cs="Times New Roman"/>
                <w:b w:val="0"/>
                <w:bCs w:val="0"/>
                <w:color w:val="auto"/>
                <w:sz w:val="24"/>
                <w:szCs w:val="24"/>
                <w:vertAlign w:val="baseline"/>
                <w:lang w:val="en-US" w:eastAsia="zh-CN"/>
              </w:rPr>
              <w:t>22MH</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东</w:t>
            </w:r>
            <w:r>
              <w:rPr>
                <w:rFonts w:hint="default" w:ascii="Times New Roman" w:hAnsi="Times New Roman" w:eastAsia="宋体" w:cs="Times New Roman"/>
                <w:b w:val="0"/>
                <w:bCs w:val="0"/>
                <w:color w:val="auto"/>
                <w:sz w:val="24"/>
                <w:szCs w:val="24"/>
                <w:vertAlign w:val="baseline"/>
                <w:lang w:val="en-US" w:eastAsia="zh-CN"/>
              </w:rPr>
              <w:t>侧</w:t>
            </w:r>
            <w:r>
              <w:rPr>
                <w:rFonts w:hint="eastAsia" w:ascii="Times New Roman" w:hAnsi="Times New Roman" w:eastAsia="宋体" w:cs="Times New Roman"/>
                <w:b w:val="0"/>
                <w:bCs w:val="0"/>
                <w:color w:val="auto"/>
                <w:sz w:val="24"/>
                <w:szCs w:val="24"/>
                <w:vertAlign w:val="baseline"/>
                <w:lang w:val="en-US" w:eastAsia="zh-CN"/>
              </w:rPr>
              <w:t>210</w:t>
            </w:r>
            <w:r>
              <w:rPr>
                <w:rFonts w:hint="default" w:ascii="Times New Roman" w:hAnsi="Times New Roman" w:eastAsia="宋体" w:cs="Times New Roman"/>
                <w:b w:val="0"/>
                <w:bCs w:val="0"/>
                <w:color w:val="auto"/>
                <w:sz w:val="24"/>
                <w:szCs w:val="24"/>
                <w:vertAlign w:val="baseline"/>
                <w:lang w:val="en-US" w:eastAsia="zh-CN"/>
              </w:rPr>
              <w:t>m处</w:t>
            </w:r>
            <w:r>
              <w:rPr>
                <w:rFonts w:hint="eastAsia" w:ascii="Times New Roman" w:hAnsi="Times New Roman" w:eastAsia="宋体" w:cs="Times New Roman"/>
                <w:b w:val="0"/>
                <w:bCs w:val="0"/>
                <w:color w:val="auto"/>
                <w:sz w:val="24"/>
                <w:szCs w:val="24"/>
                <w:vertAlign w:val="baseline"/>
                <w:lang w:val="en-US" w:eastAsia="zh-CN"/>
              </w:rPr>
              <w:t>，距离井场较远，在井场东侧厂界加装隔声墙，各类罐体放置于敏感目标一侧，能够确保环境保护目标处《声环境质量标准》（GB3096-2008）1类区标准限值要求。</w:t>
            </w:r>
          </w:p>
          <w:p w14:paraId="2A953D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（3）压裂作业噪声影响分析</w:t>
            </w:r>
          </w:p>
          <w:p w14:paraId="22A745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本项目各井场均设置4台压裂车，压裂车叠加噪声值为93dB（A），经预测，</w:t>
            </w:r>
            <w:r>
              <w:rPr>
                <w:rFonts w:hint="default" w:ascii="Times New Roman" w:hAnsi="Times New Roman" w:eastAsia="宋体" w:cs="Times New Roman"/>
                <w:b w:val="0"/>
                <w:bCs w:val="0"/>
                <w:color w:val="auto"/>
                <w:sz w:val="24"/>
                <w:szCs w:val="24"/>
                <w:highlight w:val="none"/>
                <w:vertAlign w:val="baseline"/>
                <w:lang w:val="en-US" w:eastAsia="zh-CN"/>
              </w:rPr>
              <w:t>距离施工设备噪声1</w:t>
            </w:r>
            <w:r>
              <w:rPr>
                <w:rFonts w:hint="eastAsia" w:ascii="Times New Roman" w:hAnsi="Times New Roman" w:eastAsia="宋体" w:cs="Times New Roman"/>
                <w:b w:val="0"/>
                <w:bCs w:val="0"/>
                <w:color w:val="auto"/>
                <w:sz w:val="24"/>
                <w:szCs w:val="24"/>
                <w:highlight w:val="none"/>
                <w:vertAlign w:val="baseline"/>
                <w:lang w:val="en-US" w:eastAsia="zh-CN"/>
              </w:rPr>
              <w:t>0</w:t>
            </w:r>
            <w:r>
              <w:rPr>
                <w:rFonts w:hint="default" w:ascii="Times New Roman" w:hAnsi="Times New Roman" w:eastAsia="宋体" w:cs="Times New Roman"/>
                <w:b w:val="0"/>
                <w:bCs w:val="0"/>
                <w:color w:val="auto"/>
                <w:sz w:val="24"/>
                <w:szCs w:val="24"/>
                <w:highlight w:val="none"/>
                <w:vertAlign w:val="baseline"/>
                <w:lang w:val="en-US" w:eastAsia="zh-CN"/>
              </w:rPr>
              <w:t>0m处昼间噪声贡献值</w:t>
            </w:r>
            <w:r>
              <w:rPr>
                <w:rFonts w:hint="eastAsia" w:ascii="Times New Roman" w:hAnsi="Times New Roman" w:eastAsia="宋体" w:cs="Times New Roman"/>
                <w:b w:val="0"/>
                <w:bCs w:val="0"/>
                <w:color w:val="auto"/>
                <w:sz w:val="24"/>
                <w:szCs w:val="24"/>
                <w:highlight w:val="none"/>
                <w:vertAlign w:val="baseline"/>
                <w:lang w:val="en-US" w:eastAsia="zh-CN"/>
              </w:rPr>
              <w:t>、距离</w:t>
            </w:r>
            <w:r>
              <w:rPr>
                <w:rFonts w:hint="default" w:ascii="Times New Roman" w:hAnsi="Times New Roman" w:eastAsia="宋体" w:cs="Times New Roman"/>
                <w:b w:val="0"/>
                <w:bCs w:val="0"/>
                <w:color w:val="auto"/>
                <w:sz w:val="24"/>
                <w:szCs w:val="24"/>
                <w:highlight w:val="none"/>
                <w:vertAlign w:val="baseline"/>
                <w:lang w:val="en-US" w:eastAsia="zh-CN"/>
              </w:rPr>
              <w:t>施工设备噪声</w:t>
            </w:r>
            <w:r>
              <w:rPr>
                <w:rFonts w:hint="eastAsia" w:ascii="Times New Roman" w:hAnsi="Times New Roman" w:eastAsia="宋体" w:cs="Times New Roman"/>
                <w:b w:val="0"/>
                <w:bCs w:val="0"/>
                <w:color w:val="auto"/>
                <w:sz w:val="24"/>
                <w:szCs w:val="24"/>
                <w:highlight w:val="none"/>
                <w:vertAlign w:val="baseline"/>
                <w:lang w:val="en-US" w:eastAsia="zh-CN"/>
              </w:rPr>
              <w:t>20</w:t>
            </w:r>
            <w:r>
              <w:rPr>
                <w:rFonts w:hint="default" w:ascii="Times New Roman" w:hAnsi="Times New Roman" w:eastAsia="宋体" w:cs="Times New Roman"/>
                <w:b w:val="0"/>
                <w:bCs w:val="0"/>
                <w:color w:val="auto"/>
                <w:sz w:val="24"/>
                <w:szCs w:val="24"/>
                <w:highlight w:val="none"/>
                <w:vertAlign w:val="baseline"/>
                <w:lang w:val="en-US" w:eastAsia="zh-CN"/>
              </w:rPr>
              <w:t>0m处</w:t>
            </w:r>
            <w:r>
              <w:rPr>
                <w:rFonts w:hint="eastAsia" w:ascii="Times New Roman" w:hAnsi="Times New Roman" w:eastAsia="宋体" w:cs="Times New Roman"/>
                <w:b w:val="0"/>
                <w:bCs w:val="0"/>
                <w:color w:val="auto"/>
                <w:sz w:val="24"/>
                <w:szCs w:val="24"/>
                <w:highlight w:val="none"/>
                <w:vertAlign w:val="baseline"/>
                <w:lang w:val="en-US" w:eastAsia="zh-CN"/>
              </w:rPr>
              <w:t>夜</w:t>
            </w:r>
            <w:r>
              <w:rPr>
                <w:rFonts w:hint="default" w:ascii="Times New Roman" w:hAnsi="Times New Roman" w:eastAsia="宋体" w:cs="Times New Roman"/>
                <w:b w:val="0"/>
                <w:bCs w:val="0"/>
                <w:color w:val="auto"/>
                <w:sz w:val="24"/>
                <w:szCs w:val="24"/>
                <w:highlight w:val="none"/>
                <w:vertAlign w:val="baseline"/>
                <w:lang w:val="en-US" w:eastAsia="zh-CN"/>
              </w:rPr>
              <w:t>间噪声贡献值可以满足《建筑施工场界环境噪声排放标准》（GB12523-2011）中相关规定</w:t>
            </w:r>
            <w:r>
              <w:rPr>
                <w:rFonts w:hint="eastAsia"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vertAlign w:val="baseline"/>
                <w:lang w:val="en-US" w:eastAsia="zh-CN"/>
              </w:rPr>
              <w:t>距离本项目井场最近的敏感目标位于</w:t>
            </w:r>
            <w:r>
              <w:rPr>
                <w:rFonts w:hint="default" w:ascii="Times New Roman" w:hAnsi="Times New Roman" w:eastAsia="宋体" w:cs="Times New Roman"/>
                <w:b w:val="0"/>
                <w:bCs w:val="0"/>
                <w:color w:val="auto"/>
                <w:sz w:val="24"/>
                <w:szCs w:val="24"/>
                <w:vertAlign w:val="baseline"/>
                <w:lang w:val="en-US" w:eastAsia="zh-CN"/>
              </w:rPr>
              <w:t>米107-</w:t>
            </w:r>
            <w:r>
              <w:rPr>
                <w:rFonts w:hint="eastAsia" w:ascii="Times New Roman" w:hAnsi="Times New Roman" w:eastAsia="宋体" w:cs="Times New Roman"/>
                <w:b w:val="0"/>
                <w:bCs w:val="0"/>
                <w:color w:val="auto"/>
                <w:sz w:val="24"/>
                <w:szCs w:val="24"/>
                <w:vertAlign w:val="baseline"/>
                <w:lang w:val="en-US" w:eastAsia="zh-CN"/>
              </w:rPr>
              <w:t>22MH</w:t>
            </w:r>
            <w:r>
              <w:rPr>
                <w:rFonts w:hint="default" w:ascii="Times New Roman" w:hAnsi="Times New Roman" w:eastAsia="宋体" w:cs="Times New Roman"/>
                <w:b w:val="0"/>
                <w:bCs w:val="0"/>
                <w:color w:val="auto"/>
                <w:sz w:val="24"/>
                <w:szCs w:val="24"/>
                <w:vertAlign w:val="baseline"/>
                <w:lang w:val="en-US" w:eastAsia="zh-CN"/>
              </w:rPr>
              <w:t>井场</w:t>
            </w:r>
            <w:r>
              <w:rPr>
                <w:rFonts w:hint="eastAsia" w:ascii="Times New Roman" w:hAnsi="Times New Roman" w:eastAsia="宋体" w:cs="Times New Roman"/>
                <w:b w:val="0"/>
                <w:bCs w:val="0"/>
                <w:color w:val="auto"/>
                <w:sz w:val="24"/>
                <w:szCs w:val="24"/>
                <w:vertAlign w:val="baseline"/>
                <w:lang w:val="en-US" w:eastAsia="zh-CN"/>
              </w:rPr>
              <w:t>东</w:t>
            </w:r>
            <w:r>
              <w:rPr>
                <w:rFonts w:hint="default" w:ascii="Times New Roman" w:hAnsi="Times New Roman" w:eastAsia="宋体" w:cs="Times New Roman"/>
                <w:b w:val="0"/>
                <w:bCs w:val="0"/>
                <w:color w:val="auto"/>
                <w:sz w:val="24"/>
                <w:szCs w:val="24"/>
                <w:vertAlign w:val="baseline"/>
                <w:lang w:val="en-US" w:eastAsia="zh-CN"/>
              </w:rPr>
              <w:t>侧</w:t>
            </w:r>
            <w:r>
              <w:rPr>
                <w:rFonts w:hint="eastAsia" w:ascii="Times New Roman" w:hAnsi="Times New Roman" w:eastAsia="宋体" w:cs="Times New Roman"/>
                <w:b w:val="0"/>
                <w:bCs w:val="0"/>
                <w:color w:val="auto"/>
                <w:sz w:val="24"/>
                <w:szCs w:val="24"/>
                <w:vertAlign w:val="baseline"/>
                <w:lang w:val="en-US" w:eastAsia="zh-CN"/>
              </w:rPr>
              <w:t>210</w:t>
            </w:r>
            <w:r>
              <w:rPr>
                <w:rFonts w:hint="default" w:ascii="Times New Roman" w:hAnsi="Times New Roman" w:eastAsia="宋体" w:cs="Times New Roman"/>
                <w:b w:val="0"/>
                <w:bCs w:val="0"/>
                <w:color w:val="auto"/>
                <w:sz w:val="24"/>
                <w:szCs w:val="24"/>
                <w:vertAlign w:val="baseline"/>
                <w:lang w:val="en-US" w:eastAsia="zh-CN"/>
              </w:rPr>
              <w:t>m处</w:t>
            </w:r>
            <w:r>
              <w:rPr>
                <w:rFonts w:hint="eastAsia" w:ascii="Times New Roman" w:hAnsi="Times New Roman" w:eastAsia="宋体" w:cs="Times New Roman"/>
                <w:b w:val="0"/>
                <w:bCs w:val="0"/>
                <w:color w:val="auto"/>
                <w:sz w:val="24"/>
                <w:szCs w:val="24"/>
                <w:highlight w:val="none"/>
                <w:vertAlign w:val="baseline"/>
                <w:lang w:val="en-US" w:eastAsia="zh-CN"/>
              </w:rPr>
              <w:t>，本项目要求禁止在夜间进行压裂作业。</w:t>
            </w:r>
          </w:p>
          <w:p w14:paraId="401480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2、试气放喷噪声对环境影响分析</w:t>
            </w:r>
          </w:p>
          <w:p w14:paraId="3FDA4D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测试放喷根据试气计划依次进行，测试放喷时产生的高压气流噪声为100dB(A)，均是昼夜连续作业。评价对井场试气噪声进行预测，预测模型同钻井工程噪声预测模式，预测结果见表4-5。</w:t>
            </w:r>
          </w:p>
          <w:p w14:paraId="716F4D3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表4-5   放喷噪声影响范围预测结果    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698"/>
              <w:gridCol w:w="967"/>
              <w:gridCol w:w="969"/>
              <w:gridCol w:w="969"/>
              <w:gridCol w:w="969"/>
              <w:gridCol w:w="969"/>
              <w:gridCol w:w="969"/>
              <w:gridCol w:w="981"/>
            </w:tblGrid>
            <w:tr w14:paraId="7099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restart"/>
                  <w:vAlign w:val="center"/>
                </w:tcPr>
                <w:p w14:paraId="04D1913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噪声源</w:t>
                  </w:r>
                </w:p>
              </w:tc>
              <w:tc>
                <w:tcPr>
                  <w:tcW w:w="4290" w:type="pct"/>
                  <w:gridSpan w:val="8"/>
                  <w:vAlign w:val="center"/>
                </w:tcPr>
                <w:p w14:paraId="3286D58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距声源距离</w:t>
                  </w:r>
                </w:p>
              </w:tc>
            </w:tr>
            <w:tr w14:paraId="5881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Merge w:val="continue"/>
                  <w:vAlign w:val="center"/>
                </w:tcPr>
                <w:p w14:paraId="1B570D3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400" w:type="pct"/>
                  <w:vAlign w:val="center"/>
                </w:tcPr>
                <w:p w14:paraId="14109B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w:t>
                  </w:r>
                </w:p>
              </w:tc>
              <w:tc>
                <w:tcPr>
                  <w:tcW w:w="554" w:type="pct"/>
                  <w:vAlign w:val="center"/>
                </w:tcPr>
                <w:p w14:paraId="050FD5F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w:t>
                  </w:r>
                </w:p>
              </w:tc>
              <w:tc>
                <w:tcPr>
                  <w:tcW w:w="555" w:type="pct"/>
                  <w:vAlign w:val="center"/>
                </w:tcPr>
                <w:p w14:paraId="030F4A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w:t>
                  </w:r>
                </w:p>
              </w:tc>
              <w:tc>
                <w:tcPr>
                  <w:tcW w:w="555" w:type="pct"/>
                  <w:vAlign w:val="center"/>
                </w:tcPr>
                <w:p w14:paraId="52CF9E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80</w:t>
                  </w:r>
                </w:p>
              </w:tc>
              <w:tc>
                <w:tcPr>
                  <w:tcW w:w="555" w:type="pct"/>
                  <w:vAlign w:val="center"/>
                </w:tcPr>
                <w:p w14:paraId="5042224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100</w:t>
                  </w:r>
                </w:p>
              </w:tc>
              <w:tc>
                <w:tcPr>
                  <w:tcW w:w="555" w:type="pct"/>
                  <w:vAlign w:val="center"/>
                </w:tcPr>
                <w:p w14:paraId="0A7FFD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150</w:t>
                  </w:r>
                </w:p>
              </w:tc>
              <w:tc>
                <w:tcPr>
                  <w:tcW w:w="555" w:type="pct"/>
                  <w:vAlign w:val="center"/>
                </w:tcPr>
                <w:p w14:paraId="58E2971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200</w:t>
                  </w:r>
                </w:p>
              </w:tc>
              <w:tc>
                <w:tcPr>
                  <w:tcW w:w="557" w:type="pct"/>
                  <w:vAlign w:val="center"/>
                </w:tcPr>
                <w:p w14:paraId="06252B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400</w:t>
                  </w:r>
                </w:p>
              </w:tc>
            </w:tr>
            <w:tr w14:paraId="266C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pct"/>
                  <w:vAlign w:val="center"/>
                </w:tcPr>
                <w:p w14:paraId="416967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放喷测试</w:t>
                  </w:r>
                </w:p>
              </w:tc>
              <w:tc>
                <w:tcPr>
                  <w:tcW w:w="400" w:type="pct"/>
                  <w:vAlign w:val="center"/>
                </w:tcPr>
                <w:p w14:paraId="4F5BFF5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80.0</w:t>
                  </w:r>
                </w:p>
              </w:tc>
              <w:tc>
                <w:tcPr>
                  <w:tcW w:w="554" w:type="pct"/>
                  <w:vAlign w:val="center"/>
                </w:tcPr>
                <w:p w14:paraId="2848189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74.0</w:t>
                  </w:r>
                </w:p>
              </w:tc>
              <w:tc>
                <w:tcPr>
                  <w:tcW w:w="555" w:type="pct"/>
                  <w:vAlign w:val="center"/>
                </w:tcPr>
                <w:p w14:paraId="4D2452C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68.0</w:t>
                  </w:r>
                </w:p>
              </w:tc>
              <w:tc>
                <w:tcPr>
                  <w:tcW w:w="555" w:type="pct"/>
                  <w:vAlign w:val="center"/>
                </w:tcPr>
                <w:p w14:paraId="47446A5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61.9</w:t>
                  </w:r>
                </w:p>
              </w:tc>
              <w:tc>
                <w:tcPr>
                  <w:tcW w:w="555" w:type="pct"/>
                  <w:vAlign w:val="center"/>
                </w:tcPr>
                <w:p w14:paraId="1B270C4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60.0</w:t>
                  </w:r>
                </w:p>
              </w:tc>
              <w:tc>
                <w:tcPr>
                  <w:tcW w:w="555" w:type="pct"/>
                  <w:vAlign w:val="center"/>
                </w:tcPr>
                <w:p w14:paraId="41F0820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56.5</w:t>
                  </w:r>
                </w:p>
              </w:tc>
              <w:tc>
                <w:tcPr>
                  <w:tcW w:w="555" w:type="pct"/>
                  <w:vAlign w:val="center"/>
                </w:tcPr>
                <w:p w14:paraId="3FE2A51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54.0</w:t>
                  </w:r>
                </w:p>
              </w:tc>
              <w:tc>
                <w:tcPr>
                  <w:tcW w:w="557" w:type="pct"/>
                  <w:vAlign w:val="center"/>
                </w:tcPr>
                <w:p w14:paraId="17E73C5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48.0</w:t>
                  </w:r>
                </w:p>
              </w:tc>
            </w:tr>
          </w:tbl>
          <w:p w14:paraId="71C437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yellow"/>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根据上表预测结果，在放喷测试时，在距放喷管33m（距井场边界33m）处能够满足《建筑施工场界环境噪声排放标准》（GB12523-2011）昼间排放标准70dB(A)；</w:t>
            </w:r>
            <w:r>
              <w:rPr>
                <w:rFonts w:hint="default" w:ascii="Times New Roman" w:hAnsi="Times New Roman" w:eastAsia="宋体" w:cs="Times New Roman"/>
                <w:b w:val="0"/>
                <w:bCs w:val="0"/>
                <w:color w:val="auto"/>
                <w:sz w:val="24"/>
                <w:szCs w:val="24"/>
                <w:highlight w:val="none"/>
                <w:vertAlign w:val="baseline"/>
                <w:lang w:val="en-US" w:eastAsia="zh-CN"/>
              </w:rPr>
              <w:t>在距放喷管185m（距井场边界185m）处能够满足其夜间排放标准55dB(A)。</w:t>
            </w:r>
          </w:p>
          <w:p w14:paraId="1870C3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放喷管周围200m范围内无居民点，</w:t>
            </w:r>
            <w:r>
              <w:rPr>
                <w:rFonts w:hint="default" w:ascii="Times New Roman" w:hAnsi="Times New Roman" w:eastAsia="宋体" w:cs="Times New Roman"/>
                <w:b w:val="0"/>
                <w:bCs w:val="0"/>
                <w:color w:val="auto"/>
                <w:sz w:val="24"/>
                <w:szCs w:val="24"/>
                <w:vertAlign w:val="baseline"/>
                <w:lang w:val="en-US" w:eastAsia="zh-CN"/>
              </w:rPr>
              <w:t>且钻井施工作业时间短，施工结束后影响随即消失。</w:t>
            </w:r>
          </w:p>
          <w:p w14:paraId="14490EE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综上，气井在钻井过程中，对周围声环境敏感点噪声影响很小。</w:t>
            </w:r>
          </w:p>
          <w:p w14:paraId="1DF4F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w:t>
            </w:r>
          </w:p>
          <w:p w14:paraId="71BD3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项目钻井过程中产生的固体废物主要有废弃泥浆、岩屑、废机油及井队员工产生的生活垃圾。</w:t>
            </w:r>
          </w:p>
          <w:p w14:paraId="2F6137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w:t>
            </w:r>
            <w:r>
              <w:rPr>
                <w:rFonts w:hint="eastAsia" w:ascii="Times New Roman" w:hAnsi="Times New Roman" w:eastAsia="宋体" w:cs="Times New Roman"/>
                <w:b/>
                <w:bCs/>
                <w:color w:val="auto"/>
                <w:sz w:val="24"/>
                <w:szCs w:val="24"/>
                <w:vertAlign w:val="baseline"/>
                <w:lang w:val="en-US" w:eastAsia="zh-CN"/>
              </w:rPr>
              <w:t>泥饼</w:t>
            </w:r>
          </w:p>
          <w:p w14:paraId="7A43D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废弃钻井泥浆是指在钻井过程中无法利用的剩余泥浆，其产生量随井深和井径的不同而改变。根据类比企业在该地区已建勘探井的调查情况，钻井废弃泥浆产生量可按照经验公式推算：</w:t>
            </w:r>
          </w:p>
          <w:p w14:paraId="56C2C72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10"/>
                <w:sz w:val="24"/>
                <w:szCs w:val="24"/>
                <w:vertAlign w:val="baseline"/>
                <w:lang w:val="en-US" w:eastAsia="zh-CN"/>
              </w:rPr>
              <w:object>
                <v:shape id="_x0000_i1029" o:spt="75" type="#_x0000_t75" style="height:18pt;width:197pt;" o:ole="t" filled="f" o:preferrelative="t" stroked="f" coordsize="21600,21600">
                  <v:path/>
                  <v:fill on="f" focussize="0,0"/>
                  <v:stroke on="f"/>
                  <v:imagedata r:id="rId28" o:title=""/>
                  <o:lock v:ext="edit" aspectratio="t"/>
                  <w10:wrap type="none"/>
                  <w10:anchorlock/>
                </v:shape>
                <o:OLEObject Type="Embed" ProgID="Equation.KSEE3" ShapeID="_x0000_i1029" DrawAspect="Content" ObjectID="_1468075729" r:id="rId27">
                  <o:LockedField>false</o:LockedField>
                </o:OLEObject>
              </w:object>
            </w:r>
          </w:p>
          <w:p w14:paraId="0D776B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5E5FB2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V——钻井泥浆量，m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55E727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7D7AAE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h——钻井的深度，m，一开6</w:t>
            </w:r>
            <w:r>
              <w:rPr>
                <w:rFonts w:hint="eastAsia" w:ascii="Times New Roman" w:hAnsi="Times New Roman" w:eastAsia="宋体" w:cs="Times New Roman"/>
                <w:b w:val="0"/>
                <w:bCs w:val="0"/>
                <w:color w:val="auto"/>
                <w:sz w:val="24"/>
                <w:szCs w:val="24"/>
                <w:vertAlign w:val="baseline"/>
                <w:lang w:val="en-US" w:eastAsia="zh-CN"/>
              </w:rPr>
              <w:t>0</w:t>
            </w:r>
            <w:r>
              <w:rPr>
                <w:rFonts w:hint="default" w:ascii="Times New Roman" w:hAnsi="Times New Roman" w:eastAsia="宋体" w:cs="Times New Roman"/>
                <w:b w:val="0"/>
                <w:bCs w:val="0"/>
                <w:color w:val="auto"/>
                <w:sz w:val="24"/>
                <w:szCs w:val="24"/>
                <w:vertAlign w:val="baseline"/>
                <w:lang w:val="en-US" w:eastAsia="zh-CN"/>
              </w:rPr>
              <w:t>0m，二开</w:t>
            </w:r>
            <w:r>
              <w:rPr>
                <w:rFonts w:hint="eastAsia" w:ascii="Times New Roman" w:hAnsi="Times New Roman" w:eastAsia="宋体" w:cs="Times New Roman"/>
                <w:b w:val="0"/>
                <w:bCs w:val="0"/>
                <w:color w:val="auto"/>
                <w:sz w:val="24"/>
                <w:szCs w:val="24"/>
                <w:vertAlign w:val="baseline"/>
                <w:lang w:val="en-US" w:eastAsia="zh-CN"/>
              </w:rPr>
              <w:t>600~目的层（2700~3000m）</w:t>
            </w:r>
            <w:r>
              <w:rPr>
                <w:rFonts w:hint="default" w:ascii="Times New Roman" w:hAnsi="Times New Roman" w:eastAsia="宋体" w:cs="Times New Roman"/>
                <w:b w:val="0"/>
                <w:bCs w:val="0"/>
                <w:color w:val="auto"/>
                <w:sz w:val="24"/>
                <w:szCs w:val="24"/>
                <w:vertAlign w:val="baseline"/>
                <w:lang w:val="en-US" w:eastAsia="zh-CN"/>
              </w:rPr>
              <w:t>。</w:t>
            </w:r>
          </w:p>
          <w:p w14:paraId="06982691">
            <w:pPr>
              <w:pStyle w:val="26"/>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表4-6 钻井泥浆产生情况一览表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3396"/>
              <w:gridCol w:w="3885"/>
            </w:tblGrid>
            <w:tr w14:paraId="1B1E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404D27DD">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1945" w:type="pct"/>
                  <w:vAlign w:val="center"/>
                </w:tcPr>
                <w:p w14:paraId="54DD278D">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井号</w:t>
                  </w:r>
                </w:p>
              </w:tc>
              <w:tc>
                <w:tcPr>
                  <w:tcW w:w="2225" w:type="pct"/>
                  <w:vAlign w:val="center"/>
                </w:tcPr>
                <w:p w14:paraId="1AEFDB0A">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钻井泥浆产生量（</w:t>
                  </w:r>
                  <w:r>
                    <w:rPr>
                      <w:rFonts w:hint="default" w:ascii="Times New Roman" w:hAnsi="Times New Roman" w:eastAsia="宋体" w:cs="Times New Roman"/>
                      <w:b/>
                      <w:bCs/>
                      <w:color w:val="auto"/>
                      <w:sz w:val="24"/>
                      <w:szCs w:val="24"/>
                      <w:vertAlign w:val="baseline"/>
                      <w:lang w:val="en-US" w:eastAsia="zh-CN"/>
                    </w:rPr>
                    <w:t>m</w:t>
                  </w:r>
                  <w:r>
                    <w:rPr>
                      <w:rFonts w:hint="default" w:ascii="Times New Roman" w:hAnsi="Times New Roman" w:eastAsia="宋体" w:cs="Times New Roman"/>
                      <w:b/>
                      <w:bCs/>
                      <w:color w:val="auto"/>
                      <w:sz w:val="24"/>
                      <w:szCs w:val="24"/>
                      <w:vertAlign w:val="superscript"/>
                      <w:lang w:val="en-US" w:eastAsia="zh-CN"/>
                    </w:rPr>
                    <w:t>3</w:t>
                  </w:r>
                  <w:r>
                    <w:rPr>
                      <w:rFonts w:hint="eastAsia" w:ascii="Times New Roman" w:hAnsi="Times New Roman" w:eastAsia="宋体" w:cs="Times New Roman"/>
                      <w:b/>
                      <w:bCs/>
                      <w:color w:val="auto"/>
                      <w:sz w:val="21"/>
                      <w:szCs w:val="21"/>
                      <w:highlight w:val="none"/>
                      <w:vertAlign w:val="baseline"/>
                      <w:lang w:val="en-US" w:eastAsia="zh-CN"/>
                    </w:rPr>
                    <w:t>）</w:t>
                  </w:r>
                </w:p>
              </w:tc>
            </w:tr>
            <w:tr w14:paraId="5AEC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290D7252">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1945" w:type="pct"/>
                  <w:shd w:val="clear" w:color="auto" w:fill="auto"/>
                  <w:vAlign w:val="center"/>
                </w:tcPr>
                <w:p w14:paraId="54627791">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米107-32M</w:t>
                  </w:r>
                </w:p>
              </w:tc>
              <w:tc>
                <w:tcPr>
                  <w:tcW w:w="2225" w:type="pct"/>
                  <w:vAlign w:val="center"/>
                </w:tcPr>
                <w:p w14:paraId="6410914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312.28 </w:t>
                  </w:r>
                </w:p>
              </w:tc>
            </w:tr>
            <w:tr w14:paraId="3124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4F77F3F6">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1945" w:type="pct"/>
                  <w:shd w:val="clear" w:color="auto" w:fill="auto"/>
                  <w:vAlign w:val="center"/>
                </w:tcPr>
                <w:p w14:paraId="09083488">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米107-16M</w:t>
                  </w:r>
                </w:p>
              </w:tc>
              <w:tc>
                <w:tcPr>
                  <w:tcW w:w="2225" w:type="pct"/>
                  <w:vAlign w:val="center"/>
                </w:tcPr>
                <w:p w14:paraId="66E08F7D">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314.76 </w:t>
                  </w:r>
                </w:p>
              </w:tc>
            </w:tr>
            <w:tr w14:paraId="5E95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04E8D5ED">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1945" w:type="pct"/>
                  <w:shd w:val="clear" w:color="auto" w:fill="auto"/>
                  <w:vAlign w:val="center"/>
                </w:tcPr>
                <w:p w14:paraId="2A7E93F0">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米107-22MH</w:t>
                  </w:r>
                </w:p>
              </w:tc>
              <w:tc>
                <w:tcPr>
                  <w:tcW w:w="2225" w:type="pct"/>
                  <w:vAlign w:val="center"/>
                </w:tcPr>
                <w:p w14:paraId="11E5D878">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310.38 </w:t>
                  </w:r>
                </w:p>
              </w:tc>
            </w:tr>
            <w:tr w14:paraId="19AD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4" w:type="pct"/>
                  <w:gridSpan w:val="2"/>
                  <w:vAlign w:val="center"/>
                </w:tcPr>
                <w:p w14:paraId="139B3636">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合计</w:t>
                  </w:r>
                </w:p>
              </w:tc>
              <w:tc>
                <w:tcPr>
                  <w:tcW w:w="2225" w:type="pct"/>
                  <w:vAlign w:val="center"/>
                </w:tcPr>
                <w:p w14:paraId="3218197A">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937.32</w:t>
                  </w:r>
                </w:p>
              </w:tc>
            </w:tr>
          </w:tbl>
          <w:p w14:paraId="3A0A5F5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根据计算，项目单井钻井废弃泥浆产生量约为</w:t>
            </w:r>
            <w:r>
              <w:rPr>
                <w:rFonts w:hint="eastAsia" w:ascii="Times New Roman" w:hAnsi="Times New Roman" w:eastAsia="宋体" w:cs="Times New Roman"/>
                <w:b w:val="0"/>
                <w:bCs w:val="0"/>
                <w:color w:val="auto"/>
                <w:sz w:val="24"/>
                <w:szCs w:val="24"/>
                <w:highlight w:val="none"/>
                <w:vertAlign w:val="baseline"/>
                <w:lang w:val="en-US" w:eastAsia="zh-CN"/>
              </w:rPr>
              <w:t>937.32</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重复利用率为95%，废弃钻井泥浆产生量为46.87t。</w:t>
            </w:r>
          </w:p>
          <w:p w14:paraId="63A9BEC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弃泥浆的主要成分是土粉、纯碱、烧碱和无机及有机添加剂，本项目使用水基泥浆，按照《榆林市油（气）开采废弃物处置环保暂行管理办法》（榆政环发〔2015〕170号）的相关要求进行收集，经场地内泥浆循环系统配套的移动式泥饼和岩屑收集罐暂存，委托外运处置</w:t>
            </w:r>
            <w:r>
              <w:rPr>
                <w:rFonts w:hint="default" w:ascii="Times New Roman" w:hAnsi="Times New Roman" w:cs="Times New Roman"/>
                <w:color w:val="auto"/>
                <w:lang w:val="en-US" w:eastAsia="zh-CN"/>
              </w:rPr>
              <w:t>，由罐车拉运至陕西德禾鑫盛环保科技有限公司处置。</w:t>
            </w:r>
          </w:p>
          <w:p w14:paraId="5AF435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（2）钻井岩屑</w:t>
            </w:r>
          </w:p>
          <w:p w14:paraId="32610F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钻井过程中，岩石被钻头破碎成岩屑，随着泥浆经循环泵带出井口，经地面的泥浆不落地系统处理分离，钻井岩屑的产生量按以下公式计算：</w:t>
            </w:r>
          </w:p>
          <w:p w14:paraId="67BF4CF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position w:val="-6"/>
                <w:sz w:val="24"/>
                <w:szCs w:val="24"/>
                <w:vertAlign w:val="baseline"/>
                <w:lang w:val="en-US" w:eastAsia="zh-CN"/>
              </w:rPr>
              <w:object>
                <v:shape id="_x0000_i1030" o:spt="75" type="#_x0000_t75" style="height:16pt;width:72pt;" o:ole="t" filled="f" o:preferrelative="t" stroked="f" coordsize="21600,21600">
                  <v:path/>
                  <v:fill on="f" focussize="0,0"/>
                  <v:stroke on="f"/>
                  <v:imagedata r:id="rId30" o:title=""/>
                  <o:lock v:ext="edit" aspectratio="t"/>
                  <w10:wrap type="none"/>
                  <w10:anchorlock/>
                </v:shape>
                <o:OLEObject Type="Embed" ProgID="Equation.KSEE3" ShapeID="_x0000_i1030" DrawAspect="Content" ObjectID="_1468075730" r:id="rId29">
                  <o:LockedField>false</o:LockedField>
                </o:OLEObject>
              </w:object>
            </w:r>
          </w:p>
          <w:p w14:paraId="32DB64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式中：</w:t>
            </w:r>
          </w:p>
          <w:p w14:paraId="48CAD7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W——钻井岩屑产生量，t；</w:t>
            </w:r>
          </w:p>
          <w:p w14:paraId="2C4190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D——钻井直井，m，一开0.346m，二开0.273m；</w:t>
            </w:r>
          </w:p>
          <w:p w14:paraId="549AB8F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h——钻井的深度，m，一开6</w:t>
            </w:r>
            <w:r>
              <w:rPr>
                <w:rFonts w:hint="eastAsia" w:ascii="Times New Roman" w:hAnsi="Times New Roman" w:eastAsia="宋体" w:cs="Times New Roman"/>
                <w:b w:val="0"/>
                <w:bCs w:val="0"/>
                <w:color w:val="auto"/>
                <w:sz w:val="24"/>
                <w:szCs w:val="24"/>
                <w:vertAlign w:val="baseline"/>
                <w:lang w:val="en-US" w:eastAsia="zh-CN"/>
              </w:rPr>
              <w:t>0</w:t>
            </w:r>
            <w:r>
              <w:rPr>
                <w:rFonts w:hint="default" w:ascii="Times New Roman" w:hAnsi="Times New Roman" w:eastAsia="宋体" w:cs="Times New Roman"/>
                <w:b w:val="0"/>
                <w:bCs w:val="0"/>
                <w:color w:val="auto"/>
                <w:sz w:val="24"/>
                <w:szCs w:val="24"/>
                <w:vertAlign w:val="baseline"/>
                <w:lang w:val="en-US" w:eastAsia="zh-CN"/>
              </w:rPr>
              <w:t>0m，</w:t>
            </w:r>
            <w:r>
              <w:rPr>
                <w:rFonts w:hint="eastAsia" w:ascii="Times New Roman" w:hAnsi="Times New Roman" w:eastAsia="宋体" w:cs="Times New Roman"/>
                <w:b w:val="0"/>
                <w:bCs w:val="0"/>
                <w:color w:val="auto"/>
                <w:sz w:val="24"/>
                <w:szCs w:val="24"/>
                <w:vertAlign w:val="baseline"/>
                <w:lang w:val="en-US" w:eastAsia="zh-CN"/>
              </w:rPr>
              <w:t>二开2700~3000m</w:t>
            </w:r>
            <w:r>
              <w:rPr>
                <w:rFonts w:hint="default" w:ascii="Times New Roman" w:hAnsi="Times New Roman" w:eastAsia="宋体" w:cs="Times New Roman"/>
                <w:b w:val="0"/>
                <w:bCs w:val="0"/>
                <w:color w:val="auto"/>
                <w:sz w:val="24"/>
                <w:szCs w:val="24"/>
                <w:vertAlign w:val="baseline"/>
                <w:lang w:val="en-US" w:eastAsia="zh-CN"/>
              </w:rPr>
              <w:t>；</w:t>
            </w:r>
          </w:p>
          <w:p w14:paraId="4614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d——岩石密度，t/m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，取2.71t/m</w:t>
            </w:r>
            <w:r>
              <w:rPr>
                <w:rFonts w:hint="default" w:ascii="Times New Roman" w:hAnsi="Times New Roman" w:eastAsia="宋体" w:cs="Times New Roman"/>
                <w:b w:val="0"/>
                <w:bCs w:val="0"/>
                <w:color w:val="auto"/>
                <w:sz w:val="24"/>
                <w:szCs w:val="24"/>
                <w:vertAlign w:val="superscript"/>
                <w:lang w:val="en-US" w:eastAsia="zh-CN"/>
              </w:rPr>
              <w:t>3</w:t>
            </w:r>
            <w:r>
              <w:rPr>
                <w:rFonts w:hint="default" w:ascii="Times New Roman" w:hAnsi="Times New Roman" w:eastAsia="宋体" w:cs="Times New Roman"/>
                <w:b w:val="0"/>
                <w:bCs w:val="0"/>
                <w:color w:val="auto"/>
                <w:sz w:val="24"/>
                <w:szCs w:val="24"/>
                <w:vertAlign w:val="baseline"/>
                <w:lang w:val="en-US" w:eastAsia="zh-CN"/>
              </w:rPr>
              <w:t>。</w:t>
            </w:r>
          </w:p>
          <w:p w14:paraId="11D271E1">
            <w:pPr>
              <w:pStyle w:val="7"/>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center"/>
              <w:textAlignment w:val="auto"/>
              <w:rPr>
                <w:rFonts w:hint="default"/>
                <w:color w:val="auto"/>
                <w:lang w:val="en-US" w:eastAsia="zh-CN"/>
              </w:rPr>
            </w:pPr>
            <w:r>
              <w:rPr>
                <w:rFonts w:hint="eastAsia" w:ascii="Times New Roman" w:hAnsi="Times New Roman" w:eastAsia="宋体" w:cs="Times New Roman"/>
                <w:b/>
                <w:bCs/>
                <w:color w:val="auto"/>
                <w:sz w:val="21"/>
                <w:szCs w:val="21"/>
                <w:highlight w:val="none"/>
                <w:vertAlign w:val="baseline"/>
                <w:lang w:val="en-US" w:eastAsia="zh-CN"/>
              </w:rPr>
              <w:t>表4-7 钻井岩屑产生情况一览表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3396"/>
              <w:gridCol w:w="3885"/>
            </w:tblGrid>
            <w:tr w14:paraId="1D83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5A3EC463">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序号</w:t>
                  </w:r>
                </w:p>
              </w:tc>
              <w:tc>
                <w:tcPr>
                  <w:tcW w:w="1945" w:type="pct"/>
                  <w:vAlign w:val="center"/>
                </w:tcPr>
                <w:p w14:paraId="5B8E1200">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井号</w:t>
                  </w:r>
                </w:p>
              </w:tc>
              <w:tc>
                <w:tcPr>
                  <w:tcW w:w="2225" w:type="pct"/>
                  <w:vAlign w:val="center"/>
                </w:tcPr>
                <w:p w14:paraId="1F70D5AC">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钻井泥浆产生量（</w:t>
                  </w:r>
                  <w:r>
                    <w:rPr>
                      <w:rFonts w:hint="eastAsia" w:ascii="Times New Roman" w:hAnsi="Times New Roman" w:eastAsia="宋体" w:cs="Times New Roman"/>
                      <w:b/>
                      <w:bCs/>
                      <w:color w:val="auto"/>
                      <w:sz w:val="24"/>
                      <w:szCs w:val="24"/>
                      <w:vertAlign w:val="baseline"/>
                      <w:lang w:val="en-US" w:eastAsia="zh-CN"/>
                    </w:rPr>
                    <w:t>t</w:t>
                  </w:r>
                  <w:r>
                    <w:rPr>
                      <w:rFonts w:hint="eastAsia" w:ascii="Times New Roman" w:hAnsi="Times New Roman" w:eastAsia="宋体" w:cs="Times New Roman"/>
                      <w:b/>
                      <w:bCs/>
                      <w:color w:val="auto"/>
                      <w:sz w:val="21"/>
                      <w:szCs w:val="21"/>
                      <w:highlight w:val="none"/>
                      <w:vertAlign w:val="baseline"/>
                      <w:lang w:val="en-US" w:eastAsia="zh-CN"/>
                    </w:rPr>
                    <w:t>）</w:t>
                  </w:r>
                </w:p>
              </w:tc>
            </w:tr>
            <w:tr w14:paraId="6F27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621E80B0">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3226" w:type="dxa"/>
                  <w:shd w:val="clear" w:color="auto" w:fill="auto"/>
                  <w:vAlign w:val="center"/>
                </w:tcPr>
                <w:p w14:paraId="762D82F6">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米107-32M</w:t>
                  </w:r>
                </w:p>
              </w:tc>
              <w:tc>
                <w:tcPr>
                  <w:tcW w:w="2225" w:type="pct"/>
                  <w:vAlign w:val="center"/>
                </w:tcPr>
                <w:p w14:paraId="684FB347">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496.07 </w:t>
                  </w:r>
                </w:p>
              </w:tc>
            </w:tr>
            <w:tr w14:paraId="5C3C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246F388A">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3226" w:type="dxa"/>
                  <w:shd w:val="clear" w:color="auto" w:fill="auto"/>
                  <w:vAlign w:val="center"/>
                </w:tcPr>
                <w:p w14:paraId="6ECE353F">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米107-16M</w:t>
                  </w:r>
                </w:p>
              </w:tc>
              <w:tc>
                <w:tcPr>
                  <w:tcW w:w="2225" w:type="pct"/>
                  <w:vAlign w:val="center"/>
                </w:tcPr>
                <w:p w14:paraId="397BD94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509.54 </w:t>
                  </w:r>
                </w:p>
              </w:tc>
            </w:tr>
            <w:tr w14:paraId="0FD7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pct"/>
                  <w:vAlign w:val="center"/>
                </w:tcPr>
                <w:p w14:paraId="4CB619B3">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3226" w:type="dxa"/>
                  <w:shd w:val="clear" w:color="auto" w:fill="auto"/>
                  <w:vAlign w:val="center"/>
                </w:tcPr>
                <w:p w14:paraId="5D95BAEF">
                  <w:pPr>
                    <w:pStyle w:val="4"/>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米107-22MH</w:t>
                  </w:r>
                </w:p>
              </w:tc>
              <w:tc>
                <w:tcPr>
                  <w:tcW w:w="2225" w:type="pct"/>
                  <w:vAlign w:val="center"/>
                </w:tcPr>
                <w:p w14:paraId="334C666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485.76 </w:t>
                  </w:r>
                </w:p>
              </w:tc>
            </w:tr>
            <w:tr w14:paraId="09F1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4" w:type="pct"/>
                  <w:gridSpan w:val="2"/>
                  <w:vAlign w:val="center"/>
                </w:tcPr>
                <w:p w14:paraId="442AEAE1">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合计</w:t>
                  </w:r>
                </w:p>
              </w:tc>
              <w:tc>
                <w:tcPr>
                  <w:tcW w:w="2225" w:type="pct"/>
                  <w:vAlign w:val="center"/>
                </w:tcPr>
                <w:p w14:paraId="532080AC">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1491.37</w:t>
                  </w:r>
                </w:p>
              </w:tc>
            </w:tr>
          </w:tbl>
          <w:p w14:paraId="59342D58">
            <w:pPr>
              <w:pStyle w:val="26"/>
              <w:keepNext w:val="0"/>
              <w:keepLines w:val="0"/>
              <w:pageBreakBefore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本项目共产生钻井岩屑约</w:t>
            </w:r>
            <w:r>
              <w:rPr>
                <w:rFonts w:hint="eastAsia" w:ascii="Times New Roman" w:hAnsi="Times New Roman" w:eastAsia="宋体" w:cs="Times New Roman"/>
                <w:b w:val="0"/>
                <w:bCs w:val="0"/>
                <w:color w:val="auto"/>
                <w:sz w:val="24"/>
                <w:szCs w:val="24"/>
                <w:highlight w:val="none"/>
                <w:vertAlign w:val="baseline"/>
                <w:lang w:val="en-US" w:eastAsia="zh-CN"/>
              </w:rPr>
              <w:t>1491.37</w:t>
            </w:r>
            <w:r>
              <w:rPr>
                <w:rFonts w:hint="default" w:ascii="Times New Roman" w:hAnsi="Times New Roman" w:eastAsia="宋体" w:cs="Times New Roman"/>
                <w:b w:val="0"/>
                <w:bCs w:val="0"/>
                <w:color w:val="auto"/>
                <w:sz w:val="24"/>
                <w:szCs w:val="24"/>
                <w:highlight w:val="none"/>
                <w:vertAlign w:val="baseline"/>
                <w:lang w:val="en-US" w:eastAsia="zh-CN"/>
              </w:rPr>
              <w:t>t，</w:t>
            </w:r>
            <w:r>
              <w:rPr>
                <w:rFonts w:hint="default" w:ascii="Times New Roman" w:hAnsi="Times New Roman" w:eastAsia="宋体" w:cs="Times New Roman"/>
                <w:b w:val="0"/>
                <w:bCs w:val="0"/>
                <w:color w:val="auto"/>
                <w:sz w:val="24"/>
                <w:szCs w:val="24"/>
                <w:vertAlign w:val="baseline"/>
                <w:lang w:val="en-US" w:eastAsia="zh-CN"/>
              </w:rPr>
              <w:t>井场设置移动式泥饼和岩屑收集罐，罐区设置围堰，铺设防渗HDPE膜，设遮雨设施，</w:t>
            </w:r>
            <w:r>
              <w:rPr>
                <w:rFonts w:hint="default" w:ascii="Times New Roman" w:hAnsi="Times New Roman" w:cs="Times New Roman"/>
                <w:color w:val="auto"/>
                <w:lang w:val="en-US" w:eastAsia="zh-CN"/>
              </w:rPr>
              <w:t>符合《榆林市油气开采废弃物不落地集中处置推广项目建设管理指南（试行）》（榆林市生态环境局于2018年8月21日发布）的要求。经场地内泥浆循环系统配套的移动式泥饼和岩屑收集罐暂存，由罐车拉运至陕西德禾鑫盛环保科技有限公司处置。</w:t>
            </w:r>
          </w:p>
          <w:p w14:paraId="48298F19">
            <w:pPr>
              <w:pStyle w:val="26"/>
              <w:keepNext w:val="0"/>
              <w:keepLines w:val="0"/>
              <w:pageBreakBefore w:val="0"/>
              <w:kinsoku/>
              <w:wordWrap/>
              <w:overflowPunct/>
              <w:topLinePunct w:val="0"/>
              <w:autoSpaceDE/>
              <w:autoSpaceDN/>
              <w:bidi w:val="0"/>
              <w:adjustRightInd/>
              <w:snapToGrid/>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cs="Times New Roman"/>
                <w:color w:val="auto"/>
                <w:lang w:val="en-US" w:eastAsia="zh-CN"/>
              </w:rPr>
              <w:t>本项目使用水基泥浆。钻井岩屑按照《榆林市油（气）开采废弃物处置环保暂行管理办法》（榆政环发〔2015〕170号）的相关要求进行收集，根据本地区同类项目工程经验，钻井岩屑中不含重金属和放射性含量物质，属于Ⅱ类一般固废。</w:t>
            </w:r>
          </w:p>
          <w:p w14:paraId="438E87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40A1C2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主要来源于清洗钻具、套管时产生的废机油。根据建设单位同类型项目资料，预计单井废机油产生量为0.04t，本项目共产生0.</w:t>
            </w:r>
            <w:r>
              <w:rPr>
                <w:rFonts w:hint="eastAsia" w:ascii="Times New Roman" w:hAnsi="Times New Roman" w:eastAsia="宋体" w:cs="Times New Roman"/>
                <w:b w:val="0"/>
                <w:bCs w:val="0"/>
                <w:color w:val="auto"/>
                <w:sz w:val="24"/>
                <w:szCs w:val="24"/>
                <w:vertAlign w:val="baseline"/>
                <w:lang w:val="en-US" w:eastAsia="zh-CN"/>
              </w:rPr>
              <w:t>12</w:t>
            </w:r>
            <w:r>
              <w:rPr>
                <w:rFonts w:hint="default" w:ascii="Times New Roman" w:hAnsi="Times New Roman" w:eastAsia="宋体" w:cs="Times New Roman"/>
                <w:b w:val="0"/>
                <w:bCs w:val="0"/>
                <w:color w:val="auto"/>
                <w:sz w:val="24"/>
                <w:szCs w:val="24"/>
                <w:vertAlign w:val="baseline"/>
                <w:lang w:val="en-US" w:eastAsia="zh-CN"/>
              </w:rPr>
              <w:t>t，委托有资质的单位进行处置。</w:t>
            </w:r>
          </w:p>
          <w:p w14:paraId="56D338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废纯碱、膨润土包装袋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6DFC4B1E">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废弃包装袋主要为钻井材料中纯碱、膨润土废弃包装</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不含油废防渗布主要为施工场地铺设的未沾染油类物质的防渗布，</w:t>
            </w:r>
            <w:r>
              <w:rPr>
                <w:rFonts w:hint="default" w:ascii="Times New Roman" w:hAnsi="Times New Roman" w:cs="Times New Roman"/>
                <w:color w:val="auto"/>
                <w:sz w:val="24"/>
              </w:rPr>
              <w:t>其中</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rPr>
              <w:t>膨润土、纯碱包装袋产生量约为0.015t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总产生量为0.045t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单井</w:t>
            </w:r>
            <w:r>
              <w:rPr>
                <w:rFonts w:hint="default" w:ascii="Times New Roman" w:hAnsi="Times New Roman" w:cs="Times New Roman"/>
                <w:color w:val="auto"/>
                <w:sz w:val="24"/>
                <w:lang w:val="en-US" w:eastAsia="zh-CN"/>
              </w:rPr>
              <w:t>不含油废防渗布</w:t>
            </w:r>
            <w:r>
              <w:rPr>
                <w:rFonts w:hint="default" w:ascii="Times New Roman" w:hAnsi="Times New Roman" w:cs="Times New Roman"/>
                <w:color w:val="auto"/>
                <w:sz w:val="24"/>
              </w:rPr>
              <w:t>产生量约为0.0</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5t</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总产生量为0.015t</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，属于一般固体废物，施工结束后回收综合利用。</w:t>
            </w:r>
          </w:p>
          <w:p w14:paraId="42B9A1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（5）废弃防渗膜</w:t>
            </w:r>
          </w:p>
          <w:p w14:paraId="3283B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cs="Times New Roman"/>
                <w:color w:val="auto"/>
                <w:sz w:val="24"/>
              </w:rPr>
              <w:t>为防止在钻井过程中钻井泥浆、钻井污水等污染地面从而造成对土壤、地下水的影响，需要在钻井过程中在钻井平台附近铺设防渗布</w:t>
            </w:r>
            <w:r>
              <w:rPr>
                <w:rFonts w:hint="default" w:ascii="Times New Roman" w:hAnsi="Times New Roman" w:cs="Times New Roman"/>
                <w:color w:val="auto"/>
                <w:sz w:val="24"/>
                <w:lang w:val="en-US" w:eastAsia="zh-CN"/>
              </w:rPr>
              <w:t>。沾染油类物质的防渗膜属于危险废物，</w:t>
            </w:r>
            <w:r>
              <w:rPr>
                <w:rFonts w:hint="default" w:ascii="Times New Roman" w:hAnsi="Times New Roman" w:cs="Times New Roman"/>
                <w:color w:val="auto"/>
                <w:sz w:val="24"/>
              </w:rPr>
              <w:t>危废代码为900-041-49。根据建设单位</w:t>
            </w:r>
            <w:r>
              <w:rPr>
                <w:rFonts w:hint="default" w:ascii="Times New Roman" w:hAnsi="Times New Roman" w:cs="Times New Roman"/>
                <w:color w:val="auto"/>
                <w:sz w:val="24"/>
                <w:lang w:val="en-US" w:eastAsia="zh-CN"/>
              </w:rPr>
              <w:t>提供资料</w:t>
            </w:r>
            <w:r>
              <w:rPr>
                <w:rFonts w:hint="default" w:ascii="Times New Roman" w:hAnsi="Times New Roman" w:cs="Times New Roman"/>
                <w:color w:val="auto"/>
                <w:sz w:val="24"/>
              </w:rPr>
              <w:t>，</w:t>
            </w:r>
            <w:r>
              <w:rPr>
                <w:rFonts w:hint="default" w:ascii="Times New Roman" w:hAnsi="Times New Roman" w:cs="Times New Roman"/>
                <w:color w:val="auto"/>
                <w:sz w:val="24"/>
              </w:rPr>
              <w:t>本项目施工单井</w:t>
            </w:r>
            <w:r>
              <w:rPr>
                <w:rFonts w:hint="default" w:ascii="Times New Roman" w:hAnsi="Times New Roman" w:cs="Times New Roman"/>
                <w:color w:val="auto"/>
                <w:sz w:val="24"/>
                <w:lang w:val="en-US" w:eastAsia="zh-CN"/>
              </w:rPr>
              <w:t>含油</w:t>
            </w:r>
            <w:r>
              <w:rPr>
                <w:rFonts w:hint="default" w:ascii="Times New Roman" w:hAnsi="Times New Roman" w:cs="Times New Roman"/>
                <w:color w:val="auto"/>
                <w:sz w:val="24"/>
              </w:rPr>
              <w:t>废防渗布产生量约为0.0</w:t>
            </w:r>
            <w:r>
              <w:rPr>
                <w:rFonts w:hint="default" w:ascii="Times New Roman" w:hAnsi="Times New Roman" w:cs="Times New Roman"/>
                <w:color w:val="auto"/>
                <w:sz w:val="24"/>
                <w:lang w:val="en-US" w:eastAsia="zh-CN"/>
              </w:rPr>
              <w:t>05</w:t>
            </w:r>
            <w:r>
              <w:rPr>
                <w:rFonts w:hint="default" w:ascii="Times New Roman" w:hAnsi="Times New Roman" w:cs="Times New Roman"/>
                <w:color w:val="auto"/>
                <w:sz w:val="24"/>
              </w:rPr>
              <w:t>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总产生量为0.0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en-US" w:eastAsia="zh-CN"/>
              </w:rPr>
              <w:t>5t</w:t>
            </w:r>
            <w:r>
              <w:rPr>
                <w:rFonts w:hint="default" w:ascii="Times New Roman" w:hAnsi="Times New Roman" w:eastAsia="宋体" w:cs="Times New Roman"/>
                <w:color w:val="auto"/>
                <w:sz w:val="24"/>
                <w:lang w:eastAsia="zh-CN"/>
              </w:rPr>
              <w:t>）</w:t>
            </w:r>
            <w:r>
              <w:rPr>
                <w:rFonts w:hint="default" w:ascii="Times New Roman" w:hAnsi="Times New Roman" w:cs="Times New Roman"/>
                <w:color w:val="auto"/>
                <w:sz w:val="24"/>
              </w:rPr>
              <w:t>。施工结束后沾染了</w:t>
            </w:r>
            <w:r>
              <w:rPr>
                <w:rFonts w:hint="default" w:ascii="Times New Roman" w:hAnsi="Times New Roman" w:eastAsia="宋体" w:cs="Times New Roman"/>
                <w:color w:val="auto"/>
                <w:sz w:val="24"/>
                <w:lang w:val="en-US" w:eastAsia="zh-CN"/>
              </w:rPr>
              <w:t>油类物质的</w:t>
            </w:r>
            <w:r>
              <w:rPr>
                <w:rFonts w:hint="default" w:ascii="Times New Roman" w:hAnsi="Times New Roman" w:cs="Times New Roman"/>
                <w:color w:val="auto"/>
                <w:sz w:val="24"/>
              </w:rPr>
              <w:t>的废防渗布作为危险废物委托有资质单位外运处置。</w:t>
            </w:r>
          </w:p>
          <w:p w14:paraId="19CC99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w:t>
            </w:r>
            <w:r>
              <w:rPr>
                <w:rFonts w:hint="eastAsia" w:ascii="Times New Roman" w:hAnsi="Times New Roman" w:eastAsia="宋体" w:cs="Times New Roman"/>
                <w:b/>
                <w:bCs/>
                <w:color w:val="auto"/>
                <w:sz w:val="24"/>
                <w:szCs w:val="24"/>
                <w:vertAlign w:val="baseline"/>
                <w:lang w:val="en-US" w:eastAsia="zh-CN"/>
              </w:rPr>
              <w:t>6</w:t>
            </w:r>
            <w:r>
              <w:rPr>
                <w:rFonts w:hint="default" w:ascii="Times New Roman" w:hAnsi="Times New Roman" w:eastAsia="宋体" w:cs="Times New Roman"/>
                <w:b/>
                <w:bCs/>
                <w:color w:val="auto"/>
                <w:sz w:val="24"/>
                <w:szCs w:val="24"/>
                <w:vertAlign w:val="baseline"/>
                <w:lang w:val="en-US" w:eastAsia="zh-CN"/>
              </w:rPr>
              <w:t>）生活垃圾</w:t>
            </w:r>
          </w:p>
          <w:p w14:paraId="2D7FF56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职工生活垃圾每人每天0.5kg计，单井生活垃圾产生量约为0.875t（总产生量为</w:t>
            </w:r>
            <w:r>
              <w:rPr>
                <w:rFonts w:hint="eastAsia" w:ascii="Times New Roman" w:hAnsi="Times New Roman" w:cs="Times New Roman"/>
                <w:color w:val="auto"/>
                <w:sz w:val="24"/>
                <w:lang w:val="en-US" w:eastAsia="zh-CN"/>
              </w:rPr>
              <w:t>2.625</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lang w:eastAsia="zh-CN"/>
              </w:rPr>
              <w:t>井场设置垃圾箱，施工结束后送附近垃圾中转站</w:t>
            </w:r>
            <w:r>
              <w:rPr>
                <w:rFonts w:hint="default" w:ascii="Times New Roman" w:hAnsi="Times New Roman" w:cs="Times New Roman"/>
                <w:color w:val="auto"/>
                <w:sz w:val="24"/>
                <w:lang w:val="en-US" w:eastAsia="zh-CN"/>
              </w:rPr>
              <w:t>，由当地环卫部门统一拉运处置</w:t>
            </w:r>
            <w:r>
              <w:rPr>
                <w:rFonts w:hint="default" w:ascii="Times New Roman" w:hAnsi="Times New Roman" w:cs="Times New Roman"/>
                <w:color w:val="auto"/>
                <w:sz w:val="24"/>
                <w:lang w:eastAsia="zh-CN"/>
              </w:rPr>
              <w:t>。</w:t>
            </w:r>
          </w:p>
          <w:p w14:paraId="260403D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w:t>
            </w:r>
            <w:r>
              <w:rPr>
                <w:rFonts w:hint="eastAsia" w:ascii="Times New Roman" w:hAnsi="Times New Roman" w:eastAsia="宋体" w:cs="Times New Roman"/>
                <w:b/>
                <w:bCs/>
                <w:color w:val="auto"/>
                <w:sz w:val="21"/>
                <w:szCs w:val="21"/>
                <w:vertAlign w:val="baseline"/>
                <w:lang w:val="en-US" w:eastAsia="zh-CN"/>
              </w:rPr>
              <w:t>8</w:t>
            </w:r>
            <w:r>
              <w:rPr>
                <w:rFonts w:hint="default" w:ascii="Times New Roman" w:hAnsi="Times New Roman" w:eastAsia="宋体" w:cs="Times New Roman"/>
                <w:b/>
                <w:bCs/>
                <w:color w:val="auto"/>
                <w:sz w:val="21"/>
                <w:szCs w:val="21"/>
                <w:vertAlign w:val="baseline"/>
                <w:lang w:val="en-US" w:eastAsia="zh-CN"/>
              </w:rPr>
              <w:t xml:space="preserve">   项目固体废物产生与处置措施表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500"/>
              <w:gridCol w:w="1201"/>
              <w:gridCol w:w="1137"/>
              <w:gridCol w:w="1381"/>
              <w:gridCol w:w="2751"/>
            </w:tblGrid>
            <w:tr w14:paraId="1732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C6FF24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859" w:type="pct"/>
                  <w:vAlign w:val="center"/>
                </w:tcPr>
                <w:p w14:paraId="0CA377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固废种类</w:t>
                  </w:r>
                </w:p>
              </w:tc>
              <w:tc>
                <w:tcPr>
                  <w:tcW w:w="688" w:type="pct"/>
                  <w:vAlign w:val="center"/>
                </w:tcPr>
                <w:p w14:paraId="4A75BE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产生量（t）</w:t>
                  </w:r>
                </w:p>
              </w:tc>
              <w:tc>
                <w:tcPr>
                  <w:tcW w:w="651" w:type="pct"/>
                  <w:vAlign w:val="center"/>
                </w:tcPr>
                <w:p w14:paraId="7D378E1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性质</w:t>
                  </w:r>
                </w:p>
              </w:tc>
              <w:tc>
                <w:tcPr>
                  <w:tcW w:w="791" w:type="pct"/>
                  <w:vAlign w:val="center"/>
                </w:tcPr>
                <w:p w14:paraId="21C03B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代码</w:t>
                  </w:r>
                </w:p>
              </w:tc>
              <w:tc>
                <w:tcPr>
                  <w:tcW w:w="1575" w:type="pct"/>
                  <w:vAlign w:val="center"/>
                </w:tcPr>
                <w:p w14:paraId="53CB3AA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处置措施</w:t>
                  </w:r>
                </w:p>
              </w:tc>
            </w:tr>
            <w:tr w14:paraId="527B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321CD7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859" w:type="pct"/>
                  <w:vAlign w:val="center"/>
                </w:tcPr>
                <w:p w14:paraId="7FAFE1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泥饼</w:t>
                  </w:r>
                </w:p>
              </w:tc>
              <w:tc>
                <w:tcPr>
                  <w:tcW w:w="688" w:type="pct"/>
                  <w:vAlign w:val="center"/>
                </w:tcPr>
                <w:p w14:paraId="015CF2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23.45</w:t>
                  </w:r>
                </w:p>
              </w:tc>
              <w:tc>
                <w:tcPr>
                  <w:tcW w:w="651" w:type="pct"/>
                  <w:vAlign w:val="center"/>
                </w:tcPr>
                <w:p w14:paraId="15D20B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1EEBD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SW12</w:t>
                  </w:r>
                </w:p>
                <w:p w14:paraId="7E9421D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072-001-S12</w:t>
                  </w:r>
                </w:p>
              </w:tc>
              <w:tc>
                <w:tcPr>
                  <w:tcW w:w="1575" w:type="pct"/>
                  <w:vMerge w:val="restart"/>
                  <w:vAlign w:val="center"/>
                </w:tcPr>
                <w:p w14:paraId="496A1E4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color w:val="auto"/>
                      <w:sz w:val="21"/>
                      <w:szCs w:val="21"/>
                      <w:lang w:val="en-US" w:eastAsia="zh-CN"/>
                    </w:rPr>
                    <w:t>陕西德禾鑫盛环保科技有限公司</w:t>
                  </w:r>
                  <w:r>
                    <w:rPr>
                      <w:rFonts w:hint="default" w:ascii="Times New Roman" w:hAnsi="Times New Roman" w:cs="Times New Roman"/>
                      <w:color w:val="auto"/>
                      <w:sz w:val="21"/>
                      <w:szCs w:val="21"/>
                      <w:lang w:val="en-US" w:eastAsia="zh-CN"/>
                    </w:rPr>
                    <w:t>处置</w:t>
                  </w:r>
                </w:p>
              </w:tc>
            </w:tr>
            <w:tr w14:paraId="12A5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792229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2</w:t>
                  </w:r>
                </w:p>
              </w:tc>
              <w:tc>
                <w:tcPr>
                  <w:tcW w:w="859" w:type="pct"/>
                  <w:vAlign w:val="center"/>
                </w:tcPr>
                <w:p w14:paraId="3DD4505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钻井岩屑</w:t>
                  </w:r>
                </w:p>
              </w:tc>
              <w:tc>
                <w:tcPr>
                  <w:tcW w:w="688" w:type="pct"/>
                  <w:vAlign w:val="center"/>
                </w:tcPr>
                <w:p w14:paraId="7B95E69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1491.37</w:t>
                  </w:r>
                </w:p>
              </w:tc>
              <w:tc>
                <w:tcPr>
                  <w:tcW w:w="651" w:type="pct"/>
                  <w:vAlign w:val="center"/>
                </w:tcPr>
                <w:p w14:paraId="0B2D6D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73315DC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SW12 072-001-S12</w:t>
                  </w:r>
                </w:p>
              </w:tc>
              <w:tc>
                <w:tcPr>
                  <w:tcW w:w="1575" w:type="pct"/>
                  <w:vMerge w:val="continue"/>
                  <w:vAlign w:val="center"/>
                </w:tcPr>
                <w:p w14:paraId="724A7E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11E23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4" w:type="pct"/>
                  <w:vAlign w:val="center"/>
                </w:tcPr>
                <w:p w14:paraId="76DA7E8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w:t>
                  </w:r>
                </w:p>
              </w:tc>
              <w:tc>
                <w:tcPr>
                  <w:tcW w:w="859" w:type="pct"/>
                  <w:vAlign w:val="center"/>
                </w:tcPr>
                <w:p w14:paraId="003245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废纯碱、膨润土包装袋</w:t>
                  </w:r>
                  <w:r>
                    <w:rPr>
                      <w:rFonts w:hint="eastAsia" w:ascii="Times New Roman" w:hAnsi="Times New Roman" w:eastAsia="宋体" w:cs="Times New Roman"/>
                      <w:b w:val="0"/>
                      <w:bCs w:val="0"/>
                      <w:color w:val="auto"/>
                      <w:sz w:val="21"/>
                      <w:szCs w:val="21"/>
                      <w:vertAlign w:val="baseline"/>
                      <w:lang w:val="en-US" w:eastAsia="zh-CN"/>
                    </w:rPr>
                    <w:t>、不含油废防渗布</w:t>
                  </w:r>
                </w:p>
              </w:tc>
              <w:tc>
                <w:tcPr>
                  <w:tcW w:w="688" w:type="pct"/>
                  <w:vAlign w:val="center"/>
                </w:tcPr>
                <w:p w14:paraId="1F8784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0.06</w:t>
                  </w:r>
                </w:p>
              </w:tc>
              <w:tc>
                <w:tcPr>
                  <w:tcW w:w="651" w:type="pct"/>
                  <w:vAlign w:val="center"/>
                </w:tcPr>
                <w:p w14:paraId="5E0AC0F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068C489B">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SW17 900-099-S17</w:t>
                  </w:r>
                </w:p>
              </w:tc>
              <w:tc>
                <w:tcPr>
                  <w:tcW w:w="1575" w:type="pct"/>
                  <w:vAlign w:val="center"/>
                </w:tcPr>
                <w:p w14:paraId="7490C5E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回收</w:t>
                  </w:r>
                  <w:r>
                    <w:rPr>
                      <w:rFonts w:hint="eastAsia" w:ascii="Times New Roman" w:hAnsi="Times New Roman" w:cs="Times New Roman"/>
                      <w:color w:val="auto"/>
                      <w:sz w:val="21"/>
                      <w:szCs w:val="21"/>
                      <w:lang w:val="en-US" w:eastAsia="zh-CN"/>
                    </w:rPr>
                    <w:t>后</w:t>
                  </w:r>
                  <w:r>
                    <w:rPr>
                      <w:rFonts w:hint="default" w:ascii="Times New Roman" w:hAnsi="Times New Roman" w:cs="Times New Roman"/>
                      <w:color w:val="auto"/>
                      <w:sz w:val="21"/>
                      <w:szCs w:val="21"/>
                      <w:lang w:val="en-US" w:eastAsia="zh-CN"/>
                    </w:rPr>
                    <w:t>综合利用</w:t>
                  </w:r>
                </w:p>
              </w:tc>
            </w:tr>
            <w:tr w14:paraId="0B9D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0E7E812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w:t>
                  </w:r>
                </w:p>
              </w:tc>
              <w:tc>
                <w:tcPr>
                  <w:tcW w:w="859" w:type="pct"/>
                  <w:vAlign w:val="center"/>
                </w:tcPr>
                <w:p w14:paraId="4303BF9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生活垃圾</w:t>
                  </w:r>
                </w:p>
              </w:tc>
              <w:tc>
                <w:tcPr>
                  <w:tcW w:w="688" w:type="pct"/>
                  <w:vAlign w:val="center"/>
                </w:tcPr>
                <w:p w14:paraId="726461B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2.625</w:t>
                  </w:r>
                </w:p>
              </w:tc>
              <w:tc>
                <w:tcPr>
                  <w:tcW w:w="651" w:type="pct"/>
                  <w:vAlign w:val="center"/>
                </w:tcPr>
                <w:p w14:paraId="73AB51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一般固废</w:t>
                  </w:r>
                </w:p>
              </w:tc>
              <w:tc>
                <w:tcPr>
                  <w:tcW w:w="791" w:type="pct"/>
                  <w:vAlign w:val="center"/>
                </w:tcPr>
                <w:p w14:paraId="5BE94FB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SW64 900-099-S64</w:t>
                  </w:r>
                </w:p>
              </w:tc>
              <w:tc>
                <w:tcPr>
                  <w:tcW w:w="1575" w:type="pct"/>
                  <w:vAlign w:val="center"/>
                </w:tcPr>
                <w:p w14:paraId="6EAAE0A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1"/>
                      <w:szCs w:val="21"/>
                      <w:lang w:val="en-US" w:eastAsia="zh-CN"/>
                    </w:rPr>
                    <w:t>施工结束后送附近垃圾中转站，由当地环卫部门统一拉运处置</w:t>
                  </w:r>
                </w:p>
              </w:tc>
            </w:tr>
            <w:tr w14:paraId="57E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4D14912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w:t>
                  </w:r>
                </w:p>
              </w:tc>
              <w:tc>
                <w:tcPr>
                  <w:tcW w:w="859" w:type="pct"/>
                  <w:vAlign w:val="center"/>
                </w:tcPr>
                <w:p w14:paraId="7C031BC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废机油</w:t>
                  </w:r>
                </w:p>
              </w:tc>
              <w:tc>
                <w:tcPr>
                  <w:tcW w:w="688" w:type="pct"/>
                  <w:vAlign w:val="center"/>
                </w:tcPr>
                <w:p w14:paraId="78059AF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0.12</w:t>
                  </w:r>
                </w:p>
              </w:tc>
              <w:tc>
                <w:tcPr>
                  <w:tcW w:w="651" w:type="pct"/>
                  <w:vAlign w:val="center"/>
                </w:tcPr>
                <w:p w14:paraId="71AD3B7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53CD07B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p w14:paraId="6FE27A9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900-214-08</w:t>
                  </w:r>
                </w:p>
              </w:tc>
              <w:tc>
                <w:tcPr>
                  <w:tcW w:w="1575" w:type="pct"/>
                  <w:vAlign w:val="center"/>
                </w:tcPr>
                <w:p w14:paraId="7F1B93C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r w14:paraId="124A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vAlign w:val="center"/>
                </w:tcPr>
                <w:p w14:paraId="529B9E1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6</w:t>
                  </w:r>
                </w:p>
              </w:tc>
              <w:tc>
                <w:tcPr>
                  <w:tcW w:w="859" w:type="pct"/>
                  <w:vAlign w:val="center"/>
                </w:tcPr>
                <w:p w14:paraId="5241A06D">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废弃防渗膜</w:t>
                  </w:r>
                </w:p>
              </w:tc>
              <w:tc>
                <w:tcPr>
                  <w:tcW w:w="688" w:type="pct"/>
                  <w:vAlign w:val="center"/>
                </w:tcPr>
                <w:p w14:paraId="729CA5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w:t>
                  </w:r>
                  <w:r>
                    <w:rPr>
                      <w:rFonts w:hint="eastAsia" w:ascii="Times New Roman" w:hAnsi="Times New Roman" w:eastAsia="宋体" w:cs="Times New Roman"/>
                      <w:b w:val="0"/>
                      <w:bCs w:val="0"/>
                      <w:color w:val="auto"/>
                      <w:sz w:val="21"/>
                      <w:szCs w:val="21"/>
                      <w:vertAlign w:val="baseline"/>
                      <w:lang w:val="en-US" w:eastAsia="zh-CN"/>
                    </w:rPr>
                    <w:t>15</w:t>
                  </w:r>
                </w:p>
              </w:tc>
              <w:tc>
                <w:tcPr>
                  <w:tcW w:w="651" w:type="pct"/>
                  <w:vAlign w:val="center"/>
                </w:tcPr>
                <w:p w14:paraId="2DDD9E6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危险废物</w:t>
                  </w:r>
                </w:p>
              </w:tc>
              <w:tc>
                <w:tcPr>
                  <w:tcW w:w="791" w:type="pct"/>
                  <w:shd w:val="clear" w:color="auto" w:fill="auto"/>
                  <w:vAlign w:val="center"/>
                </w:tcPr>
                <w:p w14:paraId="4A1858FE">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p w14:paraId="380CA7B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auto"/>
                    <w:rPr>
                      <w:rFonts w:hint="eastAsia" w:ascii="Times New Roman" w:hAnsi="Times New Roman" w:cs="Times New Roman" w:eastAsiaTheme="minorHAnsi"/>
                      <w:color w:val="auto"/>
                      <w:sz w:val="21"/>
                      <w:szCs w:val="21"/>
                      <w:lang w:val="en-US" w:eastAsia="zh-CN" w:bidi="ar-SA"/>
                    </w:rPr>
                  </w:pPr>
                  <w:r>
                    <w:rPr>
                      <w:rFonts w:hint="default" w:ascii="Times New Roman" w:hAnsi="Times New Roman" w:cs="Times New Roman"/>
                      <w:color w:val="auto"/>
                      <w:sz w:val="21"/>
                      <w:szCs w:val="21"/>
                      <w:lang w:val="en-US" w:eastAsia="zh-CN"/>
                    </w:rPr>
                    <w:t>900-041-49</w:t>
                  </w:r>
                </w:p>
              </w:tc>
              <w:tc>
                <w:tcPr>
                  <w:tcW w:w="1575" w:type="pct"/>
                  <w:vAlign w:val="center"/>
                </w:tcPr>
                <w:p w14:paraId="7937AA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交有资质单位处置</w:t>
                  </w:r>
                </w:p>
              </w:tc>
            </w:tr>
          </w:tbl>
          <w:p w14:paraId="55A382DE">
            <w:pPr>
              <w:keepNext w:val="0"/>
              <w:keepLines w:val="0"/>
              <w:pageBreakBefore w:val="0"/>
              <w:widowControl w:val="0"/>
              <w:kinsoku/>
              <w:wordWrap/>
              <w:overflowPunct/>
              <w:topLinePunct w:val="0"/>
              <w:autoSpaceDE/>
              <w:autoSpaceDN/>
              <w:bidi w:val="0"/>
              <w:adjustRightInd/>
              <w:snapToGrid/>
              <w:spacing w:after="0" w:line="240" w:lineRule="auto"/>
              <w:ind w:left="0" w:right="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9</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危险废物产生情况一览表</w:t>
            </w:r>
          </w:p>
          <w:tbl>
            <w:tblPr>
              <w:tblStyle w:val="1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5"/>
              <w:gridCol w:w="1116"/>
              <w:gridCol w:w="922"/>
              <w:gridCol w:w="1184"/>
              <w:gridCol w:w="795"/>
              <w:gridCol w:w="912"/>
              <w:gridCol w:w="494"/>
              <w:gridCol w:w="505"/>
              <w:gridCol w:w="707"/>
              <w:gridCol w:w="454"/>
              <w:gridCol w:w="1188"/>
            </w:tblGrid>
            <w:tr w14:paraId="7AEE6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2DE26B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639" w:type="pct"/>
                  <w:noWrap w:val="0"/>
                  <w:vAlign w:val="center"/>
                </w:tcPr>
                <w:p w14:paraId="0E96D3AA">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危险废物名称</w:t>
                  </w:r>
                </w:p>
              </w:tc>
              <w:tc>
                <w:tcPr>
                  <w:tcW w:w="528" w:type="pct"/>
                  <w:noWrap w:val="0"/>
                  <w:vAlign w:val="center"/>
                </w:tcPr>
                <w:p w14:paraId="7BF38445">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w:t>
                  </w:r>
                </w:p>
                <w:p w14:paraId="47892C6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类别</w:t>
                  </w:r>
                </w:p>
              </w:tc>
              <w:tc>
                <w:tcPr>
                  <w:tcW w:w="678" w:type="pct"/>
                  <w:noWrap w:val="0"/>
                  <w:vAlign w:val="center"/>
                </w:tcPr>
                <w:p w14:paraId="632720E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危险废物代码</w:t>
                  </w:r>
                </w:p>
              </w:tc>
              <w:tc>
                <w:tcPr>
                  <w:tcW w:w="455" w:type="pct"/>
                  <w:noWrap w:val="0"/>
                  <w:vAlign w:val="center"/>
                </w:tcPr>
                <w:p w14:paraId="65F526A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产生量</w:t>
                  </w:r>
                </w:p>
              </w:tc>
              <w:tc>
                <w:tcPr>
                  <w:tcW w:w="522" w:type="pct"/>
                  <w:noWrap w:val="0"/>
                  <w:vAlign w:val="center"/>
                </w:tcPr>
                <w:p w14:paraId="180FD04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产生工序及装置</w:t>
                  </w:r>
                </w:p>
              </w:tc>
              <w:tc>
                <w:tcPr>
                  <w:tcW w:w="283" w:type="pct"/>
                  <w:noWrap w:val="0"/>
                  <w:vAlign w:val="center"/>
                </w:tcPr>
                <w:p w14:paraId="10F76B5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289" w:type="pct"/>
                  <w:noWrap w:val="0"/>
                  <w:vAlign w:val="center"/>
                </w:tcPr>
                <w:p w14:paraId="470D8AA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主要成分</w:t>
                  </w:r>
                </w:p>
              </w:tc>
              <w:tc>
                <w:tcPr>
                  <w:tcW w:w="405" w:type="pct"/>
                  <w:noWrap w:val="0"/>
                  <w:vAlign w:val="center"/>
                </w:tcPr>
                <w:p w14:paraId="5996138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产废</w:t>
                  </w:r>
                </w:p>
                <w:p w14:paraId="237E8C2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周期</w:t>
                  </w:r>
                </w:p>
              </w:tc>
              <w:tc>
                <w:tcPr>
                  <w:tcW w:w="260" w:type="pct"/>
                  <w:noWrap w:val="0"/>
                  <w:vAlign w:val="center"/>
                </w:tcPr>
                <w:p w14:paraId="0590B9E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危险特性</w:t>
                  </w:r>
                </w:p>
              </w:tc>
              <w:tc>
                <w:tcPr>
                  <w:tcW w:w="680" w:type="pct"/>
                  <w:noWrap w:val="0"/>
                  <w:vAlign w:val="center"/>
                </w:tcPr>
                <w:p w14:paraId="4C0F004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污染防治措施</w:t>
                  </w:r>
                </w:p>
              </w:tc>
            </w:tr>
            <w:tr w14:paraId="69B4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639BA8A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39" w:type="pct"/>
                  <w:noWrap w:val="0"/>
                  <w:vAlign w:val="top"/>
                </w:tcPr>
                <w:p w14:paraId="3413132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w:t>
                  </w:r>
                </w:p>
              </w:tc>
              <w:tc>
                <w:tcPr>
                  <w:tcW w:w="528" w:type="pct"/>
                  <w:noWrap w:val="0"/>
                  <w:vAlign w:val="center"/>
                </w:tcPr>
                <w:p w14:paraId="770719B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HW08</w:t>
                  </w:r>
                </w:p>
              </w:tc>
              <w:tc>
                <w:tcPr>
                  <w:tcW w:w="678" w:type="pct"/>
                  <w:noWrap w:val="0"/>
                  <w:vAlign w:val="center"/>
                </w:tcPr>
                <w:p w14:paraId="6DF36E80">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900-214-08</w:t>
                  </w:r>
                </w:p>
              </w:tc>
              <w:tc>
                <w:tcPr>
                  <w:tcW w:w="455" w:type="pct"/>
                  <w:noWrap w:val="0"/>
                  <w:vAlign w:val="center"/>
                </w:tcPr>
                <w:p w14:paraId="2DFEF07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green"/>
                      <w:lang w:val="en-US" w:eastAsia="zh-CN"/>
                    </w:rPr>
                  </w:pPr>
                  <w:r>
                    <w:rPr>
                      <w:rFonts w:hint="eastAsia" w:ascii="Times New Roman" w:hAnsi="Times New Roman" w:cs="Times New Roman"/>
                      <w:color w:val="auto"/>
                      <w:sz w:val="21"/>
                      <w:szCs w:val="21"/>
                      <w:highlight w:val="none"/>
                      <w:lang w:val="en-US" w:eastAsia="zh-CN"/>
                    </w:rPr>
                    <w:t>0.12</w:t>
                  </w:r>
                  <w:r>
                    <w:rPr>
                      <w:rFonts w:hint="default" w:ascii="Times New Roman" w:hAnsi="Times New Roman" w:cs="Times New Roman"/>
                      <w:color w:val="auto"/>
                      <w:sz w:val="21"/>
                      <w:szCs w:val="21"/>
                      <w:highlight w:val="none"/>
                      <w:lang w:val="en-US" w:eastAsia="zh-CN"/>
                    </w:rPr>
                    <w:t>t</w:t>
                  </w:r>
                </w:p>
              </w:tc>
              <w:tc>
                <w:tcPr>
                  <w:tcW w:w="522" w:type="pct"/>
                  <w:noWrap w:val="0"/>
                  <w:vAlign w:val="center"/>
                </w:tcPr>
                <w:p w14:paraId="6E20616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52AD03D6">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液态</w:t>
                  </w:r>
                </w:p>
              </w:tc>
              <w:tc>
                <w:tcPr>
                  <w:tcW w:w="289" w:type="pct"/>
                  <w:noWrap w:val="0"/>
                  <w:vAlign w:val="center"/>
                </w:tcPr>
                <w:p w14:paraId="3CD713D1">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9D9B56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06DBA149">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w:t>
                  </w:r>
                </w:p>
              </w:tc>
              <w:tc>
                <w:tcPr>
                  <w:tcW w:w="680" w:type="pct"/>
                  <w:vMerge w:val="restart"/>
                  <w:noWrap w:val="0"/>
                  <w:vAlign w:val="top"/>
                </w:tcPr>
                <w:p w14:paraId="58F1ECFB">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专用容器收集，待钻井结束后全部委托有资质单位拉运处置</w:t>
                  </w:r>
                </w:p>
              </w:tc>
            </w:tr>
            <w:tr w14:paraId="621B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55" w:type="pct"/>
                  <w:noWrap w:val="0"/>
                  <w:vAlign w:val="center"/>
                </w:tcPr>
                <w:p w14:paraId="5B97F0C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639" w:type="pct"/>
                  <w:noWrap w:val="0"/>
                  <w:vAlign w:val="center"/>
                </w:tcPr>
                <w:p w14:paraId="4509F61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含油废防渗布</w:t>
                  </w:r>
                </w:p>
              </w:tc>
              <w:tc>
                <w:tcPr>
                  <w:tcW w:w="528" w:type="pct"/>
                  <w:noWrap w:val="0"/>
                  <w:vAlign w:val="center"/>
                </w:tcPr>
                <w:p w14:paraId="03E3B4C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HW49</w:t>
                  </w:r>
                </w:p>
              </w:tc>
              <w:tc>
                <w:tcPr>
                  <w:tcW w:w="678" w:type="pct"/>
                  <w:noWrap w:val="0"/>
                  <w:vAlign w:val="center"/>
                </w:tcPr>
                <w:p w14:paraId="29B5E91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900-041-49</w:t>
                  </w:r>
                </w:p>
              </w:tc>
              <w:tc>
                <w:tcPr>
                  <w:tcW w:w="455" w:type="pct"/>
                  <w:noWrap w:val="0"/>
                  <w:vAlign w:val="center"/>
                </w:tcPr>
                <w:p w14:paraId="207F51EF">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44" w:leftChars="-20" w:right="-44" w:rightChars="-20"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0.06t</w:t>
                  </w:r>
                </w:p>
              </w:tc>
              <w:tc>
                <w:tcPr>
                  <w:tcW w:w="522" w:type="pct"/>
                  <w:noWrap w:val="0"/>
                  <w:vAlign w:val="center"/>
                </w:tcPr>
                <w:p w14:paraId="6E7B65B7">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钻井</w:t>
                  </w:r>
                </w:p>
              </w:tc>
              <w:tc>
                <w:tcPr>
                  <w:tcW w:w="283" w:type="pct"/>
                  <w:noWrap w:val="0"/>
                  <w:vAlign w:val="center"/>
                </w:tcPr>
                <w:p w14:paraId="3BFA8388">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固态</w:t>
                  </w:r>
                </w:p>
              </w:tc>
              <w:tc>
                <w:tcPr>
                  <w:tcW w:w="289" w:type="pct"/>
                  <w:noWrap w:val="0"/>
                  <w:vAlign w:val="center"/>
                </w:tcPr>
                <w:p w14:paraId="258D202D">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w:t>
                  </w:r>
                </w:p>
              </w:tc>
              <w:tc>
                <w:tcPr>
                  <w:tcW w:w="405" w:type="pct"/>
                  <w:noWrap w:val="0"/>
                  <w:vAlign w:val="center"/>
                </w:tcPr>
                <w:p w14:paraId="1CA0F6CC">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探井期</w:t>
                  </w:r>
                </w:p>
              </w:tc>
              <w:tc>
                <w:tcPr>
                  <w:tcW w:w="260" w:type="pct"/>
                  <w:noWrap w:val="0"/>
                  <w:vAlign w:val="center"/>
                </w:tcPr>
                <w:p w14:paraId="4A13B1D4">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T/In</w:t>
                  </w:r>
                </w:p>
              </w:tc>
              <w:tc>
                <w:tcPr>
                  <w:tcW w:w="680" w:type="pct"/>
                  <w:vMerge w:val="continue"/>
                  <w:noWrap w:val="0"/>
                  <w:vAlign w:val="top"/>
                </w:tcPr>
                <w:p w14:paraId="2C46CC33">
                  <w:pPr>
                    <w:keepNext w:val="0"/>
                    <w:keepLines w:val="0"/>
                    <w:pageBreakBefore w:val="0"/>
                    <w:widowControl/>
                    <w:suppressLineNumbers w:val="0"/>
                    <w:kinsoku/>
                    <w:wordWrap/>
                    <w:overflowPunct/>
                    <w:topLinePunct w:val="0"/>
                    <w:autoSpaceDE/>
                    <w:autoSpaceDN/>
                    <w:bidi w:val="0"/>
                    <w:adjustRightInd w:val="0"/>
                    <w:snapToGrid w:val="0"/>
                    <w:spacing w:before="0" w:after="0" w:line="240" w:lineRule="auto"/>
                    <w:ind w:left="0" w:leftChars="0" w:right="0" w:rightChars="0" w:firstLine="0" w:firstLineChars="0"/>
                    <w:jc w:val="center"/>
                    <w:textAlignment w:val="center"/>
                    <w:rPr>
                      <w:rFonts w:hint="default" w:ascii="Times New Roman" w:hAnsi="Times New Roman" w:cs="Times New Roman"/>
                      <w:color w:val="auto"/>
                      <w:sz w:val="21"/>
                      <w:szCs w:val="21"/>
                      <w:lang w:val="en-US" w:eastAsia="zh-CN"/>
                    </w:rPr>
                  </w:pPr>
                </w:p>
              </w:tc>
            </w:tr>
          </w:tbl>
          <w:p w14:paraId="316F26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color w:val="auto"/>
                <w:sz w:val="24"/>
                <w:lang w:val="en-US" w:eastAsia="zh-CN"/>
              </w:rPr>
              <w:t>评价要求建设单位做好施工期固体废物管理工作，一般固体废物及危险废物均记录台账并妥善保管，台账包括废物名称、产生时间、产生量、储存位置、储存方式、转移时间、转移单位等信息，确保施工期各类固体废物全部得到妥善处置。</w:t>
            </w:r>
          </w:p>
          <w:p w14:paraId="5F8EC6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七、土壤环境影响分析</w:t>
            </w:r>
          </w:p>
          <w:p w14:paraId="4483E4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前工程期间的开挖和填埋行为将会破坏土壤结构。对场地平整产生的剥离表层土，在井场的临时土石方堆存点集中临时堆放，完井后用于场地复垦用土。剥离表层土临时堆场地设置截排水沟等严格的水保措施防止水土流失。通井场地面采用碎石和混凝土敷设，有效保护占地原表层土壤。完井后，随着生态保护措施的进行，井场对土壤的影响将得到尽快恢复。项目对土壤环境的影响主要表现为对土壤性质、土壤肥力的影响以及土壤污染三个方面。</w:t>
            </w:r>
          </w:p>
          <w:p w14:paraId="5D206FA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（1）土壤性质影响</w:t>
            </w:r>
          </w:p>
          <w:p w14:paraId="29E38E8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钻井前会对井场进行场地的清理，土石方开挖、堆放、回填以及材料堆放、人工践踏、机械设备碾压等活动都将对土壤理化性质产生影响。</w:t>
            </w:r>
          </w:p>
          <w:p w14:paraId="5ED4650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①扰乱土壤耕作层，破坏土壤耕层结构</w:t>
            </w:r>
          </w:p>
          <w:p w14:paraId="411C282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表开挖必定扰乱和破坏土壤耕作层，这种扰乱和破坏，除开挖处受到直接的破坏外，挖出土方的堆放将直接占压开挖处附近的土地，破坏土壤表层及其结构。由于表层的团粒结构是经过较长的历史时期形成的，一旦遭到破坏，短期内难以恢复。因此，施工过程中，对土壤表层的影响最为严重。</w:t>
            </w:r>
          </w:p>
          <w:p w14:paraId="5E3CC65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②混合土壤层次，改变土体构型</w:t>
            </w:r>
          </w:p>
          <w:p w14:paraId="10BC88A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在形成过程中，由于物质和能量长期垂直分异，形成质地、结构、性质和厚度差异明显的土壤剖面构型。项目的土石方的开挖与回填，使原土壤层次混合，原土体构型破坏。土体构型的破坏，将改变土体中物质和能量的运动变化规律，使表层通气透水性变差，使亚表层保水、保肥性能降低，造成对植物的生长、发育及其产量影响。</w:t>
            </w:r>
          </w:p>
          <w:p w14:paraId="1EE4485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③影响土壤紧实度</w:t>
            </w:r>
          </w:p>
          <w:p w14:paraId="3F69DD6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自然土壤在自重作用下，形成上松下紧的土壤紧实度垂直差异。施工过程中的机械碾压，尤其在坡度较大的地段，甚至进行掺灰固结，这种碾压或固结，将大大改变土壤的紧实程度，与原有的上松下紧结构相比，极不利于土壤的通气、透水作用，影响植被生长，甚至导致压实地表寸草不生，形成局部人工荒漠现象。</w:t>
            </w:r>
          </w:p>
          <w:p w14:paraId="0075D15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（2）土壤肥力影响</w:t>
            </w:r>
          </w:p>
          <w:p w14:paraId="30231EE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土壤中的有机质、氮、磷、钾等养分含量，均表现为表土层远高于心土层；在土壤肥力其它方面如紧实度、空隙性、适耕性、团粒结构含量等，也都表现为表土层优于心土层。施工期土石方的开挖与回填，将扰动甚至打乱原土体构型，使土壤养分、水分含量及肥力状况受到较大的影响，影响植被正常生长。因此在土石方开挖、回填过程中，必须严格对表层土实行分层堆放和分层回填。</w:t>
            </w:r>
          </w:p>
          <w:p w14:paraId="77A337D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（3）土壤污染影响</w:t>
            </w:r>
          </w:p>
          <w:p w14:paraId="1BC004A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本项目为天然气勘探工程，不会导致场地土壤的盐化、碱化、酸化等，可能对土壤产生的影响主要为施工过程涉及的油类物质、钻井液、压裂液及其他原辅材料发生泄露通过地面漫流和垂直入渗的方式污染土壤。</w:t>
            </w:r>
          </w:p>
          <w:p w14:paraId="71D39E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了减少本项目施工对土壤环境的影响，钻井工作区、泥浆不落地系统区、钻井液材料房、储罐区等采取重点防渗措施，地面底部利用机械将衬层压实，废液、固废储罐四周设置围堰，围堰内地面连同四周围堰整体铺设防渗材料（</w:t>
            </w:r>
            <w:r>
              <w:rPr>
                <w:rFonts w:hint="eastAsia" w:ascii="Times New Roman" w:hAnsi="Times New Roman" w:cs="Times New Roman"/>
                <w:color w:val="auto"/>
                <w:lang w:val="en-US" w:eastAsia="zh-CN"/>
              </w:rPr>
              <w:t>HDPE膜，不低于2mm厚</w:t>
            </w:r>
            <w:r>
              <w:rPr>
                <w:rFonts w:hint="default" w:ascii="Times New Roman" w:hAnsi="Times New Roman" w:cs="Times New Roman"/>
                <w:color w:val="auto"/>
                <w:lang w:val="en-US" w:eastAsia="zh-CN"/>
              </w:rPr>
              <w:t>），等效黏土防渗层Mb≥6.0m，K≤1×10</w:t>
            </w:r>
            <w:r>
              <w:rPr>
                <w:rFonts w:hint="default" w:ascii="Times New Roman" w:hAnsi="Times New Roman" w:cs="Times New Roman"/>
                <w:color w:val="auto"/>
                <w:vertAlign w:val="superscript"/>
                <w:lang w:val="en-US" w:eastAsia="zh-CN"/>
              </w:rPr>
              <w:t>-7</w:t>
            </w:r>
            <w:r>
              <w:rPr>
                <w:rFonts w:hint="default" w:ascii="Times New Roman" w:hAnsi="Times New Roman" w:cs="Times New Roman"/>
                <w:color w:val="auto"/>
                <w:lang w:val="en-US" w:eastAsia="zh-CN"/>
              </w:rPr>
              <w:t>cm/s，HDPE膜敷设面积应适当扩大，覆盖围堰区外延1.0m范围；采用撬装式</w:t>
            </w:r>
            <w:r>
              <w:rPr>
                <w:rFonts w:hint="eastAsia" w:ascii="Times New Roman" w:hAnsi="Times New Roman" w:cs="Times New Roman"/>
                <w:color w:val="auto"/>
                <w:lang w:val="en-US" w:eastAsia="zh-CN"/>
              </w:rPr>
              <w:t>危废贮存库</w:t>
            </w:r>
            <w:r>
              <w:rPr>
                <w:rFonts w:hint="default" w:ascii="Times New Roman" w:hAnsi="Times New Roman" w:cs="Times New Roman"/>
                <w:color w:val="auto"/>
                <w:lang w:val="en-US" w:eastAsia="zh-CN"/>
              </w:rPr>
              <w:t>，渗透系数小于1×10</w:t>
            </w:r>
            <w:r>
              <w:rPr>
                <w:rFonts w:hint="default" w:ascii="Times New Roman" w:hAnsi="Times New Roman" w:cs="Times New Roman"/>
                <w:color w:val="auto"/>
                <w:vertAlign w:val="superscript"/>
                <w:lang w:val="en-US" w:eastAsia="zh-CN"/>
              </w:rPr>
              <w:t>-10</w:t>
            </w:r>
            <w:r>
              <w:rPr>
                <w:rFonts w:hint="default" w:ascii="Times New Roman" w:hAnsi="Times New Roman" w:cs="Times New Roman"/>
                <w:color w:val="auto"/>
                <w:lang w:val="en-US" w:eastAsia="zh-CN"/>
              </w:rPr>
              <w:t>cm/s。设置防渗防雨的应急罐，用于随钻不落地回收系统出现事故时，临时存放钻井泥浆和岩屑，避免钻井泥浆外泄。</w:t>
            </w:r>
          </w:p>
          <w:p w14:paraId="7EBA1C9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根据《陕西省煤炭石油天然气开发生态环境保护条例》（2019年9月27日修订）中“第三十一条 石油、天然气开发单位在生产过程中，有下列情形之一的，应当按照规定开展土壤污染状况调查、风险评估，实施风险管控和修复：（一）在钻井、压裂、固井、试井及开采过程中造成井场及周边土壤污染的；（二）关闭或者废弃油（气）井、油气站（场）等地面设施和工业固体废物集中处置设施的；（三）输油管线破裂或者原油泄露造成土壤污染的；（四）其他造成土壤污染情形的”的要求，本次评价提出如下要求：</w:t>
            </w:r>
          </w:p>
          <w:p w14:paraId="7310411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在钻井、压裂、固井、试井过程中造成探井场地及周边土壤污染的，以及出现其他造成土壤污染情形的，应立即按照规定开展土壤污染状况调查、风险评估，实施风险管控和修复。</w:t>
            </w:r>
          </w:p>
          <w:p w14:paraId="1C3399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综上，由于项目占地均为临时占地，占地规模小，施工期短，施工结束后即恢复原有土地利用类型，不改变原有土地性质，且对井场重点区域进行防渗处理，因此对土壤环境影响较小。</w:t>
            </w:r>
          </w:p>
          <w:p w14:paraId="05F62A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八、环境风险影响分析</w:t>
            </w:r>
          </w:p>
          <w:p w14:paraId="5C153E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天然气勘探作业是多专业工种的野外作业，由于地下情况复杂，钻井作业隐藏着对环境的多种不安全因素，钻井作业可能出现的环境事故主要为洗井废水、压裂返排液泄漏使用和储运过程泄漏以及井喷。</w:t>
            </w:r>
          </w:p>
          <w:p w14:paraId="25E4E5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（1）风险物质调查</w:t>
            </w:r>
          </w:p>
          <w:p w14:paraId="0AFEEB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本项目涉及到的物料主要有钻井过程地层中可能出现的天然气（CH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油、钻井液（及其主要添加剂纯碱、烧碱、乳化石蜡、重晶石粉等）、压裂返排液（及压裂液主要添加剂胍胶、氯化钾、氢氧化钠等）等，其中钻井液和压裂液的添加剂不属于危险物质，钻井液和压裂返排液主要成分为有机物类、无机盐类，均为无害物质，因此项目涉及的危险物质主要为钻井过程地层中可能出现的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）、设备维修保养产生的废机油，在输运及贮存过程中均存在一定危险有害性。</w:t>
            </w:r>
          </w:p>
          <w:p w14:paraId="3C14BB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（2）环境风险及环境影响途径识别</w:t>
            </w:r>
          </w:p>
          <w:p w14:paraId="42742B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勘探井开发过程环境风险事故中，影响范围较广的风险事故主要为井喷及井喷引起天然气（CH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）泄漏，可能影响环境的途径主要是井喷泄漏直接进入大气环境引发中毒，或天然气泄漏发生火灾爆炸事故时伴生污染物进入大气环境，通过大气扩散对项目周围环境造成危害，天然气（CH</w:t>
            </w:r>
            <w:r>
              <w:rPr>
                <w:rFonts w:hint="default" w:ascii="Times New Roman" w:hAnsi="Times New Roman" w:eastAsia="宋体" w:cs="Times New Roman"/>
                <w:b w:val="0"/>
                <w:bCs w:val="0"/>
                <w:color w:val="auto"/>
                <w:sz w:val="24"/>
                <w:szCs w:val="24"/>
                <w:vertAlign w:val="subscript"/>
                <w:lang w:val="en-US" w:eastAsia="zh-CN"/>
              </w:rPr>
              <w:t>4</w:t>
            </w:r>
            <w:r>
              <w:rPr>
                <w:rFonts w:hint="default" w:ascii="Times New Roman" w:hAnsi="Times New Roman" w:eastAsia="宋体" w:cs="Times New Roman"/>
                <w:b w:val="0"/>
                <w:bCs w:val="0"/>
                <w:color w:val="auto"/>
                <w:sz w:val="24"/>
                <w:szCs w:val="24"/>
                <w:vertAlign w:val="baseline"/>
                <w:lang w:val="en-US" w:eastAsia="zh-CN"/>
              </w:rPr>
              <w:t>）主要分布在钻井区域、天然气管道等处，废油主要分布在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，可能影响环境的途径主要是油类物质泄露通过井场地面下渗至地下含水层并向下游迁移，对下游地下水环境造成污染事故，或油类泄漏发生火灾事故时伴生污染物进入大气环境，造成周围大气环境污染事故。</w:t>
            </w:r>
          </w:p>
          <w:p w14:paraId="467825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项目危险物质分布及环境影响途径见表4-7。</w:t>
            </w:r>
          </w:p>
          <w:p w14:paraId="5CD1C9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表4-7   项目环境风险及环境影响途径识别表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249"/>
              <w:gridCol w:w="1319"/>
              <w:gridCol w:w="1233"/>
              <w:gridCol w:w="1579"/>
              <w:gridCol w:w="1104"/>
              <w:gridCol w:w="1569"/>
            </w:tblGrid>
            <w:tr w14:paraId="57437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7022707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序号</w:t>
                  </w:r>
                </w:p>
              </w:tc>
              <w:tc>
                <w:tcPr>
                  <w:tcW w:w="715" w:type="pct"/>
                  <w:vAlign w:val="center"/>
                </w:tcPr>
                <w:p w14:paraId="66C1716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危险物质</w:t>
                  </w:r>
                </w:p>
              </w:tc>
              <w:tc>
                <w:tcPr>
                  <w:tcW w:w="755" w:type="pct"/>
                  <w:vAlign w:val="center"/>
                </w:tcPr>
                <w:p w14:paraId="4E3A38B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风险单元</w:t>
                  </w:r>
                </w:p>
              </w:tc>
              <w:tc>
                <w:tcPr>
                  <w:tcW w:w="706" w:type="pct"/>
                  <w:vAlign w:val="center"/>
                </w:tcPr>
                <w:p w14:paraId="6710047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作业特点</w:t>
                  </w:r>
                </w:p>
              </w:tc>
              <w:tc>
                <w:tcPr>
                  <w:tcW w:w="904" w:type="pct"/>
                  <w:vAlign w:val="center"/>
                </w:tcPr>
                <w:p w14:paraId="4727EBA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环境风险类型</w:t>
                  </w:r>
                </w:p>
              </w:tc>
              <w:tc>
                <w:tcPr>
                  <w:tcW w:w="632" w:type="pct"/>
                  <w:vAlign w:val="center"/>
                </w:tcPr>
                <w:p w14:paraId="513163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环境影响途径</w:t>
                  </w:r>
                </w:p>
              </w:tc>
              <w:tc>
                <w:tcPr>
                  <w:tcW w:w="898" w:type="pct"/>
                  <w:vAlign w:val="center"/>
                </w:tcPr>
                <w:p w14:paraId="73E5EA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可能受影响的环境敏感目标</w:t>
                  </w:r>
                </w:p>
              </w:tc>
            </w:tr>
            <w:tr w14:paraId="5917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Align w:val="center"/>
                </w:tcPr>
                <w:p w14:paraId="0CB21A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w:t>
                  </w:r>
                </w:p>
              </w:tc>
              <w:tc>
                <w:tcPr>
                  <w:tcW w:w="715" w:type="pct"/>
                  <w:vAlign w:val="center"/>
                </w:tcPr>
                <w:p w14:paraId="1852252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天然气（甲烷）</w:t>
                  </w:r>
                </w:p>
              </w:tc>
              <w:tc>
                <w:tcPr>
                  <w:tcW w:w="755" w:type="pct"/>
                  <w:vAlign w:val="center"/>
                </w:tcPr>
                <w:p w14:paraId="01E1435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钻井区域、天然气管道等处</w:t>
                  </w:r>
                </w:p>
              </w:tc>
              <w:tc>
                <w:tcPr>
                  <w:tcW w:w="706" w:type="pct"/>
                  <w:vAlign w:val="center"/>
                </w:tcPr>
                <w:p w14:paraId="7237D8A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Align w:val="center"/>
                </w:tcPr>
                <w:p w14:paraId="34B8AE6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394A538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9C2B8F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w:t>
                  </w:r>
                </w:p>
              </w:tc>
            </w:tr>
            <w:tr w14:paraId="2CC4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restart"/>
                  <w:vAlign w:val="center"/>
                </w:tcPr>
                <w:p w14:paraId="7B4EC7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2</w:t>
                  </w:r>
                </w:p>
              </w:tc>
              <w:tc>
                <w:tcPr>
                  <w:tcW w:w="715" w:type="pct"/>
                  <w:vMerge w:val="restart"/>
                  <w:vAlign w:val="center"/>
                </w:tcPr>
                <w:p w14:paraId="5109BF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废机油</w:t>
                  </w:r>
                </w:p>
              </w:tc>
              <w:tc>
                <w:tcPr>
                  <w:tcW w:w="755" w:type="pct"/>
                  <w:vMerge w:val="restart"/>
                  <w:vAlign w:val="center"/>
                </w:tcPr>
                <w:p w14:paraId="5AD8A4E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危废贮存库</w:t>
                  </w:r>
                </w:p>
              </w:tc>
              <w:tc>
                <w:tcPr>
                  <w:tcW w:w="706" w:type="pct"/>
                  <w:vMerge w:val="restart"/>
                  <w:vAlign w:val="center"/>
                </w:tcPr>
                <w:p w14:paraId="229C3E5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常温、常压</w:t>
                  </w:r>
                </w:p>
              </w:tc>
              <w:tc>
                <w:tcPr>
                  <w:tcW w:w="904" w:type="pct"/>
                  <w:vMerge w:val="restart"/>
                  <w:vAlign w:val="center"/>
                </w:tcPr>
                <w:p w14:paraId="5FB4439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泄露、火灾、爆炸及次生污染物排放</w:t>
                  </w:r>
                </w:p>
              </w:tc>
              <w:tc>
                <w:tcPr>
                  <w:tcW w:w="632" w:type="pct"/>
                  <w:vAlign w:val="center"/>
                </w:tcPr>
                <w:p w14:paraId="733AAE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大气扩散</w:t>
                  </w:r>
                </w:p>
              </w:tc>
              <w:tc>
                <w:tcPr>
                  <w:tcW w:w="898" w:type="pct"/>
                  <w:vAlign w:val="center"/>
                </w:tcPr>
                <w:p w14:paraId="6FA77A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rPr>
                    <w:t>/</w:t>
                  </w:r>
                </w:p>
              </w:tc>
            </w:tr>
            <w:tr w14:paraId="73B0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5" w:type="pct"/>
                  <w:vMerge w:val="continue"/>
                  <w:vAlign w:val="center"/>
                </w:tcPr>
                <w:p w14:paraId="035A15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15" w:type="pct"/>
                  <w:vMerge w:val="continue"/>
                  <w:vAlign w:val="center"/>
                </w:tcPr>
                <w:p w14:paraId="6C415FE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5" w:type="pct"/>
                  <w:vMerge w:val="continue"/>
                  <w:vAlign w:val="center"/>
                </w:tcPr>
                <w:p w14:paraId="0954A96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06" w:type="pct"/>
                  <w:vMerge w:val="continue"/>
                  <w:vAlign w:val="center"/>
                </w:tcPr>
                <w:p w14:paraId="78ED29E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04" w:type="pct"/>
                  <w:vMerge w:val="continue"/>
                  <w:vAlign w:val="center"/>
                </w:tcPr>
                <w:p w14:paraId="36B8940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32" w:type="pct"/>
                  <w:vAlign w:val="center"/>
                </w:tcPr>
                <w:p w14:paraId="1788F96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地下水扩散</w:t>
                  </w:r>
                </w:p>
              </w:tc>
              <w:tc>
                <w:tcPr>
                  <w:tcW w:w="898" w:type="pct"/>
                  <w:vAlign w:val="center"/>
                </w:tcPr>
                <w:p w14:paraId="4A8DCB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地下水</w:t>
                  </w:r>
                </w:p>
              </w:tc>
            </w:tr>
          </w:tbl>
          <w:p w14:paraId="056B042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color w:val="auto"/>
                <w:sz w:val="21"/>
                <w:szCs w:val="21"/>
                <w:vertAlign w:val="baseline"/>
                <w:lang w:val="en-US" w:eastAsia="zh-CN"/>
              </w:rPr>
            </w:pPr>
          </w:p>
          <w:p w14:paraId="312662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4-8   项目危险化学品储存状况一览表</w:t>
            </w:r>
          </w:p>
          <w:tbl>
            <w:tblPr>
              <w:tblStyle w:val="1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881"/>
              <w:gridCol w:w="1297"/>
              <w:gridCol w:w="1373"/>
              <w:gridCol w:w="1082"/>
              <w:gridCol w:w="1365"/>
              <w:gridCol w:w="1220"/>
            </w:tblGrid>
            <w:tr w14:paraId="524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6B2DD745">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78" w:type="pct"/>
                  <w:noWrap w:val="0"/>
                  <w:vAlign w:val="center"/>
                </w:tcPr>
                <w:p w14:paraId="4785D800">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危险物质名称</w:t>
                  </w:r>
                </w:p>
              </w:tc>
              <w:tc>
                <w:tcPr>
                  <w:tcW w:w="742" w:type="pct"/>
                  <w:noWrap w:val="0"/>
                  <w:vAlign w:val="center"/>
                </w:tcPr>
                <w:p w14:paraId="7707E133">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CAS号</w:t>
                  </w:r>
                </w:p>
              </w:tc>
              <w:tc>
                <w:tcPr>
                  <w:tcW w:w="787" w:type="pct"/>
                  <w:noWrap w:val="0"/>
                  <w:vAlign w:val="center"/>
                </w:tcPr>
                <w:p w14:paraId="7E70909A">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厂区最大储存量(t)</w:t>
                  </w:r>
                </w:p>
              </w:tc>
              <w:tc>
                <w:tcPr>
                  <w:tcW w:w="620" w:type="pct"/>
                  <w:noWrap w:val="0"/>
                  <w:vAlign w:val="center"/>
                </w:tcPr>
                <w:p w14:paraId="4A86A335">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临界量（t）</w:t>
                  </w:r>
                </w:p>
              </w:tc>
              <w:tc>
                <w:tcPr>
                  <w:tcW w:w="781" w:type="pct"/>
                  <w:noWrap w:val="0"/>
                  <w:vAlign w:val="center"/>
                </w:tcPr>
                <w:p w14:paraId="3498C932">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该物质Q值</w:t>
                  </w:r>
                </w:p>
              </w:tc>
              <w:tc>
                <w:tcPr>
                  <w:tcW w:w="699" w:type="pct"/>
                  <w:noWrap w:val="0"/>
                  <w:vAlign w:val="center"/>
                </w:tcPr>
                <w:p w14:paraId="3961290B">
                  <w:pPr>
                    <w:pStyle w:val="30"/>
                    <w:adjustRightInd w:val="0"/>
                    <w:snapToGrid w:val="0"/>
                    <w:spacing w:line="320" w:lineRule="exact"/>
                    <w:ind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生产工艺特点</w:t>
                  </w:r>
                </w:p>
              </w:tc>
            </w:tr>
            <w:tr w14:paraId="78F0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noWrap w:val="0"/>
                  <w:vAlign w:val="center"/>
                </w:tcPr>
                <w:p w14:paraId="5DA55136">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078" w:type="pct"/>
                  <w:noWrap w:val="0"/>
                  <w:vAlign w:val="center"/>
                </w:tcPr>
                <w:p w14:paraId="3D058462">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w:t>
                  </w:r>
                </w:p>
              </w:tc>
              <w:tc>
                <w:tcPr>
                  <w:tcW w:w="742" w:type="pct"/>
                  <w:noWrap w:val="0"/>
                  <w:vAlign w:val="center"/>
                </w:tcPr>
                <w:p w14:paraId="120410D4">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87" w:type="pct"/>
                  <w:noWrap w:val="0"/>
                  <w:vAlign w:val="center"/>
                </w:tcPr>
                <w:p w14:paraId="66FE4D69">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4</w:t>
                  </w:r>
                </w:p>
              </w:tc>
              <w:tc>
                <w:tcPr>
                  <w:tcW w:w="620" w:type="pct"/>
                  <w:noWrap w:val="0"/>
                  <w:vAlign w:val="center"/>
                </w:tcPr>
                <w:p w14:paraId="19C36D30">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781" w:type="pct"/>
                  <w:noWrap w:val="0"/>
                  <w:vAlign w:val="center"/>
                </w:tcPr>
                <w:p w14:paraId="2F4EE867">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w:t>
                  </w:r>
                  <w:r>
                    <w:rPr>
                      <w:rFonts w:hint="eastAsia" w:ascii="Times New Roman" w:hAnsi="Times New Roman" w:eastAsia="宋体" w:cs="Times New Roman"/>
                      <w:color w:val="auto"/>
                      <w:sz w:val="21"/>
                      <w:szCs w:val="21"/>
                      <w:lang w:val="en-US" w:eastAsia="zh-CN"/>
                    </w:rPr>
                    <w:t>8</w:t>
                  </w:r>
                </w:p>
              </w:tc>
              <w:tc>
                <w:tcPr>
                  <w:tcW w:w="699" w:type="pct"/>
                  <w:noWrap w:val="0"/>
                  <w:vAlign w:val="center"/>
                </w:tcPr>
                <w:p w14:paraId="4241FCAC">
                  <w:pPr>
                    <w:pStyle w:val="30"/>
                    <w:adjustRightInd w:val="0"/>
                    <w:snapToGrid w:val="0"/>
                    <w:spacing w:line="320" w:lineRule="exact"/>
                    <w:ind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常温常压</w:t>
                  </w:r>
                </w:p>
              </w:tc>
            </w:tr>
            <w:tr w14:paraId="1E17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0" w:type="pct"/>
                  <w:gridSpan w:val="3"/>
                  <w:noWrap w:val="0"/>
                  <w:vAlign w:val="center"/>
                </w:tcPr>
                <w:p w14:paraId="64FC05F0">
                  <w:pPr>
                    <w:pStyle w:val="30"/>
                    <w:adjustRightInd w:val="0"/>
                    <w:snapToGrid w:val="0"/>
                    <w:spacing w:line="320" w:lineRule="exact"/>
                    <w:ind w:firstLine="0" w:firstLineChars="0"/>
                    <w:jc w:val="center"/>
                    <w:rPr>
                      <w:color w:val="auto"/>
                    </w:rPr>
                  </w:pPr>
                  <w:r>
                    <w:rPr>
                      <w:rFonts w:hint="default" w:ascii="Times New Roman" w:hAnsi="Times New Roman" w:eastAsia="宋体" w:cs="Times New Roman"/>
                      <w:color w:val="auto"/>
                      <w:sz w:val="21"/>
                      <w:szCs w:val="21"/>
                      <w:lang w:val="en-US" w:eastAsia="zh-CN"/>
                    </w:rPr>
                    <w:t>合计</w:t>
                  </w:r>
                </w:p>
              </w:tc>
              <w:tc>
                <w:tcPr>
                  <w:tcW w:w="2189" w:type="pct"/>
                  <w:gridSpan w:val="3"/>
                  <w:noWrap w:val="0"/>
                  <w:vAlign w:val="center"/>
                </w:tcPr>
                <w:p w14:paraId="28C28DC2">
                  <w:pPr>
                    <w:pStyle w:val="30"/>
                    <w:adjustRightInd w:val="0"/>
                    <w:snapToGrid w:val="0"/>
                    <w:spacing w:line="320" w:lineRule="exact"/>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699" w:type="pct"/>
                  <w:noWrap w:val="0"/>
                  <w:vAlign w:val="center"/>
                </w:tcPr>
                <w:p w14:paraId="6ADF595E">
                  <w:pPr>
                    <w:pStyle w:val="30"/>
                    <w:adjustRightInd w:val="0"/>
                    <w:snapToGrid w:val="0"/>
                    <w:spacing w:line="320" w:lineRule="exact"/>
                    <w:ind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A017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由表4-9可知，项目</w:t>
            </w:r>
            <w:r>
              <w:rPr>
                <w:rFonts w:hint="eastAsia" w:ascii="Times New Roman" w:hAnsi="Times New Roman" w:eastAsia="宋体" w:cs="Times New Roman"/>
                <w:b w:val="0"/>
                <w:bCs w:val="0"/>
                <w:color w:val="auto"/>
                <w:sz w:val="24"/>
                <w:szCs w:val="24"/>
                <w:vertAlign w:val="baseline"/>
                <w:lang w:val="en-US" w:eastAsia="zh-CN"/>
              </w:rPr>
              <w:t>单井</w:t>
            </w:r>
            <w:r>
              <w:rPr>
                <w:rFonts w:hint="default" w:ascii="Times New Roman" w:hAnsi="Times New Roman" w:eastAsia="宋体" w:cs="Times New Roman"/>
                <w:b w:val="0"/>
                <w:bCs w:val="0"/>
                <w:color w:val="auto"/>
                <w:sz w:val="24"/>
                <w:szCs w:val="24"/>
                <w:vertAlign w:val="baseline"/>
                <w:lang w:val="en-US" w:eastAsia="zh-CN"/>
              </w:rPr>
              <w:t>Q=0.0</w:t>
            </w:r>
            <w:r>
              <w:rPr>
                <w:rFonts w:hint="eastAsia" w:ascii="Times New Roman" w:hAnsi="Times New Roman" w:eastAsia="宋体" w:cs="Times New Roman"/>
                <w:b w:val="0"/>
                <w:bCs w:val="0"/>
                <w:color w:val="auto"/>
                <w:sz w:val="24"/>
                <w:szCs w:val="24"/>
                <w:vertAlign w:val="baseline"/>
                <w:lang w:val="en-US" w:eastAsia="zh-CN"/>
              </w:rPr>
              <w:t>008</w:t>
            </w:r>
            <w:r>
              <w:rPr>
                <w:rFonts w:hint="default" w:ascii="Times New Roman" w:hAnsi="Times New Roman" w:eastAsia="宋体" w:cs="Times New Roman"/>
                <w:b w:val="0"/>
                <w:bCs w:val="0"/>
                <w:color w:val="auto"/>
                <w:sz w:val="24"/>
                <w:szCs w:val="24"/>
                <w:vertAlign w:val="baseline"/>
                <w:lang w:val="en-US" w:eastAsia="zh-CN"/>
              </w:rPr>
              <w:t>&lt;1，环境风险较小。</w:t>
            </w:r>
          </w:p>
          <w:p w14:paraId="6F61AA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各危险物质理化性质见下表：</w:t>
            </w:r>
          </w:p>
          <w:p w14:paraId="09986B1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4"/>
                <w:szCs w:val="24"/>
                <w:lang w:val="en-US" w:eastAsia="zh-CN"/>
              </w:rPr>
              <w:t>①天然气</w:t>
            </w:r>
          </w:p>
          <w:p w14:paraId="66D01D8C">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4-9</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 xml:space="preserve"> 天然气</w:t>
            </w:r>
            <w:r>
              <w:rPr>
                <w:rFonts w:hint="default" w:ascii="Times New Roman" w:hAnsi="Times New Roman" w:cs="Times New Roman"/>
                <w:color w:val="auto"/>
                <w:sz w:val="21"/>
                <w:szCs w:val="21"/>
                <w:lang w:eastAsia="zh-CN"/>
              </w:rPr>
              <w:t>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94"/>
              <w:gridCol w:w="1603"/>
              <w:gridCol w:w="2250"/>
              <w:gridCol w:w="2202"/>
              <w:gridCol w:w="1982"/>
            </w:tblGrid>
            <w:tr w14:paraId="6197F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4273301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485" w:type="dxa"/>
                  <w:vAlign w:val="center"/>
                </w:tcPr>
                <w:p w14:paraId="772455D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2085" w:type="dxa"/>
                  <w:vAlign w:val="center"/>
                </w:tcPr>
                <w:p w14:paraId="297E5DF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w:t>
                  </w:r>
                </w:p>
              </w:tc>
              <w:tc>
                <w:tcPr>
                  <w:tcW w:w="2040" w:type="dxa"/>
                  <w:vAlign w:val="center"/>
                </w:tcPr>
                <w:p w14:paraId="183642F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1836" w:type="dxa"/>
                  <w:vAlign w:val="center"/>
                </w:tcPr>
                <w:p w14:paraId="02F8FC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Marsh gas</w:t>
                  </w:r>
                </w:p>
              </w:tc>
            </w:tr>
            <w:tr w14:paraId="75E3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26309F7">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71AC876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2085" w:type="dxa"/>
                  <w:vAlign w:val="center"/>
                </w:tcPr>
                <w:p w14:paraId="5A87D6B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CH</w:t>
                  </w:r>
                  <w:r>
                    <w:rPr>
                      <w:rFonts w:hint="default" w:ascii="Times New Roman" w:hAnsi="Times New Roman" w:cs="Times New Roman"/>
                      <w:color w:val="auto"/>
                      <w:sz w:val="21"/>
                      <w:szCs w:val="21"/>
                      <w:vertAlign w:val="subscript"/>
                      <w:lang w:val="en-US" w:eastAsia="zh-CN"/>
                    </w:rPr>
                    <w:t>4</w:t>
                  </w:r>
                </w:p>
              </w:tc>
              <w:tc>
                <w:tcPr>
                  <w:tcW w:w="2040" w:type="dxa"/>
                  <w:vAlign w:val="center"/>
                </w:tcPr>
                <w:p w14:paraId="7EC5C08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1836" w:type="dxa"/>
                  <w:vAlign w:val="center"/>
                </w:tcPr>
                <w:p w14:paraId="1A92160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74-82-8</w:t>
                  </w:r>
                </w:p>
              </w:tc>
            </w:tr>
            <w:tr w14:paraId="03DC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70D6F87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485" w:type="dxa"/>
                  <w:vAlign w:val="center"/>
                </w:tcPr>
                <w:p w14:paraId="1177CDE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2085" w:type="dxa"/>
                  <w:vAlign w:val="center"/>
                </w:tcPr>
                <w:p w14:paraId="6C8D114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-182.5</w:t>
                  </w:r>
                </w:p>
              </w:tc>
              <w:tc>
                <w:tcPr>
                  <w:tcW w:w="2040" w:type="dxa"/>
                  <w:vAlign w:val="center"/>
                </w:tcPr>
                <w:p w14:paraId="45045D0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1836" w:type="dxa"/>
                  <w:vAlign w:val="center"/>
                </w:tcPr>
                <w:p w14:paraId="24F4BAE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0.55</w:t>
                  </w:r>
                </w:p>
              </w:tc>
            </w:tr>
            <w:tr w14:paraId="1DCE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BD1DD3E">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36F5EF5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5C191F7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无色或无臭气体（天然气中已加入识别臭味）。</w:t>
                  </w:r>
                </w:p>
              </w:tc>
            </w:tr>
            <w:tr w14:paraId="43CE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235A9037">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71C93A0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22AE91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微溶于水，溶于醇、乙醚。</w:t>
                  </w:r>
                </w:p>
              </w:tc>
            </w:tr>
            <w:tr w14:paraId="468E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restart"/>
                  <w:vAlign w:val="center"/>
                </w:tcPr>
                <w:p w14:paraId="57D64AE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485" w:type="dxa"/>
                  <w:vAlign w:val="center"/>
                </w:tcPr>
                <w:p w14:paraId="25B72C3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2085" w:type="dxa"/>
                  <w:vAlign w:val="center"/>
                </w:tcPr>
                <w:p w14:paraId="7B61B198">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-188</w:t>
                  </w:r>
                </w:p>
              </w:tc>
              <w:tc>
                <w:tcPr>
                  <w:tcW w:w="2040" w:type="dxa"/>
                  <w:vAlign w:val="center"/>
                </w:tcPr>
                <w:p w14:paraId="5488A54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1836" w:type="dxa"/>
                  <w:vAlign w:val="center"/>
                </w:tcPr>
                <w:p w14:paraId="64E7B34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5.3～15</w:t>
                  </w:r>
                </w:p>
              </w:tc>
            </w:tr>
            <w:tr w14:paraId="4CD0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5725F6AD">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EBD1DA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2085" w:type="dxa"/>
                  <w:vAlign w:val="center"/>
                </w:tcPr>
                <w:p w14:paraId="4DCE73A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538</w:t>
                  </w:r>
                </w:p>
              </w:tc>
              <w:tc>
                <w:tcPr>
                  <w:tcW w:w="2040" w:type="dxa"/>
                  <w:vAlign w:val="center"/>
                </w:tcPr>
                <w:p w14:paraId="6B3CE0C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稳定性</w:t>
                  </w:r>
                </w:p>
              </w:tc>
              <w:tc>
                <w:tcPr>
                  <w:tcW w:w="1836" w:type="dxa"/>
                  <w:vAlign w:val="center"/>
                </w:tcPr>
                <w:p w14:paraId="7DE5A83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稳定</w:t>
                  </w:r>
                </w:p>
              </w:tc>
            </w:tr>
            <w:tr w14:paraId="1C033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4E24F0B3">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20A3A85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火灾危险类别</w:t>
                  </w:r>
                </w:p>
              </w:tc>
              <w:tc>
                <w:tcPr>
                  <w:tcW w:w="2085" w:type="dxa"/>
                  <w:vAlign w:val="center"/>
                </w:tcPr>
                <w:p w14:paraId="772EDF9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第2.1类，易燃气体</w:t>
                  </w:r>
                </w:p>
              </w:tc>
              <w:tc>
                <w:tcPr>
                  <w:tcW w:w="2040" w:type="dxa"/>
                  <w:vAlign w:val="center"/>
                </w:tcPr>
                <w:p w14:paraId="2F99E2F9">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爆炸危险组别类别</w:t>
                  </w:r>
                </w:p>
              </w:tc>
              <w:tc>
                <w:tcPr>
                  <w:tcW w:w="1836" w:type="dxa"/>
                  <w:vAlign w:val="center"/>
                </w:tcPr>
                <w:p w14:paraId="15E1D7F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T3/ⅡΑ</w:t>
                  </w:r>
                </w:p>
              </w:tc>
            </w:tr>
            <w:tr w14:paraId="2A97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68B2F680">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668C34A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5CC80F7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易燃，与与空气混合能形成爆炸性混合物，遇热源和明火易引起燃烧爆炸，与五氧化溴、氯气、次氯酸、三氟化氮、液氧、二氟化氮及其它强氧化剂接触能发生剧烈反应。</w:t>
                  </w:r>
                </w:p>
                <w:p w14:paraId="51EEE0F3">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燃烧（分解）产物：一氧化碳、二氧化碳。</w:t>
                  </w:r>
                </w:p>
                <w:p w14:paraId="565FEBEC">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天然气除了有上述危险特性外，还具有下列特性：天然气中含有少量的硫化氢，长期吸入，对人的神经系统有毒害；在高压、高温、有水的情况下，对金属可产生硫化氢应力开裂。</w:t>
                  </w:r>
                </w:p>
              </w:tc>
            </w:tr>
            <w:tr w14:paraId="29BC2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Merge w:val="continue"/>
                  <w:vAlign w:val="center"/>
                </w:tcPr>
                <w:p w14:paraId="1C4E1464">
                  <w:pPr>
                    <w:pStyle w:val="27"/>
                    <w:bidi w:val="0"/>
                    <w:jc w:val="center"/>
                    <w:rPr>
                      <w:rFonts w:hint="default" w:ascii="Times New Roman" w:hAnsi="Times New Roman" w:cs="Times New Roman"/>
                      <w:color w:val="auto"/>
                      <w:sz w:val="21"/>
                      <w:szCs w:val="21"/>
                      <w:lang w:val="en-US" w:eastAsia="zh-CN"/>
                    </w:rPr>
                  </w:pPr>
                </w:p>
              </w:tc>
              <w:tc>
                <w:tcPr>
                  <w:tcW w:w="1485" w:type="dxa"/>
                  <w:vAlign w:val="center"/>
                </w:tcPr>
                <w:p w14:paraId="0F6FBC76">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4CB3C53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泡沫、干粉、CO</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、雾状水。</w:t>
                  </w:r>
                </w:p>
              </w:tc>
            </w:tr>
            <w:tr w14:paraId="6E18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0F87FE">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446" w:type="dxa"/>
                  <w:gridSpan w:val="4"/>
                  <w:vAlign w:val="center"/>
                </w:tcPr>
                <w:p w14:paraId="106E79A9">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w:t>
                  </w:r>
                </w:p>
                <w:p w14:paraId="61CFF7F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健康危害：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14:paraId="18FB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66B7111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446" w:type="dxa"/>
                  <w:gridSpan w:val="4"/>
                  <w:vAlign w:val="center"/>
                </w:tcPr>
                <w:p w14:paraId="43F259D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皮肤冻伤：若有冻伤，就医治疗。</w:t>
                  </w:r>
                </w:p>
                <w:p w14:paraId="13D6A721">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tc>
            </w:tr>
            <w:tr w14:paraId="0C30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1D3810D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446" w:type="dxa"/>
                  <w:gridSpan w:val="4"/>
                  <w:vAlign w:val="center"/>
                </w:tcPr>
                <w:p w14:paraId="462225CD">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工程防护：生产过程密闭，全面通风。</w:t>
                  </w:r>
                </w:p>
                <w:p w14:paraId="5F960F5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个人防护：一般不需要特殊防护，但建议特殊情况下，佩戴自吸过滤式防毒面具（半面罩）。眼睛防护一般不需要特殊防护，高浓度接触时可戴安全防护眼镜，穿防静电工作服。戴一般作业防护手套。工作现场严禁吸烟。避免长期反复接触，进入罐、限制性空间或其它高浓度区作业，须有人监护。</w:t>
                  </w:r>
                </w:p>
              </w:tc>
            </w:tr>
            <w:tr w14:paraId="4C68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1422ED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446" w:type="dxa"/>
                  <w:gridSpan w:val="4"/>
                  <w:vAlign w:val="center"/>
                </w:tcPr>
                <w:p w14:paraId="7CB1C563">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14:paraId="019C1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43" w:type="dxa"/>
                  <w:vAlign w:val="center"/>
                </w:tcPr>
                <w:p w14:paraId="0098E65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446" w:type="dxa"/>
                  <w:gridSpan w:val="4"/>
                  <w:vAlign w:val="center"/>
                </w:tcPr>
                <w:p w14:paraId="74A6DBB0">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运条件：易燃压缩气体。储存于阴凉、通风仓间内。仓温不宜超过30℃。远离火种、热源。防止阳光直射。应与氧气、压缩空气、卤素（氟、氯、溴）等分开存放。切忌混储混运。储存间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轻装轻卸，防止钢瓶及附件破损。</w:t>
                  </w:r>
                </w:p>
              </w:tc>
            </w:tr>
          </w:tbl>
          <w:p w14:paraId="017A69A0">
            <w:pPr>
              <w:pStyle w:val="26"/>
              <w:keepNext w:val="0"/>
              <w:keepLines w:val="0"/>
              <w:pageBreakBefore w:val="0"/>
              <w:widowControl w:val="0"/>
              <w:kinsoku/>
              <w:wordWrap/>
              <w:overflowPunct/>
              <w:topLinePunct w:val="0"/>
              <w:autoSpaceDE/>
              <w:autoSpaceDN/>
              <w:bidi w:val="0"/>
              <w:adjustRightInd w:val="0"/>
              <w:snapToGrid w:val="0"/>
              <w:spacing w:before="79" w:beforeLines="25"/>
              <w:textAlignment w:val="auto"/>
              <w:rPr>
                <w:rFonts w:hint="default" w:ascii="Times New Roman" w:hAnsi="Times New Roman" w:cs="Times New Roman"/>
                <w:color w:val="auto"/>
                <w:sz w:val="24"/>
                <w:szCs w:val="24"/>
                <w:lang w:val="en-US" w:eastAsia="zh-CN"/>
              </w:rPr>
            </w:pPr>
            <w:r>
              <w:rPr>
                <w:rFonts w:hint="eastAsia" w:ascii="宋体" w:hAnsi="宋体" w:eastAsia="宋体" w:cs="宋体"/>
                <w:color w:val="auto"/>
                <w:sz w:val="24"/>
                <w:szCs w:val="24"/>
                <w:lang w:val="en-US" w:eastAsia="zh-CN"/>
              </w:rPr>
              <w:t>②</w:t>
            </w:r>
            <w:r>
              <w:rPr>
                <w:rFonts w:hint="default" w:ascii="Times New Roman" w:hAnsi="Times New Roman" w:cs="Times New Roman"/>
                <w:color w:val="auto"/>
                <w:sz w:val="24"/>
                <w:szCs w:val="24"/>
                <w:lang w:val="en-US" w:eastAsia="zh-CN"/>
              </w:rPr>
              <w:t>机油</w:t>
            </w:r>
          </w:p>
          <w:p w14:paraId="4A700120">
            <w:pPr>
              <w:pStyle w:val="1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表</w:t>
            </w:r>
            <w:r>
              <w:rPr>
                <w:rFonts w:hint="default" w:ascii="Times New Roman" w:hAnsi="Times New Roman" w:cs="Times New Roman"/>
                <w:color w:val="auto"/>
                <w:sz w:val="21"/>
                <w:szCs w:val="21"/>
                <w:lang w:val="en-US" w:eastAsia="zh-CN"/>
              </w:rPr>
              <w:t>4-1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机油理化特性及危险性一览表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71"/>
              <w:gridCol w:w="1726"/>
              <w:gridCol w:w="1609"/>
              <w:gridCol w:w="2234"/>
              <w:gridCol w:w="2591"/>
            </w:tblGrid>
            <w:tr w14:paraId="1922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57BC605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标识</w:t>
                  </w:r>
                </w:p>
              </w:tc>
              <w:tc>
                <w:tcPr>
                  <w:tcW w:w="1599" w:type="dxa"/>
                  <w:vAlign w:val="center"/>
                </w:tcPr>
                <w:p w14:paraId="4241B03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中文名</w:t>
                  </w:r>
                </w:p>
              </w:tc>
              <w:tc>
                <w:tcPr>
                  <w:tcW w:w="1491" w:type="dxa"/>
                  <w:vAlign w:val="center"/>
                </w:tcPr>
                <w:p w14:paraId="41FD0E2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机油</w:t>
                  </w:r>
                </w:p>
              </w:tc>
              <w:tc>
                <w:tcPr>
                  <w:tcW w:w="2070" w:type="dxa"/>
                  <w:vAlign w:val="center"/>
                </w:tcPr>
                <w:p w14:paraId="21D497D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英文名</w:t>
                  </w:r>
                </w:p>
              </w:tc>
              <w:tc>
                <w:tcPr>
                  <w:tcW w:w="2400" w:type="dxa"/>
                  <w:vAlign w:val="center"/>
                </w:tcPr>
                <w:p w14:paraId="079F64D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lubricating oil；Lube oil</w:t>
                  </w:r>
                </w:p>
              </w:tc>
            </w:tr>
            <w:tr w14:paraId="1AB8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111209CD">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260A281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分子式</w:t>
                  </w:r>
                </w:p>
              </w:tc>
              <w:tc>
                <w:tcPr>
                  <w:tcW w:w="1491" w:type="dxa"/>
                  <w:vAlign w:val="center"/>
                </w:tcPr>
                <w:p w14:paraId="7AE39385">
                  <w:pPr>
                    <w:pStyle w:val="27"/>
                    <w:bidi w:val="0"/>
                    <w:jc w:val="center"/>
                    <w:rPr>
                      <w:rFonts w:hint="default" w:ascii="Times New Roman" w:hAnsi="Times New Roman" w:cs="Times New Roman"/>
                      <w:color w:val="auto"/>
                      <w:sz w:val="21"/>
                      <w:szCs w:val="21"/>
                      <w:lang w:val="en-US" w:eastAsia="zh-CN"/>
                    </w:rPr>
                  </w:pPr>
                </w:p>
              </w:tc>
              <w:tc>
                <w:tcPr>
                  <w:tcW w:w="2070" w:type="dxa"/>
                  <w:vAlign w:val="center"/>
                </w:tcPr>
                <w:p w14:paraId="413A3CB4">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CAS号</w:t>
                  </w:r>
                </w:p>
              </w:tc>
              <w:tc>
                <w:tcPr>
                  <w:tcW w:w="2400" w:type="dxa"/>
                  <w:vAlign w:val="center"/>
                </w:tcPr>
                <w:p w14:paraId="6126FBE5">
                  <w:pPr>
                    <w:pStyle w:val="27"/>
                    <w:bidi w:val="0"/>
                    <w:jc w:val="center"/>
                    <w:rPr>
                      <w:rFonts w:hint="default" w:ascii="Times New Roman" w:hAnsi="Times New Roman" w:cs="Times New Roman"/>
                      <w:color w:val="auto"/>
                      <w:sz w:val="21"/>
                      <w:szCs w:val="21"/>
                      <w:lang w:val="en-US" w:eastAsia="zh-CN"/>
                    </w:rPr>
                  </w:pPr>
                </w:p>
              </w:tc>
            </w:tr>
            <w:tr w14:paraId="5115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2D4A263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理化特性</w:t>
                  </w:r>
                </w:p>
              </w:tc>
              <w:tc>
                <w:tcPr>
                  <w:tcW w:w="1599" w:type="dxa"/>
                  <w:vAlign w:val="center"/>
                </w:tcPr>
                <w:p w14:paraId="01CDB8D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沸点（℃）</w:t>
                  </w:r>
                </w:p>
              </w:tc>
              <w:tc>
                <w:tcPr>
                  <w:tcW w:w="1491" w:type="dxa"/>
                  <w:vAlign w:val="center"/>
                </w:tcPr>
                <w:p w14:paraId="394F5ADA">
                  <w:pPr>
                    <w:pStyle w:val="27"/>
                    <w:bidi w:val="0"/>
                    <w:jc w:val="center"/>
                    <w:rPr>
                      <w:rFonts w:hint="default" w:ascii="Times New Roman" w:hAnsi="Times New Roman" w:cs="Times New Roman"/>
                      <w:color w:val="auto"/>
                      <w:sz w:val="21"/>
                      <w:szCs w:val="21"/>
                      <w:lang w:val="en-US" w:eastAsia="zh-CN"/>
                    </w:rPr>
                  </w:pPr>
                </w:p>
              </w:tc>
              <w:tc>
                <w:tcPr>
                  <w:tcW w:w="2070" w:type="dxa"/>
                  <w:vAlign w:val="center"/>
                </w:tcPr>
                <w:p w14:paraId="43CC484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相对密度（空气=1）</w:t>
                  </w:r>
                </w:p>
              </w:tc>
              <w:tc>
                <w:tcPr>
                  <w:tcW w:w="2400" w:type="dxa"/>
                  <w:vAlign w:val="center"/>
                </w:tcPr>
                <w:p w14:paraId="3309A7A6">
                  <w:pPr>
                    <w:pStyle w:val="27"/>
                    <w:bidi w:val="0"/>
                    <w:jc w:val="center"/>
                    <w:rPr>
                      <w:rFonts w:hint="default" w:ascii="Times New Roman" w:hAnsi="Times New Roman" w:cs="Times New Roman"/>
                      <w:color w:val="auto"/>
                      <w:sz w:val="21"/>
                      <w:szCs w:val="21"/>
                      <w:lang w:val="en-US" w:eastAsia="zh-CN"/>
                    </w:rPr>
                  </w:pPr>
                </w:p>
              </w:tc>
            </w:tr>
            <w:tr w14:paraId="6F0D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291C8D4">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498F5F77">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性状</w:t>
                  </w:r>
                </w:p>
              </w:tc>
              <w:tc>
                <w:tcPr>
                  <w:tcW w:w="5961" w:type="dxa"/>
                  <w:gridSpan w:val="3"/>
                  <w:vAlign w:val="center"/>
                </w:tcPr>
                <w:p w14:paraId="044220EA">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油状液体，淡黄色至褐色，无气味或略带异味。</w:t>
                  </w:r>
                </w:p>
              </w:tc>
            </w:tr>
            <w:tr w14:paraId="1D32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4F132AFA">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072A23EF">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溶解性</w:t>
                  </w:r>
                </w:p>
              </w:tc>
              <w:tc>
                <w:tcPr>
                  <w:tcW w:w="5961" w:type="dxa"/>
                  <w:gridSpan w:val="3"/>
                  <w:vAlign w:val="center"/>
                </w:tcPr>
                <w:p w14:paraId="042F8EE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不溶于水。</w:t>
                  </w:r>
                </w:p>
              </w:tc>
            </w:tr>
            <w:tr w14:paraId="04C4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restart"/>
                  <w:vAlign w:val="center"/>
                </w:tcPr>
                <w:p w14:paraId="0E22141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燃爆特性</w:t>
                  </w:r>
                </w:p>
              </w:tc>
              <w:tc>
                <w:tcPr>
                  <w:tcW w:w="1599" w:type="dxa"/>
                  <w:vAlign w:val="center"/>
                </w:tcPr>
                <w:p w14:paraId="21B3FC37">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闪点（℃）</w:t>
                  </w:r>
                </w:p>
              </w:tc>
              <w:tc>
                <w:tcPr>
                  <w:tcW w:w="1491" w:type="dxa"/>
                  <w:vAlign w:val="center"/>
                </w:tcPr>
                <w:p w14:paraId="7FE93D41">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76</w:t>
                  </w:r>
                </w:p>
              </w:tc>
              <w:tc>
                <w:tcPr>
                  <w:tcW w:w="2070" w:type="dxa"/>
                  <w:vAlign w:val="center"/>
                </w:tcPr>
                <w:p w14:paraId="1E1A1110">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爆炸极限（%）</w:t>
                  </w:r>
                </w:p>
              </w:tc>
              <w:tc>
                <w:tcPr>
                  <w:tcW w:w="2400" w:type="dxa"/>
                  <w:vAlign w:val="center"/>
                </w:tcPr>
                <w:p w14:paraId="6EC57633">
                  <w:pPr>
                    <w:pStyle w:val="27"/>
                    <w:bidi w:val="0"/>
                    <w:jc w:val="center"/>
                    <w:rPr>
                      <w:rFonts w:hint="default" w:ascii="Times New Roman" w:hAnsi="Times New Roman" w:cs="Times New Roman"/>
                      <w:color w:val="auto"/>
                      <w:sz w:val="21"/>
                      <w:szCs w:val="21"/>
                      <w:lang w:val="en-US" w:eastAsia="zh-CN"/>
                    </w:rPr>
                  </w:pPr>
                </w:p>
              </w:tc>
            </w:tr>
            <w:tr w14:paraId="4445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C44D45D">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38C9F5A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引燃温度（℃）</w:t>
                  </w:r>
                </w:p>
              </w:tc>
              <w:tc>
                <w:tcPr>
                  <w:tcW w:w="1491" w:type="dxa"/>
                  <w:vAlign w:val="center"/>
                </w:tcPr>
                <w:p w14:paraId="79F300C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248</w:t>
                  </w:r>
                </w:p>
              </w:tc>
              <w:tc>
                <w:tcPr>
                  <w:tcW w:w="2070" w:type="dxa"/>
                  <w:vAlign w:val="center"/>
                </w:tcPr>
                <w:p w14:paraId="68DF2A0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稳定性</w:t>
                  </w:r>
                </w:p>
              </w:tc>
              <w:tc>
                <w:tcPr>
                  <w:tcW w:w="2400" w:type="dxa"/>
                  <w:vAlign w:val="center"/>
                </w:tcPr>
                <w:p w14:paraId="1B826358">
                  <w:pPr>
                    <w:pStyle w:val="27"/>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稳定</w:t>
                  </w:r>
                </w:p>
              </w:tc>
            </w:tr>
            <w:tr w14:paraId="2B49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211570F0">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48E9F1C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危险特性</w:t>
                  </w:r>
                </w:p>
              </w:tc>
              <w:tc>
                <w:tcPr>
                  <w:tcW w:w="5961" w:type="dxa"/>
                  <w:gridSpan w:val="3"/>
                  <w:vAlign w:val="center"/>
                </w:tcPr>
                <w:p w14:paraId="0E3AFE3F">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遇明火、高热可燃。</w:t>
                  </w:r>
                </w:p>
              </w:tc>
            </w:tr>
            <w:tr w14:paraId="26582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Merge w:val="continue"/>
                  <w:vAlign w:val="center"/>
                </w:tcPr>
                <w:p w14:paraId="0943E277">
                  <w:pPr>
                    <w:pStyle w:val="27"/>
                    <w:bidi w:val="0"/>
                    <w:jc w:val="center"/>
                    <w:rPr>
                      <w:rFonts w:hint="default" w:ascii="Times New Roman" w:hAnsi="Times New Roman" w:cs="Times New Roman"/>
                      <w:color w:val="auto"/>
                      <w:sz w:val="21"/>
                      <w:szCs w:val="21"/>
                      <w:lang w:val="en-US" w:eastAsia="zh-CN"/>
                    </w:rPr>
                  </w:pPr>
                </w:p>
              </w:tc>
              <w:tc>
                <w:tcPr>
                  <w:tcW w:w="1599" w:type="dxa"/>
                  <w:vAlign w:val="center"/>
                </w:tcPr>
                <w:p w14:paraId="5DAE62B3">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灭火剂</w:t>
                  </w:r>
                </w:p>
              </w:tc>
              <w:tc>
                <w:tcPr>
                  <w:tcW w:w="5961" w:type="dxa"/>
                  <w:gridSpan w:val="3"/>
                  <w:vAlign w:val="center"/>
                </w:tcPr>
                <w:p w14:paraId="5C3F065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雾状水、泡沫、干粉、二氧化碳、砂土。</w:t>
                  </w:r>
                </w:p>
              </w:tc>
            </w:tr>
            <w:tr w14:paraId="50DE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74C787D2">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对人体危害</w:t>
                  </w:r>
                </w:p>
              </w:tc>
              <w:tc>
                <w:tcPr>
                  <w:tcW w:w="7560" w:type="dxa"/>
                  <w:gridSpan w:val="4"/>
                  <w:vAlign w:val="center"/>
                </w:tcPr>
                <w:p w14:paraId="54B5CBFE">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侵入途径：吸入、食入；</w:t>
                  </w:r>
                </w:p>
                <w:p w14:paraId="791F08B8">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急性吸入，可出现乏力、头晕、头痛、恶心，严重者可引起油脂性肺炎。慢接触者，暴露部位可发生油性痤疮和接触性皮炎。可引起神经衰弱综合征，呼吸道和眼刺激症状及慢性油脂性肺炎。</w:t>
                  </w:r>
                </w:p>
              </w:tc>
            </w:tr>
            <w:tr w14:paraId="65CC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1585A97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急救</w:t>
                  </w:r>
                </w:p>
              </w:tc>
              <w:tc>
                <w:tcPr>
                  <w:tcW w:w="7560" w:type="dxa"/>
                  <w:gridSpan w:val="4"/>
                  <w:vAlign w:val="center"/>
                </w:tcPr>
                <w:p w14:paraId="2496020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皮肤接触：立即脱去被污染的衣着，用大量清水冲洗；</w:t>
                  </w:r>
                </w:p>
                <w:p w14:paraId="3EA36F9D">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眼睛接触：立即提起眼睑，用大量流动清水或生理盐水冲洗，就医；</w:t>
                  </w:r>
                </w:p>
                <w:p w14:paraId="3719DBC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吸入：迅速脱离现场至空气新鲜处，保持呼吸道通畅，如呼吸困难，给输氧；如呼吸停止，立即进行人工呼吸，就医；</w:t>
                  </w:r>
                </w:p>
                <w:p w14:paraId="0559FF4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食入：饮足量温水，催吐，就医。</w:t>
                  </w:r>
                </w:p>
              </w:tc>
            </w:tr>
            <w:tr w14:paraId="188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330569B">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防护</w:t>
                  </w:r>
                </w:p>
              </w:tc>
              <w:tc>
                <w:tcPr>
                  <w:tcW w:w="7560" w:type="dxa"/>
                  <w:gridSpan w:val="4"/>
                  <w:vAlign w:val="center"/>
                </w:tcPr>
                <w:p w14:paraId="2E57B596">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工程控制：密闭操作，注意通风；</w:t>
                  </w:r>
                </w:p>
                <w:p w14:paraId="30FE0F94">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呼吸系统防护：空气中浓度超标时，建议佩戴自吸过滤式防毒面具(半面)。紧急事态抢救或撤离时，应该佩戴空气呼吸器。</w:t>
                  </w:r>
                </w:p>
                <w:p w14:paraId="6C06C250">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眼睛防护：戴化学安全防护眼镜；</w:t>
                  </w:r>
                </w:p>
                <w:p w14:paraId="38D00E4F">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身体防护:穿防毒物渗透工作服；</w:t>
                  </w:r>
                </w:p>
                <w:p w14:paraId="22C708FE">
                  <w:pPr>
                    <w:pStyle w:val="27"/>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手防护：戴橡胶耐油手套；</w:t>
                  </w:r>
                </w:p>
                <w:p w14:paraId="48FC267B">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其他：工作现场严禁吸烟，避免长期反复接触。</w:t>
                  </w:r>
                </w:p>
              </w:tc>
            </w:tr>
            <w:tr w14:paraId="39DF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2BC8606C">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泄漏处理</w:t>
                  </w:r>
                </w:p>
              </w:tc>
              <w:tc>
                <w:tcPr>
                  <w:tcW w:w="7560" w:type="dxa"/>
                  <w:gridSpan w:val="4"/>
                  <w:vAlign w:val="center"/>
                </w:tcPr>
                <w:p w14:paraId="53E2C494">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迅速撤离泄漏污染区人员至安全区，并进行隔离，严格限制出入。切断火源。建议应急处理人员戴自给正压式呼吸器，穿防毒服。尽可能切断泄漏源。防止流入下水道、排洪沟等限制性空间。</w:t>
                  </w:r>
                </w:p>
                <w:p w14:paraId="57061EE2">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小量泄漏：用砂土或其它不燃材料吸附或吸收。</w:t>
                  </w:r>
                </w:p>
                <w:p w14:paraId="13E74041">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大量泄漏：构筑围堤或挖坑收容。用泵转移至槽车或专用收集器内，回收或运至废物处理场所处置。</w:t>
                  </w:r>
                </w:p>
              </w:tc>
            </w:tr>
            <w:tr w14:paraId="2778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529" w:type="dxa"/>
                  <w:vAlign w:val="center"/>
                </w:tcPr>
                <w:p w14:paraId="375E75B5">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贮运</w:t>
                  </w:r>
                </w:p>
              </w:tc>
              <w:tc>
                <w:tcPr>
                  <w:tcW w:w="7560" w:type="dxa"/>
                  <w:gridSpan w:val="4"/>
                  <w:vAlign w:val="center"/>
                </w:tcPr>
                <w:p w14:paraId="208810DA">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储存于阴凉、通风的库房。远离火种、热源。应与氧化剂分开存放，切忌混储。配备相应品种和数量的消防器材。储区应备有泄漏应急处理设备和合适的收容材料。</w:t>
                  </w:r>
                </w:p>
                <w:p w14:paraId="69F06786">
                  <w:pPr>
                    <w:pStyle w:val="27"/>
                    <w:bidi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运输前应先检查包装容器是否完整、密封，运输过程中要确保容器不泄漏、不倒塌、不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73FF2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（3）环境风险分析</w:t>
            </w:r>
          </w:p>
          <w:p w14:paraId="7F47F8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1）大气环境风险分析</w:t>
            </w:r>
          </w:p>
          <w:p w14:paraId="63C313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①井喷事故</w:t>
            </w:r>
          </w:p>
          <w:p w14:paraId="040C49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当钻井进入气层后，遇到高压气流，因各种原因使井底压力不能平衡底层压力时而造成井喷和井喷失控事故。井喷失控发生的机率虽然很小，但危害较大，主要表现在井喷后会有大量的天然气逸散到空气中，对周围的环境空气造成一定的影响；井喷失控喷射出的天然气遇火燃烧爆炸造成冲击波和热辐射伤人。尽管井喷造成的后果是严重的，但井喷发生的概率非常小，只有在钻井遇高压</w:t>
            </w:r>
            <w:r>
              <w:rPr>
                <w:rFonts w:hint="eastAsia" w:ascii="Times New Roman" w:hAnsi="Times New Roman" w:eastAsia="宋体" w:cs="Times New Roman"/>
                <w:b w:val="0"/>
                <w:bCs w:val="0"/>
                <w:color w:val="auto"/>
                <w:sz w:val="24"/>
                <w:szCs w:val="24"/>
                <w:vertAlign w:val="baseline"/>
                <w:lang w:val="en-US" w:eastAsia="zh-CN"/>
              </w:rPr>
              <w:t>采</w:t>
            </w:r>
            <w:r>
              <w:rPr>
                <w:rFonts w:hint="default" w:ascii="Times New Roman" w:hAnsi="Times New Roman" w:eastAsia="宋体" w:cs="Times New Roman"/>
                <w:b w:val="0"/>
                <w:bCs w:val="0"/>
                <w:color w:val="auto"/>
                <w:sz w:val="24"/>
                <w:szCs w:val="24"/>
                <w:vertAlign w:val="baseline"/>
                <w:lang w:val="en-US" w:eastAsia="zh-CN"/>
              </w:rPr>
              <w:t>气层且操作不当时才有可能发生。而由于操作者直接责任而引起井控措施不当、违反操作规程、井控措施故障等是造成井喷失控事故的主要因素。本项目在钻井时采用了安装防喷器和控制装置等防喷措施，项目发生井喷的概率很小。</w:t>
            </w:r>
          </w:p>
          <w:p w14:paraId="440E5E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②放喷事故</w:t>
            </w:r>
          </w:p>
          <w:p w14:paraId="233DC5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为了解气井的产气量，在完井及压裂后，需进行测试放喷，项目通过</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进行测试。</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周围50m范围内进行清理，远离易燃物品，同时应远离居民区，放喷口置于</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水面上，</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用于储存随放喷气体带出的地下水及洗井废水。项目设置10</w:t>
            </w:r>
            <w:r>
              <w:rPr>
                <w:rFonts w:hint="eastAsia" w:ascii="Times New Roman" w:hAnsi="Times New Roman" w:eastAsia="宋体" w:cs="Times New Roman"/>
                <w:b w:val="0"/>
                <w:bCs w:val="0"/>
                <w:color w:val="auto"/>
                <w:sz w:val="24"/>
                <w:szCs w:val="24"/>
                <w:vertAlign w:val="baseline"/>
                <w:lang w:val="en-US" w:eastAsia="zh-CN"/>
              </w:rPr>
              <w:t>.6</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，能够满足放喷气体带出的废水存储。</w:t>
            </w:r>
          </w:p>
          <w:p w14:paraId="7D7789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24DA8E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风险影响主要是</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废油泄漏的火灾爆炸</w:t>
            </w:r>
            <w:r>
              <w:rPr>
                <w:rFonts w:hint="eastAsia" w:ascii="Times New Roman" w:hAnsi="Times New Roman" w:eastAsia="宋体" w:cs="Times New Roman"/>
                <w:b w:val="0"/>
                <w:bCs w:val="0"/>
                <w:color w:val="auto"/>
                <w:sz w:val="24"/>
                <w:szCs w:val="24"/>
                <w:vertAlign w:val="baseline"/>
                <w:lang w:val="en-US" w:eastAsia="zh-CN"/>
              </w:rPr>
              <w:t>，</w:t>
            </w:r>
            <w:r>
              <w:rPr>
                <w:rFonts w:hint="default" w:ascii="Times New Roman" w:hAnsi="Times New Roman" w:eastAsia="宋体" w:cs="Times New Roman"/>
                <w:b w:val="0"/>
                <w:bCs w:val="0"/>
                <w:color w:val="auto"/>
                <w:sz w:val="24"/>
                <w:szCs w:val="24"/>
                <w:vertAlign w:val="baseline"/>
                <w:lang w:val="en-US" w:eastAsia="zh-CN"/>
              </w:rPr>
              <w:t>若遇明火引发的火灾事故，不会超过井喷时因伴生气排放对大气的影响强度，更不会导致大气环境的明显恶化。火灾或爆炸时产生的次生污染物CO或有害气体的浓度较低，因此，对空气环境影响较小。</w:t>
            </w:r>
          </w:p>
          <w:p w14:paraId="6287BA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内废油储存量较少，发生泄漏后全部收集在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内，工作人员可及时发现并清理，引发环境风险事故的可能性极低。</w:t>
            </w:r>
          </w:p>
          <w:p w14:paraId="4C220E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2）地表水环境风险分析</w:t>
            </w:r>
          </w:p>
          <w:p w14:paraId="651661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正常情况下，本项目井场设置泥浆不落地系统，生产废水全部妥善处置，不会外排出场地，井喷等事故情况下，喷出的泥浆废液可由井场内应急储罐收集处理，不会外排引发地表水体污染。</w:t>
            </w:r>
          </w:p>
          <w:p w14:paraId="228946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3）地下水环境风险分析</w:t>
            </w:r>
          </w:p>
          <w:p w14:paraId="4323AD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废油泄漏</w:t>
            </w:r>
          </w:p>
          <w:p w14:paraId="14696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的废油泄漏，石油烃类污染物可能通过井场地面下渗至地下含水层并向下游迁移，对下游地下水环境造成风险事故，由于项目</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已按照相关要求采取分区防渗，可有效防止污染物下渗进入地下水。</w:t>
            </w:r>
          </w:p>
          <w:p w14:paraId="52376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②井漏事故</w:t>
            </w:r>
          </w:p>
          <w:p w14:paraId="71D3B8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井漏事故对地下水的污染是指在钻井过程中，钻井废水、泥浆漏失于地下水含水层中，造成地下含水层水质污染。就钻井漏失而言，发生在局部且持续时间较短。</w:t>
            </w:r>
          </w:p>
          <w:p w14:paraId="6D6623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一开钻井泥浆主要成分为膨润土和碳酸钠等，不含有毒有害物质，一开井深基本涵盖了可能具有使用功能的地下水，因此本项目一开钻井过程不会对可能具备使用功能的地下水造成影响。二开施工时，表层套管已完成固井，因此钻井泥浆不会在表层套管范围内漏失，漏失发生在表层套管以下的二开范围内，二开范围内的地层地下水埋深较深，不具备使用功能。</w:t>
            </w:r>
          </w:p>
          <w:p w14:paraId="25A1A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井漏主要发生于具有特殊地质结构的气藏区，如具有溶洞、裂隙等不稳定的地层构造区域。本企业在油气资源勘探过程中未发现不稳定地质因素。另外，施工单位针对井漏制定有完善的应对措施，钻井过程中一旦发现异常，施工单位将立即停钻采取添加桥堵剂、打水泥塞等措施，防止井漏事故的发生，可有效减轻井漏对地下水的影响。</w:t>
            </w:r>
          </w:p>
          <w:p w14:paraId="710386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综上，在采取一系列风险防范措施之后，项目环境风险在可控范围内，对周边环境影响较小。</w:t>
            </w:r>
          </w:p>
          <w:p w14:paraId="05E2DA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九、封井环境影响分析</w:t>
            </w:r>
          </w:p>
          <w:p w14:paraId="22EA61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本项目为天然气评价井项目，封井分为临时封井和永久封井，当评价井具有开发价值时对其进行管网建设用于生产输送，或采取临时封井等待管网建设以及开发生产。当评价井不具有开发价值时，采取永久封井。</w:t>
            </w:r>
          </w:p>
          <w:p w14:paraId="29CF16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（1）临时封井</w:t>
            </w:r>
          </w:p>
          <w:p w14:paraId="0630BB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临时封井时按行业规范进行封井作业，对钻井设备、基础进行拆除、搬迁，井口安装采气设施。在井口位置设标记，注明该井的启用与封闭时间及使用单位等，在封井结束后清理井场，</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按标准化井场进行建设和管理，项目临时占地不再开展生态恢复工作</w:t>
            </w:r>
            <w:r>
              <w:rPr>
                <w:rFonts w:hint="default" w:ascii="Times New Roman" w:hAnsi="Times New Roman" w:cs="Times New Roman"/>
                <w:color w:val="auto"/>
                <w:sz w:val="24"/>
              </w:rPr>
              <w:t>。</w:t>
            </w:r>
          </w:p>
          <w:p w14:paraId="59ABA8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（2）永久封井</w:t>
            </w:r>
          </w:p>
          <w:p w14:paraId="41B446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的目的主要包括：保护淡水层免受地层流体或地表水窜入的污染；隔离开采井段与未开采利用井段；保护地表土壤和地面水不受地层流体污染；隔离开污水的层段；封井措施按照中石油企业标准《废弃井封井处置规范》（QSH0653-2015）要求执行，关键性层段之间应隔离开，主要包括以下工作：</w:t>
            </w:r>
          </w:p>
          <w:p w14:paraId="1FEFB9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①隔离各个</w:t>
            </w:r>
            <w:r>
              <w:rPr>
                <w:rFonts w:hint="eastAsia" w:ascii="Times New Roman" w:hAnsi="Times New Roman" w:eastAsia="宋体" w:cs="Times New Roman"/>
                <w:b w:val="0"/>
                <w:bCs w:val="0"/>
                <w:color w:val="auto"/>
                <w:sz w:val="24"/>
                <w:szCs w:val="24"/>
                <w:vertAlign w:val="baseline"/>
                <w:lang w:val="en-US" w:eastAsia="zh-CN"/>
              </w:rPr>
              <w:t>采</w:t>
            </w:r>
            <w:r>
              <w:rPr>
                <w:rFonts w:hint="default" w:ascii="Times New Roman" w:hAnsi="Times New Roman" w:eastAsia="宋体" w:cs="Times New Roman"/>
                <w:b w:val="0"/>
                <w:bCs w:val="0"/>
                <w:color w:val="auto"/>
                <w:sz w:val="24"/>
                <w:szCs w:val="24"/>
                <w:vertAlign w:val="baseline"/>
                <w:lang w:val="en-US" w:eastAsia="zh-CN"/>
              </w:rPr>
              <w:t>气层和处理废水的层段，并在最下部淡水层的底部打一个水泥塞；</w:t>
            </w:r>
          </w:p>
          <w:p w14:paraId="518708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②打地表水泥塞，阻止地面水渗入井内，并流入淡水层，同时限制境内流体流出地表，从而保护土壤和地面水；</w:t>
            </w:r>
          </w:p>
          <w:p w14:paraId="7DE788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为防止层间窜流干扰邻井开发，在废弃井井内选择水泥塞或桥塞的位置，要确保隔离开已确认有生产能力的气层或注水层，使井内所有注采井段都被隔离开，将油气及注入液限值在各自的层段内，阻止各层之间的井内窜流；</w:t>
            </w:r>
          </w:p>
          <w:p w14:paraId="66F4127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④恢复地貌，去掉井口装置和割掉一定深度以上的表层套管，使井与土地使用的矛盾最小化。</w:t>
            </w:r>
          </w:p>
          <w:p w14:paraId="7EA3E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⑤封井后使用GPS重新定位，建立档案。</w:t>
            </w:r>
          </w:p>
          <w:p w14:paraId="690AAD0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（3）其他影响</w:t>
            </w:r>
          </w:p>
          <w:p w14:paraId="063173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封井期还需对井场的地面设施进行拆除，在拆除过程中会产生少量扬尘，扬尘受影响人群主要为拆除人员，拆除时间较短，且与当地自然条件导致的风沙相比较，清理过程中扬尘造成的环境影响可忽略不计。</w:t>
            </w:r>
          </w:p>
          <w:p w14:paraId="42A60C9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封井之后需进行场地生态恢复，并进行植树种草，播撒种植当地适宜生长的草籽，以促进当地生态环境的恢复，项目占地面积较小，故对生态环境影响较小。</w:t>
            </w:r>
          </w:p>
          <w:p w14:paraId="17FD99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综上，项目封井对周边环境影响较小。</w:t>
            </w:r>
          </w:p>
        </w:tc>
      </w:tr>
      <w:tr w14:paraId="58C4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top"/>
          </w:tcPr>
          <w:p w14:paraId="4D2C5AFA">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运营期生态环境影响分析</w:t>
            </w:r>
          </w:p>
        </w:tc>
        <w:tc>
          <w:tcPr>
            <w:tcW w:w="8520" w:type="dxa"/>
            <w:vAlign w:val="center"/>
          </w:tcPr>
          <w:p w14:paraId="684E3A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BA3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8" w:type="dxa"/>
            <w:vAlign w:val="top"/>
          </w:tcPr>
          <w:p w14:paraId="12F9E06C">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选址选线环境合理性分析</w:t>
            </w:r>
          </w:p>
        </w:tc>
        <w:tc>
          <w:tcPr>
            <w:tcW w:w="8520" w:type="dxa"/>
            <w:vAlign w:val="top"/>
          </w:tcPr>
          <w:p w14:paraId="2B8B7BE4">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占地合理性</w:t>
            </w:r>
          </w:p>
          <w:p w14:paraId="160FD0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cs="Times New Roman"/>
                <w:color w:val="auto"/>
                <w:sz w:val="24"/>
                <w:highlight w:val="none"/>
              </w:rPr>
            </w:pPr>
            <w:r>
              <w:rPr>
                <w:color w:val="auto"/>
                <w:sz w:val="24"/>
                <w:highlight w:val="none"/>
              </w:rPr>
              <w:t>本项目</w:t>
            </w:r>
            <w:r>
              <w:rPr>
                <w:rFonts w:hint="eastAsia"/>
                <w:color w:val="auto"/>
                <w:sz w:val="24"/>
                <w:highlight w:val="none"/>
                <w:lang w:val="en-US" w:eastAsia="zh-CN"/>
              </w:rPr>
              <w:t>探井</w:t>
            </w:r>
            <w:r>
              <w:rPr>
                <w:color w:val="auto"/>
                <w:sz w:val="24"/>
                <w:highlight w:val="none"/>
              </w:rPr>
              <w:t>勘探</w:t>
            </w:r>
            <w:r>
              <w:rPr>
                <w:rFonts w:hint="eastAsia"/>
                <w:color w:val="auto"/>
                <w:sz w:val="24"/>
                <w:highlight w:val="none"/>
                <w:lang w:val="en-US" w:eastAsia="zh-CN"/>
              </w:rPr>
              <w:t>测试</w:t>
            </w:r>
            <w:r>
              <w:rPr>
                <w:color w:val="auto"/>
                <w:sz w:val="24"/>
                <w:highlight w:val="none"/>
              </w:rPr>
              <w:t>后如有开采价值，将依法办理国土征地手续等，无开采价值将恢复原貌</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本项目临时</w:t>
            </w:r>
            <w:r>
              <w:rPr>
                <w:rFonts w:hint="eastAsia" w:ascii="Times New Roman" w:hAnsi="Times New Roman" w:eastAsia="宋体" w:cs="Times New Roman"/>
                <w:color w:val="auto"/>
                <w:sz w:val="24"/>
                <w:szCs w:val="24"/>
                <w:highlight w:val="none"/>
                <w:lang w:val="en-US" w:eastAsia="zh-CN"/>
              </w:rPr>
              <w:t>总</w:t>
            </w:r>
            <w:r>
              <w:rPr>
                <w:rFonts w:hint="default" w:ascii="Times New Roman" w:hAnsi="Times New Roman" w:eastAsia="宋体" w:cs="Times New Roman"/>
                <w:color w:val="auto"/>
                <w:sz w:val="24"/>
                <w:szCs w:val="24"/>
                <w:highlight w:val="none"/>
                <w:lang w:val="en-US" w:eastAsia="zh-CN"/>
              </w:rPr>
              <w:t>占地面积</w:t>
            </w:r>
            <w:r>
              <w:rPr>
                <w:rFonts w:hint="eastAsia" w:ascii="Times New Roman" w:hAnsi="Times New Roman" w:eastAsia="宋体" w:cs="Times New Roman"/>
                <w:color w:val="auto"/>
                <w:sz w:val="24"/>
                <w:szCs w:val="24"/>
                <w:highlight w:val="none"/>
                <w:lang w:val="en-US" w:eastAsia="zh-CN"/>
              </w:rPr>
              <w:t>53042</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eastAsia"/>
                <w:bCs/>
                <w:color w:val="auto"/>
                <w:sz w:val="24"/>
                <w:szCs w:val="24"/>
                <w:highlight w:val="none"/>
                <w:lang w:val="en-US" w:eastAsia="zh-CN" w:bidi="ar"/>
              </w:rPr>
              <w:t>目前正在办理临时用地手续，</w:t>
            </w:r>
            <w:r>
              <w:rPr>
                <w:rFonts w:hint="default" w:ascii="Times New Roman" w:hAnsi="Times New Roman" w:eastAsia="宋体" w:cs="Times New Roman"/>
                <w:color w:val="auto"/>
                <w:sz w:val="24"/>
                <w:szCs w:val="24"/>
                <w:highlight w:val="none"/>
                <w:lang w:val="en-US" w:eastAsia="zh-CN"/>
              </w:rPr>
              <w:t>占地类型主要为</w:t>
            </w:r>
            <w:r>
              <w:rPr>
                <w:rFonts w:hint="eastAsia" w:ascii="Times New Roman" w:hAnsi="Times New Roman" w:eastAsia="宋体" w:cs="Times New Roman"/>
                <w:color w:val="auto"/>
                <w:sz w:val="24"/>
                <w:szCs w:val="24"/>
                <w:highlight w:val="none"/>
                <w:lang w:val="en-US" w:eastAsia="zh-CN"/>
              </w:rPr>
              <w:t>耕地、</w:t>
            </w:r>
            <w:r>
              <w:rPr>
                <w:rFonts w:hint="eastAsia"/>
                <w:bCs/>
                <w:color w:val="auto"/>
                <w:sz w:val="24"/>
                <w:szCs w:val="24"/>
                <w:highlight w:val="none"/>
                <w:lang w:val="en-US" w:eastAsia="zh-CN" w:bidi="ar"/>
              </w:rPr>
              <w:t>林地、园地、草地和交通运输用地，</w:t>
            </w:r>
            <w:r>
              <w:rPr>
                <w:rFonts w:hint="default" w:ascii="Times New Roman" w:hAnsi="Times New Roman" w:cs="Times New Roman"/>
                <w:color w:val="auto"/>
                <w:sz w:val="24"/>
                <w:highlight w:val="none"/>
                <w:lang w:eastAsia="zh-CN"/>
              </w:rPr>
              <w:t>不涉及基本农田、生态红线和禁止建设区，</w:t>
            </w:r>
            <w:r>
              <w:rPr>
                <w:rFonts w:hint="eastAsia" w:ascii="Times New Roman" w:hAnsi="Times New Roman" w:eastAsia="宋体" w:cs="Times New Roman"/>
                <w:bCs/>
                <w:snapToGrid w:val="0"/>
                <w:color w:val="auto"/>
                <w:kern w:val="0"/>
                <w:sz w:val="24"/>
                <w:highlight w:val="none"/>
              </w:rPr>
              <w:t>项目建设符合榆林市投资项目选址“一张图”控制线要求</w:t>
            </w:r>
            <w:r>
              <w:rPr>
                <w:rFonts w:hint="eastAsia" w:ascii="Times New Roman" w:hAnsi="Times New Roman" w:eastAsia="宋体" w:cs="Times New Roman"/>
                <w:bCs/>
                <w:snapToGrid w:val="0"/>
                <w:color w:val="auto"/>
                <w:kern w:val="0"/>
                <w:sz w:val="24"/>
                <w:highlight w:val="none"/>
                <w:lang w:eastAsia="zh-CN"/>
              </w:rPr>
              <w:t>，</w:t>
            </w:r>
            <w:r>
              <w:rPr>
                <w:rFonts w:hint="eastAsia" w:ascii="Times New Roman" w:hAnsi="Times New Roman" w:eastAsia="宋体" w:cs="Times New Roman"/>
                <w:bCs/>
                <w:snapToGrid w:val="0"/>
                <w:color w:val="auto"/>
                <w:kern w:val="0"/>
                <w:sz w:val="24"/>
                <w:highlight w:val="none"/>
                <w:lang w:val="en-US" w:eastAsia="zh-CN"/>
              </w:rPr>
              <w:t>故项目</w:t>
            </w:r>
            <w:r>
              <w:rPr>
                <w:rFonts w:hint="default" w:ascii="Times New Roman" w:hAnsi="Times New Roman" w:cs="Times New Roman"/>
                <w:color w:val="auto"/>
                <w:sz w:val="24"/>
                <w:highlight w:val="none"/>
              </w:rPr>
              <w:t>占地合理。</w:t>
            </w:r>
          </w:p>
          <w:p w14:paraId="1CAF6A93">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选址合理性</w:t>
            </w:r>
          </w:p>
          <w:p w14:paraId="625D5F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项</w:t>
            </w:r>
            <w:r>
              <w:rPr>
                <w:rFonts w:hint="default" w:ascii="Times New Roman" w:hAnsi="Times New Roman" w:cs="Times New Roman"/>
                <w:color w:val="auto"/>
                <w:sz w:val="24"/>
                <w:szCs w:val="24"/>
                <w:highlight w:val="none"/>
              </w:rPr>
              <w:t>目位于</w:t>
            </w:r>
            <w:r>
              <w:rPr>
                <w:rFonts w:hint="eastAsia" w:ascii="Times New Roman" w:hAnsi="Times New Roman" w:eastAsia="宋体" w:cs="Times New Roman"/>
                <w:color w:val="auto"/>
                <w:sz w:val="24"/>
                <w:szCs w:val="24"/>
                <w:highlight w:val="none"/>
                <w:lang w:val="en-US" w:eastAsia="zh-CN"/>
              </w:rPr>
              <w:t>榆林市佳县金明寺镇</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lang w:val="en-US" w:eastAsia="zh-CN"/>
              </w:rPr>
              <w:t>临时</w:t>
            </w:r>
            <w:r>
              <w:rPr>
                <w:rFonts w:hint="default" w:ascii="Times New Roman" w:hAnsi="Times New Roman" w:eastAsia="宋体" w:cs="Times New Roman"/>
                <w:color w:val="auto"/>
                <w:sz w:val="24"/>
                <w:szCs w:val="24"/>
                <w:highlight w:val="none"/>
                <w:lang w:val="en-US" w:eastAsia="zh-CN"/>
              </w:rPr>
              <w:t>占地类型主要为</w:t>
            </w:r>
            <w:r>
              <w:rPr>
                <w:rFonts w:hint="eastAsia" w:ascii="Times New Roman" w:hAnsi="Times New Roman" w:eastAsia="宋体" w:cs="Times New Roman"/>
                <w:color w:val="auto"/>
                <w:sz w:val="24"/>
                <w:szCs w:val="24"/>
                <w:highlight w:val="none"/>
                <w:lang w:val="en-US" w:eastAsia="zh-CN"/>
              </w:rPr>
              <w:t>耕地、</w:t>
            </w:r>
            <w:r>
              <w:rPr>
                <w:rFonts w:hint="eastAsia"/>
                <w:bCs/>
                <w:color w:val="auto"/>
                <w:sz w:val="24"/>
                <w:szCs w:val="24"/>
                <w:highlight w:val="none"/>
                <w:lang w:val="en-US" w:eastAsia="zh-CN" w:bidi="ar"/>
              </w:rPr>
              <w:t>林地、园地、草地和交通运输用地</w:t>
            </w:r>
            <w:r>
              <w:rPr>
                <w:rFonts w:hint="default" w:ascii="Times New Roman" w:hAnsi="Times New Roman" w:cs="Times New Roman"/>
                <w:color w:val="auto"/>
                <w:sz w:val="24"/>
                <w:highlight w:val="none"/>
              </w:rPr>
              <w:t>，</w:t>
            </w:r>
            <w:r>
              <w:rPr>
                <w:rFonts w:hint="default" w:ascii="Times New Roman" w:hAnsi="Times New Roman" w:cs="Times New Roman"/>
                <w:color w:val="auto"/>
                <w:sz w:val="24"/>
                <w:szCs w:val="24"/>
                <w:highlight w:val="none"/>
              </w:rPr>
              <w:t>不</w:t>
            </w:r>
            <w:r>
              <w:rPr>
                <w:rFonts w:hint="default" w:ascii="Times New Roman" w:hAnsi="Times New Roman" w:cs="Times New Roman"/>
                <w:color w:val="auto"/>
                <w:sz w:val="24"/>
                <w:szCs w:val="24"/>
                <w:highlight w:val="none"/>
                <w:lang w:eastAsia="zh-CN"/>
              </w:rPr>
              <w:t>占</w:t>
            </w:r>
            <w:r>
              <w:rPr>
                <w:rFonts w:hint="default" w:ascii="Times New Roman" w:hAnsi="Times New Roman" w:cs="Times New Roman"/>
                <w:color w:val="auto"/>
                <w:sz w:val="24"/>
                <w:szCs w:val="24"/>
                <w:lang w:eastAsia="zh-CN"/>
              </w:rPr>
              <w:t>用</w:t>
            </w:r>
            <w:r>
              <w:rPr>
                <w:rFonts w:hint="default" w:ascii="Times New Roman" w:hAnsi="Times New Roman" w:cs="Times New Roman"/>
                <w:color w:val="auto"/>
                <w:sz w:val="24"/>
                <w:szCs w:val="24"/>
              </w:rPr>
              <w:t>基本农田</w:t>
            </w:r>
            <w:r>
              <w:rPr>
                <w:rFonts w:hint="default" w:ascii="Times New Roman" w:hAnsi="Times New Roman" w:cs="Times New Roman"/>
                <w:color w:val="auto"/>
                <w:sz w:val="24"/>
                <w:szCs w:val="24"/>
                <w:lang w:eastAsia="zh-CN"/>
              </w:rPr>
              <w:t>和生态红线</w:t>
            </w:r>
            <w:r>
              <w:rPr>
                <w:rFonts w:hint="default" w:ascii="Times New Roman" w:hAnsi="Times New Roman" w:cs="Times New Roman"/>
                <w:color w:val="auto"/>
                <w:sz w:val="24"/>
                <w:szCs w:val="24"/>
              </w:rPr>
              <w:t>。根据《建设项目环境影响评价分类管理名录（2021年版）》中关于环境敏感因素的界定原则，本项目影响区不涉及饮用水水源保护区、自然保护区、风景名胜区等环境敏感区域。</w:t>
            </w:r>
          </w:p>
          <w:p w14:paraId="5674DD9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项目探井建设</w:t>
            </w:r>
            <w:r>
              <w:rPr>
                <w:rFonts w:hint="default" w:ascii="Times New Roman" w:hAnsi="Times New Roman" w:eastAsia="宋体" w:cs="Times New Roman"/>
                <w:color w:val="auto"/>
                <w:sz w:val="24"/>
                <w:szCs w:val="24"/>
                <w:lang w:val="en-US" w:eastAsia="zh-CN"/>
              </w:rPr>
              <w:t>临时用地较小，工程仅涉及施工期，施工期采取各类措施后污染物可实现达标排放或不外排</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施工结束后，对不具有利用价值的勘探井进行永久封井，</w:t>
            </w:r>
            <w:r>
              <w:rPr>
                <w:rFonts w:hint="eastAsia" w:ascii="Times New Roman" w:hAnsi="Times New Roman" w:eastAsia="宋体" w:cs="Times New Roman"/>
                <w:color w:val="auto"/>
                <w:sz w:val="24"/>
                <w:szCs w:val="24"/>
                <w:lang w:val="en-US" w:eastAsia="zh-CN"/>
              </w:rPr>
              <w:t>现有井场内占地恢复原状，临时占地</w:t>
            </w:r>
            <w:r>
              <w:rPr>
                <w:rFonts w:hint="default" w:ascii="Times New Roman" w:hAnsi="Times New Roman" w:eastAsia="宋体" w:cs="Times New Roman"/>
                <w:color w:val="auto"/>
                <w:sz w:val="24"/>
                <w:szCs w:val="24"/>
              </w:rPr>
              <w:t>恢复原土地类型</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若测试具有工业产能，</w:t>
            </w:r>
            <w:r>
              <w:rPr>
                <w:rFonts w:hint="eastAsia" w:ascii="Times New Roman" w:hAnsi="Times New Roman" w:eastAsia="宋体" w:cs="Times New Roman"/>
                <w:color w:val="auto"/>
                <w:sz w:val="24"/>
                <w:szCs w:val="24"/>
                <w:lang w:val="en-US" w:eastAsia="zh-CN"/>
              </w:rPr>
              <w:t>交</w:t>
            </w:r>
            <w:r>
              <w:rPr>
                <w:rFonts w:hint="default" w:ascii="Times New Roman" w:hAnsi="Times New Roman" w:cs="Times New Roman"/>
                <w:color w:val="auto"/>
                <w:sz w:val="24"/>
                <w:szCs w:val="24"/>
                <w:highlight w:val="none"/>
                <w:lang w:val="en-US" w:eastAsia="zh-CN"/>
              </w:rPr>
              <w:t>长庆油田分公司第二采气厂</w:t>
            </w:r>
            <w:r>
              <w:rPr>
                <w:rFonts w:hint="eastAsia" w:ascii="Times New Roman" w:hAnsi="Times New Roman" w:eastAsia="宋体" w:cs="Times New Roman"/>
                <w:color w:val="auto"/>
                <w:sz w:val="24"/>
                <w:szCs w:val="24"/>
                <w:lang w:val="en-US" w:eastAsia="zh-CN"/>
              </w:rPr>
              <w:t>按标准化建设进行建设，临时占地不恢复。经分析，项目建设</w:t>
            </w:r>
            <w:r>
              <w:rPr>
                <w:rFonts w:hint="default" w:ascii="Times New Roman" w:hAnsi="Times New Roman" w:eastAsia="宋体" w:cs="Times New Roman"/>
                <w:color w:val="auto"/>
                <w:sz w:val="24"/>
                <w:szCs w:val="24"/>
                <w:lang w:val="en-US" w:eastAsia="zh-CN"/>
              </w:rPr>
              <w:t>符合榆林市</w:t>
            </w:r>
            <w:r>
              <w:rPr>
                <w:rFonts w:hint="default" w:ascii="Times New Roman" w:hAnsi="Times New Roman" w:eastAsia="宋体" w:cs="Times New Roman"/>
                <w:color w:val="auto"/>
                <w:sz w:val="24"/>
                <w:szCs w:val="24"/>
              </w:rPr>
              <w:t>生态环境分区管控</w:t>
            </w:r>
            <w:r>
              <w:rPr>
                <w:rFonts w:hint="default" w:ascii="Times New Roman" w:hAnsi="Times New Roman" w:eastAsia="宋体" w:cs="Times New Roman"/>
                <w:color w:val="auto"/>
                <w:sz w:val="24"/>
                <w:szCs w:val="24"/>
                <w:lang w:val="en-US" w:eastAsia="zh-CN"/>
              </w:rPr>
              <w:t>中一般管控单元要求。</w:t>
            </w:r>
          </w:p>
          <w:p w14:paraId="3221545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eastAsia" w:ascii="Times New Roman" w:hAnsi="Times New Roman" w:cs="Times New Roman"/>
                <w:color w:val="auto"/>
                <w:sz w:val="24"/>
                <w:lang w:val="en-US" w:eastAsia="zh-CN"/>
              </w:rPr>
              <w:t>本次新建3口气勘探层位与探井周边已有气井层位不同，属于新气层层位勘探</w:t>
            </w:r>
            <w:r>
              <w:rPr>
                <w:rFonts w:hint="eastAsia" w:ascii="Times New Roman" w:hAnsi="Times New Roman" w:eastAsia="宋体" w:cs="Times New Roman"/>
                <w:b w:val="0"/>
                <w:color w:val="auto"/>
                <w:sz w:val="24"/>
                <w:szCs w:val="24"/>
                <w:lang w:val="en-US" w:eastAsia="zh-CN"/>
              </w:rPr>
              <w:t>，符合天然气探井勘探布局要求，旨在现有气田区域内</w:t>
            </w:r>
            <w:r>
              <w:rPr>
                <w:rFonts w:hint="default" w:ascii="Times New Roman" w:hAnsi="Times New Roman" w:eastAsia="宋体" w:cs="Times New Roman"/>
                <w:color w:val="auto"/>
                <w:sz w:val="24"/>
              </w:rPr>
              <w:t>寻找新的适合开发的</w:t>
            </w:r>
            <w:r>
              <w:rPr>
                <w:rFonts w:hint="eastAsia" w:ascii="Times New Roman" w:hAnsi="Times New Roman" w:eastAsia="宋体" w:cs="Times New Roman"/>
                <w:color w:val="auto"/>
                <w:sz w:val="24"/>
                <w:lang w:val="en-US" w:eastAsia="zh-CN"/>
              </w:rPr>
              <w:t>气藏</w:t>
            </w:r>
            <w:r>
              <w:rPr>
                <w:rFonts w:hint="default" w:ascii="Times New Roman" w:hAnsi="Times New Roman" w:eastAsia="宋体" w:cs="Times New Roman"/>
                <w:color w:val="auto"/>
                <w:sz w:val="24"/>
              </w:rPr>
              <w:t>层位</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为气田后续产能建设提供决策依据</w:t>
            </w:r>
            <w:r>
              <w:rPr>
                <w:rFonts w:hint="default" w:ascii="Times New Roman" w:hAnsi="Times New Roman" w:eastAsia="宋体" w:cs="Times New Roman"/>
                <w:b w:val="0"/>
                <w:color w:val="auto"/>
                <w:kern w:val="2"/>
                <w:sz w:val="24"/>
                <w:szCs w:val="24"/>
                <w:highlight w:val="none"/>
                <w:lang w:val="en-US" w:eastAsia="zh-CN" w:bidi="ar-SA"/>
              </w:rPr>
              <w:t>。</w:t>
            </w:r>
          </w:p>
          <w:p w14:paraId="7D5879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rPr>
            </w:pPr>
            <w:r>
              <w:rPr>
                <w:rFonts w:hint="default" w:ascii="Times New Roman" w:hAnsi="Times New Roman" w:eastAsia="宋体" w:cs="Times New Roman"/>
                <w:b w:val="0"/>
                <w:color w:val="auto"/>
                <w:kern w:val="2"/>
                <w:sz w:val="24"/>
                <w:szCs w:val="24"/>
                <w:highlight w:val="none"/>
                <w:lang w:val="en-US" w:eastAsia="zh-CN" w:bidi="ar-SA"/>
              </w:rPr>
              <w:t>据现场调查，本项目探井</w:t>
            </w:r>
            <w:r>
              <w:rPr>
                <w:rFonts w:hint="eastAsia" w:ascii="Times New Roman" w:hAnsi="Times New Roman" w:eastAsia="宋体" w:cs="Times New Roman"/>
                <w:b w:val="0"/>
                <w:color w:val="auto"/>
                <w:kern w:val="2"/>
                <w:sz w:val="24"/>
                <w:szCs w:val="24"/>
                <w:highlight w:val="none"/>
                <w:lang w:val="en-US" w:eastAsia="zh-CN" w:bidi="ar-SA"/>
              </w:rPr>
              <w:t>5</w:t>
            </w:r>
            <w:r>
              <w:rPr>
                <w:rFonts w:hint="default" w:ascii="Times New Roman" w:hAnsi="Times New Roman" w:eastAsia="宋体" w:cs="Times New Roman"/>
                <w:b w:val="0"/>
                <w:color w:val="auto"/>
                <w:kern w:val="2"/>
                <w:sz w:val="24"/>
                <w:szCs w:val="24"/>
                <w:highlight w:val="none"/>
                <w:lang w:val="en-US" w:eastAsia="zh-CN" w:bidi="ar-SA"/>
              </w:rPr>
              <w:t>00m范围内无学校、医院和大型油库等密集型、高危性场所，</w:t>
            </w:r>
            <w:r>
              <w:rPr>
                <w:rFonts w:hint="eastAsia" w:ascii="Times New Roman" w:hAnsi="Times New Roman" w:eastAsia="宋体" w:cs="Times New Roman"/>
                <w:b w:val="0"/>
                <w:color w:val="auto"/>
                <w:kern w:val="2"/>
                <w:sz w:val="24"/>
                <w:szCs w:val="24"/>
                <w:highlight w:val="none"/>
                <w:lang w:val="en-US" w:eastAsia="zh-CN" w:bidi="ar-SA"/>
              </w:rPr>
              <w:t>100</w:t>
            </w:r>
            <w:r>
              <w:rPr>
                <w:rFonts w:hint="default" w:ascii="Times New Roman" w:hAnsi="Times New Roman" w:eastAsia="宋体" w:cs="Times New Roman"/>
                <w:b w:val="0"/>
                <w:color w:val="auto"/>
                <w:kern w:val="2"/>
                <w:sz w:val="24"/>
                <w:szCs w:val="24"/>
                <w:highlight w:val="none"/>
                <w:lang w:val="en-US" w:eastAsia="zh-CN" w:bidi="ar-SA"/>
              </w:rPr>
              <w:t>m范围内无高压线及其它永久性设施，</w:t>
            </w:r>
            <w:r>
              <w:rPr>
                <w:rFonts w:hint="eastAsia" w:ascii="Times New Roman" w:hAnsi="Times New Roman" w:eastAsia="宋体" w:cs="Times New Roman"/>
                <w:b w:val="0"/>
                <w:color w:val="auto"/>
                <w:kern w:val="2"/>
                <w:sz w:val="24"/>
                <w:szCs w:val="24"/>
                <w:highlight w:val="none"/>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00m范围内无铁路、高速公路等，</w:t>
            </w:r>
            <w:r>
              <w:rPr>
                <w:rFonts w:hint="eastAsia" w:ascii="Times New Roman" w:hAnsi="Times New Roman" w:eastAsia="宋体" w:cs="Times New Roman"/>
                <w:b w:val="0"/>
                <w:color w:val="auto"/>
                <w:kern w:val="2"/>
                <w:sz w:val="24"/>
                <w:szCs w:val="24"/>
                <w:highlight w:val="none"/>
                <w:lang w:val="en-US" w:eastAsia="zh-CN" w:bidi="ar-SA"/>
              </w:rPr>
              <w:t>100m范围内无居民点，探井选址</w:t>
            </w:r>
            <w:r>
              <w:rPr>
                <w:rFonts w:hint="default" w:ascii="Times New Roman" w:hAnsi="Times New Roman" w:cs="Times New Roman"/>
                <w:color w:val="auto"/>
                <w:sz w:val="24"/>
              </w:rPr>
              <w:t>符合《钻前工程及井场布置技术要求》（SY/T5466-2013）中3.2.2节规定。</w:t>
            </w:r>
            <w:r>
              <w:rPr>
                <w:rFonts w:hint="eastAsia" w:ascii="Times New Roman" w:hAnsi="Times New Roman" w:cs="Times New Roman"/>
                <w:color w:val="auto"/>
                <w:sz w:val="24"/>
                <w:lang w:val="en-US" w:eastAsia="zh-CN"/>
              </w:rPr>
              <w:t>根据项目施工期平面布置图，放喷池位于井场外，与井口距离大于30m，放散管位于井场外下风向，与井口距离大于50m，</w:t>
            </w:r>
            <w:r>
              <w:rPr>
                <w:rFonts w:hint="default" w:ascii="Times New Roman" w:hAnsi="Times New Roman" w:cs="Times New Roman"/>
                <w:color w:val="auto"/>
                <w:sz w:val="24"/>
              </w:rPr>
              <w:t>符合《钻前工程及井场布置技术要求》（SY/T5466-2013）</w:t>
            </w:r>
            <w:r>
              <w:rPr>
                <w:rFonts w:hint="eastAsia" w:ascii="Times New Roman" w:hAnsi="Times New Roman" w:cs="Times New Roman"/>
                <w:color w:val="auto"/>
                <w:sz w:val="24"/>
                <w:lang w:val="en-US" w:eastAsia="zh-CN"/>
              </w:rPr>
              <w:t>相关</w:t>
            </w:r>
            <w:r>
              <w:rPr>
                <w:rFonts w:hint="default" w:ascii="Times New Roman" w:hAnsi="Times New Roman" w:cs="Times New Roman"/>
                <w:color w:val="auto"/>
                <w:sz w:val="24"/>
              </w:rPr>
              <w:t>规定</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放喷池和放散管选址合理</w:t>
            </w:r>
            <w:r>
              <w:rPr>
                <w:rFonts w:hint="eastAsia" w:ascii="Times New Roman" w:hAnsi="Times New Roman" w:cs="Times New Roman"/>
                <w:color w:val="auto"/>
                <w:sz w:val="24"/>
                <w:lang w:eastAsia="zh-CN"/>
              </w:rPr>
              <w:t>。</w:t>
            </w:r>
          </w:p>
          <w:p w14:paraId="57F8470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color w:val="auto"/>
                <w:kern w:val="2"/>
                <w:sz w:val="24"/>
                <w:szCs w:val="24"/>
                <w:highlight w:val="none"/>
                <w:lang w:val="en-US" w:eastAsia="zh-CN" w:bidi="ar-SA"/>
              </w:rPr>
              <w:t>项目选址与重要设施或民宅的距离下表4-</w:t>
            </w:r>
            <w:r>
              <w:rPr>
                <w:rFonts w:hint="eastAsia" w:ascii="Times New Roman" w:hAnsi="Times New Roman" w:eastAsia="宋体" w:cs="Times New Roman"/>
                <w:b w:val="0"/>
                <w:color w:val="auto"/>
                <w:kern w:val="2"/>
                <w:sz w:val="24"/>
                <w:szCs w:val="24"/>
                <w:highlight w:val="none"/>
                <w:lang w:val="en-US" w:eastAsia="zh-CN" w:bidi="ar-SA"/>
              </w:rPr>
              <w:t>14</w:t>
            </w:r>
            <w:r>
              <w:rPr>
                <w:rFonts w:hint="default" w:ascii="Times New Roman" w:hAnsi="Times New Roman" w:eastAsia="宋体" w:cs="Times New Roman"/>
                <w:b w:val="0"/>
                <w:color w:val="auto"/>
                <w:kern w:val="2"/>
                <w:sz w:val="24"/>
                <w:szCs w:val="24"/>
                <w:highlight w:val="none"/>
                <w:lang w:val="en-US" w:eastAsia="zh-CN" w:bidi="ar-SA"/>
              </w:rPr>
              <w:t>和附图。</w:t>
            </w:r>
          </w:p>
          <w:p w14:paraId="04E0AA5B">
            <w:pPr>
              <w:pStyle w:val="3"/>
              <w:keepNext/>
              <w:keepLines/>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240" w:lineRule="auto"/>
              <w:ind w:leftChars="0"/>
              <w:jc w:val="center"/>
              <w:textAlignment w:val="auto"/>
              <w:rPr>
                <w:rFonts w:hint="default" w:ascii="Times New Roman" w:hAnsi="Times New Roman" w:eastAsia="等线" w:cs="Times New Roman"/>
                <w:color w:val="auto"/>
                <w:sz w:val="21"/>
                <w:szCs w:val="21"/>
              </w:rPr>
            </w:pPr>
            <w:r>
              <w:rPr>
                <w:rFonts w:hint="default" w:ascii="Times New Roman" w:hAnsi="Times New Roman" w:eastAsia="宋体" w:cs="Times New Roman"/>
                <w:color w:val="auto"/>
                <w:sz w:val="21"/>
                <w:szCs w:val="21"/>
              </w:rPr>
              <w:t>表</w:t>
            </w:r>
            <w:r>
              <w:rPr>
                <w:rFonts w:hint="default" w:ascii="Times New Roman" w:hAnsi="Times New Roman" w:cs="Times New Roman"/>
                <w:color w:val="auto"/>
                <w:sz w:val="21"/>
                <w:szCs w:val="21"/>
              </w:rPr>
              <w:t>4-</w:t>
            </w:r>
            <w:r>
              <w:rPr>
                <w:rFonts w:hint="eastAsia" w:cs="Times New Roman"/>
                <w:color w:val="auto"/>
                <w:sz w:val="21"/>
                <w:szCs w:val="21"/>
                <w:lang w:val="en-US" w:eastAsia="zh-CN"/>
              </w:rPr>
              <w:t>14</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钻井井口周边</w:t>
            </w:r>
            <w:r>
              <w:rPr>
                <w:rFonts w:hint="default" w:ascii="Times New Roman" w:hAnsi="Times New Roman" w:eastAsia="宋体" w:cs="Times New Roman"/>
                <w:color w:val="auto"/>
                <w:sz w:val="21"/>
                <w:szCs w:val="21"/>
              </w:rPr>
              <w:t>敏感目标调查表</w:t>
            </w:r>
          </w:p>
          <w:tbl>
            <w:tblPr>
              <w:tblStyle w:val="19"/>
              <w:tblW w:w="5000" w:type="pct"/>
              <w:jc w:val="center"/>
              <w:tblLayout w:type="autofit"/>
              <w:tblCellMar>
                <w:top w:w="0" w:type="dxa"/>
                <w:left w:w="108" w:type="dxa"/>
                <w:bottom w:w="0" w:type="dxa"/>
                <w:right w:w="108" w:type="dxa"/>
              </w:tblCellMar>
            </w:tblPr>
            <w:tblGrid>
              <w:gridCol w:w="645"/>
              <w:gridCol w:w="1091"/>
              <w:gridCol w:w="1081"/>
              <w:gridCol w:w="1539"/>
              <w:gridCol w:w="1332"/>
              <w:gridCol w:w="439"/>
              <w:gridCol w:w="375"/>
              <w:gridCol w:w="492"/>
              <w:gridCol w:w="472"/>
              <w:gridCol w:w="508"/>
              <w:gridCol w:w="548"/>
              <w:gridCol w:w="219"/>
            </w:tblGrid>
            <w:tr w14:paraId="53FC158C">
              <w:tblPrEx>
                <w:tblCellMar>
                  <w:top w:w="0" w:type="dxa"/>
                  <w:left w:w="108" w:type="dxa"/>
                  <w:bottom w:w="0" w:type="dxa"/>
                  <w:right w:w="108" w:type="dxa"/>
                </w:tblCellMar>
              </w:tblPrEx>
              <w:trPr>
                <w:trHeight w:val="283" w:hRule="atLeast"/>
                <w:jc w:val="center"/>
              </w:trPr>
              <w:tc>
                <w:tcPr>
                  <w:tcW w:w="490" w:type="pct"/>
                  <w:vMerge w:val="restart"/>
                  <w:tcBorders>
                    <w:top w:val="single" w:color="auto" w:sz="4" w:space="0"/>
                    <w:left w:val="single" w:color="auto" w:sz="4" w:space="0"/>
                    <w:bottom w:val="single" w:color="auto" w:sz="4" w:space="0"/>
                    <w:right w:val="single" w:color="auto" w:sz="4" w:space="0"/>
                  </w:tcBorders>
                  <w:noWrap/>
                  <w:vAlign w:val="center"/>
                </w:tcPr>
                <w:p w14:paraId="44CE83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eastAsia" w:ascii="Times New Roman" w:hAnsi="Times New Roman" w:cs="Times New Roman"/>
                      <w:b/>
                      <w:bCs/>
                      <w:color w:val="auto"/>
                      <w:kern w:val="0"/>
                      <w:sz w:val="21"/>
                      <w:szCs w:val="21"/>
                      <w:lang w:val="en-US" w:eastAsia="zh-CN"/>
                    </w:rPr>
                    <w:t>实施</w:t>
                  </w:r>
                  <w:r>
                    <w:rPr>
                      <w:rFonts w:hint="default" w:ascii="Times New Roman" w:hAnsi="Times New Roman" w:cs="Times New Roman"/>
                      <w:b/>
                      <w:bCs/>
                      <w:color w:val="auto"/>
                      <w:kern w:val="0"/>
                      <w:sz w:val="21"/>
                      <w:szCs w:val="21"/>
                    </w:rPr>
                    <w:t>井号</w:t>
                  </w:r>
                </w:p>
              </w:tc>
              <w:tc>
                <w:tcPr>
                  <w:tcW w:w="1615" w:type="pct"/>
                  <w:gridSpan w:val="2"/>
                  <w:tcBorders>
                    <w:top w:val="single" w:color="auto" w:sz="4" w:space="0"/>
                    <w:left w:val="nil"/>
                    <w:bottom w:val="single" w:color="auto" w:sz="4" w:space="0"/>
                    <w:right w:val="single" w:color="auto" w:sz="4" w:space="0"/>
                  </w:tcBorders>
                  <w:noWrap/>
                  <w:vAlign w:val="center"/>
                </w:tcPr>
                <w:p w14:paraId="7706784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宋体" w:cs="Times New Roman"/>
                      <w:b/>
                      <w:bCs/>
                      <w:color w:val="auto"/>
                      <w:kern w:val="2"/>
                      <w:sz w:val="21"/>
                      <w:szCs w:val="21"/>
                      <w:highlight w:val="none"/>
                      <w:lang w:val="en-US" w:eastAsia="zh-CN" w:bidi="ar-SA"/>
                    </w:rPr>
                    <w:t>学校、医院和大型油库等密集型、高危性场所</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0FE43A4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民宅</w:t>
                  </w:r>
                </w:p>
              </w:tc>
              <w:tc>
                <w:tcPr>
                  <w:tcW w:w="548" w:type="pct"/>
                  <w:gridSpan w:val="2"/>
                  <w:tcBorders>
                    <w:top w:val="single" w:color="auto" w:sz="4" w:space="0"/>
                    <w:left w:val="single" w:color="auto" w:sz="4" w:space="0"/>
                    <w:bottom w:val="single" w:color="auto" w:sz="4" w:space="0"/>
                    <w:right w:val="single" w:color="auto" w:sz="4" w:space="0"/>
                  </w:tcBorders>
                  <w:noWrap/>
                  <w:vAlign w:val="center"/>
                </w:tcPr>
                <w:p w14:paraId="09779E3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高压线及其它</w:t>
                  </w:r>
                </w:p>
                <w:p w14:paraId="7BF0191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永久性设施</w:t>
                  </w:r>
                </w:p>
              </w:tc>
              <w:tc>
                <w:tcPr>
                  <w:tcW w:w="666" w:type="pct"/>
                  <w:gridSpan w:val="2"/>
                  <w:tcBorders>
                    <w:top w:val="single" w:color="auto" w:sz="4" w:space="0"/>
                    <w:left w:val="nil"/>
                    <w:bottom w:val="single" w:color="auto" w:sz="4" w:space="0"/>
                    <w:right w:val="single" w:color="auto" w:sz="4" w:space="0"/>
                  </w:tcBorders>
                  <w:noWrap/>
                  <w:vAlign w:val="center"/>
                </w:tcPr>
                <w:p w14:paraId="00AB64F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铁路</w:t>
                  </w:r>
                </w:p>
              </w:tc>
              <w:tc>
                <w:tcPr>
                  <w:tcW w:w="738" w:type="pct"/>
                  <w:gridSpan w:val="2"/>
                  <w:tcBorders>
                    <w:top w:val="single" w:color="auto" w:sz="4" w:space="0"/>
                    <w:left w:val="nil"/>
                    <w:bottom w:val="single" w:color="auto" w:sz="4" w:space="0"/>
                    <w:right w:val="single" w:color="auto" w:sz="4" w:space="0"/>
                  </w:tcBorders>
                  <w:noWrap/>
                  <w:vAlign w:val="center"/>
                </w:tcPr>
                <w:p w14:paraId="29C23B7C">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高速公路</w:t>
                  </w:r>
                </w:p>
              </w:tc>
              <w:tc>
                <w:tcPr>
                  <w:tcW w:w="126" w:type="pct"/>
                  <w:vMerge w:val="restart"/>
                  <w:tcBorders>
                    <w:top w:val="single" w:color="auto" w:sz="4" w:space="0"/>
                    <w:left w:val="single" w:color="auto" w:sz="4" w:space="0"/>
                    <w:bottom w:val="single" w:color="auto" w:sz="4" w:space="0"/>
                    <w:right w:val="single" w:color="auto" w:sz="4" w:space="0"/>
                  </w:tcBorders>
                  <w:noWrap w:val="0"/>
                  <w:vAlign w:val="center"/>
                </w:tcPr>
                <w:p w14:paraId="15B3E7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是否符合要求</w:t>
                  </w:r>
                </w:p>
              </w:tc>
            </w:tr>
            <w:tr w14:paraId="05E5B58D">
              <w:tblPrEx>
                <w:tblCellMar>
                  <w:top w:w="0" w:type="dxa"/>
                  <w:left w:w="108" w:type="dxa"/>
                  <w:bottom w:w="0" w:type="dxa"/>
                  <w:right w:w="108" w:type="dxa"/>
                </w:tblCellMar>
              </w:tblPrEx>
              <w:trPr>
                <w:trHeight w:val="283" w:hRule="atLeast"/>
                <w:jc w:val="center"/>
              </w:trPr>
              <w:tc>
                <w:tcPr>
                  <w:tcW w:w="490" w:type="pct"/>
                  <w:vMerge w:val="continue"/>
                  <w:tcBorders>
                    <w:top w:val="single" w:color="auto" w:sz="4" w:space="0"/>
                    <w:left w:val="single" w:color="auto" w:sz="4" w:space="0"/>
                    <w:bottom w:val="single" w:color="auto" w:sz="4" w:space="0"/>
                    <w:right w:val="single" w:color="auto" w:sz="4" w:space="0"/>
                  </w:tcBorders>
                  <w:noWrap w:val="0"/>
                  <w:vAlign w:val="center"/>
                </w:tcPr>
                <w:p w14:paraId="7CA50BE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c>
                <w:tcPr>
                  <w:tcW w:w="812" w:type="pct"/>
                  <w:tcBorders>
                    <w:top w:val="nil"/>
                    <w:left w:val="nil"/>
                    <w:bottom w:val="single" w:color="auto" w:sz="4" w:space="0"/>
                    <w:right w:val="single" w:color="auto" w:sz="4" w:space="0"/>
                  </w:tcBorders>
                  <w:noWrap/>
                  <w:vAlign w:val="center"/>
                </w:tcPr>
                <w:p w14:paraId="624DFB8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803" w:type="pct"/>
                  <w:tcBorders>
                    <w:top w:val="nil"/>
                    <w:left w:val="single" w:color="auto" w:sz="4" w:space="0"/>
                    <w:bottom w:val="single" w:color="auto" w:sz="4" w:space="0"/>
                    <w:right w:val="single" w:color="auto" w:sz="4" w:space="0"/>
                  </w:tcBorders>
                  <w:noWrap/>
                  <w:vAlign w:val="center"/>
                </w:tcPr>
                <w:p w14:paraId="248D302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439" w:type="pct"/>
                  <w:tcBorders>
                    <w:top w:val="nil"/>
                    <w:left w:val="single" w:color="auto" w:sz="4" w:space="0"/>
                    <w:bottom w:val="single" w:color="auto" w:sz="4" w:space="0"/>
                    <w:right w:val="single" w:color="auto" w:sz="4" w:space="0"/>
                  </w:tcBorders>
                  <w:noWrap/>
                  <w:vAlign w:val="center"/>
                </w:tcPr>
                <w:p w14:paraId="2984B85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74" w:type="pct"/>
                  <w:tcBorders>
                    <w:top w:val="nil"/>
                    <w:left w:val="single" w:color="auto" w:sz="4" w:space="0"/>
                    <w:bottom w:val="single" w:color="auto" w:sz="4" w:space="0"/>
                    <w:right w:val="single" w:color="auto" w:sz="4" w:space="0"/>
                  </w:tcBorders>
                  <w:noWrap/>
                  <w:vAlign w:val="center"/>
                </w:tcPr>
                <w:p w14:paraId="08672DB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04" w:type="pct"/>
                  <w:tcBorders>
                    <w:top w:val="nil"/>
                    <w:left w:val="single" w:color="auto" w:sz="4" w:space="0"/>
                    <w:bottom w:val="single" w:color="auto" w:sz="4" w:space="0"/>
                    <w:right w:val="single" w:color="auto" w:sz="4" w:space="0"/>
                  </w:tcBorders>
                  <w:noWrap/>
                  <w:vAlign w:val="center"/>
                </w:tcPr>
                <w:p w14:paraId="49294E9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244" w:type="pct"/>
                  <w:tcBorders>
                    <w:top w:val="nil"/>
                    <w:left w:val="single" w:color="auto" w:sz="4" w:space="0"/>
                    <w:bottom w:val="single" w:color="auto" w:sz="4" w:space="0"/>
                    <w:right w:val="single" w:color="auto" w:sz="4" w:space="0"/>
                  </w:tcBorders>
                  <w:noWrap/>
                  <w:vAlign w:val="center"/>
                </w:tcPr>
                <w:p w14:paraId="3DF707C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42" w:type="pct"/>
                  <w:tcBorders>
                    <w:top w:val="nil"/>
                    <w:left w:val="nil"/>
                    <w:bottom w:val="single" w:color="auto" w:sz="4" w:space="0"/>
                    <w:right w:val="single" w:color="auto" w:sz="4" w:space="0"/>
                  </w:tcBorders>
                  <w:noWrap/>
                  <w:vAlign w:val="center"/>
                </w:tcPr>
                <w:p w14:paraId="4AFBEAE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23" w:type="pct"/>
                  <w:tcBorders>
                    <w:top w:val="nil"/>
                    <w:left w:val="single" w:color="auto" w:sz="4" w:space="0"/>
                    <w:bottom w:val="single" w:color="auto" w:sz="4" w:space="0"/>
                    <w:right w:val="single" w:color="auto" w:sz="4" w:space="0"/>
                  </w:tcBorders>
                  <w:noWrap/>
                  <w:vAlign w:val="center"/>
                </w:tcPr>
                <w:p w14:paraId="52B960F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351" w:type="pct"/>
                  <w:tcBorders>
                    <w:top w:val="nil"/>
                    <w:left w:val="nil"/>
                    <w:bottom w:val="single" w:color="auto" w:sz="4" w:space="0"/>
                    <w:right w:val="single" w:color="auto" w:sz="4" w:space="0"/>
                  </w:tcBorders>
                  <w:noWrap/>
                  <w:vAlign w:val="center"/>
                </w:tcPr>
                <w:p w14:paraId="435B122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名称</w:t>
                  </w:r>
                </w:p>
              </w:tc>
              <w:tc>
                <w:tcPr>
                  <w:tcW w:w="387" w:type="pct"/>
                  <w:tcBorders>
                    <w:top w:val="nil"/>
                    <w:left w:val="single" w:color="auto" w:sz="4" w:space="0"/>
                    <w:bottom w:val="single" w:color="auto" w:sz="4" w:space="0"/>
                    <w:right w:val="single" w:color="auto" w:sz="4" w:space="0"/>
                  </w:tcBorders>
                  <w:noWrap/>
                  <w:vAlign w:val="center"/>
                </w:tcPr>
                <w:p w14:paraId="01EDCBB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距离</w:t>
                  </w:r>
                </w:p>
              </w:tc>
              <w:tc>
                <w:tcPr>
                  <w:tcW w:w="126" w:type="pct"/>
                  <w:vMerge w:val="continue"/>
                  <w:tcBorders>
                    <w:top w:val="single" w:color="auto" w:sz="4" w:space="0"/>
                    <w:left w:val="single" w:color="auto" w:sz="4" w:space="0"/>
                    <w:bottom w:val="single" w:color="auto" w:sz="4" w:space="0"/>
                    <w:right w:val="single" w:color="auto" w:sz="4" w:space="0"/>
                  </w:tcBorders>
                  <w:noWrap w:val="0"/>
                  <w:vAlign w:val="center"/>
                </w:tcPr>
                <w:p w14:paraId="225033C4">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bCs/>
                      <w:color w:val="auto"/>
                      <w:kern w:val="0"/>
                      <w:sz w:val="21"/>
                      <w:szCs w:val="21"/>
                    </w:rPr>
                  </w:pPr>
                </w:p>
              </w:tc>
            </w:tr>
            <w:tr w14:paraId="6FEE4723">
              <w:tblPrEx>
                <w:tblCellMar>
                  <w:top w:w="0" w:type="dxa"/>
                  <w:left w:w="108" w:type="dxa"/>
                  <w:bottom w:w="0" w:type="dxa"/>
                  <w:right w:w="108" w:type="dxa"/>
                </w:tblCellMar>
              </w:tblPrEx>
              <w:trPr>
                <w:trHeight w:val="283" w:hRule="atLeast"/>
                <w:jc w:val="center"/>
              </w:trPr>
              <w:tc>
                <w:tcPr>
                  <w:tcW w:w="854" w:type="dxa"/>
                  <w:tcBorders>
                    <w:top w:val="nil"/>
                    <w:left w:val="single" w:color="auto" w:sz="4" w:space="0"/>
                    <w:bottom w:val="single" w:color="auto" w:sz="4" w:space="0"/>
                    <w:right w:val="single" w:color="auto" w:sz="4" w:space="0"/>
                  </w:tcBorders>
                  <w:shd w:val="clear" w:color="auto" w:fill="auto"/>
                  <w:noWrap/>
                  <w:vAlign w:val="center"/>
                </w:tcPr>
                <w:p w14:paraId="46825A54">
                  <w:pPr>
                    <w:spacing w:line="240" w:lineRule="auto"/>
                    <w:ind w:firstLine="0" w:firstLineChars="0"/>
                    <w:jc w:val="center"/>
                    <w:rPr>
                      <w:rFonts w:hint="default" w:ascii="Times New Roman" w:hAnsi="Times New Roman" w:cs="Times New Roman" w:eastAsiaTheme="minorHAnsi"/>
                      <w:color w:val="auto"/>
                      <w:sz w:val="21"/>
                      <w:szCs w:val="21"/>
                      <w:lang w:val="en-US" w:eastAsia="en-US" w:bidi="ar-SA"/>
                    </w:rPr>
                  </w:pPr>
                  <w:r>
                    <w:rPr>
                      <w:rFonts w:hint="eastAsia" w:ascii="Times New Roman" w:hAnsi="Times New Roman" w:eastAsia="宋体" w:cs="Times New Roman"/>
                      <w:color w:val="auto"/>
                      <w:sz w:val="21"/>
                      <w:szCs w:val="21"/>
                      <w:u w:val="none"/>
                      <w:vertAlign w:val="baseline"/>
                      <w:lang w:val="en-US" w:eastAsia="zh-CN"/>
                    </w:rPr>
                    <w:t>米107-32M</w:t>
                  </w:r>
                </w:p>
              </w:tc>
              <w:tc>
                <w:tcPr>
                  <w:tcW w:w="1615" w:type="pct"/>
                  <w:gridSpan w:val="2"/>
                  <w:tcBorders>
                    <w:top w:val="single" w:color="auto" w:sz="4" w:space="0"/>
                    <w:left w:val="nil"/>
                    <w:bottom w:val="single" w:color="auto" w:sz="4" w:space="0"/>
                    <w:right w:val="single" w:color="auto" w:sz="4" w:space="0"/>
                  </w:tcBorders>
                  <w:noWrap/>
                  <w:vAlign w:val="center"/>
                </w:tcPr>
                <w:p w14:paraId="1873C48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4F8351E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100m范围内无居民点（距离井口最近敏感目标在240m以外）</w:t>
                  </w:r>
                </w:p>
              </w:tc>
              <w:tc>
                <w:tcPr>
                  <w:tcW w:w="548" w:type="pct"/>
                  <w:gridSpan w:val="2"/>
                  <w:tcBorders>
                    <w:top w:val="single" w:color="auto" w:sz="4" w:space="0"/>
                    <w:left w:val="single" w:color="auto" w:sz="4" w:space="0"/>
                    <w:bottom w:val="single" w:color="auto" w:sz="4" w:space="0"/>
                    <w:right w:val="single" w:color="000000" w:sz="4" w:space="0"/>
                  </w:tcBorders>
                  <w:noWrap/>
                  <w:vAlign w:val="center"/>
                </w:tcPr>
                <w:p w14:paraId="23F21149">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1330EFB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0CEDB09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666" w:type="pct"/>
                  <w:gridSpan w:val="2"/>
                  <w:tcBorders>
                    <w:top w:val="nil"/>
                    <w:left w:val="nil"/>
                    <w:bottom w:val="single" w:color="auto" w:sz="4" w:space="0"/>
                    <w:right w:val="single" w:color="auto" w:sz="4" w:space="0"/>
                  </w:tcBorders>
                  <w:noWrap/>
                  <w:vAlign w:val="center"/>
                </w:tcPr>
                <w:p w14:paraId="6B32D6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738" w:type="pct"/>
                  <w:gridSpan w:val="2"/>
                  <w:tcBorders>
                    <w:top w:val="single" w:color="auto" w:sz="4" w:space="0"/>
                    <w:left w:val="nil"/>
                    <w:bottom w:val="single" w:color="auto" w:sz="4" w:space="0"/>
                    <w:right w:val="single" w:color="000000" w:sz="4" w:space="0"/>
                  </w:tcBorders>
                  <w:noWrap/>
                  <w:vAlign w:val="center"/>
                </w:tcPr>
                <w:p w14:paraId="78276D9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126" w:type="pct"/>
                  <w:tcBorders>
                    <w:top w:val="nil"/>
                    <w:left w:val="nil"/>
                    <w:bottom w:val="single" w:color="auto" w:sz="4" w:space="0"/>
                    <w:right w:val="single" w:color="auto" w:sz="4" w:space="0"/>
                  </w:tcBorders>
                  <w:noWrap/>
                  <w:vAlign w:val="center"/>
                </w:tcPr>
                <w:p w14:paraId="2090C66D">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732327FA">
              <w:tblPrEx>
                <w:tblCellMar>
                  <w:top w:w="0" w:type="dxa"/>
                  <w:left w:w="108" w:type="dxa"/>
                  <w:bottom w:w="0" w:type="dxa"/>
                  <w:right w:w="108" w:type="dxa"/>
                </w:tblCellMar>
              </w:tblPrEx>
              <w:trPr>
                <w:trHeight w:val="283" w:hRule="atLeast"/>
                <w:jc w:val="center"/>
              </w:trPr>
              <w:tc>
                <w:tcPr>
                  <w:tcW w:w="85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43D62D">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u w:val="none"/>
                      <w:vertAlign w:val="baseline"/>
                      <w:lang w:val="en-US" w:eastAsia="zh-CN"/>
                    </w:rPr>
                    <w:t>米107-16M</w:t>
                  </w:r>
                </w:p>
              </w:tc>
              <w:tc>
                <w:tcPr>
                  <w:tcW w:w="1615" w:type="pct"/>
                  <w:gridSpan w:val="2"/>
                  <w:tcBorders>
                    <w:top w:val="single" w:color="auto" w:sz="4" w:space="0"/>
                    <w:left w:val="nil"/>
                    <w:right w:val="single" w:color="auto" w:sz="4" w:space="0"/>
                  </w:tcBorders>
                  <w:noWrap/>
                  <w:vAlign w:val="center"/>
                </w:tcPr>
                <w:p w14:paraId="1DF5232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14" w:type="pct"/>
                  <w:gridSpan w:val="2"/>
                  <w:tcBorders>
                    <w:top w:val="single" w:color="auto" w:sz="4" w:space="0"/>
                    <w:left w:val="single" w:color="auto" w:sz="4" w:space="0"/>
                    <w:right w:val="single" w:color="auto" w:sz="4" w:space="0"/>
                  </w:tcBorders>
                  <w:noWrap/>
                  <w:vAlign w:val="center"/>
                </w:tcPr>
                <w:p w14:paraId="2B7CD65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100m范围内无居民点（距离井口最近敏感目标在340m以外）</w:t>
                  </w:r>
                </w:p>
              </w:tc>
              <w:tc>
                <w:tcPr>
                  <w:tcW w:w="548" w:type="pct"/>
                  <w:gridSpan w:val="2"/>
                  <w:tcBorders>
                    <w:top w:val="single" w:color="auto" w:sz="4" w:space="0"/>
                    <w:left w:val="single" w:color="auto" w:sz="4" w:space="0"/>
                    <w:right w:val="single" w:color="000000" w:sz="4" w:space="0"/>
                  </w:tcBorders>
                  <w:noWrap/>
                  <w:vAlign w:val="center"/>
                </w:tcPr>
                <w:p w14:paraId="62D5E945">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78DA8C6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7D6B7380">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666" w:type="pct"/>
                  <w:gridSpan w:val="2"/>
                  <w:tcBorders>
                    <w:top w:val="single" w:color="auto" w:sz="4" w:space="0"/>
                    <w:left w:val="nil"/>
                    <w:bottom w:val="single" w:color="auto" w:sz="4" w:space="0"/>
                    <w:right w:val="single" w:color="auto" w:sz="4" w:space="0"/>
                  </w:tcBorders>
                  <w:noWrap/>
                  <w:vAlign w:val="center"/>
                </w:tcPr>
                <w:p w14:paraId="37A347E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738" w:type="pct"/>
                  <w:gridSpan w:val="2"/>
                  <w:tcBorders>
                    <w:top w:val="single" w:color="auto" w:sz="4" w:space="0"/>
                    <w:left w:val="nil"/>
                    <w:right w:val="single" w:color="000000" w:sz="4" w:space="0"/>
                  </w:tcBorders>
                  <w:noWrap/>
                  <w:vAlign w:val="center"/>
                </w:tcPr>
                <w:p w14:paraId="0B1CCA9B">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126" w:type="pct"/>
                  <w:tcBorders>
                    <w:top w:val="single" w:color="auto" w:sz="4" w:space="0"/>
                    <w:left w:val="nil"/>
                    <w:bottom w:val="single" w:color="auto" w:sz="4" w:space="0"/>
                    <w:right w:val="single" w:color="auto" w:sz="4" w:space="0"/>
                  </w:tcBorders>
                  <w:noWrap/>
                  <w:vAlign w:val="center"/>
                </w:tcPr>
                <w:p w14:paraId="01B7B8BE">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7173F267">
              <w:tblPrEx>
                <w:tblCellMar>
                  <w:top w:w="0" w:type="dxa"/>
                  <w:left w:w="108" w:type="dxa"/>
                  <w:bottom w:w="0" w:type="dxa"/>
                  <w:right w:w="108" w:type="dxa"/>
                </w:tblCellMar>
              </w:tblPrEx>
              <w:trPr>
                <w:trHeight w:val="283" w:hRule="atLeast"/>
                <w:jc w:val="center"/>
              </w:trPr>
              <w:tc>
                <w:tcPr>
                  <w:tcW w:w="854" w:type="dxa"/>
                  <w:tcBorders>
                    <w:top w:val="nil"/>
                    <w:left w:val="single" w:color="auto" w:sz="4" w:space="0"/>
                    <w:bottom w:val="single" w:color="auto" w:sz="4" w:space="0"/>
                    <w:right w:val="single" w:color="auto" w:sz="4" w:space="0"/>
                  </w:tcBorders>
                  <w:shd w:val="clear" w:color="auto" w:fill="auto"/>
                  <w:noWrap/>
                  <w:vAlign w:val="center"/>
                </w:tcPr>
                <w:p w14:paraId="438FC252">
                  <w:pPr>
                    <w:spacing w:line="240" w:lineRule="auto"/>
                    <w:ind w:firstLine="0" w:firstLineChars="0"/>
                    <w:jc w:val="center"/>
                    <w:rPr>
                      <w:rFonts w:hint="default" w:ascii="Times New Roman" w:hAnsi="Times New Roman" w:cs="Times New Roman" w:eastAsiaTheme="minorHAnsi"/>
                      <w:color w:val="auto"/>
                      <w:sz w:val="21"/>
                      <w:szCs w:val="21"/>
                      <w:lang w:val="en-US" w:eastAsia="zh-CN" w:bidi="ar-SA"/>
                    </w:rPr>
                  </w:pPr>
                  <w:r>
                    <w:rPr>
                      <w:rFonts w:hint="eastAsia" w:ascii="Times New Roman" w:hAnsi="Times New Roman" w:eastAsia="宋体" w:cs="Times New Roman"/>
                      <w:color w:val="auto"/>
                      <w:sz w:val="21"/>
                      <w:szCs w:val="21"/>
                      <w:lang w:val="en-US" w:eastAsia="zh-CN"/>
                    </w:rPr>
                    <w:t>米107-22MH</w:t>
                  </w:r>
                </w:p>
              </w:tc>
              <w:tc>
                <w:tcPr>
                  <w:tcW w:w="1615" w:type="pct"/>
                  <w:gridSpan w:val="2"/>
                  <w:tcBorders>
                    <w:top w:val="single" w:color="auto" w:sz="4" w:space="0"/>
                    <w:left w:val="nil"/>
                    <w:right w:val="single" w:color="auto" w:sz="4" w:space="0"/>
                  </w:tcBorders>
                  <w:noWrap/>
                  <w:vAlign w:val="center"/>
                </w:tcPr>
                <w:p w14:paraId="4675989F">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5</w:t>
                  </w:r>
                  <w:r>
                    <w:rPr>
                      <w:rFonts w:hint="default" w:ascii="Times New Roman" w:hAnsi="Times New Roman" w:eastAsia="宋体" w:cs="Times New Roman"/>
                      <w:b w:val="0"/>
                      <w:bCs w:val="0"/>
                      <w:color w:val="auto"/>
                      <w:kern w:val="2"/>
                      <w:sz w:val="21"/>
                      <w:szCs w:val="21"/>
                      <w:highlight w:val="none"/>
                      <w:lang w:val="en-US" w:eastAsia="zh-CN" w:bidi="ar-SA"/>
                    </w:rPr>
                    <w:t>00m内无上述敏感建筑</w:t>
                  </w:r>
                </w:p>
              </w:tc>
              <w:tc>
                <w:tcPr>
                  <w:tcW w:w="814" w:type="pct"/>
                  <w:gridSpan w:val="2"/>
                  <w:tcBorders>
                    <w:top w:val="single" w:color="auto" w:sz="4" w:space="0"/>
                    <w:left w:val="single" w:color="auto" w:sz="4" w:space="0"/>
                    <w:right w:val="single" w:color="auto" w:sz="4" w:space="0"/>
                  </w:tcBorders>
                  <w:noWrap/>
                  <w:vAlign w:val="center"/>
                </w:tcPr>
                <w:p w14:paraId="4946541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100m范围内无居民点（距离井口最近敏感目标在210m以外）</w:t>
                  </w:r>
                </w:p>
              </w:tc>
              <w:tc>
                <w:tcPr>
                  <w:tcW w:w="548" w:type="pct"/>
                  <w:gridSpan w:val="2"/>
                  <w:tcBorders>
                    <w:top w:val="single" w:color="auto" w:sz="4" w:space="0"/>
                    <w:left w:val="single" w:color="auto" w:sz="4" w:space="0"/>
                    <w:right w:val="single" w:color="000000" w:sz="4" w:space="0"/>
                  </w:tcBorders>
                  <w:noWrap/>
                  <w:vAlign w:val="center"/>
                </w:tcPr>
                <w:p w14:paraId="2DDE77C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b w:val="0"/>
                      <w:bCs w:val="0"/>
                      <w:color w:val="auto"/>
                      <w:kern w:val="0"/>
                      <w:sz w:val="21"/>
                      <w:szCs w:val="21"/>
                    </w:rPr>
                  </w:pPr>
                  <w:r>
                    <w:rPr>
                      <w:rFonts w:hint="eastAsia" w:ascii="Times New Roman" w:hAnsi="Times New Roman" w:cs="Times New Roman"/>
                      <w:b w:val="0"/>
                      <w:bCs w:val="0"/>
                      <w:color w:val="auto"/>
                      <w:kern w:val="0"/>
                      <w:sz w:val="21"/>
                      <w:szCs w:val="21"/>
                      <w:lang w:val="en-US" w:eastAsia="zh-CN"/>
                    </w:rPr>
                    <w:t>1</w:t>
                  </w:r>
                  <w:r>
                    <w:rPr>
                      <w:rFonts w:hint="default" w:ascii="Times New Roman" w:hAnsi="Times New Roman" w:cs="Times New Roman"/>
                      <w:b w:val="0"/>
                      <w:bCs w:val="0"/>
                      <w:color w:val="auto"/>
                      <w:kern w:val="0"/>
                      <w:sz w:val="21"/>
                      <w:szCs w:val="21"/>
                      <w:lang w:val="en-US" w:eastAsia="zh-CN"/>
                    </w:rPr>
                    <w:t>00</w:t>
                  </w:r>
                  <w:r>
                    <w:rPr>
                      <w:rFonts w:hint="default" w:ascii="Times New Roman" w:hAnsi="Times New Roman" w:cs="Times New Roman"/>
                      <w:b w:val="0"/>
                      <w:bCs w:val="0"/>
                      <w:color w:val="auto"/>
                      <w:kern w:val="0"/>
                      <w:sz w:val="21"/>
                      <w:szCs w:val="21"/>
                    </w:rPr>
                    <w:t>m内无</w:t>
                  </w:r>
                </w:p>
                <w:p w14:paraId="60E0BAA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高压线及其它</w:t>
                  </w:r>
                </w:p>
                <w:p w14:paraId="27701AB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永久性设施</w:t>
                  </w:r>
                </w:p>
              </w:tc>
              <w:tc>
                <w:tcPr>
                  <w:tcW w:w="666" w:type="pct"/>
                  <w:gridSpan w:val="2"/>
                  <w:tcBorders>
                    <w:top w:val="single" w:color="auto" w:sz="4" w:space="0"/>
                    <w:left w:val="nil"/>
                    <w:right w:val="single" w:color="auto" w:sz="4" w:space="0"/>
                  </w:tcBorders>
                  <w:noWrap/>
                  <w:vAlign w:val="center"/>
                </w:tcPr>
                <w:p w14:paraId="6A36D8C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00m内无铁路</w:t>
                  </w:r>
                </w:p>
              </w:tc>
              <w:tc>
                <w:tcPr>
                  <w:tcW w:w="738" w:type="pct"/>
                  <w:gridSpan w:val="2"/>
                  <w:tcBorders>
                    <w:top w:val="single" w:color="auto" w:sz="4" w:space="0"/>
                    <w:left w:val="nil"/>
                    <w:right w:val="single" w:color="000000" w:sz="4" w:space="0"/>
                  </w:tcBorders>
                  <w:noWrap/>
                  <w:vAlign w:val="center"/>
                </w:tcPr>
                <w:p w14:paraId="748C43B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eastAsia" w:ascii="Times New Roman" w:hAnsi="Times New Roman"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00m内无</w:t>
                  </w:r>
                  <w:r>
                    <w:rPr>
                      <w:rFonts w:hint="default" w:ascii="Times New Roman" w:hAnsi="Times New Roman" w:cs="Times New Roman"/>
                      <w:color w:val="auto"/>
                      <w:kern w:val="0"/>
                      <w:sz w:val="21"/>
                      <w:szCs w:val="21"/>
                      <w:lang w:val="en-US" w:eastAsia="zh-CN"/>
                    </w:rPr>
                    <w:t>高速公路</w:t>
                  </w:r>
                </w:p>
              </w:tc>
              <w:tc>
                <w:tcPr>
                  <w:tcW w:w="126" w:type="pct"/>
                  <w:tcBorders>
                    <w:top w:val="nil"/>
                    <w:left w:val="nil"/>
                    <w:bottom w:val="single" w:color="auto" w:sz="4" w:space="0"/>
                    <w:right w:val="single" w:color="auto" w:sz="4" w:space="0"/>
                  </w:tcBorders>
                  <w:noWrap/>
                  <w:vAlign w:val="center"/>
                </w:tcPr>
                <w:p w14:paraId="096D8F8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r>
            <w:tr w14:paraId="6B6C85CF">
              <w:tblPrEx>
                <w:tblCellMar>
                  <w:top w:w="0" w:type="dxa"/>
                  <w:left w:w="108" w:type="dxa"/>
                  <w:bottom w:w="0" w:type="dxa"/>
                  <w:right w:w="108" w:type="dxa"/>
                </w:tblCellMar>
              </w:tblPrEx>
              <w:trPr>
                <w:trHeight w:val="283" w:hRule="atLeast"/>
                <w:jc w:val="center"/>
              </w:trPr>
              <w:tc>
                <w:tcPr>
                  <w:tcW w:w="490" w:type="pct"/>
                  <w:tcBorders>
                    <w:top w:val="single" w:color="auto" w:sz="4" w:space="0"/>
                    <w:left w:val="single" w:color="auto" w:sz="4" w:space="0"/>
                    <w:bottom w:val="single" w:color="auto" w:sz="4" w:space="0"/>
                    <w:right w:val="single" w:color="auto" w:sz="4" w:space="0"/>
                  </w:tcBorders>
                  <w:noWrap/>
                  <w:vAlign w:val="center"/>
                </w:tcPr>
                <w:p w14:paraId="188C4178">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规范要求</w:t>
                  </w:r>
                </w:p>
              </w:tc>
              <w:tc>
                <w:tcPr>
                  <w:tcW w:w="1615" w:type="pct"/>
                  <w:gridSpan w:val="2"/>
                  <w:tcBorders>
                    <w:top w:val="single" w:color="auto" w:sz="4" w:space="0"/>
                    <w:left w:val="nil"/>
                    <w:bottom w:val="single" w:color="auto" w:sz="4" w:space="0"/>
                    <w:right w:val="single" w:color="auto" w:sz="4" w:space="0"/>
                  </w:tcBorders>
                  <w:noWrap/>
                  <w:vAlign w:val="center"/>
                </w:tcPr>
                <w:p w14:paraId="7F001BD7">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00</w:t>
                  </w:r>
                </w:p>
              </w:tc>
              <w:tc>
                <w:tcPr>
                  <w:tcW w:w="814" w:type="pct"/>
                  <w:gridSpan w:val="2"/>
                  <w:tcBorders>
                    <w:top w:val="single" w:color="auto" w:sz="4" w:space="0"/>
                    <w:left w:val="single" w:color="auto" w:sz="4" w:space="0"/>
                    <w:bottom w:val="single" w:color="auto" w:sz="4" w:space="0"/>
                    <w:right w:val="single" w:color="auto" w:sz="4" w:space="0"/>
                  </w:tcBorders>
                  <w:noWrap/>
                  <w:vAlign w:val="center"/>
                </w:tcPr>
                <w:p w14:paraId="6D3A9B1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00</w:t>
                  </w:r>
                </w:p>
              </w:tc>
              <w:tc>
                <w:tcPr>
                  <w:tcW w:w="548" w:type="pct"/>
                  <w:gridSpan w:val="2"/>
                  <w:tcBorders>
                    <w:top w:val="single" w:color="auto" w:sz="4" w:space="0"/>
                    <w:left w:val="single" w:color="auto" w:sz="4" w:space="0"/>
                    <w:bottom w:val="single" w:color="auto" w:sz="4" w:space="0"/>
                    <w:right w:val="single" w:color="auto" w:sz="4" w:space="0"/>
                  </w:tcBorders>
                  <w:noWrap/>
                  <w:vAlign w:val="center"/>
                </w:tcPr>
                <w:p w14:paraId="09C13AC1">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75</w:t>
                  </w:r>
                </w:p>
              </w:tc>
              <w:tc>
                <w:tcPr>
                  <w:tcW w:w="666" w:type="pct"/>
                  <w:gridSpan w:val="2"/>
                  <w:tcBorders>
                    <w:top w:val="single" w:color="auto" w:sz="4" w:space="0"/>
                    <w:left w:val="nil"/>
                    <w:bottom w:val="single" w:color="auto" w:sz="4" w:space="0"/>
                    <w:right w:val="single" w:color="auto" w:sz="4" w:space="0"/>
                  </w:tcBorders>
                  <w:noWrap/>
                  <w:vAlign w:val="center"/>
                </w:tcPr>
                <w:p w14:paraId="32E97CD2">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738" w:type="pct"/>
                  <w:gridSpan w:val="2"/>
                  <w:tcBorders>
                    <w:top w:val="single" w:color="auto" w:sz="4" w:space="0"/>
                    <w:left w:val="nil"/>
                    <w:bottom w:val="single" w:color="auto" w:sz="4" w:space="0"/>
                    <w:right w:val="single" w:color="auto" w:sz="4" w:space="0"/>
                  </w:tcBorders>
                  <w:noWrap/>
                  <w:vAlign w:val="center"/>
                </w:tcPr>
                <w:p w14:paraId="7226B4FA">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26" w:type="pct"/>
                  <w:tcBorders>
                    <w:top w:val="single" w:color="auto" w:sz="4" w:space="0"/>
                    <w:left w:val="nil"/>
                    <w:bottom w:val="single" w:color="auto" w:sz="4" w:space="0"/>
                    <w:right w:val="single" w:color="auto" w:sz="4" w:space="0"/>
                  </w:tcBorders>
                  <w:noWrap/>
                  <w:vAlign w:val="center"/>
                </w:tcPr>
                <w:p w14:paraId="6D739DA3">
                  <w:pPr>
                    <w:keepNext w:val="0"/>
                    <w:keepLines w:val="0"/>
                    <w:pageBreakBefore w:val="0"/>
                    <w:widowControl/>
                    <w:kinsoku/>
                    <w:wordWrap/>
                    <w:overflowPunct/>
                    <w:topLinePunct w:val="0"/>
                    <w:autoSpaceDE/>
                    <w:autoSpaceDN/>
                    <w:bidi w:val="0"/>
                    <w:adjustRightInd w:val="0"/>
                    <w:snapToGrid w:val="0"/>
                    <w:spacing w:line="240" w:lineRule="auto"/>
                    <w:ind w:left="-110" w:leftChars="-50" w:right="-110" w:rightChars="-5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w:t>
                  </w:r>
                </w:p>
              </w:tc>
            </w:tr>
          </w:tbl>
          <w:p w14:paraId="70DA7BA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color w:val="auto"/>
                <w:sz w:val="24"/>
                <w:szCs w:val="32"/>
              </w:rPr>
              <w:t>综上</w:t>
            </w:r>
            <w:r>
              <w:rPr>
                <w:rFonts w:hint="eastAsia" w:ascii="Times New Roman" w:hAnsi="Times New Roman" w:cs="Times New Roman"/>
                <w:color w:val="auto"/>
                <w:sz w:val="24"/>
                <w:szCs w:val="32"/>
                <w:lang w:val="en-US" w:eastAsia="zh-CN"/>
              </w:rPr>
              <w:t>所述</w:t>
            </w:r>
            <w:r>
              <w:rPr>
                <w:rFonts w:hint="default" w:ascii="Times New Roman" w:hAnsi="Times New Roman" w:cs="Times New Roman"/>
                <w:color w:val="auto"/>
                <w:sz w:val="24"/>
                <w:szCs w:val="32"/>
              </w:rPr>
              <w:t>，本工程的建设选址具有环境合理性</w:t>
            </w:r>
            <w:r>
              <w:rPr>
                <w:rFonts w:hint="default" w:ascii="Times New Roman" w:hAnsi="Times New Roman" w:cs="Times New Roman"/>
                <w:color w:val="auto"/>
                <w:sz w:val="24"/>
                <w:szCs w:val="32"/>
                <w:lang w:eastAsia="zh-CN"/>
              </w:rPr>
              <w:t>。</w:t>
            </w:r>
          </w:p>
        </w:tc>
      </w:tr>
    </w:tbl>
    <w:p w14:paraId="7309F640">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409A4B8">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主要生态环境保护措施</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8865"/>
      </w:tblGrid>
      <w:tr w14:paraId="2D8B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59CC66E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施工期生态环境保护措施</w:t>
            </w:r>
          </w:p>
        </w:tc>
        <w:tc>
          <w:tcPr>
            <w:tcW w:w="8254" w:type="dxa"/>
            <w:vAlign w:val="top"/>
          </w:tcPr>
          <w:p w14:paraId="1EFDA38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一、生态环境保护措施</w:t>
            </w:r>
          </w:p>
          <w:p w14:paraId="08D8F8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Times New Roman" w:hAnsi="Times New Roman" w:eastAsia="宋体" w:cs="Times New Roman"/>
                <w:color w:val="auto"/>
                <w:lang w:val="en-US" w:eastAsia="zh-CN"/>
              </w:rPr>
              <w:t>根据土地利用现状分析本项目井场</w:t>
            </w:r>
            <w:r>
              <w:rPr>
                <w:rFonts w:hint="default" w:ascii="Times New Roman" w:hAnsi="Times New Roman" w:eastAsia="宋体" w:cs="Times New Roman"/>
                <w:b w:val="0"/>
                <w:bCs w:val="0"/>
                <w:color w:val="auto"/>
                <w:sz w:val="24"/>
                <w:szCs w:val="24"/>
                <w:vertAlign w:val="baseline"/>
                <w:lang w:val="en-US" w:eastAsia="zh-CN"/>
              </w:rPr>
              <w:t>土地利用</w:t>
            </w:r>
            <w:r>
              <w:rPr>
                <w:rFonts w:hint="eastAsia" w:ascii="Times New Roman" w:hAnsi="Times New Roman" w:eastAsia="宋体" w:cs="Times New Roman"/>
                <w:b w:val="0"/>
                <w:bCs w:val="0"/>
                <w:color w:val="auto"/>
                <w:sz w:val="24"/>
                <w:szCs w:val="24"/>
                <w:vertAlign w:val="baseline"/>
                <w:lang w:val="en-US" w:eastAsia="zh-CN"/>
              </w:rPr>
              <w:t>现状</w:t>
            </w:r>
            <w:r>
              <w:rPr>
                <w:rFonts w:hint="default" w:ascii="Times New Roman" w:hAnsi="Times New Roman" w:eastAsia="宋体" w:cs="Times New Roman"/>
                <w:b w:val="0"/>
                <w:bCs w:val="0"/>
                <w:color w:val="auto"/>
                <w:sz w:val="24"/>
                <w:szCs w:val="24"/>
                <w:vertAlign w:val="baseline"/>
                <w:lang w:val="en-US" w:eastAsia="zh-CN"/>
              </w:rPr>
              <w:t>类型</w:t>
            </w:r>
            <w:r>
              <w:rPr>
                <w:rFonts w:hint="eastAsia" w:ascii="Times New Roman" w:hAnsi="Times New Roman" w:eastAsia="宋体" w:cs="Times New Roman"/>
                <w:b w:val="0"/>
                <w:bCs w:val="0"/>
                <w:color w:val="auto"/>
                <w:sz w:val="24"/>
                <w:szCs w:val="24"/>
                <w:vertAlign w:val="baseline"/>
                <w:lang w:val="en-US" w:eastAsia="zh-CN"/>
              </w:rPr>
              <w:t>主要</w:t>
            </w:r>
            <w:r>
              <w:rPr>
                <w:rFonts w:hint="default" w:ascii="Times New Roman" w:hAnsi="Times New Roman" w:eastAsia="宋体" w:cs="Times New Roman"/>
                <w:b w:val="0"/>
                <w:bCs w:val="0"/>
                <w:color w:val="auto"/>
                <w:sz w:val="24"/>
                <w:szCs w:val="24"/>
                <w:vertAlign w:val="baseline"/>
                <w:lang w:val="en-US" w:eastAsia="zh-CN"/>
              </w:rPr>
              <w:t>为</w:t>
            </w:r>
            <w:r>
              <w:rPr>
                <w:rFonts w:hint="eastAsia" w:ascii="Times New Roman" w:hAnsi="Times New Roman" w:eastAsia="宋体" w:cs="Times New Roman"/>
                <w:color w:val="auto"/>
                <w:sz w:val="24"/>
                <w:szCs w:val="24"/>
                <w:highlight w:val="none"/>
                <w:lang w:val="en-US" w:eastAsia="zh-CN"/>
              </w:rPr>
              <w:t>耕地、</w:t>
            </w:r>
            <w:r>
              <w:rPr>
                <w:rFonts w:hint="eastAsia"/>
                <w:bCs/>
                <w:color w:val="auto"/>
                <w:sz w:val="24"/>
                <w:szCs w:val="24"/>
                <w:highlight w:val="none"/>
                <w:lang w:val="en-US" w:eastAsia="zh-CN" w:bidi="ar"/>
              </w:rPr>
              <w:t>林地、园地、草地和交通运输用地，</w:t>
            </w:r>
            <w:r>
              <w:rPr>
                <w:rFonts w:hint="eastAsia" w:ascii="Times New Roman" w:hAnsi="Times New Roman" w:eastAsia="宋体" w:cs="Times New Roman"/>
                <w:b w:val="0"/>
                <w:bCs w:val="0"/>
                <w:color w:val="auto"/>
                <w:sz w:val="24"/>
                <w:szCs w:val="24"/>
                <w:vertAlign w:val="baseline"/>
                <w:lang w:val="en-US" w:eastAsia="zh-CN"/>
              </w:rPr>
              <w:t>若永久封井，本项目占地类型中园地、耕地、林地和草地采取人工干预的手段进行生态恢复，规划为林地的区域恢复为林地，未规划为林地的区域恢复为原有的生态类型（耕地、草地、园地）。</w:t>
            </w:r>
          </w:p>
          <w:p w14:paraId="5C111CEB">
            <w:pPr>
              <w:pStyle w:val="26"/>
              <w:keepNext w:val="0"/>
              <w:keepLines w:val="0"/>
              <w:pageBreakBefore w:val="0"/>
              <w:widowControl w:val="0"/>
              <w:numPr>
                <w:ilvl w:val="0"/>
                <w:numId w:val="7"/>
              </w:numPr>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施工期</w:t>
            </w:r>
            <w:r>
              <w:rPr>
                <w:rFonts w:hint="default" w:ascii="Times New Roman" w:hAnsi="Times New Roman" w:cs="Times New Roman"/>
                <w:color w:val="auto"/>
              </w:rPr>
              <w:t>生态环境保护措施</w:t>
            </w:r>
          </w:p>
          <w:p w14:paraId="715E5F5D">
            <w:pPr>
              <w:pStyle w:val="26"/>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在施工组织设计中严格控制占地范围；施工活动需严格控制在施工区域内，并将临时占地面积控制在最低限度，尽量使用既有道路，以免对土壤与植被造成不必要破坏。项目施工时首先应剥离表土。在剥离表土前，对开挖区域内的植被等有碍物进行彻底清除，然后采用人工开挖，先把表层土按预定厚度剥离后，在井场内临时占地区内选定一处作为表土临时堆土区，用于开采结束后的复垦覆土。表土临时堆场周边应设置挡土墙，控制边坡坡降比1:2左右，适时对表土堆场表面进行防尘网遮盖、洒水浸润，同时于表土堆场表面覆盖篷布（防尘、防雨水冲刷），覆盖率需达100%。在堆场周围开挖排水沟，排水沟易采用梯形断面，底宽30cm，高30cm，内坡比1:1，内壁夯实，排水沟与附近已有沟渠相通。在施工结束、场地清理完成后随即采取地表平整、表土回覆、绿化等恢复措施，减少施工期对生态环境影响。</w:t>
            </w:r>
          </w:p>
          <w:p w14:paraId="434CF493">
            <w:pPr>
              <w:ind w:right="-11" w:firstLine="480"/>
              <w:jc w:val="both"/>
              <w:rPr>
                <w:rFonts w:hint="eastAsia"/>
                <w:color w:val="auto"/>
              </w:rPr>
            </w:pPr>
            <w:r>
              <w:rPr>
                <w:color w:val="auto"/>
              </w:rPr>
              <w:drawing>
                <wp:inline distT="0" distB="0" distL="114300" distR="114300">
                  <wp:extent cx="4817745" cy="2139950"/>
                  <wp:effectExtent l="0" t="0" r="1905" b="1270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a:stretch>
                            <a:fillRect/>
                          </a:stretch>
                        </pic:blipFill>
                        <pic:spPr>
                          <a:xfrm>
                            <a:off x="0" y="0"/>
                            <a:ext cx="4817745" cy="2139950"/>
                          </a:xfrm>
                          <a:prstGeom prst="rect">
                            <a:avLst/>
                          </a:prstGeom>
                          <a:noFill/>
                          <a:ln>
                            <a:noFill/>
                          </a:ln>
                        </pic:spPr>
                      </pic:pic>
                    </a:graphicData>
                  </a:graphic>
                </wp:inline>
              </w:drawing>
            </w:r>
          </w:p>
          <w:p w14:paraId="19F48570">
            <w:pPr>
              <w:pStyle w:val="26"/>
              <w:bidi w:val="0"/>
              <w:ind w:firstLine="1441" w:firstLineChars="600"/>
              <w:rPr>
                <w:b/>
                <w:color w:val="auto"/>
                <w:szCs w:val="21"/>
              </w:rPr>
            </w:pPr>
            <w:r>
              <w:rPr>
                <w:rFonts w:hint="default" w:ascii="Times New Roman" w:hAnsi="Times New Roman" w:cs="Times New Roman"/>
                <w:b/>
                <w:color w:val="auto"/>
                <w:szCs w:val="21"/>
              </w:rPr>
              <w:t xml:space="preserve">图5-1 </w:t>
            </w:r>
            <w:r>
              <w:rPr>
                <w:b/>
                <w:color w:val="auto"/>
                <w:szCs w:val="21"/>
              </w:rPr>
              <w:t>施工期表土剥离临时堆土区防护措施断面</w:t>
            </w:r>
          </w:p>
          <w:p w14:paraId="556AE4C5">
            <w:pPr>
              <w:pStyle w:val="26"/>
              <w:bidi w:val="0"/>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施工中尽量缩小影响范围，合理布置井场，选择合适的设备搬迁路线，合理布置钻井设备，减少井场占地面积。缩短施工时间，提高工程施工效率，减少工程在空间上、时间上对生态环境的影响；</w:t>
            </w:r>
          </w:p>
          <w:p w14:paraId="1B993E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③施工完毕应尽快整理施工现场，恢复原有用地性质；施工期间对建筑材料的堆放采取篷布苫盖措施，防止雨水冲刷；</w:t>
            </w:r>
          </w:p>
          <w:p w14:paraId="43C6BA4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④制定严格的施工操作规范，建立施工期环境管理制度；相对固定运输路线，严禁施工车辆随意开辟施工便道，严禁随意砍伐植被；</w:t>
            </w:r>
          </w:p>
          <w:p w14:paraId="30F155E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⑤迅速恢复植被破坏前的地表形态，填埋废土坑、平整作业现场、改善植被更新生长条件，防止局部土地退化；</w:t>
            </w:r>
          </w:p>
          <w:p w14:paraId="4E9FF43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⑥为防止井场作业加剧水土流失，进场前集中收集表土，并进行遮盖围堵以防风吹雨淋流失，作业结束后再覆盖表土等措施后，可有效减少水土流失；</w:t>
            </w:r>
          </w:p>
          <w:p w14:paraId="550307C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⑦井场内禁止废水、废弃泥浆、废弃岩屑、以及其他废物流失和乱排放，严禁机油等各种油料落地，擦洗设备和更换的废油品料要集中到废油回收罐，如果发现外溢和散落必须及时清理；</w:t>
            </w:r>
          </w:p>
          <w:p w14:paraId="4FBF80B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⑧完井后回收各种原料，清理井场上散落的泥浆、污水、油料和各种废弃物。泥浆药品等泥浆材料及废油必须全部回收，不得随意遗弃于井场，完井后做到作业现场整洁、平整、卫生、无油污、无固废。</w:t>
            </w:r>
          </w:p>
          <w:p w14:paraId="4EEC941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⑨项目开发建设前，做好施工规划前期工作，尽量缩小施工范围，减少临时占地面积；施工机械应严格按照规定的施工道路行驶，严禁占用施工区域外的土地；加强施工人员的各类管理；做好工程完井后生态环境的恢复工作；加强环境管理和监理制度；加强生态保护宣传教育，以尽量减少植被破坏及水土流失等不利影响。</w:t>
            </w:r>
          </w:p>
          <w:p w14:paraId="01827C5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通过采取相应的生态保护措施，项目建设对区域生态系统的完整性、稳定性影响较小，不会对生态环境造成显著的影响。</w:t>
            </w:r>
          </w:p>
          <w:p w14:paraId="0BC30A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封井期生态环境保护措施</w:t>
            </w:r>
          </w:p>
          <w:p w14:paraId="03FD346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本工程为</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勘探井，钻井结束后，通过完井测试评价</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藏情况，</w:t>
            </w:r>
            <w:r>
              <w:rPr>
                <w:rFonts w:hint="default" w:ascii="Times New Roman" w:hAnsi="Times New Roman" w:cs="Times New Roman"/>
                <w:color w:val="auto"/>
                <w:lang w:val="en-US" w:eastAsia="zh-CN"/>
              </w:rPr>
              <w:t>若</w:t>
            </w:r>
            <w:r>
              <w:rPr>
                <w:rFonts w:hint="default" w:ascii="Times New Roman" w:hAnsi="Times New Roman" w:cs="Times New Roman"/>
                <w:color w:val="auto"/>
                <w:lang w:eastAsia="zh-CN"/>
              </w:rPr>
              <w:t>不具备开采价值，进行永久封井，场地恢复原状；若测试具有工业产能，临时封井，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507834A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封井作业将对设备、基础进行拆除、搬迁、封井口作业。封井口环境影响因素不再存在，无三废排放，无噪声影响。</w:t>
            </w:r>
          </w:p>
          <w:p w14:paraId="2A94268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封井原因主要包括地质报废与工程报废。一般地质报废是指在钻井过程中，未遇到含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气层，无任何油气显示的情况。地质勘探过程属于钻井的前端工序，因此一旦无含</w:t>
            </w:r>
            <w:r>
              <w:rPr>
                <w:rFonts w:hint="eastAsia" w:ascii="Times New Roman" w:hAnsi="Times New Roman" w:cs="Times New Roman"/>
                <w:color w:val="auto"/>
                <w:lang w:val="en-US" w:eastAsia="zh-CN"/>
              </w:rPr>
              <w:t>采</w:t>
            </w:r>
            <w:r>
              <w:rPr>
                <w:rFonts w:hint="default" w:ascii="Times New Roman" w:hAnsi="Times New Roman" w:cs="Times New Roman"/>
                <w:color w:val="auto"/>
                <w:lang w:eastAsia="zh-CN"/>
              </w:rPr>
              <w:t>气层，直接将其井口进行封堵，封堵后对井场进行恢复，修复后场内无钻探痕迹。恢复过程主要为：对钻井设施进行拆除；土地平整；对井场土壤进行重构，在井场宜绿区域进行绿化种植。工程报废是指已经下设套管后，通过试</w:t>
            </w:r>
            <w:r>
              <w:rPr>
                <w:rFonts w:hint="default" w:ascii="Times New Roman" w:hAnsi="Times New Roman" w:cs="Times New Roman"/>
                <w:color w:val="auto"/>
                <w:lang w:val="en-US" w:eastAsia="zh-CN"/>
              </w:rPr>
              <w:t>气</w:t>
            </w:r>
            <w:r>
              <w:rPr>
                <w:rFonts w:hint="default" w:ascii="Times New Roman" w:hAnsi="Times New Roman" w:cs="Times New Roman"/>
                <w:color w:val="auto"/>
                <w:lang w:eastAsia="zh-CN"/>
              </w:rPr>
              <w:t>，未达到可开发利用的</w:t>
            </w:r>
            <w:r>
              <w:rPr>
                <w:rFonts w:hint="default" w:ascii="Times New Roman" w:hAnsi="Times New Roman" w:cs="Times New Roman"/>
                <w:color w:val="auto"/>
                <w:lang w:val="en-US" w:eastAsia="zh-CN"/>
              </w:rPr>
              <w:t>天然气</w:t>
            </w:r>
            <w:r>
              <w:rPr>
                <w:rFonts w:hint="default" w:ascii="Times New Roman" w:hAnsi="Times New Roman" w:cs="Times New Roman"/>
                <w:color w:val="auto"/>
                <w:lang w:eastAsia="zh-CN"/>
              </w:rPr>
              <w:t>，则进行封场处理。封井后地面将留有井口封堵痕迹，对井场恢复原有地貌类型。封井期生态具体恢复措施步骤见图5-</w:t>
            </w:r>
            <w:r>
              <w:rPr>
                <w:rFonts w:hint="eastAsia" w:ascii="Times New Roman" w:hAnsi="Times New Roman" w:cs="Times New Roman"/>
                <w:color w:val="auto"/>
                <w:lang w:val="en-US" w:eastAsia="zh-CN"/>
              </w:rPr>
              <w:t>1</w:t>
            </w:r>
            <w:r>
              <w:rPr>
                <w:rFonts w:hint="default" w:ascii="Times New Roman" w:hAnsi="Times New Roman" w:cs="Times New Roman"/>
                <w:color w:val="auto"/>
                <w:lang w:eastAsia="zh-CN"/>
              </w:rPr>
              <w:t>。</w:t>
            </w:r>
          </w:p>
          <w:p w14:paraId="25B1392F">
            <w:pPr>
              <w:pStyle w:val="26"/>
              <w:bidi w:val="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299970" cy="3206115"/>
                  <wp:effectExtent l="0" t="0" r="508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2"/>
                          <a:stretch>
                            <a:fillRect/>
                          </a:stretch>
                        </pic:blipFill>
                        <pic:spPr>
                          <a:xfrm>
                            <a:off x="0" y="0"/>
                            <a:ext cx="2299970" cy="3206115"/>
                          </a:xfrm>
                          <a:prstGeom prst="rect">
                            <a:avLst/>
                          </a:prstGeom>
                          <a:noFill/>
                          <a:ln>
                            <a:noFill/>
                          </a:ln>
                        </pic:spPr>
                      </pic:pic>
                    </a:graphicData>
                  </a:graphic>
                </wp:inline>
              </w:drawing>
            </w:r>
          </w:p>
          <w:p w14:paraId="0E869C53">
            <w:pPr>
              <w:pStyle w:val="10"/>
              <w:bidi w:val="0"/>
              <w:ind w:left="0" w:leftChars="0"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井场生态恢复步骤</w:t>
            </w:r>
          </w:p>
          <w:p w14:paraId="62D7F08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（3）生态恢复要求</w:t>
            </w:r>
          </w:p>
          <w:p w14:paraId="36316E8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当勘探井具有开发价值时，采取临时封井，</w:t>
            </w:r>
            <w:r>
              <w:rPr>
                <w:rFonts w:hint="default" w:ascii="Times New Roman" w:hAnsi="Times New Roman" w:cs="Times New Roman"/>
                <w:color w:val="auto"/>
                <w:lang w:val="en-US" w:eastAsia="zh-CN"/>
              </w:rPr>
              <w:t>临时占地</w:t>
            </w:r>
            <w:r>
              <w:rPr>
                <w:rFonts w:hint="default" w:ascii="Times New Roman" w:hAnsi="Times New Roman" w:cs="Times New Roman"/>
                <w:color w:val="auto"/>
              </w:rPr>
              <w:t>暂不进行生态恢复</w:t>
            </w:r>
            <w:r>
              <w:rPr>
                <w:rFonts w:hint="default" w:ascii="Times New Roman" w:hAnsi="Times New Roman" w:cs="Times New Roman"/>
                <w:color w:val="auto"/>
                <w:lang w:eastAsia="zh-CN"/>
              </w:rPr>
              <w:t>；</w:t>
            </w:r>
            <w:r>
              <w:rPr>
                <w:rFonts w:hint="default" w:ascii="Times New Roman" w:hAnsi="Times New Roman" w:cs="Times New Roman"/>
                <w:bCs/>
                <w:color w:val="auto"/>
                <w:sz w:val="24"/>
                <w:lang w:val="en-US" w:eastAsia="zh-CN"/>
              </w:rPr>
              <w:t>若不具有工业生产价值，则对井场临时占地进行生态恢复，</w:t>
            </w:r>
            <w:r>
              <w:rPr>
                <w:rFonts w:hint="default" w:ascii="Times New Roman" w:hAnsi="Times New Roman" w:cs="Times New Roman"/>
                <w:bCs/>
                <w:color w:val="auto"/>
                <w:sz w:val="24"/>
              </w:rPr>
              <w:t>以达到与周边生态系统一致。</w:t>
            </w:r>
          </w:p>
          <w:p w14:paraId="5D8E073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（4）生态恢复整治方案</w:t>
            </w:r>
            <w:r>
              <w:rPr>
                <w:rFonts w:hint="default" w:ascii="Times New Roman" w:hAnsi="Times New Roman" w:cs="Times New Roman"/>
                <w:color w:val="auto"/>
                <w:lang w:val="en-US" w:eastAsia="zh-CN"/>
              </w:rPr>
              <w:t>及</w:t>
            </w:r>
            <w:r>
              <w:rPr>
                <w:rFonts w:hint="default" w:ascii="Times New Roman" w:hAnsi="Times New Roman" w:cs="Times New Roman"/>
                <w:color w:val="auto"/>
              </w:rPr>
              <w:t>恢复用地控制指标</w:t>
            </w:r>
          </w:p>
          <w:p w14:paraId="35E6A87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项目仅涉及施工期，不涉及运营期，</w:t>
            </w:r>
            <w:r>
              <w:rPr>
                <w:rFonts w:hint="eastAsia" w:ascii="Times New Roman" w:hAnsi="Times New Roman" w:eastAsia="宋体" w:cs="Times New Roman"/>
                <w:color w:val="auto"/>
                <w:lang w:val="en-US" w:eastAsia="zh-CN"/>
              </w:rPr>
              <w:t>本项目钻井结束封井后即开展生态恢复，</w:t>
            </w:r>
            <w:r>
              <w:rPr>
                <w:rFonts w:hint="default" w:ascii="Times New Roman" w:hAnsi="Times New Roman" w:cs="Times New Roman"/>
                <w:color w:val="auto"/>
              </w:rPr>
              <w:t>本次评价仅针对施工期提出相关生态恢复措施，具体生态恢复方案如下：</w:t>
            </w:r>
          </w:p>
          <w:p w14:paraId="17E00BE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①场地清理</w:t>
            </w:r>
          </w:p>
          <w:p w14:paraId="4258B68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拆除工程</w:t>
            </w:r>
          </w:p>
          <w:p w14:paraId="1435EB5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钻井设施均为撬装，例如材料房等，开钻时由钻井队运至井场。因此，封井期由钻井队拆除，外运。临时</w:t>
            </w:r>
            <w:r>
              <w:rPr>
                <w:rFonts w:hint="default" w:ascii="Times New Roman" w:hAnsi="Times New Roman" w:cs="Times New Roman"/>
                <w:color w:val="auto"/>
                <w:lang w:eastAsia="zh-CN"/>
              </w:rPr>
              <w:t>危废贮存</w:t>
            </w:r>
            <w:r>
              <w:rPr>
                <w:rFonts w:hint="eastAsia" w:ascii="Times New Roman" w:hAnsi="Times New Roman" w:cs="Times New Roman"/>
                <w:color w:val="auto"/>
                <w:lang w:val="en-US" w:eastAsia="zh-CN"/>
              </w:rPr>
              <w:t>库</w:t>
            </w:r>
            <w:r>
              <w:rPr>
                <w:rFonts w:hint="default" w:ascii="Times New Roman" w:hAnsi="Times New Roman" w:cs="Times New Roman"/>
                <w:color w:val="auto"/>
              </w:rPr>
              <w:t>需将危废按照要求处置完毕后，对其拆除，外运；水泥墩、钢架等支撑物彻底拆除、外运，为土地平整创造条件。</w:t>
            </w:r>
          </w:p>
          <w:p w14:paraId="0CACDD2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场地地表清理</w:t>
            </w:r>
          </w:p>
          <w:p w14:paraId="6E4F7FF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据统计，本项目临时占地</w:t>
            </w:r>
            <w:r>
              <w:rPr>
                <w:rFonts w:hint="default" w:ascii="Times New Roman" w:hAnsi="Times New Roman" w:cs="Times New Roman"/>
                <w:color w:val="auto"/>
                <w:highlight w:val="none"/>
                <w:lang w:val="en-US" w:eastAsia="zh-CN"/>
              </w:rPr>
              <w:t>总</w:t>
            </w:r>
            <w:r>
              <w:rPr>
                <w:rFonts w:hint="default" w:ascii="Times New Roman" w:hAnsi="Times New Roman" w:cs="Times New Roman"/>
                <w:color w:val="auto"/>
                <w:highlight w:val="none"/>
              </w:rPr>
              <w:t>面积</w:t>
            </w:r>
            <w:r>
              <w:rPr>
                <w:rFonts w:hint="eastAsia" w:ascii="Times New Roman" w:hAnsi="Times New Roman" w:cs="Times New Roman"/>
                <w:color w:val="auto"/>
                <w:highlight w:val="none"/>
                <w:lang w:val="en-US" w:eastAsia="zh-CN"/>
              </w:rPr>
              <w:t>53042</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，施工场地、井场表面铺满碎石，在进行覆土前需要清理，场地恢复后的土壤需清洁平整。</w:t>
            </w:r>
          </w:p>
          <w:p w14:paraId="04F3110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lang w:eastAsia="zh-CN"/>
              </w:rPr>
              <w:t>、</w:t>
            </w:r>
            <w:r>
              <w:rPr>
                <w:rFonts w:hint="default" w:ascii="Times New Roman" w:hAnsi="Times New Roman" w:cs="Times New Roman"/>
                <w:color w:val="auto"/>
              </w:rPr>
              <w:t>土地平整</w:t>
            </w:r>
          </w:p>
          <w:p w14:paraId="21A9150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井场经过建筑物拆除后，对井场内的土地进行整体的平整，部分拆除后的凹地，采用临时</w:t>
            </w:r>
            <w:r>
              <w:rPr>
                <w:rFonts w:hint="default" w:ascii="Times New Roman" w:hAnsi="Times New Roman" w:cs="Times New Roman"/>
                <w:color w:val="auto"/>
                <w:lang w:eastAsia="zh-CN"/>
              </w:rPr>
              <w:t>堆土场</w:t>
            </w:r>
            <w:r>
              <w:rPr>
                <w:rFonts w:hint="default" w:ascii="Times New Roman" w:hAnsi="Times New Roman" w:cs="Times New Roman"/>
                <w:color w:val="auto"/>
              </w:rPr>
              <w:t>的表土进行平整。</w:t>
            </w:r>
          </w:p>
          <w:p w14:paraId="4C4EBD6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恢复工程</w:t>
            </w:r>
          </w:p>
          <w:p w14:paraId="4E0A27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井场经过建筑物压占，车辆流动，板结严重。地表建筑物和地表碎石清除后，</w:t>
            </w:r>
            <w:r>
              <w:rPr>
                <w:rFonts w:hint="default" w:ascii="Times New Roman" w:hAnsi="Times New Roman" w:cs="Times New Roman"/>
                <w:color w:val="auto"/>
                <w:lang w:val="en-US" w:eastAsia="zh-CN"/>
              </w:rPr>
              <w:t>若永久封井，则</w:t>
            </w:r>
            <w:r>
              <w:rPr>
                <w:rFonts w:hint="default" w:ascii="Times New Roman" w:hAnsi="Times New Roman" w:cs="Times New Roman"/>
                <w:color w:val="auto"/>
              </w:rPr>
              <w:t>通过深翻耕松土透气，能够满足井场宜绿区域种植生长的要求</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17C52BB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②土壤修复</w:t>
            </w:r>
          </w:p>
          <w:p w14:paraId="01AC9C4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若施工过程对土地造成污染，首先应清理污染土壤运至有资质单位处置，然后则开展土壤修复工作。</w:t>
            </w:r>
          </w:p>
          <w:p w14:paraId="1395EED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生物措施</w:t>
            </w:r>
          </w:p>
          <w:p w14:paraId="39ACCBE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结合当地的气候条件进行相关污染土壤治理修复工作，</w:t>
            </w:r>
            <w:r>
              <w:rPr>
                <w:rFonts w:hint="default" w:ascii="Times New Roman" w:hAnsi="Times New Roman" w:cs="Times New Roman"/>
                <w:color w:val="auto"/>
                <w:lang w:val="en-US" w:eastAsia="zh-CN"/>
              </w:rPr>
              <w:t>如在污染区块</w:t>
            </w:r>
            <w:r>
              <w:rPr>
                <w:rFonts w:hint="default" w:ascii="Times New Roman" w:hAnsi="Times New Roman" w:cs="Times New Roman"/>
                <w:color w:val="auto"/>
              </w:rPr>
              <w:t>种植对石油类及有机物等具有较强富集能力的绿色植物进行植被修复。</w:t>
            </w:r>
          </w:p>
          <w:p w14:paraId="77CB406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B</w:t>
            </w:r>
            <w:r>
              <w:rPr>
                <w:rFonts w:hint="default" w:ascii="Times New Roman" w:hAnsi="Times New Roman" w:cs="Times New Roman"/>
                <w:color w:val="auto"/>
                <w:lang w:eastAsia="zh-CN"/>
              </w:rPr>
              <w:t>、</w:t>
            </w:r>
            <w:r>
              <w:rPr>
                <w:rFonts w:hint="default" w:ascii="Times New Roman" w:hAnsi="Times New Roman" w:cs="Times New Roman"/>
                <w:color w:val="auto"/>
              </w:rPr>
              <w:t>土壤培肥措施</w:t>
            </w:r>
          </w:p>
          <w:p w14:paraId="6D19AF1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井场勘探后如未发现</w:t>
            </w:r>
            <w:r>
              <w:rPr>
                <w:rFonts w:hint="default" w:ascii="Times New Roman" w:hAnsi="Times New Roman" w:cs="Times New Roman"/>
                <w:color w:val="auto"/>
                <w:lang w:val="en-US" w:eastAsia="zh-CN"/>
              </w:rPr>
              <w:t>天然气或不具开采价值</w:t>
            </w:r>
            <w:r>
              <w:rPr>
                <w:rFonts w:hint="default" w:ascii="Times New Roman" w:hAnsi="Times New Roman" w:cs="Times New Roman"/>
                <w:color w:val="auto"/>
              </w:rPr>
              <w:t>，进行土地复垦，复垦为</w:t>
            </w:r>
            <w:r>
              <w:rPr>
                <w:rFonts w:hint="default" w:ascii="Times New Roman" w:hAnsi="Times New Roman" w:cs="Times New Roman"/>
                <w:color w:val="auto"/>
                <w:lang w:val="en-US" w:eastAsia="zh-CN"/>
              </w:rPr>
              <w:t>原有土地利用类型</w:t>
            </w:r>
            <w:r>
              <w:rPr>
                <w:rFonts w:hint="default" w:ascii="Times New Roman" w:hAnsi="Times New Roman" w:cs="Times New Roman"/>
                <w:color w:val="auto"/>
              </w:rPr>
              <w:t>。根据场地的地形地貌因子、土壤物理性质、土壤化学性质、生物因子等指标，判定影响区域土壤修复与植被恢复的主要限制性因子，适量有机施肥，保障生产力水平不下降。</w:t>
            </w:r>
          </w:p>
          <w:p w14:paraId="1D26B5D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③生态人工恢复</w:t>
            </w:r>
          </w:p>
          <w:p w14:paraId="6BC3923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钻井工程结束后，若临时封井，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68F204E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若永久封井，</w:t>
            </w:r>
            <w:r>
              <w:rPr>
                <w:rFonts w:hint="default" w:ascii="Times New Roman" w:hAnsi="Times New Roman" w:cs="Times New Roman"/>
                <w:color w:val="auto"/>
              </w:rPr>
              <w:t>采取人工干预的手段进行生态恢复。生态人工恢复主要工序为：土地平整→植被种植→植被养护。</w:t>
            </w:r>
          </w:p>
          <w:p w14:paraId="445975C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根据本项目《榆林市投资项目选址“一张图”控制线检测报告》，项目共</w:t>
            </w:r>
            <w:r>
              <w:rPr>
                <w:rFonts w:hint="eastAsia" w:ascii="Times New Roman" w:hAnsi="Times New Roman" w:cs="Times New Roman"/>
                <w:color w:val="auto"/>
                <w:highlight w:val="none"/>
                <w:lang w:val="en-US" w:eastAsia="zh-CN"/>
              </w:rPr>
              <w:t>占用规划林地5.1257公顷</w:t>
            </w:r>
            <w:r>
              <w:rPr>
                <w:rFonts w:hint="default" w:ascii="Times New Roman" w:hAnsi="Times New Roman" w:cs="Times New Roman"/>
                <w:color w:val="auto"/>
                <w:highlight w:val="none"/>
                <w:lang w:val="en-US" w:eastAsia="zh-CN"/>
              </w:rPr>
              <w:t>，因此，本项目生态人工恢复目标为：规划为林地的区域恢复为林地，未规划为林地的区域恢复为原有</w:t>
            </w:r>
            <w:r>
              <w:rPr>
                <w:rFonts w:hint="eastAsia" w:ascii="Times New Roman" w:hAnsi="Times New Roman" w:cs="Times New Roman"/>
                <w:color w:val="auto"/>
                <w:highlight w:val="none"/>
                <w:lang w:val="en-US" w:eastAsia="zh-CN"/>
              </w:rPr>
              <w:t>的</w:t>
            </w:r>
            <w:r>
              <w:rPr>
                <w:rFonts w:hint="default" w:ascii="Times New Roman" w:hAnsi="Times New Roman" w:cs="Times New Roman"/>
                <w:color w:val="auto"/>
                <w:highlight w:val="none"/>
                <w:lang w:val="en-US" w:eastAsia="zh-CN"/>
              </w:rPr>
              <w:t>生态类型（草地</w:t>
            </w:r>
            <w:r>
              <w:rPr>
                <w:rFonts w:hint="eastAsia" w:ascii="Times New Roman" w:hAnsi="Times New Roman" w:cs="Times New Roman"/>
                <w:color w:val="auto"/>
                <w:highlight w:val="none"/>
                <w:lang w:val="en-US" w:eastAsia="zh-CN"/>
              </w:rPr>
              <w:t>、园地、耕地</w:t>
            </w:r>
            <w:r>
              <w:rPr>
                <w:rFonts w:hint="default" w:ascii="Times New Roman" w:hAnsi="Times New Roman" w:cs="Times New Roman"/>
                <w:color w:val="auto"/>
                <w:highlight w:val="none"/>
                <w:lang w:val="en-US" w:eastAsia="zh-CN"/>
              </w:rPr>
              <w:t>）。</w:t>
            </w:r>
          </w:p>
          <w:p w14:paraId="7A6F68F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草地恢复：若永久封井，</w:t>
            </w:r>
            <w:r>
              <w:rPr>
                <w:rFonts w:hint="default" w:ascii="Times New Roman" w:hAnsi="Times New Roman" w:cs="Times New Roman"/>
                <w:color w:val="auto"/>
                <w:highlight w:val="none"/>
              </w:rPr>
              <w:t>施工结束后，</w:t>
            </w:r>
            <w:r>
              <w:rPr>
                <w:rFonts w:hint="default" w:ascii="Times New Roman" w:hAnsi="Times New Roman" w:cs="Times New Roman"/>
                <w:color w:val="auto"/>
                <w:highlight w:val="none"/>
                <w:lang w:eastAsia="zh-CN"/>
              </w:rPr>
              <w:t>草地</w:t>
            </w:r>
            <w:r>
              <w:rPr>
                <w:rFonts w:hint="default" w:ascii="Times New Roman" w:hAnsi="Times New Roman" w:cs="Times New Roman"/>
                <w:color w:val="auto"/>
                <w:highlight w:val="none"/>
              </w:rPr>
              <w:t>恢复为原有生态类型，</w:t>
            </w:r>
            <w:r>
              <w:rPr>
                <w:rFonts w:hint="default" w:ascii="Times New Roman" w:hAnsi="Times New Roman" w:cs="Times New Roman"/>
                <w:color w:val="auto"/>
                <w:highlight w:val="none"/>
                <w:lang w:val="en-US" w:eastAsia="zh-CN"/>
              </w:rPr>
              <w:t>草地恢复面积为</w:t>
            </w:r>
            <w:r>
              <w:rPr>
                <w:rFonts w:hint="eastAsia" w:ascii="Times New Roman" w:hAnsi="Times New Roman" w:cs="Times New Roman"/>
                <w:color w:val="auto"/>
                <w:highlight w:val="none"/>
                <w:lang w:val="en-US" w:eastAsia="zh-CN"/>
              </w:rPr>
              <w:t>3.2824</w:t>
            </w:r>
            <w:r>
              <w:rPr>
                <w:rFonts w:hint="eastAsia" w:ascii="Times New Roman" w:hAnsi="Times New Roman" w:eastAsia="宋体" w:cs="Times New Roman"/>
                <w:color w:val="auto"/>
                <w:highlight w:val="none"/>
                <w:lang w:val="en-US" w:eastAsia="zh-CN"/>
              </w:rPr>
              <w:t>公顷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草本植物可选择披碱草、柠条、紫花苜蓿</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沙打旺、沙嵩、黄蒿等，披碱草、紫花、苜蓿撒播量45kg/hm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既能起到防风固沙、水土保持的作用</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又不会对项目区域生态景观造成影响</w:t>
            </w:r>
            <w:r>
              <w:rPr>
                <w:rFonts w:hint="default" w:ascii="Times New Roman" w:hAnsi="Times New Roman" w:cs="Times New Roman"/>
                <w:color w:val="auto"/>
                <w:highlight w:val="none"/>
                <w:lang w:val="en-US" w:eastAsia="zh-CN"/>
              </w:rPr>
              <w:t>。</w:t>
            </w:r>
          </w:p>
          <w:p w14:paraId="522AA0B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林地恢复：若永久封井，</w:t>
            </w:r>
            <w:r>
              <w:rPr>
                <w:rFonts w:hint="default" w:ascii="Times New Roman" w:hAnsi="Times New Roman" w:cs="Times New Roman"/>
                <w:color w:val="auto"/>
              </w:rPr>
              <w:t>施工结束后，</w:t>
            </w:r>
            <w:r>
              <w:rPr>
                <w:rFonts w:hint="default" w:ascii="Times New Roman" w:hAnsi="Times New Roman" w:cs="Times New Roman"/>
                <w:color w:val="auto"/>
                <w:highlight w:val="none"/>
                <w:lang w:val="en-US" w:eastAsia="zh-CN"/>
              </w:rPr>
              <w:t>进行林地恢复</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恢复面积为</w:t>
            </w:r>
            <w:r>
              <w:rPr>
                <w:rFonts w:hint="eastAsia" w:ascii="Times New Roman" w:hAnsi="Times New Roman" w:cs="Times New Roman"/>
                <w:color w:val="auto"/>
                <w:highlight w:val="none"/>
                <w:lang w:val="en-US" w:eastAsia="zh-CN"/>
              </w:rPr>
              <w:t>5.1257公顷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生态恢复植被应选用当地耐寒、保水固土能力强根系发达的物种，优先考虑灌木树种，</w:t>
            </w:r>
            <w:r>
              <w:rPr>
                <w:rFonts w:hint="default" w:ascii="Times New Roman" w:hAnsi="Times New Roman" w:cs="Times New Roman"/>
                <w:color w:val="auto"/>
                <w:highlight w:val="none"/>
                <w:lang w:val="en-US" w:eastAsia="zh-CN"/>
              </w:rPr>
              <w:t>如</w:t>
            </w:r>
            <w:r>
              <w:rPr>
                <w:rFonts w:hint="default" w:ascii="Times New Roman" w:hAnsi="Times New Roman" w:cs="Times New Roman"/>
                <w:color w:val="auto"/>
                <w:highlight w:val="none"/>
              </w:rPr>
              <w:t>柠条、沙棘等</w:t>
            </w:r>
            <w:r>
              <w:rPr>
                <w:rFonts w:hint="default" w:ascii="Times New Roman" w:hAnsi="Times New Roman" w:cs="Times New Roman"/>
                <w:color w:val="auto"/>
                <w:highlight w:val="none"/>
                <w:lang w:eastAsia="zh-CN"/>
              </w:rPr>
              <w:t>。</w:t>
            </w:r>
          </w:p>
          <w:p w14:paraId="112535E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本项目治理区土地复垦主要的用途为</w:t>
            </w:r>
            <w:r>
              <w:rPr>
                <w:rFonts w:hint="default" w:ascii="Times New Roman" w:hAnsi="Times New Roman" w:cs="Times New Roman"/>
                <w:color w:val="auto"/>
                <w:lang w:val="en-US" w:eastAsia="zh-CN"/>
              </w:rPr>
              <w:t>林</w:t>
            </w:r>
            <w:r>
              <w:rPr>
                <w:rFonts w:hint="default" w:ascii="Times New Roman" w:hAnsi="Times New Roman" w:cs="Times New Roman"/>
                <w:color w:val="auto"/>
              </w:rPr>
              <w:t>地，根据《土地复垦质量控制标准》（TD/T1036-2013）中黄土高原区土地复垦质量控制标准，本项目土地复垦具体控制指标见下表。</w:t>
            </w:r>
          </w:p>
          <w:p w14:paraId="12314791">
            <w:pPr>
              <w:pStyle w:val="1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表</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本项目生态恢复控制指标表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079"/>
              <w:gridCol w:w="4560"/>
            </w:tblGrid>
            <w:tr w14:paraId="1176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4013C8E5">
                  <w:pPr>
                    <w:pStyle w:val="27"/>
                    <w:bidi w:val="0"/>
                    <w:snapToGrid w:val="0"/>
                    <w:jc w:val="center"/>
                    <w:rPr>
                      <w:rFonts w:hint="default" w:ascii="Times New Roman" w:hAnsi="Times New Roman" w:cs="Times New Roman"/>
                      <w:color w:val="auto"/>
                      <w:lang w:val="en-US" w:eastAsia="zh-CN"/>
                    </w:rPr>
                  </w:pPr>
                </w:p>
                <w:p w14:paraId="04681BEE">
                  <w:pPr>
                    <w:pStyle w:val="27"/>
                    <w:bidi w:val="0"/>
                    <w:snapToGrid w:val="0"/>
                    <w:jc w:val="center"/>
                    <mc:AlternateContent>
                      <mc:Choice Requires="wpsCustomData">
                        <wpsCustomData:diagonalParaType/>
                      </mc:Choice>
                    </mc:AlternateConten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基本指标</w:t>
                  </w:r>
                </w:p>
                <w:p w14:paraId="27223D2D">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复垦方向</w:t>
                  </w:r>
                </w:p>
              </w:tc>
              <w:tc>
                <w:tcPr>
                  <w:tcW w:w="4335" w:type="dxa"/>
                  <w:vAlign w:val="center"/>
                </w:tcPr>
                <w:p w14:paraId="775653DA">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本项目控制标准</w:t>
                  </w:r>
                </w:p>
              </w:tc>
            </w:tr>
            <w:tr w14:paraId="7A149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3877" w:type="dxa"/>
                  <w:vMerge w:val="continue"/>
                  <w:vAlign w:val="center"/>
                </w:tcPr>
                <w:p w14:paraId="37EDBE26">
                  <w:pPr>
                    <w:pStyle w:val="27"/>
                    <w:bidi w:val="0"/>
                    <w:jc w:val="center"/>
                    <w:rPr>
                      <w:rFonts w:hint="default" w:ascii="Times New Roman" w:hAnsi="Times New Roman" w:cs="Times New Roman"/>
                      <w:color w:val="auto"/>
                    </w:rPr>
                  </w:pPr>
                </w:p>
              </w:tc>
              <w:tc>
                <w:tcPr>
                  <w:tcW w:w="4335" w:type="dxa"/>
                  <w:vAlign w:val="center"/>
                </w:tcPr>
                <w:p w14:paraId="72C81409">
                  <w:pPr>
                    <w:pStyle w:val="2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灌木林地</w:t>
                  </w:r>
                </w:p>
              </w:tc>
            </w:tr>
            <w:tr w14:paraId="0A0C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028A460">
                  <w:pPr>
                    <w:pStyle w:val="27"/>
                    <w:bidi w:val="0"/>
                    <w:jc w:val="center"/>
                    <w:rPr>
                      <w:rFonts w:hint="default" w:ascii="Times New Roman" w:hAnsi="Times New Roman" w:cs="Times New Roman"/>
                      <w:color w:val="auto"/>
                    </w:rPr>
                  </w:pPr>
                  <w:r>
                    <w:rPr>
                      <w:rFonts w:hint="default" w:ascii="Times New Roman" w:hAnsi="Times New Roman" w:cs="Times New Roman"/>
                      <w:color w:val="auto"/>
                    </w:rPr>
                    <w:t>有效土层厚度/（cm）</w:t>
                  </w:r>
                </w:p>
              </w:tc>
              <w:tc>
                <w:tcPr>
                  <w:tcW w:w="4335" w:type="dxa"/>
                  <w:vAlign w:val="center"/>
                </w:tcPr>
                <w:p w14:paraId="605CF0B9">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30</w:t>
                  </w:r>
                </w:p>
              </w:tc>
            </w:tr>
            <w:tr w14:paraId="1807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05B64B42">
                  <w:pPr>
                    <w:pStyle w:val="27"/>
                    <w:bidi w:val="0"/>
                    <w:jc w:val="center"/>
                    <w:rPr>
                      <w:rFonts w:hint="default" w:ascii="Times New Roman" w:hAnsi="Times New Roman" w:cs="Times New Roman"/>
                      <w:color w:val="auto"/>
                    </w:rPr>
                  </w:pPr>
                  <w:r>
                    <w:rPr>
                      <w:rFonts w:hint="default" w:ascii="Times New Roman" w:hAnsi="Times New Roman" w:cs="Times New Roman"/>
                      <w:color w:val="auto"/>
                    </w:rPr>
                    <w:t>土壤容重/（g/cm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4335" w:type="dxa"/>
                  <w:vAlign w:val="center"/>
                </w:tcPr>
                <w:p w14:paraId="6EC4ACBC">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1.5</w:t>
                  </w:r>
                </w:p>
              </w:tc>
            </w:tr>
            <w:tr w14:paraId="2582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E45F3F3">
                  <w:pPr>
                    <w:pStyle w:val="27"/>
                    <w:bidi w:val="0"/>
                    <w:jc w:val="center"/>
                    <w:rPr>
                      <w:rFonts w:hint="default" w:ascii="Times New Roman" w:hAnsi="Times New Roman" w:cs="Times New Roman"/>
                      <w:color w:val="auto"/>
                    </w:rPr>
                  </w:pPr>
                  <w:r>
                    <w:rPr>
                      <w:rFonts w:hint="default" w:ascii="Times New Roman" w:hAnsi="Times New Roman" w:cs="Times New Roman"/>
                      <w:color w:val="auto"/>
                    </w:rPr>
                    <w:t>土壤质地</w:t>
                  </w:r>
                </w:p>
              </w:tc>
              <w:tc>
                <w:tcPr>
                  <w:tcW w:w="4335" w:type="dxa"/>
                  <w:vAlign w:val="center"/>
                </w:tcPr>
                <w:p w14:paraId="49A69B96">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砂土至砂质黏土</w:t>
                  </w:r>
                </w:p>
              </w:tc>
            </w:tr>
            <w:tr w14:paraId="3A4D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376343">
                  <w:pPr>
                    <w:pStyle w:val="27"/>
                    <w:bidi w:val="0"/>
                    <w:jc w:val="center"/>
                    <w:rPr>
                      <w:rFonts w:hint="default" w:ascii="Times New Roman" w:hAnsi="Times New Roman" w:cs="Times New Roman"/>
                      <w:color w:val="auto"/>
                    </w:rPr>
                  </w:pPr>
                  <w:r>
                    <w:rPr>
                      <w:rFonts w:hint="default" w:ascii="Times New Roman" w:hAnsi="Times New Roman" w:cs="Times New Roman"/>
                      <w:color w:val="auto"/>
                    </w:rPr>
                    <w:t>砾石含量/（%）</w:t>
                  </w:r>
                </w:p>
              </w:tc>
              <w:tc>
                <w:tcPr>
                  <w:tcW w:w="4335" w:type="dxa"/>
                  <w:vAlign w:val="center"/>
                </w:tcPr>
                <w:p w14:paraId="5271ADFC">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25</w:t>
                  </w:r>
                </w:p>
              </w:tc>
            </w:tr>
            <w:tr w14:paraId="0E10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51C6BE86">
                  <w:pPr>
                    <w:pStyle w:val="27"/>
                    <w:bidi w:val="0"/>
                    <w:jc w:val="center"/>
                    <w:rPr>
                      <w:rFonts w:hint="default" w:ascii="Times New Roman" w:hAnsi="Times New Roman" w:cs="Times New Roman"/>
                      <w:color w:val="auto"/>
                    </w:rPr>
                  </w:pPr>
                  <w:r>
                    <w:rPr>
                      <w:rFonts w:hint="default" w:ascii="Times New Roman" w:hAnsi="Times New Roman" w:cs="Times New Roman"/>
                      <w:color w:val="auto"/>
                    </w:rPr>
                    <w:t>pH值</w:t>
                  </w:r>
                </w:p>
              </w:tc>
              <w:tc>
                <w:tcPr>
                  <w:tcW w:w="4335" w:type="dxa"/>
                  <w:vAlign w:val="center"/>
                </w:tcPr>
                <w:p w14:paraId="56108BF9">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6.5-8.5</w:t>
                  </w:r>
                </w:p>
              </w:tc>
            </w:tr>
            <w:tr w14:paraId="3419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41C9CFDD">
                  <w:pPr>
                    <w:pStyle w:val="27"/>
                    <w:bidi w:val="0"/>
                    <w:jc w:val="center"/>
                    <w:rPr>
                      <w:rFonts w:hint="default" w:ascii="Times New Roman" w:hAnsi="Times New Roman" w:cs="Times New Roman"/>
                      <w:color w:val="auto"/>
                    </w:rPr>
                  </w:pPr>
                  <w:r>
                    <w:rPr>
                      <w:rFonts w:hint="default" w:ascii="Times New Roman" w:hAnsi="Times New Roman" w:cs="Times New Roman"/>
                      <w:color w:val="auto"/>
                    </w:rPr>
                    <w:t>有机质/（%）</w:t>
                  </w:r>
                </w:p>
              </w:tc>
              <w:tc>
                <w:tcPr>
                  <w:tcW w:w="4335" w:type="dxa"/>
                  <w:vAlign w:val="center"/>
                </w:tcPr>
                <w:p w14:paraId="0DE45FB4">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0.5</w:t>
                  </w:r>
                </w:p>
              </w:tc>
            </w:tr>
            <w:tr w14:paraId="31BF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CB43962">
                  <w:pPr>
                    <w:pStyle w:val="27"/>
                    <w:bidi w:val="0"/>
                    <w:jc w:val="center"/>
                    <w:rPr>
                      <w:rFonts w:hint="default" w:ascii="Times New Roman" w:hAnsi="Times New Roman" w:cs="Times New Roman"/>
                      <w:color w:val="auto"/>
                    </w:rPr>
                  </w:pPr>
                  <w:r>
                    <w:rPr>
                      <w:rFonts w:hint="default" w:ascii="Times New Roman" w:hAnsi="Times New Roman" w:cs="Times New Roman"/>
                      <w:color w:val="auto"/>
                    </w:rPr>
                    <w:t>配套设施（道路）</w:t>
                  </w:r>
                </w:p>
              </w:tc>
              <w:tc>
                <w:tcPr>
                  <w:tcW w:w="4335" w:type="dxa"/>
                  <w:vAlign w:val="center"/>
                </w:tcPr>
                <w:p w14:paraId="65227AB7">
                  <w:pPr>
                    <w:pStyle w:val="27"/>
                    <w:bidi w:val="0"/>
                    <w:jc w:val="center"/>
                    <w:rPr>
                      <w:rFonts w:hint="default" w:ascii="Times New Roman" w:hAnsi="Times New Roman" w:cs="Times New Roman"/>
                      <w:color w:val="auto"/>
                    </w:rPr>
                  </w:pPr>
                  <w:r>
                    <w:rPr>
                      <w:rFonts w:hint="default" w:ascii="Times New Roman" w:hAnsi="Times New Roman" w:cs="Times New Roman"/>
                      <w:color w:val="auto"/>
                    </w:rPr>
                    <w:t>达到</w:t>
                  </w:r>
                  <w:r>
                    <w:rPr>
                      <w:rFonts w:hint="default" w:ascii="Times New Roman" w:hAnsi="Times New Roman" w:cs="Times New Roman"/>
                      <w:color w:val="auto"/>
                      <w:lang w:val="en-US" w:eastAsia="zh-CN"/>
                    </w:rPr>
                    <w:t>当地本行业工程</w:t>
                  </w:r>
                  <w:r>
                    <w:rPr>
                      <w:rFonts w:hint="default" w:ascii="Times New Roman" w:hAnsi="Times New Roman" w:cs="Times New Roman"/>
                      <w:color w:val="auto"/>
                    </w:rPr>
                    <w:t>建设标准要求</w:t>
                  </w:r>
                </w:p>
              </w:tc>
            </w:tr>
            <w:tr w14:paraId="4616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127B0DD8">
                  <w:pPr>
                    <w:pStyle w:val="2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定植密度</w:t>
                  </w:r>
                  <w:r>
                    <w:rPr>
                      <w:rFonts w:hint="default" w:ascii="Times New Roman" w:hAnsi="Times New Roman" w:cs="Times New Roman"/>
                      <w:color w:val="auto"/>
                    </w:rPr>
                    <w:t>/（</w:t>
                  </w:r>
                  <w:r>
                    <w:rPr>
                      <w:rFonts w:hint="default" w:ascii="Times New Roman" w:hAnsi="Times New Roman" w:cs="Times New Roman"/>
                      <w:color w:val="auto"/>
                      <w:lang w:val="en-US" w:eastAsia="zh-CN"/>
                    </w:rPr>
                    <w:t>株</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4335" w:type="dxa"/>
                  <w:vAlign w:val="center"/>
                </w:tcPr>
                <w:p w14:paraId="67CCE726">
                  <w:pPr>
                    <w:pStyle w:val="2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满足《造林作业设计规程》（LY/T1607）要求</w:t>
                  </w:r>
                </w:p>
              </w:tc>
            </w:tr>
            <w:tr w14:paraId="1AB3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3877" w:type="dxa"/>
                  <w:vAlign w:val="center"/>
                </w:tcPr>
                <w:p w14:paraId="22FCA3B6">
                  <w:pPr>
                    <w:pStyle w:val="2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郁闭</w:t>
                  </w:r>
                  <w:r>
                    <w:rPr>
                      <w:rFonts w:hint="default" w:ascii="Times New Roman" w:hAnsi="Times New Roman" w:cs="Times New Roman"/>
                      <w:color w:val="auto"/>
                    </w:rPr>
                    <w:t>度/（%）</w:t>
                  </w:r>
                </w:p>
              </w:tc>
              <w:tc>
                <w:tcPr>
                  <w:tcW w:w="4335" w:type="dxa"/>
                  <w:vAlign w:val="center"/>
                </w:tcPr>
                <w:p w14:paraId="341A0FB0">
                  <w:pPr>
                    <w:pStyle w:val="27"/>
                    <w:bidi w:val="0"/>
                    <w:jc w:val="center"/>
                    <w:rPr>
                      <w:rFonts w:hint="default" w:ascii="Times New Roman" w:hAnsi="Times New Roman" w:cs="Times New Roman"/>
                      <w:color w:val="auto"/>
                      <w:lang w:val="en-US"/>
                    </w:rPr>
                  </w:pPr>
                  <w:r>
                    <w:rPr>
                      <w:rFonts w:hint="default" w:ascii="Times New Roman" w:hAnsi="Times New Roman" w:eastAsia="宋体" w:cs="Times New Roman"/>
                      <w:color w:val="auto"/>
                    </w:rPr>
                    <w:t>≥</w:t>
                  </w:r>
                  <w:r>
                    <w:rPr>
                      <w:rFonts w:hint="default" w:ascii="Times New Roman" w:hAnsi="Times New Roman" w:cs="Times New Roman"/>
                      <w:color w:val="auto"/>
                      <w:lang w:val="en-US" w:eastAsia="zh-CN"/>
                    </w:rPr>
                    <w:t>0.30</w:t>
                  </w:r>
                </w:p>
              </w:tc>
            </w:tr>
          </w:tbl>
          <w:p w14:paraId="644F7397">
            <w:pPr>
              <w:pStyle w:val="1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表5-2  临时生态保护措施一览表</w:t>
            </w:r>
          </w:p>
          <w:tbl>
            <w:tblPr>
              <w:tblStyle w:val="20"/>
              <w:tblW w:w="49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2453"/>
              <w:gridCol w:w="1728"/>
              <w:gridCol w:w="2832"/>
            </w:tblGrid>
            <w:tr w14:paraId="0A3F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jc w:val="center"/>
              </w:trPr>
              <w:tc>
                <w:tcPr>
                  <w:tcW w:w="927" w:type="pct"/>
                  <w:noWrap w:val="0"/>
                  <w:vAlign w:val="center"/>
                </w:tcPr>
                <w:p w14:paraId="427E240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现状占地类型</w:t>
                  </w:r>
                </w:p>
              </w:tc>
              <w:tc>
                <w:tcPr>
                  <w:tcW w:w="1424" w:type="pct"/>
                  <w:noWrap w:val="0"/>
                  <w:vAlign w:val="center"/>
                </w:tcPr>
                <w:p w14:paraId="020BE3BC">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恢复类型及面积</w:t>
                  </w:r>
                </w:p>
              </w:tc>
              <w:tc>
                <w:tcPr>
                  <w:tcW w:w="1003" w:type="pct"/>
                  <w:noWrap w:val="0"/>
                  <w:vAlign w:val="center"/>
                </w:tcPr>
                <w:p w14:paraId="7DE2940F">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恢复种植</w:t>
                  </w:r>
                </w:p>
              </w:tc>
              <w:tc>
                <w:tcPr>
                  <w:tcW w:w="1644" w:type="pct"/>
                  <w:noWrap w:val="0"/>
                  <w:vAlign w:val="center"/>
                </w:tcPr>
                <w:p w14:paraId="36ED8FE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恢复时间</w:t>
                  </w:r>
                </w:p>
              </w:tc>
            </w:tr>
            <w:tr w14:paraId="57AB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927" w:type="pct"/>
                  <w:noWrap w:val="0"/>
                  <w:vAlign w:val="center"/>
                </w:tcPr>
                <w:p w14:paraId="3C083CC6">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耕地、林地和草地</w:t>
                  </w:r>
                </w:p>
              </w:tc>
              <w:tc>
                <w:tcPr>
                  <w:tcW w:w="1424" w:type="pct"/>
                  <w:noWrap w:val="0"/>
                  <w:vAlign w:val="center"/>
                </w:tcPr>
                <w:p w14:paraId="7BF4D359">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项目临时占地53042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，临时用地恢复原状，即</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highlight w:val="none"/>
                      <w:lang w:val="en-US" w:eastAsia="zh-CN"/>
                    </w:rPr>
                    <w:t>恢复为</w:t>
                  </w:r>
                  <w:r>
                    <w:rPr>
                      <w:rFonts w:hint="default" w:ascii="Times New Roman" w:hAnsi="Times New Roman" w:eastAsia="宋体" w:cs="Times New Roman"/>
                      <w:color w:val="auto"/>
                      <w:sz w:val="21"/>
                      <w:szCs w:val="21"/>
                      <w:lang w:val="en-US" w:eastAsia="zh-CN"/>
                    </w:rPr>
                    <w:t>耕地</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highlight w:val="none"/>
                      <w:lang w:val="en-US" w:eastAsia="zh-CN"/>
                    </w:rPr>
                    <w:t>草地恢复为草地，林地恢复为林地，并辅以草地搭配。</w:t>
                  </w:r>
                </w:p>
              </w:tc>
              <w:tc>
                <w:tcPr>
                  <w:tcW w:w="1003" w:type="pct"/>
                  <w:noWrap w:val="0"/>
                  <w:vAlign w:val="center"/>
                </w:tcPr>
                <w:p w14:paraId="6E95C0EE">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olor w:val="auto"/>
                      <w:sz w:val="21"/>
                      <w:szCs w:val="21"/>
                      <w:lang w:val="en-US" w:eastAsia="zh-CN"/>
                    </w:rPr>
                    <w:t>林木</w:t>
                  </w:r>
                  <w:r>
                    <w:rPr>
                      <w:color w:val="auto"/>
                      <w:sz w:val="21"/>
                      <w:szCs w:val="21"/>
                    </w:rPr>
                    <w:t>优先考虑灌木树种，</w:t>
                  </w:r>
                  <w:r>
                    <w:rPr>
                      <w:rFonts w:hint="eastAsia"/>
                      <w:color w:val="auto"/>
                      <w:sz w:val="21"/>
                      <w:szCs w:val="21"/>
                      <w:lang w:val="en-US" w:eastAsia="zh-CN"/>
                    </w:rPr>
                    <w:t>如</w:t>
                  </w:r>
                  <w:r>
                    <w:rPr>
                      <w:color w:val="auto"/>
                      <w:sz w:val="21"/>
                      <w:szCs w:val="21"/>
                    </w:rPr>
                    <w:t>柠条、沙棘等；草本有冰草、沙打旺、沙嵩、黄蒿等</w:t>
                  </w:r>
                  <w:r>
                    <w:rPr>
                      <w:rFonts w:hint="eastAsia"/>
                      <w:color w:val="auto"/>
                      <w:sz w:val="21"/>
                      <w:szCs w:val="21"/>
                      <w:lang w:eastAsia="zh-CN"/>
                    </w:rPr>
                    <w:t>；</w:t>
                  </w:r>
                  <w:r>
                    <w:rPr>
                      <w:rFonts w:hint="eastAsia"/>
                      <w:color w:val="auto"/>
                      <w:sz w:val="21"/>
                      <w:szCs w:val="21"/>
                      <w:lang w:val="en-US" w:eastAsia="zh-CN"/>
                    </w:rPr>
                    <w:t>耕地交由农民进行复垦，给农户相应的补偿</w:t>
                  </w:r>
                </w:p>
              </w:tc>
              <w:tc>
                <w:tcPr>
                  <w:tcW w:w="1644" w:type="pct"/>
                  <w:noWrap w:val="0"/>
                  <w:vAlign w:val="center"/>
                </w:tcPr>
                <w:p w14:paraId="292DB68A">
                  <w:pPr>
                    <w:keepNext w:val="0"/>
                    <w:keepLines w:val="0"/>
                    <w:pageBreakBefore w:val="0"/>
                    <w:widowControl w:val="0"/>
                    <w:kinsoku/>
                    <w:wordWrap/>
                    <w:overflowPunct/>
                    <w:topLinePunct w:val="0"/>
                    <w:autoSpaceDE/>
                    <w:autoSpaceDN/>
                    <w:bidi w:val="0"/>
                    <w:adjustRightInd/>
                    <w:snapToGrid/>
                    <w:spacing w:line="240" w:lineRule="auto"/>
                    <w:ind w:left="-110" w:leftChars="-50" w:right="-110" w:rightChars="-50" w:firstLine="0" w:firstLineChars="0"/>
                    <w:contextualSpacing/>
                    <w:jc w:val="center"/>
                    <w:textAlignment w:val="baseline"/>
                    <w:rPr>
                      <w:rFonts w:hint="default" w:ascii="宋体" w:hAnsi="宋体" w:eastAsia="宋体" w:cs="宋体"/>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施工结合后根据气候条件适时开展生态恢复工作，确保2-3年内临时占地恢复到原有植被类型和覆盖度。</w:t>
                  </w:r>
                </w:p>
              </w:tc>
            </w:tr>
          </w:tbl>
          <w:p w14:paraId="1B2E4F0A">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永久封井时，项目临时占地生态恢复措施设计图见图5-2。</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9"/>
            </w:tblGrid>
            <w:tr w14:paraId="6902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517C613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322570" cy="1861185"/>
                        <wp:effectExtent l="0" t="0" r="1143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3"/>
                                <a:stretch>
                                  <a:fillRect/>
                                </a:stretch>
                              </pic:blipFill>
                              <pic:spPr>
                                <a:xfrm>
                                  <a:off x="0" y="0"/>
                                  <a:ext cx="5322570" cy="1861185"/>
                                </a:xfrm>
                                <a:prstGeom prst="rect">
                                  <a:avLst/>
                                </a:prstGeom>
                                <a:noFill/>
                                <a:ln>
                                  <a:noFill/>
                                </a:ln>
                              </pic:spPr>
                            </pic:pic>
                          </a:graphicData>
                        </a:graphic>
                      </wp:inline>
                    </w:drawing>
                  </w:r>
                </w:p>
              </w:tc>
            </w:tr>
            <w:tr w14:paraId="12A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7DD218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林地恢复为林地，</w:t>
                  </w:r>
                  <w:r>
                    <w:rPr>
                      <w:rFonts w:hint="eastAsia" w:ascii="Times New Roman" w:hAnsi="Times New Roman" w:eastAsia="宋体" w:cs="Times New Roman"/>
                      <w:b/>
                      <w:bCs/>
                      <w:color w:val="auto"/>
                      <w:sz w:val="21"/>
                      <w:szCs w:val="21"/>
                      <w:highlight w:val="none"/>
                      <w:lang w:val="en-US" w:eastAsia="zh-CN"/>
                    </w:rPr>
                    <w:t>辅以草地搭配。</w:t>
                  </w:r>
                </w:p>
              </w:tc>
            </w:tr>
            <w:tr w14:paraId="657A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0603F59B">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both"/>
                    <w:textAlignment w:val="auto"/>
                    <w:outlineLvl w:val="9"/>
                    <w:rPr>
                      <w:rFonts w:hint="eastAsia"/>
                      <w:color w:val="auto"/>
                      <w:vertAlign w:val="baseline"/>
                      <w:lang w:val="en-US" w:eastAsia="zh-CN"/>
                    </w:rPr>
                  </w:pPr>
                  <w:r>
                    <w:rPr>
                      <w:color w:val="auto"/>
                    </w:rPr>
                    <w:drawing>
                      <wp:inline distT="0" distB="0" distL="114300" distR="114300">
                        <wp:extent cx="5442585" cy="1965325"/>
                        <wp:effectExtent l="0" t="0" r="5715" b="1587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4"/>
                                <a:stretch>
                                  <a:fillRect/>
                                </a:stretch>
                              </pic:blipFill>
                              <pic:spPr>
                                <a:xfrm>
                                  <a:off x="0" y="0"/>
                                  <a:ext cx="5442585" cy="1965325"/>
                                </a:xfrm>
                                <a:prstGeom prst="rect">
                                  <a:avLst/>
                                </a:prstGeom>
                                <a:noFill/>
                                <a:ln>
                                  <a:noFill/>
                                </a:ln>
                              </pic:spPr>
                            </pic:pic>
                          </a:graphicData>
                        </a:graphic>
                      </wp:inline>
                    </w:drawing>
                  </w:r>
                </w:p>
              </w:tc>
            </w:tr>
            <w:tr w14:paraId="60F8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3D3A3BAE">
                  <w:pPr>
                    <w:keepNext/>
                    <w:keepLines/>
                    <w:pageBreakBefore w:val="0"/>
                    <w:widowControl w:val="0"/>
                    <w:kinsoku/>
                    <w:wordWrap/>
                    <w:overflowPunct/>
                    <w:topLinePunct w:val="0"/>
                    <w:autoSpaceDE/>
                    <w:autoSpaceDN/>
                    <w:bidi w:val="0"/>
                    <w:adjustRightInd w:val="0"/>
                    <w:snapToGrid w:val="0"/>
                    <w:spacing w:before="0" w:after="0" w:line="240" w:lineRule="auto"/>
                    <w:ind w:left="-110" w:leftChars="-50" w:right="-110" w:rightChars="-50" w:firstLine="0" w:firstLineChars="0"/>
                    <w:jc w:val="center"/>
                    <w:textAlignment w:val="auto"/>
                    <w:outlineLvl w:val="9"/>
                    <w:rPr>
                      <w:rFonts w:hint="default"/>
                      <w:b/>
                      <w:bCs/>
                      <w:color w:val="auto"/>
                      <w:sz w:val="21"/>
                      <w:szCs w:val="21"/>
                      <w:vertAlign w:val="baseline"/>
                      <w:lang w:val="en-US" w:eastAsia="zh-CN"/>
                    </w:rPr>
                  </w:pPr>
                  <w:r>
                    <w:rPr>
                      <w:rFonts w:hint="eastAsia"/>
                      <w:b/>
                      <w:bCs/>
                      <w:color w:val="auto"/>
                      <w:sz w:val="21"/>
                      <w:szCs w:val="21"/>
                      <w:vertAlign w:val="baseline"/>
                      <w:lang w:val="en-US" w:eastAsia="zh-CN"/>
                    </w:rPr>
                    <w:t>草地恢复为草地</w:t>
                  </w:r>
                </w:p>
              </w:tc>
            </w:tr>
          </w:tbl>
          <w:p w14:paraId="0E511BA7">
            <w:pPr>
              <w:keepLines w:val="0"/>
              <w:pageBreakBefore w:val="0"/>
              <w:kinsoku/>
              <w:wordWrap/>
              <w:overflowPunct/>
              <w:topLinePunct w:val="0"/>
              <w:autoSpaceDE/>
              <w:autoSpaceDN/>
              <w:bidi w:val="0"/>
              <w:adjustRightInd w:val="0"/>
              <w:snapToGrid/>
              <w:spacing w:line="360" w:lineRule="auto"/>
              <w:ind w:right="0" w:firstLine="480" w:firstLineChars="200"/>
              <w:jc w:val="both"/>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color w:val="auto"/>
                <w:sz w:val="24"/>
                <w:lang w:val="en-US" w:eastAsia="zh-CN"/>
              </w:rPr>
              <w:t xml:space="preserve">             </w:t>
            </w:r>
            <w:r>
              <w:rPr>
                <w:rFonts w:hint="eastAsia" w:ascii="Times New Roman" w:hAnsi="Times New Roman" w:cs="Times New Roman"/>
                <w:b/>
                <w:bCs/>
                <w:color w:val="auto"/>
                <w:sz w:val="24"/>
                <w:lang w:val="en-US" w:eastAsia="zh-CN"/>
              </w:rPr>
              <w:t xml:space="preserve"> </w:t>
            </w:r>
            <w:r>
              <w:rPr>
                <w:rFonts w:hint="default" w:ascii="Times New Roman" w:hAnsi="Times New Roman" w:cs="Times New Roman"/>
                <w:b/>
                <w:bCs/>
                <w:color w:val="auto"/>
                <w:sz w:val="21"/>
                <w:szCs w:val="21"/>
                <w:vertAlign w:val="baseline"/>
                <w:lang w:val="en-US" w:eastAsia="zh-CN"/>
              </w:rPr>
              <w:t xml:space="preserve"> 图5-</w:t>
            </w:r>
            <w:r>
              <w:rPr>
                <w:rFonts w:hint="eastAsia" w:ascii="Times New Roman" w:hAnsi="Times New Roman" w:cs="Times New Roman"/>
                <w:b/>
                <w:bCs/>
                <w:color w:val="auto"/>
                <w:sz w:val="21"/>
                <w:szCs w:val="21"/>
                <w:vertAlign w:val="baseline"/>
                <w:lang w:val="en-US" w:eastAsia="zh-CN"/>
              </w:rPr>
              <w:t>3</w:t>
            </w:r>
            <w:r>
              <w:rPr>
                <w:rFonts w:hint="default" w:ascii="Times New Roman" w:hAnsi="Times New Roman" w:cs="Times New Roman"/>
                <w:b/>
                <w:bCs/>
                <w:color w:val="auto"/>
                <w:sz w:val="21"/>
                <w:szCs w:val="21"/>
                <w:vertAlign w:val="baseline"/>
                <w:lang w:val="en-US" w:eastAsia="zh-CN"/>
              </w:rPr>
              <w:t xml:space="preserve">  项目临时占地生态恢复措施图</w:t>
            </w:r>
          </w:p>
          <w:p w14:paraId="3A9C2CB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（5）生态环境综合整治后效果</w:t>
            </w:r>
          </w:p>
          <w:p w14:paraId="6EC641D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由工程分析和影响分析可知，工程建设对生态环境的影响主要表现在对局部植被以及土壤环境等的影响。本项目为临时占地，植被的破坏为临时性影响，钻井结束后，对临时占用的土地进行植被恢复。通过类比调查同类探井项目土地和植被的恢复情况可知，植被恢复较好，植物生长未受到影响，不会破坏生态系统的结构和稳定性，具体治理后植被恢复效果要不低于周边其他区域。</w:t>
            </w:r>
          </w:p>
          <w:p w14:paraId="6530626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工程占地</w:t>
            </w:r>
            <w:r>
              <w:rPr>
                <w:rFonts w:hint="default" w:ascii="Times New Roman" w:hAnsi="Times New Roman" w:cs="Times New Roman"/>
                <w:color w:val="auto"/>
                <w:lang w:val="en-US" w:eastAsia="zh-CN"/>
              </w:rPr>
              <w:t>为</w:t>
            </w:r>
            <w:r>
              <w:rPr>
                <w:rFonts w:hint="default" w:ascii="Times New Roman" w:hAnsi="Times New Roman" w:cs="Times New Roman"/>
                <w:color w:val="auto"/>
              </w:rPr>
              <w:t>临时占地，当勘探井不具有开发价值时，采取永久封井，对临时占地区域恢复原有植被和生态景观，使区域生态景观和谐一致恢复原状；当勘探井具有开发价值时，采取临时封井，</w:t>
            </w:r>
            <w:r>
              <w:rPr>
                <w:rFonts w:hint="default" w:ascii="Times New Roman" w:hAnsi="Times New Roman" w:cs="Times New Roman"/>
                <w:color w:val="auto"/>
                <w:sz w:val="24"/>
                <w:lang w:val="en-US" w:eastAsia="zh-CN"/>
              </w:rPr>
              <w:t>移交给</w:t>
            </w:r>
            <w:r>
              <w:rPr>
                <w:rFonts w:hint="default" w:ascii="Times New Roman" w:hAnsi="Times New Roman" w:cs="Times New Roman"/>
                <w:color w:val="auto"/>
                <w:sz w:val="24"/>
                <w:szCs w:val="24"/>
                <w:highlight w:val="none"/>
                <w:lang w:val="en-US" w:eastAsia="zh-CN"/>
              </w:rPr>
              <w:t>长庆油田分公司第二采气厂</w:t>
            </w:r>
            <w:r>
              <w:rPr>
                <w:rFonts w:hint="default" w:ascii="Times New Roman" w:hAnsi="Times New Roman" w:eastAsia="宋体" w:cs="Times New Roman"/>
                <w:color w:val="auto"/>
                <w:sz w:val="24"/>
                <w:szCs w:val="24"/>
                <w:highlight w:val="none"/>
                <w:lang w:val="en-US" w:eastAsia="zh-CN"/>
              </w:rPr>
              <w:t>按标准化井场进行建设和管理，</w:t>
            </w:r>
            <w:r>
              <w:rPr>
                <w:rFonts w:hint="eastAsia" w:ascii="Times New Roman" w:hAnsi="Times New Roman" w:eastAsia="宋体" w:cs="Times New Roman"/>
                <w:color w:val="auto"/>
                <w:sz w:val="24"/>
                <w:szCs w:val="24"/>
                <w:highlight w:val="none"/>
                <w:lang w:val="en-US" w:eastAsia="zh-CN"/>
              </w:rPr>
              <w:t>无论</w:t>
            </w:r>
            <w:r>
              <w:rPr>
                <w:rFonts w:hint="default" w:ascii="Times New Roman" w:hAnsi="Times New Roman" w:eastAsia="宋体" w:cs="Times New Roman"/>
                <w:color w:val="auto"/>
                <w:sz w:val="24"/>
                <w:szCs w:val="24"/>
                <w:highlight w:val="none"/>
                <w:lang w:val="en-US" w:eastAsia="zh-CN"/>
              </w:rPr>
              <w:t>临时封井还是永久封井都</w:t>
            </w:r>
            <w:r>
              <w:rPr>
                <w:rFonts w:hint="eastAsia"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lang w:val="en-US" w:eastAsia="zh-CN"/>
              </w:rPr>
              <w:t>进行生态恢复</w:t>
            </w:r>
            <w:r>
              <w:rPr>
                <w:rFonts w:hint="default" w:ascii="Times New Roman" w:hAnsi="Times New Roman" w:cs="Times New Roman"/>
                <w:color w:val="auto"/>
                <w:sz w:val="24"/>
              </w:rPr>
              <w:t>。</w:t>
            </w:r>
          </w:p>
          <w:p w14:paraId="1FE2AE3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环评要求项目生态恢复过程必须将地面所有与采气无关的设施、设备及地面硬化的砖瓦等必须全部拆除，恢复原有土地类型，覆盖场地保留的表土后对场地进行绿化。不得在原有场地直接覆盖表土后直接对场地绿化。</w:t>
            </w:r>
          </w:p>
          <w:p w14:paraId="49C01B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6</w:t>
            </w:r>
            <w:r>
              <w:rPr>
                <w:rFonts w:hint="default" w:ascii="Times New Roman" w:hAnsi="Times New Roman" w:cs="Times New Roman"/>
                <w:color w:val="auto"/>
                <w:lang w:eastAsia="zh-CN"/>
              </w:rPr>
              <w:t>）防沙治沙保护措施</w:t>
            </w:r>
          </w:p>
          <w:p w14:paraId="6A343E8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根据</w:t>
            </w:r>
            <w:r>
              <w:rPr>
                <w:rFonts w:hint="default" w:ascii="Times New Roman" w:hAnsi="Times New Roman" w:cs="Times New Roman"/>
                <w:color w:val="auto"/>
              </w:rPr>
              <w:t>《榆林市防止二次沙化及国土绿化五年行动方案（2021-2025年）》要求，坚持生态优先、绿色发展原则，顺应自然，保护自然，以自然恢复为主、人工促进为辅，坚持人与自然和谐共生，坚持保护与发展并进。坚持因地制宜、科学施策原则，严禁违规占用耕地造林绿化，做好防风治沙措施；榆林市《关于加强生态文明建设打造黄土高原生态文明示范区的决定》要求，因地制宜建设乔灌草相结合的防护林体系，引进适宜性经济林树种，实现从防沙治沙到养沙用沙。</w:t>
            </w:r>
          </w:p>
          <w:p w14:paraId="34C54E1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本项目施工过程中开挖会扰动地面，损坏植被，引发土地沙化。本次评价提出以下防沙治沙措施：</w:t>
            </w:r>
          </w:p>
          <w:p w14:paraId="4FCA528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①</w:t>
            </w:r>
            <w:r>
              <w:rPr>
                <w:rFonts w:hint="default" w:ascii="Times New Roman" w:hAnsi="Times New Roman" w:cs="Times New Roman"/>
                <w:color w:val="auto"/>
              </w:rPr>
              <w:t>土方开挖保护措施</w:t>
            </w:r>
          </w:p>
          <w:p w14:paraId="78B79E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施工土方全部用于场地平整，严禁随意堆置；</w:t>
            </w:r>
          </w:p>
          <w:p w14:paraId="782467A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采取有效措施减缓施工扬尘，遇到干燥、易起尘的土方施工作业时，应辅以洒水压尘，尽量缩短起尘操作时间，遇到四级及以上大风天气，应停止土方作业，同时作业处覆以防尘网；</w:t>
            </w:r>
          </w:p>
          <w:p w14:paraId="7B71FF2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施工期及时采取临时拦挡苫盖措施，工程结束后，及时实施水土保持工程措施和植物措施，提高水土保持防治措施标准，有效的防治水土流失。</w:t>
            </w:r>
          </w:p>
          <w:p w14:paraId="79997E6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②</w:t>
            </w:r>
            <w:r>
              <w:rPr>
                <w:rFonts w:hint="default" w:ascii="Times New Roman" w:hAnsi="Times New Roman" w:cs="Times New Roman"/>
                <w:color w:val="auto"/>
              </w:rPr>
              <w:t>植物措施</w:t>
            </w:r>
          </w:p>
          <w:p w14:paraId="477ED8A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施工过程中，严格控制施工占地范围，尽可能减少对植被的破坏；</w:t>
            </w:r>
          </w:p>
          <w:p w14:paraId="252C790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项目施工结束后，对临时占地进行植被恢复，耕地交由农户进行复垦，草地恢复为草地，林地恢复为林地，并辅以草地搭配。林木优先考虑灌木树种，如柠条、沙棘等，草本有冰草、沙打旺、沙嵩、黄蒿等。项目及时采取撒播草籽、种植灌木等措施，恢复原地貌，通过种植草灌木，实现抗风固土防沙效果。</w:t>
            </w:r>
          </w:p>
          <w:p w14:paraId="44D223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③</w:t>
            </w:r>
            <w:r>
              <w:rPr>
                <w:rFonts w:hint="default" w:ascii="Times New Roman" w:hAnsi="Times New Roman" w:cs="Times New Roman"/>
                <w:color w:val="auto"/>
              </w:rPr>
              <w:t>管理措施</w:t>
            </w:r>
          </w:p>
          <w:p w14:paraId="02F5E5E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A、</w:t>
            </w:r>
            <w:r>
              <w:rPr>
                <w:rFonts w:hint="default" w:ascii="Times New Roman" w:hAnsi="Times New Roman" w:cs="Times New Roman"/>
                <w:color w:val="auto"/>
              </w:rPr>
              <w:t>施工期间应划定施工活动范围，严格控制地表扰动范围，严格控制和管理运输车辆及重型机械的运行线路和范围，合理确定施工期运输路线，避免车辆随意碾压破坏地表，由专人负责，以防破坏周边土壤和植被，加剧土地荒漠化。</w:t>
            </w:r>
          </w:p>
          <w:p w14:paraId="7592598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B、</w:t>
            </w:r>
            <w:r>
              <w:rPr>
                <w:rFonts w:hint="default" w:ascii="Times New Roman" w:hAnsi="Times New Roman" w:cs="Times New Roman"/>
                <w:color w:val="auto"/>
              </w:rPr>
              <w:t>在施工过程中，不得随意碾压项目周边其他固沙植被。施工结束后，对施工迹地及时进行整治、恢复，减轻水土流失，使其受影响的程度降到最低。</w:t>
            </w:r>
          </w:p>
          <w:p w14:paraId="3C2594B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C、</w:t>
            </w:r>
            <w:r>
              <w:rPr>
                <w:rFonts w:hint="default" w:ascii="Times New Roman" w:hAnsi="Times New Roman" w:cs="Times New Roman"/>
                <w:color w:val="auto"/>
              </w:rPr>
              <w:t>建设单位应牵头组织专业的护林、护草人员，对新栽植的树木、草灌统一进行管护，包括管护期内对幼树的抚育管理，确保树木成活。落实绿化管护责任。发现问题及时补栽补救。</w:t>
            </w:r>
          </w:p>
          <w:p w14:paraId="7687380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二、施工期废气防治措施</w:t>
            </w:r>
          </w:p>
          <w:p w14:paraId="177D4C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1、钻前工程扬尘</w:t>
            </w:r>
          </w:p>
          <w:p w14:paraId="202AABF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为进一步改善环境空气质量，加强扬尘污染控制，本项目应严格执行《国务院关于印发大气污染防治行动计划的通知》（国发〔2013〕37号）、《陕西省大气污染防治条例》（2014.1.1）、《陕西省建筑施工扬尘治理行动方案》、《建筑施工扬尘治理措施》</w:t>
            </w:r>
            <w:r>
              <w:rPr>
                <w:rFonts w:hint="eastAsia" w:ascii="Times New Roman" w:hAnsi="Times New Roman" w:eastAsia="宋体" w:cs="Times New Roman"/>
                <w:color w:val="auto"/>
                <w:lang w:eastAsia="zh-CN"/>
              </w:rPr>
              <w:t>、《榆林市2025年生态环境保护铁腕攻坚行动方案》</w:t>
            </w:r>
            <w:r>
              <w:rPr>
                <w:rFonts w:hint="default" w:ascii="Times New Roman" w:hAnsi="Times New Roman" w:cs="Times New Roman"/>
                <w:color w:val="auto"/>
              </w:rPr>
              <w:t>等相关规定，并采取以下控制措施，以减缓施工扬尘对周边大气环境的影响。</w:t>
            </w:r>
          </w:p>
          <w:p w14:paraId="117334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①施工工地周围按照规范设置硬质材料密闭围挡；</w:t>
            </w:r>
          </w:p>
          <w:p w14:paraId="237FE43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②禁止在大风天施工作业，尤其引起地面扰动的作业；</w:t>
            </w:r>
          </w:p>
          <w:p w14:paraId="198CF03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③对临时堆放的土石方采取篷布遮盖、拦挡等临时性防护措施；</w:t>
            </w:r>
          </w:p>
          <w:p w14:paraId="0AE37AF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④对站区地面、主要施工点周围地面采取洒水降尘等防尘措施；</w:t>
            </w:r>
          </w:p>
          <w:p w14:paraId="2B55DFF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⑤施工场地出入口必须进行车辆清洗设备及配套的排水、泥浆沉淀设施；加强运输车辆的管理，不得超载，同时需采取密封、遮盖等措施；</w:t>
            </w:r>
          </w:p>
          <w:p w14:paraId="780295D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⑥气象预报风速达到四级以上或出现重污染天气状况时，严禁土石方、开挖、回填、倒土等可能产生扬尘的施工作业，同时要对现场采取覆盖、洒水等降尘措施；</w:t>
            </w:r>
          </w:p>
          <w:p w14:paraId="3C62BC1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⑦施工现场禁止将包装物、可燃垃圾等固体废弃物就地焚烧。</w:t>
            </w:r>
          </w:p>
          <w:p w14:paraId="3EDA8D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评价认为，只要加强管理、切实落实好上述措施，达到《施工场界扬尘排放限值》（DB61/1078-2017）的相关要求，施工场地扬尘对环境的影响将会大大降低，同时其对环境的影响也将随施工的结束而消失。</w:t>
            </w:r>
          </w:p>
          <w:p w14:paraId="1FD6067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2、完井测试放喷废气</w:t>
            </w:r>
          </w:p>
          <w:p w14:paraId="15E5D2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测试放喷采用空中灼烧降低废气的毒性。放喷废气通过燃烧后进行排放。本项目</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选址位于</w:t>
            </w:r>
            <w:r>
              <w:rPr>
                <w:rFonts w:hint="default" w:ascii="Times New Roman" w:hAnsi="Times New Roman" w:eastAsia="宋体" w:cs="Times New Roman"/>
                <w:b w:val="0"/>
                <w:bCs w:val="0"/>
                <w:color w:val="auto"/>
                <w:sz w:val="24"/>
                <w:szCs w:val="24"/>
                <w:highlight w:val="none"/>
                <w:vertAlign w:val="baseline"/>
                <w:lang w:val="en-US" w:eastAsia="zh-CN"/>
              </w:rPr>
              <w:t>距离井口100m外的场地上</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周边200m范围内无居民，周边50m范围植被以灌木林地为主</w:t>
            </w:r>
            <w:r>
              <w:rPr>
                <w:rFonts w:hint="default" w:ascii="Times New Roman" w:hAnsi="Times New Roman" w:eastAsia="宋体" w:cs="Times New Roman"/>
                <w:b w:val="0"/>
                <w:bCs w:val="0"/>
                <w:color w:val="auto"/>
                <w:sz w:val="24"/>
                <w:szCs w:val="24"/>
                <w:vertAlign w:val="baseline"/>
                <w:lang w:val="en-US" w:eastAsia="zh-CN"/>
              </w:rPr>
              <w:t>，无高大林木，地势空旷便于废气扩散，且放喷</w:t>
            </w:r>
            <w:r>
              <w:rPr>
                <w:rFonts w:hint="eastAsia" w:ascii="Times New Roman" w:hAnsi="Times New Roman" w:eastAsia="宋体" w:cs="Times New Roman"/>
                <w:b w:val="0"/>
                <w:bCs w:val="0"/>
                <w:color w:val="auto"/>
                <w:sz w:val="24"/>
                <w:szCs w:val="24"/>
                <w:vertAlign w:val="baseline"/>
                <w:lang w:val="en-US" w:eastAsia="zh-CN"/>
              </w:rPr>
              <w:t>池</w:t>
            </w:r>
            <w:r>
              <w:rPr>
                <w:rFonts w:hint="default" w:ascii="Times New Roman" w:hAnsi="Times New Roman" w:eastAsia="宋体" w:cs="Times New Roman"/>
                <w:b w:val="0"/>
                <w:bCs w:val="0"/>
                <w:color w:val="auto"/>
                <w:sz w:val="24"/>
                <w:szCs w:val="24"/>
                <w:vertAlign w:val="baseline"/>
                <w:lang w:val="en-US" w:eastAsia="zh-CN"/>
              </w:rPr>
              <w:t>位于当地常年风向的</w:t>
            </w:r>
            <w:r>
              <w:rPr>
                <w:rFonts w:hint="eastAsia" w:ascii="Times New Roman" w:hAnsi="Times New Roman" w:eastAsia="宋体" w:cs="Times New Roman"/>
                <w:b w:val="0"/>
                <w:bCs w:val="0"/>
                <w:color w:val="auto"/>
                <w:sz w:val="24"/>
                <w:szCs w:val="24"/>
                <w:vertAlign w:val="baseline"/>
                <w:lang w:val="en-US" w:eastAsia="zh-CN"/>
              </w:rPr>
              <w:t>下</w:t>
            </w:r>
            <w:r>
              <w:rPr>
                <w:rFonts w:hint="default" w:ascii="Times New Roman" w:hAnsi="Times New Roman" w:eastAsia="宋体" w:cs="Times New Roman"/>
                <w:b w:val="0"/>
                <w:bCs w:val="0"/>
                <w:color w:val="auto"/>
                <w:sz w:val="24"/>
                <w:szCs w:val="24"/>
                <w:vertAlign w:val="baseline"/>
                <w:lang w:val="en-US" w:eastAsia="zh-CN"/>
              </w:rPr>
              <w:t>风向处。</w:t>
            </w:r>
          </w:p>
          <w:p w14:paraId="4B193B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了最大程度降低测试放喷废气对环境的影响，测试放喷时，要选择合适的时间，在天气晴朗，且风较大的天气进行，便于废气扩散。加之测试放喷时间短，对大气环境的影响较短，测试完毕，影响很快消除，因此对环境的影响不大。</w:t>
            </w:r>
          </w:p>
          <w:p w14:paraId="122E8A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项目</w:t>
            </w:r>
            <w:r>
              <w:rPr>
                <w:rFonts w:hint="eastAsia" w:ascii="Times New Roman" w:hAnsi="Times New Roman" w:eastAsia="宋体" w:cs="Times New Roman"/>
                <w:b w:val="0"/>
                <w:bCs w:val="0"/>
                <w:color w:val="auto"/>
                <w:sz w:val="24"/>
                <w:szCs w:val="24"/>
                <w:highlight w:val="none"/>
                <w:vertAlign w:val="baseline"/>
                <w:lang w:val="en-US" w:eastAsia="zh-CN"/>
              </w:rPr>
              <w:t>放喷池</w:t>
            </w:r>
            <w:r>
              <w:rPr>
                <w:rFonts w:hint="default" w:ascii="Times New Roman" w:hAnsi="Times New Roman" w:eastAsia="宋体" w:cs="Times New Roman"/>
                <w:b w:val="0"/>
                <w:bCs w:val="0"/>
                <w:color w:val="auto"/>
                <w:sz w:val="24"/>
                <w:szCs w:val="24"/>
                <w:highlight w:val="none"/>
                <w:vertAlign w:val="baseline"/>
                <w:lang w:val="en-US" w:eastAsia="zh-CN"/>
              </w:rPr>
              <w:t>周边200m范围内无居民居住，为</w:t>
            </w:r>
            <w:r>
              <w:rPr>
                <w:rFonts w:hint="default" w:ascii="Times New Roman" w:hAnsi="Times New Roman" w:eastAsia="宋体" w:cs="Times New Roman"/>
                <w:b w:val="0"/>
                <w:bCs w:val="0"/>
                <w:color w:val="auto"/>
                <w:sz w:val="24"/>
                <w:szCs w:val="24"/>
                <w:vertAlign w:val="baseline"/>
                <w:lang w:val="en-US" w:eastAsia="zh-CN"/>
              </w:rPr>
              <w:t>减轻工程放喷对附近农户的影响，环评建议在放喷前，建设方应根据安全需求对距放喷口200m范围建立警戒点并进行24小时警戒，在放喷期间告诫附近村民不要在项目区周边活动，减轻放喷废气对附近农户的影响。在放喷时，虽然采用</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放喷，但是放喷天然气燃烧产生的热辐射会对测试区周围的土壤和植被会造成灼伤，这种影响需要一定的时间才能逐步恢复。</w:t>
            </w:r>
          </w:p>
          <w:p w14:paraId="5461C3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由上分析，本项目除了在放喷时由于热辐射会对放喷火炬周围的土壤和植被造成灼伤外，其产生的废气对当地大气环境影响甚微。</w:t>
            </w:r>
          </w:p>
          <w:p w14:paraId="7E9B0E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综上所述，在严格执行《石油天然气钻井、开发、储运、防火防爆安全生产技术规程》(SY5225-2012)关于</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选址要求及放喷撤离要求的前提下。本项目的实施不会造成该区域的环境空气质量发生改变，不会对周边保护目标造成明显不利影响。</w:t>
            </w:r>
          </w:p>
          <w:p w14:paraId="580A53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highlight w:val="none"/>
                <w:vertAlign w:val="baseline"/>
                <w:lang w:val="en-US" w:eastAsia="zh-CN"/>
              </w:rPr>
              <w:t>3</w:t>
            </w:r>
            <w:r>
              <w:rPr>
                <w:rFonts w:hint="default" w:ascii="Times New Roman" w:hAnsi="Times New Roman" w:eastAsia="宋体" w:cs="Times New Roman"/>
                <w:b/>
                <w:bCs/>
                <w:color w:val="auto"/>
                <w:sz w:val="24"/>
                <w:szCs w:val="24"/>
                <w:vertAlign w:val="baseline"/>
                <w:lang w:val="en-US" w:eastAsia="zh-CN"/>
              </w:rPr>
              <w:t>、事故放喷废气</w:t>
            </w:r>
          </w:p>
          <w:p w14:paraId="5CD99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钻井进入气层后，有可能遇到异常高压气流，如果井内泥浆密度值过低，达不到平衡井内压力要求，就可能发生井喷。此时利用</w:t>
            </w:r>
            <w:r>
              <w:rPr>
                <w:rFonts w:hint="eastAsia" w:ascii="Times New Roman" w:hAnsi="Times New Roman" w:eastAsia="宋体" w:cs="Times New Roman"/>
                <w:b w:val="0"/>
                <w:bCs w:val="0"/>
                <w:color w:val="auto"/>
                <w:sz w:val="24"/>
                <w:szCs w:val="24"/>
                <w:vertAlign w:val="baseline"/>
                <w:lang w:val="en-US" w:eastAsia="zh-CN"/>
              </w:rPr>
              <w:t>放</w:t>
            </w:r>
            <w:r>
              <w:rPr>
                <w:rFonts w:hint="default" w:ascii="Times New Roman" w:hAnsi="Times New Roman" w:eastAsia="宋体" w:cs="Times New Roman"/>
                <w:b w:val="0"/>
                <w:bCs w:val="0"/>
                <w:color w:val="auto"/>
                <w:sz w:val="24"/>
                <w:szCs w:val="24"/>
                <w:vertAlign w:val="baseline"/>
                <w:lang w:val="en-US" w:eastAsia="zh-CN"/>
              </w:rPr>
              <w:t>喷器迅速封闭井口，若井口压力过高，则打开放喷管线阀门泄压，即事故放喷，事故放喷在石油天然气行业是低概率事件。事故放喷主产物是天然气燃烧后产生的SO</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、NOx、CO、H</w:t>
            </w:r>
            <w:r>
              <w:rPr>
                <w:rFonts w:hint="default" w:ascii="Times New Roman" w:hAnsi="Times New Roman" w:eastAsia="宋体" w:cs="Times New Roman"/>
                <w:b w:val="0"/>
                <w:bCs w:val="0"/>
                <w:color w:val="auto"/>
                <w:sz w:val="24"/>
                <w:szCs w:val="24"/>
                <w:vertAlign w:val="subscript"/>
                <w:lang w:val="en-US" w:eastAsia="zh-CN"/>
              </w:rPr>
              <w:t>2</w:t>
            </w:r>
            <w:r>
              <w:rPr>
                <w:rFonts w:hint="default" w:ascii="Times New Roman" w:hAnsi="Times New Roman" w:eastAsia="宋体" w:cs="Times New Roman"/>
                <w:b w:val="0"/>
                <w:bCs w:val="0"/>
                <w:color w:val="auto"/>
                <w:sz w:val="24"/>
                <w:szCs w:val="24"/>
                <w:vertAlign w:val="baseline"/>
                <w:lang w:val="en-US" w:eastAsia="zh-CN"/>
              </w:rPr>
              <w:t>S、烃类。事故放喷时间持续较短，且通过专用的放喷管线将天然气引至</w:t>
            </w:r>
            <w:r>
              <w:rPr>
                <w:rFonts w:hint="eastAsia" w:ascii="Times New Roman" w:hAnsi="Times New Roman" w:eastAsia="宋体" w:cs="Times New Roman"/>
                <w:b w:val="0"/>
                <w:bCs w:val="0"/>
                <w:color w:val="auto"/>
                <w:sz w:val="24"/>
                <w:szCs w:val="24"/>
                <w:vertAlign w:val="baseline"/>
                <w:lang w:val="en-US" w:eastAsia="zh-CN"/>
              </w:rPr>
              <w:t>放喷池</w:t>
            </w:r>
            <w:r>
              <w:rPr>
                <w:rFonts w:hint="default" w:ascii="Times New Roman" w:hAnsi="Times New Roman" w:eastAsia="宋体" w:cs="Times New Roman"/>
                <w:b w:val="0"/>
                <w:bCs w:val="0"/>
                <w:color w:val="auto"/>
                <w:sz w:val="24"/>
                <w:szCs w:val="24"/>
                <w:vertAlign w:val="baseline"/>
                <w:lang w:val="en-US" w:eastAsia="zh-CN"/>
              </w:rPr>
              <w:t>进行点火放喷，事故放喷时间段，属临时排放，放喷完毕，影响很快消除，环评要求建设单位在发生事故时对周边居民实施临时疏散，因此事故放喷对周边人群健康基本无影响，对环境影响也较小。</w:t>
            </w:r>
          </w:p>
          <w:p w14:paraId="1EEEE5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w:t>
            </w:r>
            <w:r>
              <w:rPr>
                <w:rFonts w:hint="default" w:ascii="Times New Roman" w:hAnsi="Times New Roman" w:eastAsia="宋体" w:cs="Times New Roman"/>
                <w:b/>
                <w:bCs/>
                <w:color w:val="auto"/>
                <w:sz w:val="24"/>
                <w:szCs w:val="24"/>
                <w:vertAlign w:val="baseline"/>
                <w:lang w:val="en-US" w:eastAsia="zh-CN"/>
              </w:rPr>
              <w:t>、施工机械及运输车辆排放的汽车尾气防治措施</w:t>
            </w:r>
          </w:p>
          <w:p w14:paraId="6AB1F735">
            <w:pPr>
              <w:pStyle w:val="26"/>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本项目施工期间各类机械均采用电驱动，属于清洁能源，施工机械不会产生大气污染物。</w:t>
            </w:r>
          </w:p>
          <w:p w14:paraId="61327AEF">
            <w:pPr>
              <w:pStyle w:val="26"/>
              <w:bidi w:val="0"/>
              <w:rPr>
                <w:rFonts w:hint="default" w:ascii="Times New Roman" w:hAnsi="Times New Roman" w:cs="Times New Roman"/>
                <w:color w:val="auto"/>
              </w:rPr>
            </w:pPr>
            <w:r>
              <w:rPr>
                <w:rFonts w:hint="default" w:ascii="Times New Roman" w:hAnsi="Times New Roman" w:cs="Times New Roman"/>
                <w:color w:val="auto"/>
              </w:rPr>
              <w:t>施工车辆废气的主要污染物为氮氧化物、二氧化硫和一氧化碳</w:t>
            </w:r>
            <w:r>
              <w:rPr>
                <w:rFonts w:hint="default" w:ascii="Times New Roman" w:hAnsi="Times New Roman" w:cs="Times New Roman"/>
                <w:color w:val="auto"/>
                <w:lang w:eastAsia="zh-CN"/>
              </w:rPr>
              <w:t>，</w:t>
            </w:r>
            <w:r>
              <w:rPr>
                <w:rFonts w:hint="default" w:ascii="Times New Roman" w:hAnsi="Times New Roman" w:cs="Times New Roman"/>
                <w:color w:val="auto"/>
              </w:rPr>
              <w:t>其特点是排放量小，属间断性无组织排放，加之施工场地开阔，扩散条件良好，而且废气排放是小范围的短期影响，随着施工期的结束，影响将会消失，因此对周围环境空气影响较小。</w:t>
            </w:r>
          </w:p>
          <w:p w14:paraId="054DB4C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eastAsia" w:ascii="Times New Roman" w:hAnsi="Times New Roman" w:eastAsia="宋体" w:cs="Times New Roman"/>
                <w:color w:val="auto"/>
                <w:lang w:val="en-US" w:eastAsia="zh-CN"/>
              </w:rPr>
              <w:t>为</w:t>
            </w:r>
            <w:r>
              <w:rPr>
                <w:rFonts w:hint="default" w:ascii="Times New Roman" w:hAnsi="Times New Roman" w:cs="Times New Roman"/>
                <w:color w:val="auto"/>
              </w:rPr>
              <w:t>进一步降低施工过程中机械设备、运输车辆废气对环境的影响，本次环评提出：</w:t>
            </w:r>
          </w:p>
          <w:p w14:paraId="3A235BC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①定期对机械设备、运输车辆检修、维护，提高机械的正常使用率，尽量减少车辆怠速空档；</w:t>
            </w:r>
          </w:p>
          <w:p w14:paraId="1D01D0FB">
            <w:pPr>
              <w:pStyle w:val="26"/>
              <w:bidi w:val="0"/>
              <w:rPr>
                <w:rFonts w:hint="default" w:ascii="Times New Roman" w:hAnsi="Times New Roman" w:cs="Times New Roman"/>
                <w:color w:val="auto"/>
              </w:rPr>
            </w:pPr>
            <w:r>
              <w:rPr>
                <w:rFonts w:hint="default" w:ascii="Times New Roman" w:hAnsi="Times New Roman" w:cs="Times New Roman"/>
                <w:color w:val="auto"/>
              </w:rPr>
              <w:t>②应定期对施工期机械设备和运输车辆排放的废气进行检查监测，机动车污染物排放超标的不得上路行驶；</w:t>
            </w:r>
          </w:p>
          <w:p w14:paraId="22172E43">
            <w:pPr>
              <w:pStyle w:val="26"/>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③严禁使用劣质油，运输车辆优先使用</w:t>
            </w:r>
            <w:r>
              <w:rPr>
                <w:rFonts w:hint="eastAsia" w:ascii="Times New Roman" w:hAnsi="Times New Roman" w:eastAsia="宋体" w:cs="Times New Roman"/>
                <w:color w:val="auto"/>
                <w:lang w:val="en-US" w:eastAsia="zh-CN"/>
              </w:rPr>
              <w:t>含硫量低于10ppm的</w:t>
            </w:r>
            <w:r>
              <w:rPr>
                <w:rFonts w:hint="default" w:ascii="Times New Roman" w:hAnsi="Times New Roman" w:cs="Times New Roman"/>
                <w:color w:val="auto"/>
              </w:rPr>
              <w:t>的低硫汽油</w:t>
            </w:r>
            <w:r>
              <w:rPr>
                <w:rFonts w:hint="eastAsia" w:ascii="Times New Roman" w:hAnsi="Times New Roman" w:eastAsia="宋体" w:cs="Times New Roman"/>
                <w:color w:val="auto"/>
                <w:lang w:eastAsia="zh-CN"/>
              </w:rPr>
              <w:t>；</w:t>
            </w:r>
          </w:p>
          <w:p w14:paraId="1261FBA9">
            <w:pPr>
              <w:pStyle w:val="26"/>
              <w:bidi w:val="0"/>
              <w:rPr>
                <w:rFonts w:hint="default" w:ascii="Times New Roman" w:hAnsi="Times New Roman" w:cs="Times New Roman"/>
                <w:color w:val="auto"/>
              </w:rPr>
            </w:pPr>
            <w:r>
              <w:rPr>
                <w:rFonts w:hint="eastAsia" w:ascii="宋体" w:hAnsi="宋体" w:eastAsia="宋体" w:cs="宋体"/>
                <w:color w:val="auto"/>
                <w:lang w:eastAsia="zh-CN"/>
              </w:rPr>
              <w:t>④</w:t>
            </w:r>
            <w:r>
              <w:rPr>
                <w:rFonts w:ascii="Times New Roman" w:hAnsi="Times New Roman" w:eastAsia="宋体" w:cs="Times New Roman"/>
                <w:color w:val="auto"/>
                <w:sz w:val="24"/>
                <w:szCs w:val="21"/>
              </w:rPr>
              <w:t>施工机械</w:t>
            </w:r>
            <w:r>
              <w:rPr>
                <w:rFonts w:ascii="Times New Roman" w:hAnsi="Times New Roman" w:eastAsia="宋体" w:cs="Times New Roman"/>
                <w:snapToGrid w:val="0"/>
                <w:color w:val="auto"/>
                <w:sz w:val="24"/>
                <w:szCs w:val="21"/>
              </w:rPr>
              <w:t>废气</w:t>
            </w:r>
            <w:r>
              <w:rPr>
                <w:rFonts w:hint="eastAsia" w:ascii="Times New Roman" w:hAnsi="Times New Roman" w:eastAsia="宋体" w:cs="Times New Roman"/>
                <w:snapToGrid w:val="0"/>
                <w:color w:val="auto"/>
                <w:sz w:val="24"/>
                <w:szCs w:val="21"/>
                <w:lang w:val="en-US" w:eastAsia="zh-CN"/>
              </w:rPr>
              <w:t>达到</w:t>
            </w:r>
            <w:r>
              <w:rPr>
                <w:rFonts w:ascii="Times New Roman" w:hAnsi="Times New Roman" w:eastAsia="宋体" w:cs="Times New Roman"/>
                <w:snapToGrid w:val="0"/>
                <w:color w:val="auto"/>
                <w:sz w:val="24"/>
                <w:szCs w:val="21"/>
              </w:rPr>
              <w:t>《</w:t>
            </w:r>
            <w:r>
              <w:rPr>
                <w:rFonts w:ascii="Times New Roman" w:hAnsi="Times New Roman" w:eastAsia="宋体" w:cs="Times New Roman"/>
                <w:color w:val="auto"/>
                <w:sz w:val="24"/>
              </w:rPr>
              <w:t>非道路移动机械用柴油机排气污染物排放限值及测量方法（中国第三、四阶段）》及2020年修改单中第四阶段的标准限值</w:t>
            </w:r>
            <w:r>
              <w:rPr>
                <w:rFonts w:hint="eastAsia" w:ascii="Times New Roman" w:hAnsi="Times New Roman" w:eastAsia="宋体" w:cs="Times New Roman"/>
                <w:color w:val="auto"/>
                <w:sz w:val="24"/>
                <w:lang w:eastAsia="zh-CN"/>
              </w:rPr>
              <w:t>。</w:t>
            </w:r>
          </w:p>
          <w:p w14:paraId="4782262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上，施工期应多加注意施工设备的维护，确保设备正常运行，提高设备原料的利用率。同时合理安排工序，选取优质燃料，禁止运输车辆超载运行等，定期进行车辆尾气检测，对超标排放车辆进行有效的尾气治理，确保所有施工车辆、机械的废气排放达标。</w:t>
            </w:r>
          </w:p>
          <w:p w14:paraId="24529E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三、废水防治措施</w:t>
            </w:r>
          </w:p>
          <w:p w14:paraId="7D0090C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废水治理措施</w:t>
            </w:r>
          </w:p>
          <w:p w14:paraId="52B6509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项目勘探期产生的废水主要为生产废水（钻井废水、洗井废水、压裂返排液、放喷废水）和生活污水。钻井结束后最终不能回用的钻井废水、洗井废水、压裂返排液分别收集至专用收集罐，放喷废水收集于</w:t>
            </w:r>
            <w:r>
              <w:rPr>
                <w:rFonts w:hint="eastAsia" w:ascii="Times New Roman" w:hAnsi="Times New Roman" w:cs="Times New Roman"/>
                <w:color w:val="auto"/>
                <w:lang w:val="en-US" w:eastAsia="zh-CN"/>
              </w:rPr>
              <w:t>放喷池</w:t>
            </w:r>
            <w:r>
              <w:rPr>
                <w:rFonts w:hint="default" w:ascii="Times New Roman" w:hAnsi="Times New Roman" w:cs="Times New Roman"/>
                <w:color w:val="auto"/>
                <w:lang w:val="en-US" w:eastAsia="zh-CN"/>
              </w:rPr>
              <w:t>，定期委托</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采用防渗漏、防溢流的罐车外运处置，不外排。施工营地设旱厕，定期清掏肥田。通过采取以上措施后，能够保证污染物不外排，</w:t>
            </w:r>
            <w:r>
              <w:rPr>
                <w:rFonts w:hint="default" w:ascii="Times New Roman" w:hAnsi="Times New Roman" w:cs="Times New Roman"/>
                <w:color w:val="auto"/>
              </w:rPr>
              <w:t>对地表水环境影响</w:t>
            </w:r>
            <w:r>
              <w:rPr>
                <w:rFonts w:hint="default" w:ascii="Times New Roman" w:hAnsi="Times New Roman" w:cs="Times New Roman"/>
                <w:color w:val="auto"/>
                <w:lang w:val="en-US" w:eastAsia="zh-CN"/>
              </w:rPr>
              <w:t>较小</w:t>
            </w:r>
            <w:r>
              <w:rPr>
                <w:rFonts w:hint="default" w:ascii="Times New Roman" w:hAnsi="Times New Roman" w:cs="Times New Roman"/>
                <w:color w:val="auto"/>
              </w:rPr>
              <w:t>。</w:t>
            </w:r>
          </w:p>
          <w:p w14:paraId="4F7B167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）废水依托处置可行性分析</w:t>
            </w:r>
          </w:p>
          <w:p w14:paraId="757AA22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rPr>
            </w:pPr>
            <w:r>
              <w:rPr>
                <w:rFonts w:hint="default" w:ascii="Times New Roman" w:hAnsi="Times New Roman" w:cs="Times New Roman"/>
                <w:color w:val="auto"/>
              </w:rPr>
              <w:t>本项目施工期生产废水</w:t>
            </w:r>
            <w:r>
              <w:rPr>
                <w:rFonts w:hint="default" w:ascii="Times New Roman" w:hAnsi="Times New Roman" w:cs="Times New Roman"/>
                <w:color w:val="auto"/>
                <w:lang w:val="en-US" w:eastAsia="zh-CN"/>
              </w:rPr>
              <w:t>委托</w:t>
            </w:r>
            <w:r>
              <w:rPr>
                <w:rFonts w:hint="eastAsia" w:ascii="Times New Roman" w:hAnsi="Times New Roman" w:cs="Times New Roman"/>
                <w:color w:val="auto"/>
                <w:lang w:val="en-US" w:eastAsia="zh-CN"/>
              </w:rPr>
              <w:t>陕西榆佳环保科技有限公司</w:t>
            </w:r>
            <w:r>
              <w:rPr>
                <w:rFonts w:hint="default" w:ascii="Times New Roman" w:hAnsi="Times New Roman" w:eastAsia="宋体" w:cs="Times New Roman"/>
                <w:color w:val="auto"/>
                <w:lang w:val="en-US" w:eastAsia="zh-CN"/>
              </w:rPr>
              <w:t>采用防渗漏、防溢流的罐车外运处理</w:t>
            </w:r>
            <w:r>
              <w:rPr>
                <w:rFonts w:hint="default" w:ascii="Times New Roman" w:hAnsi="Times New Roman" w:eastAsia="宋体" w:cs="Times New Roman"/>
                <w:color w:val="auto"/>
              </w:rPr>
              <w:t>，不外排。</w:t>
            </w:r>
          </w:p>
          <w:p w14:paraId="3FCDFCB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w:t>
            </w:r>
            <w:r>
              <w:rPr>
                <w:rFonts w:hint="default" w:ascii="Times New Roman" w:hAnsi="Times New Roman" w:cs="Times New Roman"/>
                <w:color w:val="auto"/>
                <w:lang w:val="en-US" w:eastAsia="zh-CN"/>
              </w:rPr>
              <w:t>陕西榆佳环保科技有限公司概况</w:t>
            </w:r>
          </w:p>
          <w:p w14:paraId="7715A025">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陕西榆佳环保科技有限公司位于榆林市佳县王家砭镇榆佳经济技术开发区，主要处理佳县及周边气田开采过程产生的泥浆压滤液和压裂返排液。项目采用“二级酸析反应沉淀+液碱+CO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+隔膜压滤＋精密过滤＋紫外杀菌”工艺对作业废水进行无害化处理，处理规模为2000m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 xml:space="preserve">/d，处理后水质达到《压裂返排液回配压裂液用水水质要求》（DB61/T1248-2019）中滑溜水配制用水水质要求和《页岩气储层改造第3部分：压裂返排液回收和处理方法》（NB/T14002.3-2022）中表1回用水推荐水质主要控制指标要求，处理后的废水罐车拉运至周边气田用于压裂液和钻井泥浆配制等。     </w:t>
            </w:r>
          </w:p>
          <w:p w14:paraId="06B8202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②处理工艺流程</w:t>
            </w:r>
          </w:p>
          <w:p w14:paraId="5C29DCB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集中处理厂水处理工艺流程见图5-1。</w:t>
            </w:r>
          </w:p>
          <w:p w14:paraId="5CA844D8">
            <w:pPr>
              <w:pStyle w:val="2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rPr>
            </w:pPr>
            <w:r>
              <w:rPr>
                <w:color w:val="auto"/>
              </w:rPr>
              <w:drawing>
                <wp:inline distT="0" distB="0" distL="114300" distR="114300">
                  <wp:extent cx="5551170" cy="7093585"/>
                  <wp:effectExtent l="0" t="0" r="11430"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5"/>
                          <a:stretch>
                            <a:fillRect/>
                          </a:stretch>
                        </pic:blipFill>
                        <pic:spPr>
                          <a:xfrm>
                            <a:off x="0" y="0"/>
                            <a:ext cx="5551170" cy="7093585"/>
                          </a:xfrm>
                          <a:prstGeom prst="rect">
                            <a:avLst/>
                          </a:prstGeom>
                          <a:noFill/>
                          <a:ln>
                            <a:noFill/>
                          </a:ln>
                        </pic:spPr>
                      </pic:pic>
                    </a:graphicData>
                  </a:graphic>
                </wp:inline>
              </w:drawing>
            </w:r>
          </w:p>
          <w:p w14:paraId="643FDF05">
            <w:pPr>
              <w:pStyle w:val="10"/>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 xml:space="preserve">  </w:t>
            </w:r>
            <w:r>
              <w:rPr>
                <w:rFonts w:hint="default"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lang w:eastAsia="zh-CN"/>
              </w:rPr>
              <w:t>处理工艺流程图</w:t>
            </w:r>
          </w:p>
          <w:p w14:paraId="28E23C4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③环保手续执行情况</w:t>
            </w:r>
          </w:p>
          <w:p w14:paraId="4BFF6D7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该项目于202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11</w:t>
            </w:r>
            <w:r>
              <w:rPr>
                <w:rFonts w:hint="default" w:ascii="Times New Roman" w:hAnsi="Times New Roman" w:cs="Times New Roman"/>
                <w:color w:val="auto"/>
                <w:lang w:val="en-US" w:eastAsia="zh-CN"/>
              </w:rPr>
              <w:t>日取得了榆林市</w:t>
            </w:r>
            <w:r>
              <w:rPr>
                <w:rFonts w:hint="eastAsia" w:ascii="Times New Roman" w:hAnsi="Times New Roman" w:cs="Times New Roman"/>
                <w:color w:val="auto"/>
                <w:lang w:val="en-US" w:eastAsia="zh-CN"/>
              </w:rPr>
              <w:t>生态环境局</w:t>
            </w:r>
            <w:r>
              <w:rPr>
                <w:rFonts w:hint="default" w:ascii="Times New Roman" w:hAnsi="Times New Roman" w:cs="Times New Roman"/>
                <w:color w:val="auto"/>
                <w:lang w:val="en-US" w:eastAsia="zh-CN"/>
              </w:rPr>
              <w:t>下发的环评批复（榆政</w:t>
            </w:r>
            <w:r>
              <w:rPr>
                <w:rFonts w:hint="eastAsia" w:ascii="Times New Roman" w:hAnsi="Times New Roman" w:cs="Times New Roman"/>
                <w:color w:val="auto"/>
                <w:lang w:val="en-US" w:eastAsia="zh-CN"/>
              </w:rPr>
              <w:t>环批复</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85</w:t>
            </w:r>
            <w:r>
              <w:rPr>
                <w:rFonts w:hint="default" w:ascii="Times New Roman" w:hAnsi="Times New Roman" w:cs="Times New Roman"/>
                <w:color w:val="auto"/>
                <w:lang w:val="en-US" w:eastAsia="zh-CN"/>
              </w:rPr>
              <w:t>号），</w:t>
            </w:r>
            <w:r>
              <w:rPr>
                <w:rFonts w:hint="eastAsia" w:ascii="Times New Roman" w:hAnsi="Times New Roman" w:cs="Times New Roman"/>
                <w:color w:val="auto"/>
                <w:lang w:val="en-US" w:eastAsia="zh-CN"/>
              </w:rPr>
              <w:t>于2024年10月9日取得了榆林市生态环境局下发的排污许可证，证书编号为91610828MA7LY0FQ2A001V，</w:t>
            </w:r>
            <w:r>
              <w:rPr>
                <w:rFonts w:hint="default" w:ascii="Times New Roman" w:hAnsi="Times New Roman" w:cs="Times New Roman"/>
                <w:color w:val="auto"/>
                <w:lang w:val="en-US" w:eastAsia="zh-CN"/>
              </w:rPr>
              <w:t>于202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28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完成了</w:t>
            </w:r>
            <w:r>
              <w:rPr>
                <w:rFonts w:hint="default" w:ascii="Times New Roman" w:hAnsi="Times New Roman" w:cs="Times New Roman"/>
                <w:color w:val="auto"/>
                <w:lang w:val="en-US" w:eastAsia="zh-CN"/>
              </w:rPr>
              <w:t>竣工环境保护验收，目前正常运行。</w:t>
            </w:r>
          </w:p>
          <w:p w14:paraId="70067FB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④依托可行性分析</w:t>
            </w:r>
          </w:p>
          <w:p w14:paraId="7A45762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处置能力范围涵盖压裂返排液、泥浆压滤废液处理等，根据《陕西榆佳环保科技有限公司佳县榆佳经济技术开发区污水处理厂项目（一期）环境影响报告书》，设计进水水质为：pH：6~12；SS&lt;2000mg/L；溶解性总固体＜60000mg/L；总硬度(以CaCO3计)&lt;30000mg/L，处理规模为2000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/d。本项目产生的废水主要为钻井、洗井废水，压裂返排液，放喷废液等，水质同其他油气田水质基本项目。</w:t>
            </w:r>
          </w:p>
          <w:p w14:paraId="4D7056B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lang w:val="en-US" w:eastAsia="zh-CN"/>
              </w:rPr>
              <w:t>设计水处理规模为</w:t>
            </w:r>
            <w:r>
              <w:rPr>
                <w:rFonts w:hint="eastAsia" w:ascii="Times New Roman" w:hAnsi="Times New Roman" w:cs="Times New Roman"/>
                <w:color w:val="auto"/>
                <w:lang w:val="en-US" w:eastAsia="zh-CN"/>
              </w:rPr>
              <w:t>2000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/d，本项目最大废水产生量约为</w:t>
            </w:r>
            <w:r>
              <w:rPr>
                <w:rFonts w:hint="eastAsia" w:ascii="Times New Roman" w:hAnsi="Times New Roman" w:cs="Times New Roman"/>
                <w:color w:val="auto"/>
                <w:lang w:val="en-US" w:eastAsia="zh-CN"/>
              </w:rPr>
              <w:t>2464.87</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（16.43</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，处理能力能够满足本项目需求，依托可行。</w:t>
            </w:r>
          </w:p>
          <w:p w14:paraId="23A833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四、噪声防治措施</w:t>
            </w:r>
          </w:p>
          <w:p w14:paraId="1F1434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钻井过程中噪声主要为钻井噪声和完井测试噪声，钻井噪声主要来源于钻井设备、泥浆泵、振动筛</w:t>
            </w:r>
            <w:r>
              <w:rPr>
                <w:rFonts w:hint="eastAsia" w:ascii="Times New Roman" w:hAnsi="Times New Roman" w:eastAsia="宋体" w:cs="Times New Roman"/>
                <w:b w:val="0"/>
                <w:bCs w:val="0"/>
                <w:color w:val="auto"/>
                <w:sz w:val="24"/>
                <w:szCs w:val="24"/>
                <w:vertAlign w:val="baseline"/>
                <w:lang w:val="en-US" w:eastAsia="zh-CN"/>
              </w:rPr>
              <w:t>、压裂车</w:t>
            </w:r>
            <w:r>
              <w:rPr>
                <w:rFonts w:hint="default" w:ascii="Times New Roman" w:hAnsi="Times New Roman" w:eastAsia="宋体" w:cs="Times New Roman"/>
                <w:b w:val="0"/>
                <w:bCs w:val="0"/>
                <w:color w:val="auto"/>
                <w:sz w:val="24"/>
                <w:szCs w:val="24"/>
                <w:vertAlign w:val="baseline"/>
                <w:lang w:val="en-US" w:eastAsia="zh-CN"/>
              </w:rPr>
              <w:t>等连续性噪声，噪声源强在85~100dB(A)，为减轻本项目施工期噪声对周围环境的影响，要求采取必要的噪声控制措施。具体措施如下：</w:t>
            </w:r>
          </w:p>
          <w:p w14:paraId="19206B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①严格控制施工时间，合理安排施工计划，尽可能避开午休时间动用高噪声设备。</w:t>
            </w:r>
          </w:p>
          <w:p w14:paraId="353AD8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②钻机应选用低噪声设备，安装基础减振垫，场区四周应设置围挡，以进一步降低该部分噪声对周围环境的影响。</w:t>
            </w:r>
          </w:p>
          <w:p w14:paraId="0D55C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③优化运输路线，车辆应避免经过敏感路段；车辆在经过周边村庄时应减速，减少鸣笛等，避免出现扰民现象。</w:t>
            </w:r>
          </w:p>
          <w:p w14:paraId="5AEB81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④降低施工设备噪声，尽量采用低噪声设备；注意对施工机械定期维修保养，使机械保持最佳工作状态，噪声降低到最低水平。</w:t>
            </w:r>
          </w:p>
          <w:p w14:paraId="02B58C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⑤同一施工地点应避免安排大量动力机械设备，以免局部累积声级过高。选择低噪声设备。</w:t>
            </w:r>
          </w:p>
          <w:p w14:paraId="1278050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通过采取上述综合降噪措施，可有效降低施工过程噪声对周围环境的影响，确保施工期各项施工活动产生的噪声达到《建筑施工场界环境噪声排放标准》（GB12523-2011）中的相关规定限值要求，对周围环境影响较小。</w:t>
            </w:r>
          </w:p>
          <w:p w14:paraId="40F64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五、地下水防治措施</w:t>
            </w:r>
          </w:p>
          <w:p w14:paraId="5C1207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本项目采取的地下水污染防治措施如下：</w:t>
            </w:r>
          </w:p>
          <w:p w14:paraId="33A29B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1、表层固井要求：表层固井必须封固含水层。</w:t>
            </w:r>
          </w:p>
          <w:p w14:paraId="1AF756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作业要求：为了确保地层的承压能力能够满足固井时防漏及打开气层时安全钻井的需要，在进入气层前必须按工程设计要求进行转化钻井液和工艺堵漏；固井所用水泥、外掺料、外加剂及水泥浆配方必须经长庆油田分公司天然气评价项目部工程技术管理部检验认可备案后，方可使用。</w:t>
            </w:r>
          </w:p>
          <w:p w14:paraId="0C77F1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3、生产套管固井钻水泥塞要求：生产套管固井后，必须用大排量循环冲洗干净水泥塞连接处的胶皮及铝片。</w:t>
            </w:r>
          </w:p>
          <w:p w14:paraId="41A4CD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4、其他要求：</w:t>
            </w:r>
          </w:p>
          <w:p w14:paraId="65CD177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（1）钻井中遇到潜水层，下套管时应注水泥封固，防止地下水层被地层其它流体或钻井泥浆污染</w:t>
            </w:r>
            <w:r>
              <w:rPr>
                <w:rFonts w:hint="eastAsia" w:ascii="Times New Roman" w:hAnsi="Times New Roman" w:eastAsia="宋体" w:cs="Times New Roman"/>
                <w:b w:val="0"/>
                <w:bCs w:val="0"/>
                <w:color w:val="auto"/>
                <w:sz w:val="24"/>
                <w:szCs w:val="24"/>
                <w:vertAlign w:val="baseline"/>
                <w:lang w:val="en-US" w:eastAsia="zh-CN"/>
              </w:rPr>
              <w:t>。</w:t>
            </w:r>
          </w:p>
          <w:p w14:paraId="4388EB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2）固井要求水泥环有可靠的密封，环空封固段不窜、不漏、胶结良好，能承受高压；套管的设计必须完全符合整个井生命周期中的钻井、完井和生产过程中所有的技术要求，要求套管有足够的强度，在整个井生命周期内能够承受各种外力作用，抗腐蚀、不断、不裂、不变形。固井水泥的返高也是封隔井筒与地下水的主要措施，本项目导管和一开固井水泥均返高至地面，可以多层防护与隔绝井内流体与含水层之间的联系。</w:t>
            </w:r>
          </w:p>
          <w:p w14:paraId="57CE65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评价要求施工全程定期对井内套管和井壁进行渗漏检查、修缮，防止套管和井壁发生损坏钻导致钻井液的漏失污染地下水。</w:t>
            </w:r>
          </w:p>
          <w:p w14:paraId="49D16A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（3）钻井过程中采取平衡钻进，避免因压力挤动和开泵过猛使泥浆憋入地层；</w:t>
            </w:r>
          </w:p>
          <w:p w14:paraId="12D830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4）井场储备足够的封堵剂，钻井过程中应密切注意钻井液的漏失情况，一旦出现漏失，应立即采取堵漏措施，防止钻井液的漏失污染地下水；堵漏剂的选取应考虑清洁、无毒、对人体无害、环境污染轻的种类，建议使用水泥堵漏。</w:t>
            </w:r>
          </w:p>
          <w:p w14:paraId="3BD32F2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（5）在井下作业过程中，钻井液和压裂液应集中配置，洗井废水、压裂返排液应100%回收。</w:t>
            </w:r>
          </w:p>
          <w:p w14:paraId="11657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（6）钻井、压裂作业和试井过程应采取防喷、地面管线防刺、防漏、防溢等措施。</w:t>
            </w:r>
          </w:p>
          <w:p w14:paraId="643135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（7）应定期对井内套管和井壁进行检查、修缮，防止套管和井壁发生损坏。</w:t>
            </w:r>
          </w:p>
          <w:p w14:paraId="636A80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5、防渗措施</w:t>
            </w:r>
          </w:p>
          <w:p w14:paraId="7F00E4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为进一步减少工程建设对地下水环境的影响，环评建议对井场各区域切实做好防渗措施，具体要求见下表。</w:t>
            </w:r>
          </w:p>
          <w:p w14:paraId="2B342D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表5-3   项目分区防渗措施要求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06"/>
              <w:gridCol w:w="2004"/>
              <w:gridCol w:w="5829"/>
            </w:tblGrid>
            <w:tr w14:paraId="53C3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6B7ED02F">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分区</w:t>
                  </w:r>
                </w:p>
              </w:tc>
              <w:tc>
                <w:tcPr>
                  <w:tcW w:w="1905" w:type="dxa"/>
                  <w:vAlign w:val="center"/>
                </w:tcPr>
                <w:p w14:paraId="3DD1301A">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位置</w:t>
                  </w:r>
                </w:p>
              </w:tc>
              <w:tc>
                <w:tcPr>
                  <w:tcW w:w="5541" w:type="dxa"/>
                  <w:vAlign w:val="center"/>
                </w:tcPr>
                <w:p w14:paraId="3B9A4FB3">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防渗要求</w:t>
                  </w:r>
                </w:p>
              </w:tc>
            </w:tr>
            <w:tr w14:paraId="4A19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restart"/>
                  <w:vAlign w:val="center"/>
                </w:tcPr>
                <w:p w14:paraId="61B2C9E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重点防渗区</w:t>
                  </w:r>
                </w:p>
              </w:tc>
              <w:tc>
                <w:tcPr>
                  <w:tcW w:w="1905" w:type="dxa"/>
                  <w:vAlign w:val="center"/>
                </w:tcPr>
                <w:p w14:paraId="531E2B75">
                  <w:pPr>
                    <w:pStyle w:val="27"/>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钻井工作区、泥浆不落地系统区、钻井液材料房、储罐区</w:t>
                  </w:r>
                </w:p>
              </w:tc>
              <w:tc>
                <w:tcPr>
                  <w:tcW w:w="5541" w:type="dxa"/>
                  <w:vAlign w:val="center"/>
                </w:tcPr>
                <w:p w14:paraId="3FD3E157">
                  <w:pPr>
                    <w:pStyle w:val="27"/>
                    <w:bidi w:val="0"/>
                    <w:ind w:firstLine="0" w:firstLineChars="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地面底部利用机械将衬层压实，四周用土堆成简易围堰，围堰内地面连同四周的土围堰整体铺设防渗材料</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HDPE膜，不低于2mm厚</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cm/s，HDPE膜敷设面积应适当扩大，覆盖围堰区外延1.0m范围。</w:t>
                  </w:r>
                </w:p>
              </w:tc>
            </w:tr>
            <w:tr w14:paraId="7E068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59F786C1">
                  <w:pPr>
                    <w:pStyle w:val="27"/>
                    <w:bidi w:val="0"/>
                    <w:jc w:val="center"/>
                    <w:rPr>
                      <w:rFonts w:hint="default" w:ascii="Times New Roman" w:hAnsi="Times New Roman" w:cs="Times New Roman"/>
                      <w:color w:val="auto"/>
                      <w:sz w:val="21"/>
                      <w:szCs w:val="21"/>
                    </w:rPr>
                  </w:pPr>
                </w:p>
              </w:tc>
              <w:tc>
                <w:tcPr>
                  <w:tcW w:w="1905" w:type="dxa"/>
                  <w:vAlign w:val="center"/>
                </w:tcPr>
                <w:p w14:paraId="4D9B2400">
                  <w:pPr>
                    <w:pStyle w:val="27"/>
                    <w:bidi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放喷池</w:t>
                  </w:r>
                </w:p>
              </w:tc>
              <w:tc>
                <w:tcPr>
                  <w:tcW w:w="5541" w:type="dxa"/>
                  <w:vAlign w:val="center"/>
                </w:tcPr>
                <w:p w14:paraId="6FB94075">
                  <w:pPr>
                    <w:pStyle w:val="27"/>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池底填筑一定厚度的土壤后压实，池底及四周铺设复合防水卷材作防渗漏处理，防水卷材搭接长度不小于300mm，等效黏土防渗层Mb≥6.0m，K≤1×10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p>
              </w:tc>
            </w:tr>
            <w:tr w14:paraId="616A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Merge w:val="continue"/>
                  <w:vAlign w:val="center"/>
                </w:tcPr>
                <w:p w14:paraId="6BFFCD53">
                  <w:pPr>
                    <w:pStyle w:val="27"/>
                    <w:bidi w:val="0"/>
                    <w:jc w:val="center"/>
                    <w:rPr>
                      <w:rFonts w:hint="default" w:ascii="Times New Roman" w:hAnsi="Times New Roman" w:cs="Times New Roman"/>
                      <w:color w:val="auto"/>
                      <w:sz w:val="21"/>
                      <w:szCs w:val="21"/>
                    </w:rPr>
                  </w:pPr>
                </w:p>
              </w:tc>
              <w:tc>
                <w:tcPr>
                  <w:tcW w:w="1905" w:type="dxa"/>
                  <w:vAlign w:val="center"/>
                </w:tcPr>
                <w:p w14:paraId="6F12484E">
                  <w:pPr>
                    <w:pStyle w:val="27"/>
                    <w:bidi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撬装式</w:t>
                  </w:r>
                  <w:r>
                    <w:rPr>
                      <w:rFonts w:hint="eastAsia" w:cs="Times New Roman"/>
                      <w:color w:val="auto"/>
                      <w:sz w:val="21"/>
                      <w:szCs w:val="21"/>
                      <w:lang w:eastAsia="zh-CN"/>
                    </w:rPr>
                    <w:t>危废贮存库</w:t>
                  </w:r>
                </w:p>
              </w:tc>
              <w:tc>
                <w:tcPr>
                  <w:tcW w:w="5541" w:type="dxa"/>
                  <w:vAlign w:val="center"/>
                </w:tcPr>
                <w:p w14:paraId="34862706">
                  <w:pPr>
                    <w:pStyle w:val="27"/>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采用撬装式</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，防渗同时可满足《危险废物贮存污染控制标准》</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GB18597-2023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的相关要求，防渗层渗透系数小于1</w:t>
                  </w:r>
                  <w:r>
                    <w:rPr>
                      <w:rFonts w:hint="default"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r>
            <w:tr w14:paraId="7BA0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52DF6A93">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一般防渗区</w:t>
                  </w:r>
                </w:p>
              </w:tc>
              <w:tc>
                <w:tcPr>
                  <w:tcW w:w="1905" w:type="dxa"/>
                  <w:vAlign w:val="center"/>
                </w:tcPr>
                <w:p w14:paraId="01848A49">
                  <w:pPr>
                    <w:pStyle w:val="27"/>
                    <w:bidi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卫生旱厕</w:t>
                  </w:r>
                  <w:r>
                    <w:rPr>
                      <w:rFonts w:hint="default" w:ascii="Times New Roman" w:hAnsi="Times New Roman" w:cs="Times New Roman"/>
                      <w:color w:val="auto"/>
                      <w:sz w:val="21"/>
                      <w:szCs w:val="21"/>
                    </w:rPr>
                    <w:t>、原辅材料存储区</w:t>
                  </w:r>
                </w:p>
              </w:tc>
              <w:tc>
                <w:tcPr>
                  <w:tcW w:w="5541" w:type="dxa"/>
                  <w:vAlign w:val="center"/>
                </w:tcPr>
                <w:p w14:paraId="47D2BA6B">
                  <w:pPr>
                    <w:pStyle w:val="27"/>
                    <w:bidi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地面底部利用机械将衬层压实，单层高密度聚乙烯(HDPE)防渗土工膜</w:t>
                  </w:r>
                  <w:r>
                    <w:rPr>
                      <w:rFonts w:hint="eastAsia" w:cs="Times New Roman"/>
                      <w:color w:val="auto"/>
                      <w:sz w:val="21"/>
                      <w:szCs w:val="21"/>
                      <w:lang w:eastAsia="zh-CN"/>
                    </w:rPr>
                    <w:t>；</w:t>
                  </w:r>
                  <w:r>
                    <w:rPr>
                      <w:rFonts w:hint="default" w:ascii="Times New Roman" w:hAnsi="Times New Roman" w:cs="Times New Roman"/>
                      <w:color w:val="auto"/>
                      <w:sz w:val="21"/>
                      <w:szCs w:val="21"/>
                    </w:rPr>
                    <w:t>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cm/s，或参考GB16689执行。</w:t>
                  </w:r>
                </w:p>
              </w:tc>
            </w:tr>
            <w:tr w14:paraId="4FA5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66" w:type="dxa"/>
                  <w:vAlign w:val="center"/>
                </w:tcPr>
                <w:p w14:paraId="1E45B000">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简单防渗区</w:t>
                  </w:r>
                </w:p>
              </w:tc>
              <w:tc>
                <w:tcPr>
                  <w:tcW w:w="1905" w:type="dxa"/>
                  <w:vAlign w:val="center"/>
                </w:tcPr>
                <w:p w14:paraId="3CE3980A">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办公室等其他区域。</w:t>
                  </w:r>
                </w:p>
              </w:tc>
              <w:tc>
                <w:tcPr>
                  <w:tcW w:w="5541" w:type="dxa"/>
                  <w:vAlign w:val="center"/>
                </w:tcPr>
                <w:p w14:paraId="045D495E">
                  <w:pPr>
                    <w:pStyle w:val="27"/>
                    <w:bidi w:val="0"/>
                    <w:jc w:val="both"/>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采用黏土碾压方式进行防渗</w:t>
                  </w:r>
                  <w:r>
                    <w:rPr>
                      <w:rFonts w:hint="default" w:ascii="Times New Roman" w:hAnsi="Times New Roman" w:cs="Times New Roman"/>
                      <w:color w:val="auto"/>
                      <w:sz w:val="21"/>
                      <w:szCs w:val="21"/>
                      <w:lang w:eastAsia="zh-CN"/>
                    </w:rPr>
                    <w:t>。</w:t>
                  </w:r>
                </w:p>
              </w:tc>
            </w:tr>
          </w:tbl>
          <w:p w14:paraId="64BD86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六、固体废物防治措施</w:t>
            </w:r>
          </w:p>
          <w:p w14:paraId="6AD7BC7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项目钻井过程中产生的固体废物主要有钻井岩屑、废弃泥浆、钻井队员工产生的生活垃圾等。</w:t>
            </w:r>
          </w:p>
          <w:p w14:paraId="289CD9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（1）钻井岩屑</w:t>
            </w:r>
            <w:r>
              <w:rPr>
                <w:rFonts w:hint="eastAsia" w:ascii="Times New Roman" w:hAnsi="Times New Roman" w:eastAsia="宋体" w:cs="Times New Roman"/>
                <w:b/>
                <w:bCs/>
                <w:color w:val="auto"/>
                <w:sz w:val="24"/>
                <w:szCs w:val="24"/>
                <w:vertAlign w:val="baseline"/>
                <w:lang w:val="en-US" w:eastAsia="zh-CN"/>
              </w:rPr>
              <w:t>、废弃泥浆</w:t>
            </w:r>
          </w:p>
          <w:p w14:paraId="1362B85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①废弃泥浆</w:t>
            </w:r>
          </w:p>
          <w:p w14:paraId="65899BE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废弃钻井泥浆是指在钻井过程中无法利用的剩余泥浆，按照《榆林市油（气）开采废弃物处置环保暂行管理办法》（榆政环发〔2015〕170号）的相关要求进行收集，经场地内泥浆不落地系统配套的移动式收集罐暂存，委托陕西德禾鑫盛环保科技有限公司外运处置。</w:t>
            </w:r>
          </w:p>
          <w:p w14:paraId="280A163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项目钻井过程采用移动式泥浆罐，按照钻井过程中液相及固相落地点，进行点对点式收集、储存，实现液相和固相的不落地。收集的废钻井液利用高效固液分离技术，形成再生钻井液，实现废弃钻井液重复利用。</w:t>
            </w:r>
          </w:p>
          <w:p w14:paraId="0C98FFB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本项目泥浆循环利用工艺流程见图</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14:paraId="42FFF3D7">
            <w:pPr>
              <w:pStyle w:val="26"/>
              <w:bidi w:val="0"/>
              <w:ind w:left="0" w:leftChars="0" w:firstLine="0" w:firstLineChars="0"/>
              <w:jc w:val="center"/>
              <w:rPr>
                <w:rFonts w:hint="default" w:ascii="Times New Roman" w:hAnsi="Times New Roman" w:cs="Times New Roman"/>
                <w:color w:val="auto"/>
                <w:sz w:val="24"/>
                <w:lang w:bidi="ar"/>
              </w:rPr>
            </w:pPr>
            <w:r>
              <w:rPr>
                <w:color w:val="auto"/>
              </w:rPr>
              <w:drawing>
                <wp:inline distT="0" distB="0" distL="114300" distR="114300">
                  <wp:extent cx="5516880" cy="3893820"/>
                  <wp:effectExtent l="0" t="0" r="7620"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6"/>
                          <a:stretch>
                            <a:fillRect/>
                          </a:stretch>
                        </pic:blipFill>
                        <pic:spPr>
                          <a:xfrm>
                            <a:off x="0" y="0"/>
                            <a:ext cx="5516880" cy="3893820"/>
                          </a:xfrm>
                          <a:prstGeom prst="rect">
                            <a:avLst/>
                          </a:prstGeom>
                          <a:noFill/>
                          <a:ln>
                            <a:noFill/>
                          </a:ln>
                        </pic:spPr>
                      </pic:pic>
                    </a:graphicData>
                  </a:graphic>
                </wp:inline>
              </w:drawing>
            </w:r>
          </w:p>
          <w:p w14:paraId="7A813485">
            <w:pPr>
              <w:pStyle w:val="10"/>
              <w:bidi w:val="0"/>
              <w:ind w:left="0" w:leftChars="0" w:firstLine="0" w:firstLineChars="0"/>
              <w:jc w:val="center"/>
              <w:rPr>
                <w:rFonts w:hint="default" w:ascii="Times New Roman" w:hAnsi="Times New Roman" w:eastAsia="宋体" w:cs="Times New Roman"/>
                <w:color w:val="auto"/>
                <w:sz w:val="21"/>
                <w:szCs w:val="21"/>
                <w:lang w:eastAsia="zh-CN" w:bidi="ar"/>
              </w:rPr>
            </w:pPr>
            <w:r>
              <w:rPr>
                <w:rFonts w:hint="default" w:ascii="Times New Roman" w:hAnsi="Times New Roman" w:cs="Times New Roman"/>
                <w:color w:val="auto"/>
                <w:sz w:val="21"/>
                <w:szCs w:val="21"/>
              </w:rPr>
              <w:t>图</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 xml:space="preserve">  工艺流程图</w:t>
            </w:r>
          </w:p>
          <w:p w14:paraId="16489FA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工艺流程如下：</w:t>
            </w:r>
          </w:p>
          <w:p w14:paraId="415F788D">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本项目钻井固废(岩屑、泥浆压滤后废弃物)经各井场收集运输至厂区，由专用车辆运输到卸料车间内，产生的渗滤液进入滤液水池内暂存。卸料车间内的物料再通过给料机和皮带输送机传送至固化处理车间的振动筛进行筛分,经分后剔除铁块等杂物，筛分后物料经皮带传送至拌合机，在拌合机内添加辅料固化后经皮带运送至填埋场进行填埋处置。固化车间主要对来料固废通过添加固化剂进行固化，项目所用的固化剂主要由pH调整剂(硫酸亚铁)、结晶整合剂(水泥)、土壤改良剂(石灰粉)成分组成，全部外购入厂。水泥、石灰粉采用密闭的罐车运输至厂区，用输料管将罐车的出料口与简仓的进料口连接，通过气力输送至简仓中存储，简仓为密闭结构。pH调整剂(硫酸亚铁)存于厂区药剂库，在固化时，与水按比例混合后贮存在罐内。固化剂通过输送管道打入搅拌机与填埋物进行混合</w:t>
            </w:r>
            <w:r>
              <w:rPr>
                <w:rFonts w:hint="eastAsia" w:ascii="Times New Roman" w:hAnsi="Times New Roman" w:eastAsia="宋体" w:cs="Times New Roman"/>
                <w:color w:val="auto"/>
                <w:lang w:eastAsia="zh-CN"/>
              </w:rPr>
              <w:t>。</w:t>
            </w:r>
          </w:p>
          <w:p w14:paraId="210D4AC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井场作业区域地面全部铺设土工布进行地面防渗，井场内不开挖泥浆池，泥浆存于循环罐内，岩屑暂存在钢制收集罐内，储罐底部均铺设防渗布。施工期间在井场对钻井各环节产生的废弃泥浆收集，采取“铺设作业、带罐上岗”的模式作业，规范处理，井场作业完成3天内废弃钻井泥浆交由陕西德禾鑫盛环保科技有限公司处置，对环境影响较小。废弃钻井泥浆在井场经罐车拉运至集中处理场地，谨防抛洒。</w:t>
            </w:r>
          </w:p>
          <w:p w14:paraId="6B436A6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②钻井岩屑</w:t>
            </w:r>
          </w:p>
          <w:p w14:paraId="57195B4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钻井过程中，岩石被钻头破碎成岩屑，随着泥浆经循环泵带出井口，经地面的泥浆不落地系统处理分离，根据本地区同类项目工程经验，钻井岩屑中不含重金属和放射性含量物质，属于Ⅱ类一般固废，委托陕西德禾鑫盛环保科技有限公司处置。本项目使用水基泥浆，钻井岩屑按照《榆林市油（气）开采废弃物处置环保暂行管理办法》（榆政环发〔2015〕170号）的相关要求进行收集。</w:t>
            </w:r>
          </w:p>
          <w:p w14:paraId="3373590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③依托可行性分析</w:t>
            </w:r>
          </w:p>
          <w:p w14:paraId="3917AE3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本项目产生的废弃钻井泥浆、钻井岩屑交由</w:t>
            </w:r>
            <w:r>
              <w:rPr>
                <w:rFonts w:hint="default" w:ascii="Times New Roman" w:hAnsi="Times New Roman" w:cs="Times New Roman"/>
                <w:color w:val="auto"/>
              </w:rPr>
              <w:t>陕西德禾鑫盛环保科技有限公司处置</w:t>
            </w:r>
            <w:r>
              <w:rPr>
                <w:rFonts w:hint="default" w:ascii="Times New Roman" w:hAnsi="Times New Roman" w:cs="Times New Roman"/>
                <w:color w:val="auto"/>
                <w:lang w:val="en-US" w:eastAsia="zh-CN"/>
              </w:rPr>
              <w:t>。</w:t>
            </w:r>
          </w:p>
          <w:p w14:paraId="229928C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lang w:val="en-US"/>
              </w:rPr>
            </w:pPr>
            <w:r>
              <w:rPr>
                <w:rFonts w:hint="default" w:ascii="Times New Roman" w:hAnsi="Times New Roman" w:cs="Times New Roman"/>
                <w:color w:val="auto"/>
              </w:rPr>
              <w:t>陕西德禾鑫盛环保科技有限公司</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关于佳县刘国具油气田开采废弃物集中处理项目（重大变动）环境影响报告书</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位于佳县刘国具镇斗范梁村，</w:t>
            </w:r>
            <w:r>
              <w:rPr>
                <w:rFonts w:hint="default" w:ascii="Times New Roman" w:hAnsi="Times New Roman" w:cs="Times New Roman"/>
                <w:color w:val="auto"/>
                <w:lang w:val="en-US" w:eastAsia="zh-CN"/>
              </w:rPr>
              <w:t>设计</w:t>
            </w:r>
            <w:r>
              <w:rPr>
                <w:rFonts w:hint="eastAsia" w:ascii="Times New Roman" w:hAnsi="Times New Roman" w:cs="Times New Roman"/>
                <w:color w:val="auto"/>
                <w:lang w:val="en-US" w:eastAsia="zh-CN"/>
              </w:rPr>
              <w:t>钻井岩屑、钻井废弃物处置量25万t</w:t>
            </w:r>
            <w:r>
              <w:rPr>
                <w:rFonts w:hint="eastAsia" w:ascii="Times New Roman" w:hAnsi="Times New Roman" w:cs="Times New Roman"/>
                <w:color w:val="auto"/>
                <w:vertAlign w:val="baseline"/>
                <w:lang w:val="en-US" w:eastAsia="zh-CN"/>
              </w:rPr>
              <w:t>/a、5</w:t>
            </w:r>
            <w:r>
              <w:rPr>
                <w:rFonts w:hint="eastAsia" w:ascii="Times New Roman" w:hAnsi="Times New Roman" w:cs="Times New Roman"/>
                <w:color w:val="auto"/>
                <w:lang w:val="en-US" w:eastAsia="zh-CN"/>
              </w:rPr>
              <w:t>万t</w:t>
            </w:r>
            <w:r>
              <w:rPr>
                <w:rFonts w:hint="eastAsia" w:ascii="Times New Roman" w:hAnsi="Times New Roman" w:cs="Times New Roman"/>
                <w:color w:val="auto"/>
                <w:vertAlign w:val="baseline"/>
                <w:lang w:val="en-US" w:eastAsia="zh-CN"/>
              </w:rPr>
              <w:t>/a</w:t>
            </w:r>
            <w:r>
              <w:rPr>
                <w:rFonts w:hint="default" w:ascii="Times New Roman" w:hAnsi="Times New Roman" w:cs="Times New Roman"/>
                <w:color w:val="auto"/>
                <w:lang w:val="en-US" w:eastAsia="zh-CN"/>
              </w:rPr>
              <w:t>。</w:t>
            </w:r>
            <w:r>
              <w:rPr>
                <w:rFonts w:hint="default" w:ascii="Times New Roman" w:hAnsi="Times New Roman" w:cs="Times New Roman"/>
                <w:color w:val="auto"/>
              </w:rPr>
              <w:t>该</w:t>
            </w:r>
            <w:r>
              <w:rPr>
                <w:rFonts w:hint="eastAsia" w:ascii="Times New Roman" w:hAnsi="Times New Roman" w:eastAsia="宋体" w:cs="Times New Roman"/>
                <w:color w:val="auto"/>
                <w:lang w:val="en-US" w:eastAsia="zh-CN"/>
              </w:rPr>
              <w:t>项目</w:t>
            </w:r>
            <w:r>
              <w:rPr>
                <w:rFonts w:hint="default" w:ascii="Times New Roman" w:hAnsi="Times New Roman" w:cs="Times New Roman"/>
                <w:color w:val="auto"/>
              </w:rPr>
              <w:t>于202</w:t>
            </w:r>
            <w:r>
              <w:rPr>
                <w:rFonts w:hint="eastAsia" w:ascii="Times New Roman" w:hAnsi="Times New Roman" w:cs="Times New Roman"/>
                <w:color w:val="auto"/>
                <w:lang w:val="en-US" w:eastAsia="zh-CN"/>
              </w:rPr>
              <w:t>3</w:t>
            </w:r>
            <w:r>
              <w:rPr>
                <w:rFonts w:hint="default" w:ascii="Times New Roman" w:hAnsi="Times New Roman" w:cs="Times New Roman"/>
                <w:color w:val="auto"/>
              </w:rPr>
              <w:t>年</w:t>
            </w:r>
            <w:r>
              <w:rPr>
                <w:rFonts w:hint="eastAsia" w:ascii="Times New Roman" w:hAnsi="Times New Roman" w:eastAsia="宋体" w:cs="Times New Roman"/>
                <w:color w:val="auto"/>
                <w:lang w:val="en-US" w:eastAsia="zh-CN"/>
              </w:rPr>
              <w:t>6月9日</w:t>
            </w:r>
            <w:r>
              <w:rPr>
                <w:rFonts w:hint="default" w:ascii="Times New Roman" w:hAnsi="Times New Roman" w:cs="Times New Roman"/>
                <w:color w:val="auto"/>
              </w:rPr>
              <w:t>取得榆林市行政审批服务局环评批复文件（榆政审批生态发</w:t>
            </w:r>
            <w:r>
              <w:rPr>
                <w:rFonts w:hint="default" w:ascii="Times New Roman" w:hAnsi="Times New Roman" w:eastAsia="宋体" w:cs="Times New Roman"/>
                <w:color w:val="auto"/>
              </w:rPr>
              <w:t>〔</w:t>
            </w:r>
            <w:r>
              <w:rPr>
                <w:rFonts w:hint="default" w:ascii="Times New Roman" w:hAnsi="Times New Roman"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4</w:t>
            </w:r>
            <w:r>
              <w:rPr>
                <w:rFonts w:hint="default" w:ascii="Times New Roman" w:hAnsi="Times New Roman" w:cs="Times New Roman"/>
                <w:color w:val="auto"/>
              </w:rPr>
              <w:t>号）</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已于2024年3月18日取得榆林市生态环境局下发排污许可证，证书编号为：91610828MA7C36978Y001V；于2024年4月19日完成竣工环境保护验收，目前运行正常。</w:t>
            </w:r>
          </w:p>
          <w:p w14:paraId="49AA0744">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本项目施工期产生的钻井岩屑为</w:t>
            </w:r>
            <w:r>
              <w:rPr>
                <w:rFonts w:hint="eastAsia" w:ascii="Times New Roman" w:hAnsi="Times New Roman" w:eastAsia="宋体" w:cs="Times New Roman"/>
                <w:color w:val="auto"/>
                <w:lang w:val="en-US" w:eastAsia="zh-CN"/>
              </w:rPr>
              <w:t>1491.37</w:t>
            </w:r>
            <w:r>
              <w:rPr>
                <w:rFonts w:hint="default" w:ascii="Times New Roman" w:hAnsi="Times New Roman" w:cs="Times New Roman"/>
                <w:color w:val="auto"/>
              </w:rPr>
              <w:t>t，</w:t>
            </w:r>
            <w:r>
              <w:rPr>
                <w:rFonts w:hint="default" w:ascii="Times New Roman" w:hAnsi="Times New Roman" w:cs="Times New Roman"/>
                <w:color w:val="auto"/>
                <w:lang w:val="en-US" w:eastAsia="zh-CN"/>
              </w:rPr>
              <w:t>废弃</w:t>
            </w:r>
            <w:r>
              <w:rPr>
                <w:rFonts w:hint="default" w:ascii="Times New Roman" w:hAnsi="Times New Roman" w:cs="Times New Roman"/>
                <w:color w:val="auto"/>
              </w:rPr>
              <w:t>钻井泥</w:t>
            </w:r>
            <w:r>
              <w:rPr>
                <w:rFonts w:hint="eastAsia" w:ascii="Times New Roman" w:hAnsi="Times New Roman" w:eastAsia="宋体" w:cs="Times New Roman"/>
                <w:color w:val="auto"/>
                <w:lang w:val="en-US" w:eastAsia="zh-CN"/>
              </w:rPr>
              <w:t>饼</w:t>
            </w:r>
            <w:r>
              <w:rPr>
                <w:rFonts w:hint="default" w:ascii="Times New Roman" w:hAnsi="Times New Roman" w:cs="Times New Roman"/>
                <w:color w:val="auto"/>
              </w:rPr>
              <w:t>为</w:t>
            </w:r>
            <w:r>
              <w:rPr>
                <w:rFonts w:hint="eastAsia" w:ascii="Times New Roman" w:hAnsi="Times New Roman" w:eastAsia="宋体" w:cs="Times New Roman"/>
                <w:color w:val="auto"/>
                <w:lang w:val="en-US" w:eastAsia="zh-CN"/>
              </w:rPr>
              <w:t>23.45</w:t>
            </w:r>
            <w:r>
              <w:rPr>
                <w:rFonts w:hint="default" w:ascii="Times New Roman" w:hAnsi="Times New Roman" w:cs="Times New Roman"/>
                <w:color w:val="auto"/>
              </w:rPr>
              <w:t>t，该</w:t>
            </w:r>
            <w:r>
              <w:rPr>
                <w:rFonts w:hint="eastAsia" w:ascii="Times New Roman" w:hAnsi="Times New Roman" w:eastAsia="宋体" w:cs="Times New Roman"/>
                <w:color w:val="auto"/>
                <w:lang w:val="en-US" w:eastAsia="zh-CN"/>
              </w:rPr>
              <w:t>处置</w:t>
            </w:r>
            <w:r>
              <w:rPr>
                <w:rFonts w:hint="default" w:ascii="Times New Roman" w:hAnsi="Times New Roman" w:cs="Times New Roman"/>
                <w:color w:val="auto"/>
              </w:rPr>
              <w:t>能力能够满足本项目需求，依托可行。</w:t>
            </w:r>
          </w:p>
          <w:p w14:paraId="45330B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（3）废机油</w:t>
            </w:r>
          </w:p>
          <w:p w14:paraId="226A5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主要来源于清洗钻具、套管时产生的废机油，暂存于</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，委托有资质的单位进行处置。</w:t>
            </w:r>
          </w:p>
          <w:p w14:paraId="7BA29AF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（4）生活垃圾</w:t>
            </w:r>
          </w:p>
          <w:p w14:paraId="34F0C9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探井人员生活垃圾由生活垃圾桶收集，委托当地环卫部门清运处置。</w:t>
            </w:r>
          </w:p>
          <w:p w14:paraId="3DA19A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（5）废纯碱、膨润土包装袋</w:t>
            </w:r>
            <w:r>
              <w:rPr>
                <w:rFonts w:hint="eastAsia" w:ascii="Times New Roman" w:hAnsi="Times New Roman" w:eastAsia="宋体" w:cs="Times New Roman"/>
                <w:b/>
                <w:bCs/>
                <w:color w:val="auto"/>
                <w:sz w:val="24"/>
                <w:szCs w:val="24"/>
                <w:vertAlign w:val="baseline"/>
                <w:lang w:val="en-US" w:eastAsia="zh-CN"/>
              </w:rPr>
              <w:t>、不含油废防渗布</w:t>
            </w:r>
          </w:p>
          <w:p w14:paraId="1324A2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废纯碱、膨润土包装袋</w:t>
            </w:r>
            <w:r>
              <w:rPr>
                <w:rFonts w:hint="eastAsia" w:ascii="Times New Roman" w:hAnsi="Times New Roman" w:eastAsia="宋体" w:cs="Times New Roman"/>
                <w:b w:val="0"/>
                <w:bCs w:val="0"/>
                <w:color w:val="auto"/>
                <w:sz w:val="24"/>
                <w:szCs w:val="24"/>
                <w:vertAlign w:val="baseline"/>
                <w:lang w:val="en-US" w:eastAsia="zh-CN"/>
              </w:rPr>
              <w:t>、不含油废防渗布</w:t>
            </w:r>
            <w:r>
              <w:rPr>
                <w:rFonts w:hint="default" w:ascii="Times New Roman" w:hAnsi="Times New Roman" w:eastAsia="宋体" w:cs="Times New Roman"/>
                <w:b w:val="0"/>
                <w:bCs w:val="0"/>
                <w:color w:val="auto"/>
                <w:sz w:val="24"/>
                <w:szCs w:val="24"/>
                <w:vertAlign w:val="baseline"/>
                <w:lang w:val="en-US" w:eastAsia="zh-CN"/>
              </w:rPr>
              <w:t>集中收集后交由物资回收公司进行回收再利用。</w:t>
            </w:r>
          </w:p>
          <w:p w14:paraId="7ED304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（6）</w:t>
            </w:r>
            <w:r>
              <w:rPr>
                <w:rFonts w:hint="eastAsia" w:ascii="Times New Roman" w:hAnsi="Times New Roman" w:eastAsia="宋体" w:cs="Times New Roman"/>
                <w:b/>
                <w:bCs/>
                <w:color w:val="auto"/>
                <w:sz w:val="24"/>
                <w:szCs w:val="24"/>
                <w:vertAlign w:val="baseline"/>
                <w:lang w:val="en-US" w:eastAsia="zh-CN"/>
              </w:rPr>
              <w:t>含油废防渗布</w:t>
            </w:r>
          </w:p>
          <w:p w14:paraId="4496B1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废防渗膜未沾染危险废物的井场集中收集后，交由物资回收公司进行回收再利用；沾染危险废物的井场集中收集后，暂存于</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，委托有资质单位进行处置。</w:t>
            </w:r>
          </w:p>
          <w:p w14:paraId="150B0B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撬装式</w:t>
            </w:r>
            <w:r>
              <w:rPr>
                <w:rFonts w:hint="default" w:ascii="Times New Roman" w:hAnsi="Times New Roman" w:eastAsia="宋体" w:cs="Times New Roman"/>
                <w:b w:val="0"/>
                <w:bCs w:val="0"/>
                <w:color w:val="auto"/>
                <w:sz w:val="24"/>
                <w:szCs w:val="24"/>
                <w:vertAlign w:val="baseline"/>
                <w:lang w:val="en-US" w:eastAsia="zh-CN"/>
              </w:rPr>
              <w:t>危废贮存</w:t>
            </w:r>
            <w:r>
              <w:rPr>
                <w:rFonts w:hint="eastAsia" w:ascii="Times New Roman" w:hAnsi="Times New Roman" w:eastAsia="宋体" w:cs="Times New Roman"/>
                <w:b w:val="0"/>
                <w:bCs w:val="0"/>
                <w:color w:val="auto"/>
                <w:sz w:val="24"/>
                <w:szCs w:val="24"/>
                <w:vertAlign w:val="baseline"/>
                <w:lang w:val="en-US" w:eastAsia="zh-CN"/>
              </w:rPr>
              <w:t>库贮存</w:t>
            </w:r>
            <w:r>
              <w:rPr>
                <w:rFonts w:hint="default" w:ascii="Times New Roman" w:hAnsi="Times New Roman" w:eastAsia="宋体" w:cs="Times New Roman"/>
                <w:b w:val="0"/>
                <w:bCs w:val="0"/>
                <w:color w:val="auto"/>
                <w:sz w:val="24"/>
                <w:szCs w:val="24"/>
                <w:vertAlign w:val="baseline"/>
                <w:lang w:val="en-US" w:eastAsia="zh-CN"/>
              </w:rPr>
              <w:t>要求：</w:t>
            </w:r>
          </w:p>
          <w:p w14:paraId="2694DA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为防止危险废物在场内临时存储过程中对环境产生污染影响，根据《危险废物贮存污染控制标准》（GB18597-2023）的相关内容，本次评价要求：</w:t>
            </w:r>
          </w:p>
          <w:p w14:paraId="5487DBA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①按照危险废物贮存污染控制标准要求，废机油、氢氧化钠包装袋和沾染危险废物的废防渗膜采用专用的容器存放，并置于专用</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，防止风吹雨淋和日晒。</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设立危险废物警示标志，由专人进行管理，做好危险废物排放量及处置记录。</w:t>
            </w:r>
          </w:p>
          <w:p w14:paraId="71A3EB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应设置围墙或其它防护栅栏。</w:t>
            </w:r>
          </w:p>
          <w:p w14:paraId="22302E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③项目采用撬装式</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，防渗可满足《危险废物贮存污染控制标准》（GB18597-2023）的相关要求，防渗层渗透系数小于1×10</w:t>
            </w:r>
            <w:r>
              <w:rPr>
                <w:rFonts w:hint="default" w:ascii="Times New Roman" w:hAnsi="Times New Roman" w:eastAsia="宋体" w:cs="Times New Roman"/>
                <w:b w:val="0"/>
                <w:bCs w:val="0"/>
                <w:color w:val="auto"/>
                <w:sz w:val="24"/>
                <w:szCs w:val="24"/>
                <w:vertAlign w:val="superscript"/>
                <w:lang w:val="en-US" w:eastAsia="zh-CN"/>
              </w:rPr>
              <w:t>-10</w:t>
            </w:r>
            <w:r>
              <w:rPr>
                <w:rFonts w:hint="default" w:ascii="Times New Roman" w:hAnsi="Times New Roman" w:eastAsia="宋体" w:cs="Times New Roman"/>
                <w:b w:val="0"/>
                <w:bCs w:val="0"/>
                <w:color w:val="auto"/>
                <w:sz w:val="24"/>
                <w:szCs w:val="24"/>
                <w:vertAlign w:val="baseline"/>
                <w:lang w:val="en-US" w:eastAsia="zh-CN"/>
              </w:rPr>
              <w:t>cm/s。</w:t>
            </w:r>
          </w:p>
          <w:p w14:paraId="0C90DE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④对装有危废的容器进行定期检查，容器泄漏损坏时必须立即处理，并将危废装入完好容器内。</w:t>
            </w:r>
          </w:p>
          <w:p w14:paraId="55C099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⑤危险废物贮存过程中在下部设置防渗托盘，可有效防止危险废物泄漏至外界；</w:t>
            </w:r>
          </w:p>
          <w:p w14:paraId="156769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⑥危险废物的转移应遵从《危险废物转移管理办法》（生态环境部公安部交通运输部部令第23号）及其它有关规定的要求。评价要求企业在勘探结束后需立即委托资质单位接收、转移勘探期间产生的危险废物，不得私自转运至其他井场</w:t>
            </w:r>
            <w:r>
              <w:rPr>
                <w:rFonts w:hint="eastAsia" w:ascii="Times New Roman" w:hAnsi="Times New Roman" w:eastAsia="宋体" w:cs="Times New Roman"/>
                <w:b w:val="0"/>
                <w:bCs w:val="0"/>
                <w:color w:val="auto"/>
                <w:sz w:val="24"/>
                <w:szCs w:val="24"/>
                <w:vertAlign w:val="baseline"/>
                <w:lang w:val="en-US" w:eastAsia="zh-CN"/>
              </w:rPr>
              <w:t>危废贮存库</w:t>
            </w:r>
            <w:r>
              <w:rPr>
                <w:rFonts w:hint="default" w:ascii="Times New Roman" w:hAnsi="Times New Roman" w:eastAsia="宋体" w:cs="Times New Roman"/>
                <w:b w:val="0"/>
                <w:bCs w:val="0"/>
                <w:color w:val="auto"/>
                <w:sz w:val="24"/>
                <w:szCs w:val="24"/>
                <w:vertAlign w:val="baseline"/>
                <w:lang w:val="en-US" w:eastAsia="zh-CN"/>
              </w:rPr>
              <w:t>储存。</w:t>
            </w:r>
          </w:p>
          <w:p w14:paraId="6D4E8E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⑦危险废物转移建立台账，并且按照相关规定要求进行申报。固体废物规范运输的管理要求：</w:t>
            </w:r>
          </w:p>
          <w:p w14:paraId="3B4063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①合理规划固体废物运输路线，选择人员稀少的路线，并减少鸣笛，以减轻对周边居民的影响；</w:t>
            </w:r>
          </w:p>
          <w:p w14:paraId="14D329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②项目产生的废弃岩屑、泥饼运输过程实施全程GPS定位及监控，严禁运输过程中随意掩埋、抛洒废弃钻井岩屑、泥饼；</w:t>
            </w:r>
          </w:p>
          <w:p w14:paraId="6FD5CD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③项目选择防渗漏、防溢流的运输车辆进行固体废物的运输。</w:t>
            </w:r>
          </w:p>
          <w:p w14:paraId="54814ED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综上所述，在加强施工过程固体废物管理的前提下，固体废物环境影响可以得到有效控制和治理，环境影响较小。</w:t>
            </w:r>
          </w:p>
          <w:p w14:paraId="196E3D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七、土壤环境保护措施</w:t>
            </w:r>
          </w:p>
          <w:p w14:paraId="221F27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项目施工过程中将产生施工垃圾、生活垃圾和污水，包括泥浆、废弃余料、施工人员的一次性餐具、饮料瓶等，若不及时收集或随意丢弃会使固废残留于土壤中，对井场附近土壤造成一定程度的污染。</w:t>
            </w:r>
          </w:p>
          <w:p w14:paraId="320506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因此，施工时必须对产生的固体废物实施严格管理措施，进行统一回收和处置，严禁就地固化掩埋、严禁随意堆放抛洒；洗井废水罐和压裂返排液罐储存区均应进行防渗处理，生产废水在井场内不落地、不外排，采取以上措施后，项目对周边土壤环境造成的影响较小。</w:t>
            </w:r>
          </w:p>
          <w:p w14:paraId="2864A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八、风险防范措施</w:t>
            </w:r>
          </w:p>
          <w:p w14:paraId="4934BE13">
            <w:pPr>
              <w:pStyle w:val="26"/>
              <w:keepNext w:val="0"/>
              <w:keepLines w:val="0"/>
              <w:pageBreakBefore w:val="0"/>
              <w:widowControl w:val="0"/>
              <w:kinsoku/>
              <w:wordWrap/>
              <w:overflowPunct/>
              <w:topLinePunct w:val="0"/>
              <w:autoSpaceDE/>
              <w:autoSpaceDN/>
              <w:bidi w:val="0"/>
              <w:adjustRightInd/>
              <w:snapToGrid/>
              <w:textAlignment w:val="auto"/>
              <w:rPr>
                <w:rFonts w:hint="eastAsia"/>
                <w:color w:val="auto"/>
              </w:rPr>
            </w:pPr>
            <w:r>
              <w:rPr>
                <w:rFonts w:hint="eastAsia"/>
                <w:color w:val="auto"/>
              </w:rPr>
              <w:t>项目拟采取的风险防范措施如下：</w:t>
            </w:r>
          </w:p>
          <w:p w14:paraId="4DF6BE1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收集罐渗漏及废水外溢的防范措施</w:t>
            </w:r>
          </w:p>
          <w:p w14:paraId="5625F2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①储罐设置应避开不良地质或岩土松散等地质结构不稳定的地方；</w:t>
            </w:r>
          </w:p>
          <w:p w14:paraId="396C2FE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②储罐储存区均进行防渗处理；</w:t>
            </w:r>
          </w:p>
          <w:p w14:paraId="166CAF7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③加强员工操作规范管理，尽量避免废水装车失误。装车过程若遇到废水泄漏，立即停止装车作业，减少废水泄漏量，并利用井场内的污水沟将泄漏废水收集至废水箱内，不外流。</w:t>
            </w:r>
          </w:p>
          <w:p w14:paraId="7DD84EB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井喷事故风险防范措施</w:t>
            </w:r>
          </w:p>
          <w:p w14:paraId="07FAAB5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①钻井地质设计、工程设计和施工设计中应有井控和防有害气体的内容，并按标准要求提供相关资料。</w:t>
            </w:r>
          </w:p>
          <w:p w14:paraId="2AF7DD5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②在工程设计书中应有可操作性的安全（HSE）设计篇章。其安全（HSE）设计以国家有关法律、法规、国家标准、行业标准以及安全预评价报告和环境影响评价报告为设计依据。</w:t>
            </w:r>
          </w:p>
          <w:p w14:paraId="624C1F8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③设计书必须按照有关审批程序进行严格审批。钻井承包商在未收到设计书前禁止组织施工。</w:t>
            </w:r>
          </w:p>
          <w:p w14:paraId="2C389C6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应利用各种作业所获得直接或间接地层压力数据进行数理统计分析资料，划分出不同地层压力区带，与邻井可比地层压力进行分析对比，提供地层压力预测或监测曲线（值），并对漏失层段、浅层气分布情况、油气水显示和其他复杂情况进行预告。</w:t>
            </w:r>
          </w:p>
          <w:p w14:paraId="1317E122">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⑤井场平面布置应按照《钻前工程及井场布置技术要求》（SY/T5466-2013）的规定进行设置，保证能满足井喷时人员和设备撤离的要求。</w:t>
            </w:r>
          </w:p>
          <w:p w14:paraId="171F593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⑥钻至天然气层前100m，应将可能发生的危害、安全事项、撤离程序等告知3km范围内人员。</w:t>
            </w:r>
          </w:p>
          <w:p w14:paraId="701A051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⑦应在钻井周边地区设置广播设施、警示牌和风向标，使周边居民在第一时间得知井喷事故发生时逃离危险区域。</w:t>
            </w:r>
          </w:p>
          <w:p w14:paraId="48FE27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井喷应急处理预案</w:t>
            </w:r>
          </w:p>
          <w:p w14:paraId="0D1FDE2A">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根据事态发展变化情况，事故现场抢险指挥部根据应急领导小组的指令并充分考虑专家和有关意见的基础上，依法采取紧急措施，并注意做好以下工作：</w:t>
            </w:r>
          </w:p>
          <w:p w14:paraId="42CE76B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①井喷失控后严防着火和爆炸。应立即停钻机、切断井架、钻台、机泵房等处全部照明灯和用电设备的电源，熄灭一切火源，需要时打开专用探照灯，并组织警戒。</w:t>
            </w:r>
          </w:p>
          <w:p w14:paraId="17B6E01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②立即向当地政府报告，通知3km范围内的厂矿企业立刻进行沿反方向进行撤离，协助当地政府作好井口500m范围内居民的疏散工作。</w:t>
            </w:r>
          </w:p>
          <w:p w14:paraId="273FCA7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③设置观察点，定时取样，监测大气中的天然气、H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S和CO含量，划分安全范围。</w:t>
            </w:r>
          </w:p>
          <w:p w14:paraId="1B3FD99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④迅速成立现场抢险领导小组，根据失控状况制定抢险方案，统一指挥、组织和协调抢险工作。抢险方案制订及实施，同时实施，防止出现次生环境事故。</w:t>
            </w:r>
          </w:p>
          <w:p w14:paraId="0435300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⑤继续监测污染区有毒有害气体的浓度，根据监测情况决定是否扩大撤离范围。</w:t>
            </w:r>
          </w:p>
          <w:p w14:paraId="1CB9ED9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⑥当井喷失控时，应：a、关停生产设施</w:t>
            </w:r>
            <w:r>
              <w:rPr>
                <w:rFonts w:hint="default" w:ascii="Times New Roman" w:hAnsi="Times New Roman" w:cs="Times New Roman"/>
                <w:color w:val="auto"/>
                <w:lang w:eastAsia="zh-CN"/>
              </w:rPr>
              <w:t>；</w:t>
            </w:r>
            <w:r>
              <w:rPr>
                <w:rFonts w:hint="default" w:ascii="Times New Roman" w:hAnsi="Times New Roman" w:cs="Times New Roman"/>
                <w:color w:val="auto"/>
              </w:rPr>
              <w:t>b、请求援助。</w:t>
            </w:r>
          </w:p>
          <w:p w14:paraId="5396888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⑦井喷发生后，及时安排消防车、救护车、医护人员到现场救援。</w:t>
            </w:r>
          </w:p>
          <w:p w14:paraId="3ADBA30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⑧在事故处理结束后，确认作业现场及其周边环境安全的情况与和地方政府商定撤离群众的返回时间。</w:t>
            </w:r>
          </w:p>
          <w:p w14:paraId="5B4458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综合以上分析，本工程的环境风险措施切实可行。在落实各种风险防范措施的前提下，其发生事故的概率低，环境危害较小，环境风险达到可以接受水平。</w:t>
            </w:r>
          </w:p>
          <w:p w14:paraId="3A93FD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九、弃井封井措施及生态恢复措施</w:t>
            </w:r>
          </w:p>
          <w:p w14:paraId="4E58CB0D">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若为临时封井，除预留转成生产井所需的面积外，对其余临时占地覆土并恢复为原有植被和生态景观，使区域生态景观和谐一致；若为永久封井，对整个施工区域覆土并恢复为原有植被和生态景观，使区域生态景观和谐一致。</w:t>
            </w:r>
          </w:p>
          <w:p w14:paraId="3F3BA49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（2）气井测试完毕后，拆除</w:t>
            </w:r>
            <w:r>
              <w:rPr>
                <w:rFonts w:hint="eastAsia" w:ascii="Times New Roman" w:hAnsi="Times New Roman" w:eastAsia="宋体" w:cs="Times New Roman"/>
                <w:color w:val="auto"/>
                <w:lang w:eastAsia="zh-CN"/>
              </w:rPr>
              <w:t>放喷池</w:t>
            </w:r>
            <w:r>
              <w:rPr>
                <w:rFonts w:hint="default" w:ascii="Times New Roman" w:hAnsi="Times New Roman" w:cs="Times New Roman"/>
                <w:color w:val="auto"/>
              </w:rPr>
              <w:t>，清除放喷测试留下的痕迹，再用探井场地建设时的表层土进行覆盖，然后进行植被恢复。</w:t>
            </w:r>
          </w:p>
          <w:p w14:paraId="23C5B16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（3）拆除所有临时占地基础（设备及地面硬化的砖瓦等）后将探井场地建设保留的耕植土摊铺覆盖于场面上，然后进行植被恢复。</w:t>
            </w:r>
          </w:p>
          <w:p w14:paraId="25EAB598">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（4）为尽快恢复土地功能，可增施肥料，加强灌溉，以改良土壤结构及其理化性质，提高土壤的保肥保水能力，恢复土壤生产能力。</w:t>
            </w:r>
          </w:p>
          <w:p w14:paraId="79150B8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具体恢复措施如下：</w:t>
            </w:r>
          </w:p>
          <w:p w14:paraId="49400FAD">
            <w:pPr>
              <w:pStyle w:val="2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①植被恢复系数＞95%，林草覆盖率＞85%，复垦区单位面积产草量达到周边地区同等土地利用类型水平，具有生态稳定性和自我维持力</w:t>
            </w:r>
            <w:r>
              <w:rPr>
                <w:rFonts w:hint="eastAsia" w:ascii="Times New Roman" w:hAnsi="Times New Roman" w:eastAsia="宋体" w:cs="Times New Roman"/>
                <w:color w:val="auto"/>
                <w:lang w:eastAsia="zh-CN"/>
              </w:rPr>
              <w:t>。</w:t>
            </w:r>
          </w:p>
          <w:p w14:paraId="3E8E2646">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植被选用当地耐寒、保水固土能力强根系发达的物种，优先考虑灌木树种，其次为草本植物。本区域种植较成功的乔木树种有油松、龙抓槐、云杉、旱柳、榆树等；灌木树种有柠条、沙棘等；草本有冰草、沙打旺、沙嵩、黄蒿等。</w:t>
            </w:r>
          </w:p>
          <w:p w14:paraId="164AA563">
            <w:pPr>
              <w:pStyle w:val="26"/>
              <w:keepNext w:val="0"/>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default" w:ascii="Times New Roman" w:hAnsi="Times New Roman" w:cs="Times New Roman"/>
                <w:color w:val="auto"/>
              </w:rPr>
              <w:t>③探井场地弃土弃渣边坡土地整治后，在外边坡采取植物防护措施，种植草灌混交林。可选择披碱草、柠条、紫花苜蓿、白三叶等，披碱草、紫花苜蓿、白三叶撒播量45kg/hm</w:t>
            </w:r>
            <w:r>
              <w:rPr>
                <w:rFonts w:hint="default" w:ascii="Times New Roman" w:hAnsi="Times New Roman" w:cs="Times New Roman"/>
                <w:color w:val="auto"/>
                <w:vertAlign w:val="superscript"/>
              </w:rPr>
              <w:t>2</w:t>
            </w:r>
            <w:r>
              <w:rPr>
                <w:rFonts w:hint="default" w:ascii="Times New Roman" w:hAnsi="Times New Roman" w:cs="Times New Roman"/>
                <w:color w:val="auto"/>
              </w:rPr>
              <w:t>，灌木株行距2×2m，行间种植三百叶。</w:t>
            </w:r>
          </w:p>
        </w:tc>
      </w:tr>
      <w:tr w14:paraId="3F79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7B031B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运营期生态环境保护措施</w:t>
            </w:r>
          </w:p>
        </w:tc>
        <w:tc>
          <w:tcPr>
            <w:tcW w:w="8254" w:type="dxa"/>
            <w:vAlign w:val="center"/>
          </w:tcPr>
          <w:p w14:paraId="5F7286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4"/>
                <w:szCs w:val="24"/>
                <w:vertAlign w:val="baseline"/>
                <w:lang w:val="en-US" w:eastAsia="zh-CN"/>
              </w:rPr>
              <w:t>本项目为天然气评价井的钻井工程，使用功能为天然气勘探、完井并测试，不涉及运营期。</w:t>
            </w:r>
          </w:p>
        </w:tc>
      </w:tr>
      <w:tr w14:paraId="4A55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33D672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8254" w:type="dxa"/>
            <w:vAlign w:val="center"/>
          </w:tcPr>
          <w:p w14:paraId="06357C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default" w:ascii="Times New Roman" w:hAnsi="Times New Roman" w:eastAsia="宋体" w:cs="Times New Roman"/>
                <w:b/>
                <w:bCs/>
                <w:color w:val="auto"/>
                <w:sz w:val="24"/>
                <w:szCs w:val="24"/>
                <w:vertAlign w:val="baseline"/>
                <w:lang w:val="en-US" w:eastAsia="zh-CN"/>
              </w:rPr>
              <w:t>1、环境管理</w:t>
            </w:r>
          </w:p>
          <w:p w14:paraId="2A8A41E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（1）环境管理体系</w:t>
            </w:r>
          </w:p>
          <w:p w14:paraId="296F173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按HSE管理体系要求，中国石油天然气股份有限公司长庆油田分公司设质量安全环保科，设专职人员进行安全环保管理，对企业安全环保进行归档管理。项目在施工期制定安全环境管理制度，贯彻执行国家和地方各项环保方针、政策和法规。</w:t>
            </w:r>
          </w:p>
          <w:p w14:paraId="084AE10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（2）要求根据《陕北油气田开采清洁文明井场验收标准》、《榆林市油（气）开采废弃物处置环保暂行管理办法》，建设单位应该在管理中严格按照以下要求执行：</w:t>
            </w:r>
          </w:p>
          <w:p w14:paraId="0A866DB9">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①油（气）开发企业须在井场钻井作业前15日内，向当地环保局进行申报登记，申报登记内容包括废弃钻井泥浆、井下作业废水及其它污染物的产生量、去向及处理处置方式等，实际情况发生紧急重大改变的，必须在改变后3天内进行排污申报登记变更。</w:t>
            </w:r>
          </w:p>
          <w:p w14:paraId="3A9FA09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②油（气）井场要在钻井前配备废弃钻井泥浆岩屑地上移动式收集设施，对钻井过程中废弃钻井泥浆岩屑进行不落地收集，收集设施不得收集其它废弃物；未配备废弃钻井泥浆收集设施的井场不得钻井作业。</w:t>
            </w:r>
          </w:p>
          <w:p w14:paraId="06AB0A2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③油（气）井场要在压裂及其它井下作业前配备废水地上收集罐，对压裂返排液及其它废水进行统一收集；未配备废水收集罐的井场不得开展相关作业。</w:t>
            </w:r>
          </w:p>
          <w:p w14:paraId="15398EE5">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④油（气）开发企业要在油（气）井建设过程中建立气探井废弃钻井泥浆岩屑、压裂返排液及其它作业废水管理台帐，如实记录钻井泥浆及压裂液添加剂成分、用量及废弃钻井泥浆岩屑、压裂返排液及其它作业废水的产生量、循环利用量、去向及处理处置方式。</w:t>
            </w:r>
          </w:p>
          <w:p w14:paraId="545E04D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⑤废弃钻井泥浆岩屑须在油（气）井完井后3天内，由防渗漏、防抛洒、防扬尘的运输车辆统一运至油（气）开采废弃物集中处置场所处置；严禁废弃钻井泥浆岩屑井场处理、就地固化或随意抛洒、掩埋。</w:t>
            </w:r>
          </w:p>
          <w:p w14:paraId="05B1326C">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⑥油（气）井下作业废水须在井下作业完成后3天内，洗井废水由专用收集罐临时收集贮存后</w:t>
            </w:r>
            <w:r>
              <w:rPr>
                <w:rFonts w:hint="eastAsia" w:ascii="Times New Roman" w:hAnsi="Times New Roman" w:cs="Times New Roman"/>
                <w:color w:val="auto"/>
                <w:lang w:val="en-US" w:eastAsia="zh-CN"/>
              </w:rPr>
              <w:t>陕西榆佳环保科技有限公司</w:t>
            </w:r>
            <w:r>
              <w:rPr>
                <w:rFonts w:hint="default" w:ascii="Times New Roman" w:hAnsi="Times New Roman" w:cs="Times New Roman"/>
                <w:color w:val="auto"/>
              </w:rPr>
              <w:t>进行</w:t>
            </w:r>
            <w:r>
              <w:rPr>
                <w:rFonts w:hint="default" w:ascii="Times New Roman" w:hAnsi="Times New Roman" w:cs="Times New Roman"/>
                <w:color w:val="auto"/>
                <w:lang w:val="en-US" w:eastAsia="zh-CN"/>
              </w:rPr>
              <w:t>外运</w:t>
            </w:r>
            <w:r>
              <w:rPr>
                <w:rFonts w:hint="default" w:ascii="Times New Roman" w:hAnsi="Times New Roman" w:cs="Times New Roman"/>
                <w:color w:val="auto"/>
              </w:rPr>
              <w:t>处置；严禁井下作业废水排入废弃钻井泥浆岩屑收集设施或随意排放。</w:t>
            </w:r>
          </w:p>
          <w:p w14:paraId="6163889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⑦废弃钻井泥浆岩屑和井下作业废水转移前须向市级环保部门申领《榆林市油（气）开采废弃物转移联单》，运输过程实施全程GPS定位及监控；严禁运输过程中随意掩埋、抛洒废弃钻井泥浆岩屑和井下作业废水。</w:t>
            </w:r>
          </w:p>
          <w:p w14:paraId="549DE12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⑧油（气）开采废弃物集中处置项目选址要避开重点生态功能区、环境敏感区和限制开发区，要选择清洁生产、高效环保的处理工艺，要完成建设项目环境影响评价审批，通过环保设施竣工验收，取得相关手续，具备收集、处置能力。</w:t>
            </w:r>
          </w:p>
          <w:p w14:paraId="4F49CB51">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⑨未取得相关资质的单位或者个人，禁止从事油（气）开采废弃物的收集、运输和处置活动。</w:t>
            </w:r>
          </w:p>
          <w:p w14:paraId="3ECA4770">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⑩井场四周必须修建挡水墙，大门或通行处应设有砖石拱形挡水设施，保证场外雨水不进场，场内雨水不出场。</w:t>
            </w:r>
          </w:p>
          <w:p w14:paraId="2F5B53DB">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⑪井场要平整清洁，建有雨水收集池。雨水收集池应参照当地最大暴雨量设计容积（最大暴雨量×井场面积）。</w:t>
            </w:r>
          </w:p>
          <w:p w14:paraId="266D3DC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⑫井场必须设置垃圾桶，不得将含油污泥等危废混入，垃圾应及时清运，分类定点处理。</w:t>
            </w:r>
          </w:p>
          <w:p w14:paraId="4556AC0F">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⑬井场的道路两侧和围墙内外宜绿化区域应实现林草覆盖，有效覆盖面积不低于98</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14:paraId="20DC62E7">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⑭修路和开挖井场造成植被破坏或地表裸露的，必须采取有效的修复措施，所有生态措施应在井场投运半年内完成。</w:t>
            </w:r>
          </w:p>
          <w:p w14:paraId="04BAB4B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⑮关闭油（气）井应封堵油（气）层、封闭井口，并同步实施井场复垦还田或植树种草工程措施。</w:t>
            </w:r>
          </w:p>
          <w:p w14:paraId="373DF24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⑯井场应做到清洁卫生，无跑、冒、滴、漏现象，场外无油污、无垃圾，杜绝污染物乱堆乱放。</w:t>
            </w:r>
          </w:p>
          <w:p w14:paraId="0FC90B4E">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⑰按照环境事故应急预案，要对井场操作人员进行应急培训，并储备相应抢险应急物资。</w:t>
            </w:r>
          </w:p>
          <w:p w14:paraId="5F1CB6C3">
            <w:pPr>
              <w:pStyle w:val="2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rPr>
              <w:t>⑱井场实行动态管理。县级环保部门负责日常监督管理，市级环保部门负责验收并颁发统一制式的清洁文明井场牌匾。出现达不到本标准情况的，由市级环保部门收回牌匾。</w:t>
            </w:r>
          </w:p>
          <w:p w14:paraId="3E1F17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eastAsiaTheme="minorHAnsi"/>
                <w:color w:val="auto"/>
                <w:kern w:val="0"/>
                <w:sz w:val="24"/>
                <w:szCs w:val="21"/>
                <w:lang w:val="en-US" w:eastAsia="en-US" w:bidi="ar-SA"/>
              </w:rPr>
              <w:t>⑲不得调整井口坐标，确保钻井井口距居民住宅距离大于100m，加强施工机械噪声管理，保证不影响周边居民生活。</w:t>
            </w:r>
          </w:p>
        </w:tc>
      </w:tr>
      <w:tr w14:paraId="0420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4" w:type="dxa"/>
            <w:vAlign w:val="center"/>
          </w:tcPr>
          <w:p w14:paraId="1D31F07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环保投资</w:t>
            </w:r>
          </w:p>
        </w:tc>
        <w:tc>
          <w:tcPr>
            <w:tcW w:w="8254" w:type="dxa"/>
            <w:vAlign w:val="top"/>
          </w:tcPr>
          <w:p w14:paraId="13FA2BFA">
            <w:pPr>
              <w:numPr>
                <w:ilvl w:val="0"/>
                <w:numId w:val="0"/>
              </w:numPr>
              <w:ind w:firstLine="480" w:firstLineChars="200"/>
              <w:jc w:val="both"/>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本项目总投资</w:t>
            </w:r>
            <w:r>
              <w:rPr>
                <w:rFonts w:hint="eastAsia" w:ascii="Times New Roman" w:hAnsi="Times New Roman" w:eastAsia="宋体" w:cs="Times New Roman"/>
                <w:b w:val="0"/>
                <w:bCs w:val="0"/>
                <w:color w:val="auto"/>
                <w:sz w:val="24"/>
                <w:szCs w:val="24"/>
                <w:highlight w:val="none"/>
                <w:vertAlign w:val="baseline"/>
                <w:lang w:val="en-US" w:eastAsia="zh-CN"/>
              </w:rPr>
              <w:t>1500</w:t>
            </w:r>
            <w:r>
              <w:rPr>
                <w:rFonts w:hint="default" w:ascii="Times New Roman" w:hAnsi="Times New Roman" w:eastAsia="宋体" w:cs="Times New Roman"/>
                <w:b w:val="0"/>
                <w:bCs w:val="0"/>
                <w:color w:val="auto"/>
                <w:sz w:val="24"/>
                <w:szCs w:val="24"/>
                <w:highlight w:val="none"/>
                <w:vertAlign w:val="baseline"/>
                <w:lang w:val="en-US" w:eastAsia="zh-CN"/>
              </w:rPr>
              <w:t>万元，其中环保投资</w:t>
            </w:r>
            <w:r>
              <w:rPr>
                <w:rFonts w:hint="eastAsia" w:ascii="Times New Roman" w:hAnsi="Times New Roman" w:eastAsia="宋体" w:cs="Times New Roman"/>
                <w:b w:val="0"/>
                <w:bCs w:val="0"/>
                <w:color w:val="auto"/>
                <w:sz w:val="24"/>
                <w:szCs w:val="24"/>
                <w:highlight w:val="none"/>
                <w:vertAlign w:val="baseline"/>
                <w:lang w:val="en-US" w:eastAsia="zh-CN"/>
              </w:rPr>
              <w:t>163.5</w:t>
            </w:r>
            <w:r>
              <w:rPr>
                <w:rFonts w:hint="default" w:ascii="Times New Roman" w:hAnsi="Times New Roman" w:eastAsia="宋体" w:cs="Times New Roman"/>
                <w:b w:val="0"/>
                <w:bCs w:val="0"/>
                <w:color w:val="auto"/>
                <w:sz w:val="24"/>
                <w:szCs w:val="24"/>
                <w:highlight w:val="none"/>
                <w:vertAlign w:val="baseline"/>
                <w:lang w:val="en-US" w:eastAsia="zh-CN"/>
              </w:rPr>
              <w:t>万元，占总投资的</w:t>
            </w:r>
            <w:r>
              <w:rPr>
                <w:rFonts w:hint="eastAsia" w:ascii="Times New Roman" w:hAnsi="Times New Roman" w:eastAsia="宋体" w:cs="Times New Roman"/>
                <w:b w:val="0"/>
                <w:bCs w:val="0"/>
                <w:color w:val="auto"/>
                <w:sz w:val="24"/>
                <w:szCs w:val="24"/>
                <w:highlight w:val="none"/>
                <w:vertAlign w:val="baseline"/>
                <w:lang w:val="en-US" w:eastAsia="zh-CN"/>
              </w:rPr>
              <w:t>10.9</w:t>
            </w:r>
            <w:r>
              <w:rPr>
                <w:rFonts w:hint="default" w:ascii="Times New Roman" w:hAnsi="Times New Roman" w:eastAsia="宋体" w:cs="Times New Roman"/>
                <w:b w:val="0"/>
                <w:bCs w:val="0"/>
                <w:color w:val="auto"/>
                <w:sz w:val="24"/>
                <w:szCs w:val="24"/>
                <w:highlight w:val="none"/>
                <w:vertAlign w:val="baseline"/>
                <w:lang w:val="en-US" w:eastAsia="zh-CN"/>
              </w:rPr>
              <w:t>%。</w:t>
            </w:r>
          </w:p>
          <w:p w14:paraId="6DB439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表5-5   本项目主要环保投资一览表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21"/>
              <w:gridCol w:w="1279"/>
              <w:gridCol w:w="3883"/>
              <w:gridCol w:w="1269"/>
              <w:gridCol w:w="1587"/>
            </w:tblGrid>
            <w:tr w14:paraId="0A76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Align w:val="center"/>
                </w:tcPr>
                <w:p w14:paraId="1339AEDC">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项目</w:t>
                  </w:r>
                </w:p>
              </w:tc>
              <w:tc>
                <w:tcPr>
                  <w:tcW w:w="3855" w:type="dxa"/>
                  <w:vAlign w:val="center"/>
                </w:tcPr>
                <w:p w14:paraId="082237D2">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治理措施</w:t>
                  </w:r>
                </w:p>
              </w:tc>
              <w:tc>
                <w:tcPr>
                  <w:tcW w:w="1260" w:type="dxa"/>
                  <w:vAlign w:val="center"/>
                </w:tcPr>
                <w:p w14:paraId="099BCDD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数量</w:t>
                  </w:r>
                </w:p>
              </w:tc>
              <w:tc>
                <w:tcPr>
                  <w:tcW w:w="1575" w:type="dxa"/>
                  <w:vAlign w:val="center"/>
                </w:tcPr>
                <w:p w14:paraId="15FBB7FE">
                  <w:pPr>
                    <w:pStyle w:val="27"/>
                    <w:bidi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费用（万元）</w:t>
                  </w:r>
                </w:p>
              </w:tc>
            </w:tr>
            <w:tr w14:paraId="75E0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Merge w:val="restart"/>
                  <w:vAlign w:val="center"/>
                </w:tcPr>
                <w:p w14:paraId="2AF609A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3855" w:type="dxa"/>
                  <w:vAlign w:val="center"/>
                </w:tcPr>
                <w:p w14:paraId="5B2DC88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洒水设备、设置挡板、车辆运输遮盖苫布</w:t>
                  </w:r>
                </w:p>
              </w:tc>
              <w:tc>
                <w:tcPr>
                  <w:tcW w:w="1260" w:type="dxa"/>
                  <w:vAlign w:val="center"/>
                </w:tcPr>
                <w:p w14:paraId="679E2A1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75" w:type="dxa"/>
                  <w:vAlign w:val="center"/>
                </w:tcPr>
                <w:p w14:paraId="55EE7C5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r>
            <w:tr w14:paraId="5552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Merge w:val="continue"/>
                  <w:vAlign w:val="center"/>
                </w:tcPr>
                <w:p w14:paraId="00FB7F13">
                  <w:pPr>
                    <w:pStyle w:val="27"/>
                    <w:bidi w:val="0"/>
                    <w:jc w:val="center"/>
                    <w:rPr>
                      <w:rFonts w:hint="default" w:ascii="Times New Roman" w:hAnsi="Times New Roman" w:cs="Times New Roman"/>
                      <w:color w:val="auto"/>
                      <w:sz w:val="21"/>
                      <w:szCs w:val="21"/>
                    </w:rPr>
                  </w:pPr>
                </w:p>
              </w:tc>
              <w:tc>
                <w:tcPr>
                  <w:tcW w:w="3855" w:type="dxa"/>
                  <w:vAlign w:val="center"/>
                </w:tcPr>
                <w:p w14:paraId="2B5CA645">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放空设施</w:t>
                  </w:r>
                </w:p>
              </w:tc>
              <w:tc>
                <w:tcPr>
                  <w:tcW w:w="1260" w:type="dxa"/>
                  <w:vAlign w:val="center"/>
                </w:tcPr>
                <w:p w14:paraId="414DA4C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套</w:t>
                  </w:r>
                </w:p>
              </w:tc>
              <w:tc>
                <w:tcPr>
                  <w:tcW w:w="1575" w:type="dxa"/>
                  <w:vMerge w:val="restart"/>
                  <w:vAlign w:val="center"/>
                </w:tcPr>
                <w:p w14:paraId="23F65EF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计入主体工程</w:t>
                  </w:r>
                </w:p>
              </w:tc>
            </w:tr>
            <w:tr w14:paraId="3A9B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Merge w:val="continue"/>
                  <w:vAlign w:val="center"/>
                </w:tcPr>
                <w:p w14:paraId="1AC0A74B">
                  <w:pPr>
                    <w:pStyle w:val="27"/>
                    <w:bidi w:val="0"/>
                    <w:jc w:val="center"/>
                    <w:rPr>
                      <w:rFonts w:hint="default" w:ascii="Times New Roman" w:hAnsi="Times New Roman" w:cs="Times New Roman"/>
                      <w:color w:val="auto"/>
                      <w:sz w:val="21"/>
                      <w:szCs w:val="21"/>
                    </w:rPr>
                  </w:pPr>
                </w:p>
              </w:tc>
              <w:tc>
                <w:tcPr>
                  <w:tcW w:w="3855" w:type="dxa"/>
                  <w:vAlign w:val="center"/>
                </w:tcPr>
                <w:p w14:paraId="435F0AFF">
                  <w:pPr>
                    <w:pStyle w:val="27"/>
                    <w:bidi w:val="0"/>
                    <w:jc w:val="center"/>
                    <w:rPr>
                      <w:rFonts w:hint="default" w:ascii="Times New Roman" w:hAnsi="Times New Roman" w:cs="Times New Roman"/>
                      <w:color w:val="auto"/>
                      <w:sz w:val="21"/>
                      <w:szCs w:val="21"/>
                    </w:rPr>
                  </w:pPr>
                  <w:r>
                    <w:rPr>
                      <w:rFonts w:hint="eastAsia" w:cs="Times New Roman"/>
                      <w:color w:val="auto"/>
                      <w:sz w:val="21"/>
                      <w:szCs w:val="21"/>
                      <w:lang w:eastAsia="zh-CN"/>
                    </w:rPr>
                    <w:t>放喷池</w:t>
                  </w:r>
                  <w:r>
                    <w:rPr>
                      <w:rFonts w:hint="default" w:ascii="Times New Roman" w:hAnsi="Times New Roman" w:cs="Times New Roman"/>
                      <w:color w:val="auto"/>
                      <w:sz w:val="21"/>
                      <w:szCs w:val="21"/>
                    </w:rPr>
                    <w:t>10</w:t>
                  </w:r>
                  <w:r>
                    <w:rPr>
                      <w:rFonts w:hint="eastAsia" w:cs="Times New Roman"/>
                      <w:color w:val="auto"/>
                      <w:sz w:val="21"/>
                      <w:szCs w:val="21"/>
                      <w:lang w:val="en-US" w:eastAsia="zh-CN"/>
                    </w:rPr>
                    <w:t>.6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260" w:type="dxa"/>
                  <w:vAlign w:val="center"/>
                </w:tcPr>
                <w:p w14:paraId="6198CC47">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座</w:t>
                  </w:r>
                </w:p>
              </w:tc>
              <w:tc>
                <w:tcPr>
                  <w:tcW w:w="1575" w:type="dxa"/>
                  <w:vMerge w:val="continue"/>
                  <w:vAlign w:val="center"/>
                </w:tcPr>
                <w:p w14:paraId="23DF4EE7">
                  <w:pPr>
                    <w:pStyle w:val="27"/>
                    <w:bidi w:val="0"/>
                    <w:jc w:val="center"/>
                    <w:rPr>
                      <w:rFonts w:hint="default" w:ascii="Times New Roman" w:hAnsi="Times New Roman" w:cs="Times New Roman"/>
                      <w:color w:val="auto"/>
                      <w:sz w:val="21"/>
                      <w:szCs w:val="21"/>
                    </w:rPr>
                  </w:pPr>
                </w:p>
              </w:tc>
            </w:tr>
            <w:tr w14:paraId="69A98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restart"/>
                  <w:vAlign w:val="center"/>
                </w:tcPr>
                <w:p w14:paraId="36676134">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270" w:type="dxa"/>
                  <w:vAlign w:val="center"/>
                </w:tcPr>
                <w:p w14:paraId="3AF712A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洗井废水</w:t>
                  </w:r>
                </w:p>
              </w:tc>
              <w:tc>
                <w:tcPr>
                  <w:tcW w:w="3855" w:type="dxa"/>
                  <w:vAlign w:val="center"/>
                </w:tcPr>
                <w:p w14:paraId="503445BF">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60" w:type="dxa"/>
                  <w:vAlign w:val="center"/>
                </w:tcPr>
                <w:p w14:paraId="5422D3B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w:t>
                  </w:r>
                  <w:r>
                    <w:rPr>
                      <w:rFonts w:hint="default" w:ascii="Times New Roman" w:hAnsi="Times New Roman" w:cs="Times New Roman"/>
                      <w:color w:val="auto"/>
                      <w:sz w:val="21"/>
                      <w:szCs w:val="21"/>
                      <w:lang w:val="en-US" w:eastAsia="zh-CN"/>
                    </w:rPr>
                    <w:t>个</w:t>
                  </w:r>
                </w:p>
              </w:tc>
              <w:tc>
                <w:tcPr>
                  <w:tcW w:w="1575" w:type="dxa"/>
                  <w:vAlign w:val="center"/>
                </w:tcPr>
                <w:p w14:paraId="704F130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.0</w:t>
                  </w:r>
                </w:p>
              </w:tc>
            </w:tr>
            <w:tr w14:paraId="521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continue"/>
                  <w:vAlign w:val="center"/>
                </w:tcPr>
                <w:p w14:paraId="78C3EA7A">
                  <w:pPr>
                    <w:pStyle w:val="27"/>
                    <w:bidi w:val="0"/>
                    <w:jc w:val="center"/>
                    <w:rPr>
                      <w:rFonts w:hint="default" w:ascii="Times New Roman" w:hAnsi="Times New Roman" w:cs="Times New Roman"/>
                      <w:color w:val="auto"/>
                      <w:sz w:val="21"/>
                      <w:szCs w:val="21"/>
                    </w:rPr>
                  </w:pPr>
                </w:p>
              </w:tc>
              <w:tc>
                <w:tcPr>
                  <w:tcW w:w="1270" w:type="dxa"/>
                  <w:vAlign w:val="center"/>
                </w:tcPr>
                <w:p w14:paraId="767D088B">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压裂返排液</w:t>
                  </w:r>
                </w:p>
              </w:tc>
              <w:tc>
                <w:tcPr>
                  <w:tcW w:w="3855" w:type="dxa"/>
                  <w:vAlign w:val="center"/>
                </w:tcPr>
                <w:p w14:paraId="49F761E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专用收集罐75m</w:t>
                  </w:r>
                  <w:r>
                    <w:rPr>
                      <w:rFonts w:hint="default" w:ascii="Times New Roman" w:hAnsi="Times New Roman" w:cs="Times New Roman"/>
                      <w:color w:val="auto"/>
                      <w:sz w:val="21"/>
                      <w:szCs w:val="21"/>
                      <w:vertAlign w:val="superscript"/>
                    </w:rPr>
                    <w:t>3</w:t>
                  </w:r>
                </w:p>
              </w:tc>
              <w:tc>
                <w:tcPr>
                  <w:tcW w:w="1260" w:type="dxa"/>
                  <w:vAlign w:val="center"/>
                </w:tcPr>
                <w:p w14:paraId="2F51A7AD">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个</w:t>
                  </w:r>
                </w:p>
              </w:tc>
              <w:tc>
                <w:tcPr>
                  <w:tcW w:w="1575" w:type="dxa"/>
                  <w:vAlign w:val="center"/>
                </w:tcPr>
                <w:p w14:paraId="0455E0E3">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w:t>
                  </w:r>
                  <w:r>
                    <w:rPr>
                      <w:rFonts w:hint="default" w:ascii="Times New Roman" w:hAnsi="Times New Roman" w:cs="Times New Roman"/>
                      <w:color w:val="auto"/>
                      <w:sz w:val="21"/>
                      <w:szCs w:val="21"/>
                      <w:lang w:val="en-US" w:eastAsia="zh-CN"/>
                    </w:rPr>
                    <w:t>.0</w:t>
                  </w:r>
                </w:p>
              </w:tc>
            </w:tr>
            <w:tr w14:paraId="546A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continue"/>
                  <w:vAlign w:val="center"/>
                </w:tcPr>
                <w:p w14:paraId="6D26EBE8">
                  <w:pPr>
                    <w:pStyle w:val="27"/>
                    <w:bidi w:val="0"/>
                    <w:jc w:val="center"/>
                    <w:rPr>
                      <w:rFonts w:hint="default" w:ascii="Times New Roman" w:hAnsi="Times New Roman" w:cs="Times New Roman"/>
                      <w:color w:val="auto"/>
                      <w:sz w:val="21"/>
                      <w:szCs w:val="21"/>
                    </w:rPr>
                  </w:pPr>
                </w:p>
              </w:tc>
              <w:tc>
                <w:tcPr>
                  <w:tcW w:w="1270" w:type="dxa"/>
                  <w:vMerge w:val="restart"/>
                  <w:vAlign w:val="center"/>
                </w:tcPr>
                <w:p w14:paraId="5DFB45AC">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3855" w:type="dxa"/>
                  <w:vAlign w:val="center"/>
                </w:tcPr>
                <w:p w14:paraId="38EC89B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w:t>
                  </w:r>
                  <w:r>
                    <w:rPr>
                      <w:rFonts w:hint="eastAsia" w:cs="Times New Roman"/>
                      <w:color w:val="auto"/>
                      <w:sz w:val="21"/>
                      <w:szCs w:val="21"/>
                      <w:lang w:val="en-US" w:eastAsia="zh-CN"/>
                    </w:rPr>
                    <w:t>卫生</w:t>
                  </w:r>
                  <w:r>
                    <w:rPr>
                      <w:rFonts w:hint="default" w:ascii="Times New Roman" w:hAnsi="Times New Roman" w:cs="Times New Roman"/>
                      <w:color w:val="auto"/>
                      <w:sz w:val="21"/>
                      <w:szCs w:val="21"/>
                    </w:rPr>
                    <w:t>旱厕</w:t>
                  </w:r>
                </w:p>
              </w:tc>
              <w:tc>
                <w:tcPr>
                  <w:tcW w:w="1260" w:type="dxa"/>
                  <w:vAlign w:val="center"/>
                </w:tcPr>
                <w:p w14:paraId="31469036">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个</w:t>
                  </w:r>
                </w:p>
              </w:tc>
              <w:tc>
                <w:tcPr>
                  <w:tcW w:w="1575" w:type="dxa"/>
                  <w:vAlign w:val="center"/>
                </w:tcPr>
                <w:p w14:paraId="01693B6E">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w:t>
                  </w:r>
                </w:p>
              </w:tc>
            </w:tr>
            <w:tr w14:paraId="16C7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continue"/>
                  <w:vAlign w:val="center"/>
                </w:tcPr>
                <w:p w14:paraId="4199545C">
                  <w:pPr>
                    <w:pStyle w:val="27"/>
                    <w:bidi w:val="0"/>
                    <w:jc w:val="center"/>
                    <w:rPr>
                      <w:rFonts w:hint="default" w:ascii="Times New Roman" w:hAnsi="Times New Roman" w:cs="Times New Roman"/>
                      <w:color w:val="auto"/>
                      <w:sz w:val="21"/>
                      <w:szCs w:val="21"/>
                    </w:rPr>
                  </w:pPr>
                </w:p>
              </w:tc>
              <w:tc>
                <w:tcPr>
                  <w:tcW w:w="1270" w:type="dxa"/>
                  <w:vMerge w:val="continue"/>
                  <w:vAlign w:val="center"/>
                </w:tcPr>
                <w:p w14:paraId="3E19C8B9">
                  <w:pPr>
                    <w:pStyle w:val="27"/>
                    <w:bidi w:val="0"/>
                    <w:jc w:val="center"/>
                    <w:rPr>
                      <w:rFonts w:hint="default" w:ascii="Times New Roman" w:hAnsi="Times New Roman" w:cs="Times New Roman"/>
                      <w:color w:val="auto"/>
                      <w:sz w:val="21"/>
                      <w:szCs w:val="21"/>
                    </w:rPr>
                  </w:pPr>
                </w:p>
              </w:tc>
              <w:tc>
                <w:tcPr>
                  <w:tcW w:w="3855" w:type="dxa"/>
                  <w:vAlign w:val="center"/>
                </w:tcPr>
                <w:p w14:paraId="216C8F02">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沉淀罐1</w:t>
                  </w:r>
                  <w:r>
                    <w:rPr>
                      <w:rFonts w:hint="default" w:ascii="Times New Roman" w:hAnsi="Times New Roman" w:cs="Times New Roman"/>
                      <w:color w:val="auto"/>
                      <w:sz w:val="21"/>
                      <w:szCs w:val="21"/>
                      <w:lang w:val="en-US" w:eastAsia="zh-CN"/>
                    </w:rPr>
                    <w:t>座（</w:t>
                  </w:r>
                  <w:r>
                    <w:rPr>
                      <w:rFonts w:hint="eastAsia" w:cs="Times New Roman"/>
                      <w:color w:val="auto"/>
                      <w:sz w:val="21"/>
                      <w:szCs w:val="21"/>
                      <w:lang w:val="en-US" w:eastAsia="zh-CN"/>
                    </w:rPr>
                    <w:t>15</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p>
              </w:tc>
              <w:tc>
                <w:tcPr>
                  <w:tcW w:w="1260" w:type="dxa"/>
                  <w:vAlign w:val="center"/>
                </w:tcPr>
                <w:p w14:paraId="31456599">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座</w:t>
                  </w:r>
                </w:p>
              </w:tc>
              <w:tc>
                <w:tcPr>
                  <w:tcW w:w="1575" w:type="dxa"/>
                  <w:vAlign w:val="center"/>
                </w:tcPr>
                <w:p w14:paraId="1CDCDECE">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r>
            <w:tr w14:paraId="30E3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16" w:type="dxa"/>
                  <w:vMerge w:val="restart"/>
                  <w:vAlign w:val="center"/>
                </w:tcPr>
                <w:p w14:paraId="79E38BC6">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270" w:type="dxa"/>
                  <w:vAlign w:val="center"/>
                </w:tcPr>
                <w:p w14:paraId="76A022A0">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钻井设备</w:t>
                  </w:r>
                </w:p>
              </w:tc>
              <w:tc>
                <w:tcPr>
                  <w:tcW w:w="3855" w:type="dxa"/>
                  <w:vAlign w:val="center"/>
                </w:tcPr>
                <w:p w14:paraId="3E74407B">
                  <w:pPr>
                    <w:pStyle w:val="27"/>
                    <w:bidi w:val="0"/>
                    <w:ind w:firstLine="0" w:firstLineChars="0"/>
                    <w:jc w:val="center"/>
                    <w:rPr>
                      <w:rFonts w:hint="default" w:ascii="Times New Roman" w:hAnsi="Times New Roman" w:cs="Times New Roman"/>
                      <w:color w:val="auto"/>
                      <w:sz w:val="21"/>
                      <w:szCs w:val="21"/>
                    </w:rPr>
                  </w:pPr>
                  <w:r>
                    <w:rPr>
                      <w:rFonts w:hint="eastAsia" w:cs="Times New Roman"/>
                      <w:color w:val="auto"/>
                      <w:sz w:val="21"/>
                      <w:szCs w:val="21"/>
                      <w:highlight w:val="none"/>
                      <w:lang w:val="en-US" w:eastAsia="zh-CN"/>
                    </w:rPr>
                    <w:t>选用低噪声设备、</w:t>
                  </w:r>
                  <w:r>
                    <w:rPr>
                      <w:rFonts w:hint="default" w:ascii="Times New Roman" w:hAnsi="Times New Roman" w:cs="Times New Roman"/>
                      <w:color w:val="auto"/>
                      <w:sz w:val="21"/>
                      <w:szCs w:val="21"/>
                      <w:highlight w:val="none"/>
                    </w:rPr>
                    <w:t>基础减</w:t>
                  </w:r>
                  <w:r>
                    <w:rPr>
                      <w:rFonts w:hint="eastAsia" w:cs="Times New Roman"/>
                      <w:color w:val="auto"/>
                      <w:sz w:val="21"/>
                      <w:szCs w:val="21"/>
                      <w:highlight w:val="none"/>
                      <w:lang w:val="en-US" w:eastAsia="zh-CN"/>
                    </w:rPr>
                    <w:t>振</w:t>
                  </w:r>
                </w:p>
              </w:tc>
              <w:tc>
                <w:tcPr>
                  <w:tcW w:w="1260" w:type="dxa"/>
                  <w:vAlign w:val="center"/>
                </w:tcPr>
                <w:p w14:paraId="109D9921">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75" w:type="dxa"/>
                  <w:vAlign w:val="center"/>
                </w:tcPr>
                <w:p w14:paraId="7A697289">
                  <w:pPr>
                    <w:pStyle w:val="27"/>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12</w:t>
                  </w:r>
                </w:p>
              </w:tc>
            </w:tr>
            <w:tr w14:paraId="7681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restart"/>
                  <w:vAlign w:val="center"/>
                </w:tcPr>
                <w:p w14:paraId="50845E5B">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固体废物</w:t>
                  </w:r>
                </w:p>
              </w:tc>
              <w:tc>
                <w:tcPr>
                  <w:tcW w:w="1270" w:type="dxa"/>
                  <w:vAlign w:val="center"/>
                </w:tcPr>
                <w:p w14:paraId="2851E7D8">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废弃泥浆、</w:t>
                  </w:r>
                </w:p>
                <w:p w14:paraId="3F42BF2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钻井岩屑</w:t>
                  </w:r>
                </w:p>
              </w:tc>
              <w:tc>
                <w:tcPr>
                  <w:tcW w:w="3855" w:type="dxa"/>
                  <w:vAlign w:val="center"/>
                </w:tcPr>
                <w:p w14:paraId="7D93F7F0">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移动式收集罐</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0m</w:t>
                  </w:r>
                  <w:r>
                    <w:rPr>
                      <w:rFonts w:hint="default" w:ascii="Times New Roman" w:hAnsi="Times New Roman" w:cs="Times New Roman"/>
                      <w:color w:val="auto"/>
                      <w:sz w:val="21"/>
                      <w:szCs w:val="21"/>
                      <w:vertAlign w:val="superscript"/>
                    </w:rPr>
                    <w:t>3</w:t>
                  </w:r>
                </w:p>
              </w:tc>
              <w:tc>
                <w:tcPr>
                  <w:tcW w:w="1260" w:type="dxa"/>
                  <w:vAlign w:val="center"/>
                </w:tcPr>
                <w:p w14:paraId="02546384">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个</w:t>
                  </w:r>
                </w:p>
              </w:tc>
              <w:tc>
                <w:tcPr>
                  <w:tcW w:w="1575" w:type="dxa"/>
                  <w:vAlign w:val="center"/>
                </w:tcPr>
                <w:p w14:paraId="71E1C6AE">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5.7</w:t>
                  </w:r>
                </w:p>
              </w:tc>
            </w:tr>
            <w:tr w14:paraId="701E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continue"/>
                  <w:vAlign w:val="center"/>
                </w:tcPr>
                <w:p w14:paraId="2FCD7EE1">
                  <w:pPr>
                    <w:pStyle w:val="27"/>
                    <w:bidi w:val="0"/>
                    <w:jc w:val="center"/>
                    <w:rPr>
                      <w:rFonts w:hint="default" w:ascii="Times New Roman" w:hAnsi="Times New Roman" w:cs="Times New Roman"/>
                      <w:color w:val="auto"/>
                      <w:sz w:val="21"/>
                      <w:szCs w:val="21"/>
                    </w:rPr>
                  </w:pPr>
                </w:p>
              </w:tc>
              <w:tc>
                <w:tcPr>
                  <w:tcW w:w="1270" w:type="dxa"/>
                  <w:vAlign w:val="center"/>
                </w:tcPr>
                <w:p w14:paraId="0949BC1C">
                  <w:pPr>
                    <w:pStyle w:val="27"/>
                    <w:bidi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危险废物</w:t>
                  </w:r>
                </w:p>
              </w:tc>
              <w:tc>
                <w:tcPr>
                  <w:tcW w:w="3855" w:type="dxa"/>
                  <w:vAlign w:val="center"/>
                </w:tcPr>
                <w:p w14:paraId="4EE86FCD">
                  <w:pPr>
                    <w:pStyle w:val="27"/>
                    <w:bidi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危废</w:t>
                  </w:r>
                  <w:r>
                    <w:rPr>
                      <w:rFonts w:hint="eastAsia" w:cs="Times New Roman"/>
                      <w:color w:val="auto"/>
                      <w:sz w:val="21"/>
                      <w:szCs w:val="21"/>
                      <w:lang w:val="en-US" w:eastAsia="zh-CN"/>
                    </w:rPr>
                    <w:t>贮存库</w:t>
                  </w:r>
                </w:p>
              </w:tc>
              <w:tc>
                <w:tcPr>
                  <w:tcW w:w="1260" w:type="dxa"/>
                  <w:vAlign w:val="center"/>
                </w:tcPr>
                <w:p w14:paraId="491EEA2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个</w:t>
                  </w:r>
                </w:p>
              </w:tc>
              <w:tc>
                <w:tcPr>
                  <w:tcW w:w="1575" w:type="dxa"/>
                  <w:vAlign w:val="center"/>
                </w:tcPr>
                <w:p w14:paraId="7A644B0A">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w:t>
                  </w:r>
                </w:p>
              </w:tc>
            </w:tr>
            <w:tr w14:paraId="089E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616" w:type="dxa"/>
                  <w:vMerge w:val="continue"/>
                  <w:vAlign w:val="center"/>
                </w:tcPr>
                <w:p w14:paraId="08A60BB9">
                  <w:pPr>
                    <w:pStyle w:val="27"/>
                    <w:bidi w:val="0"/>
                    <w:jc w:val="center"/>
                    <w:rPr>
                      <w:rFonts w:hint="default" w:ascii="Times New Roman" w:hAnsi="Times New Roman" w:cs="Times New Roman"/>
                      <w:color w:val="auto"/>
                      <w:sz w:val="21"/>
                      <w:szCs w:val="21"/>
                    </w:rPr>
                  </w:pPr>
                </w:p>
              </w:tc>
              <w:tc>
                <w:tcPr>
                  <w:tcW w:w="1270" w:type="dxa"/>
                  <w:vAlign w:val="center"/>
                </w:tcPr>
                <w:p w14:paraId="0656AC0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3855" w:type="dxa"/>
                  <w:vAlign w:val="center"/>
                </w:tcPr>
                <w:p w14:paraId="797D83A7">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经垃圾桶集中收集后由</w:t>
                  </w:r>
                  <w:r>
                    <w:rPr>
                      <w:rFonts w:hint="default" w:ascii="Times New Roman" w:hAnsi="Times New Roman" w:cs="Times New Roman"/>
                      <w:color w:val="auto"/>
                      <w:sz w:val="21"/>
                      <w:szCs w:val="21"/>
                      <w:lang w:val="en-US" w:eastAsia="zh-CN"/>
                    </w:rPr>
                    <w:t>交由</w:t>
                  </w:r>
                  <w:r>
                    <w:rPr>
                      <w:rFonts w:hint="default" w:ascii="Times New Roman" w:hAnsi="Times New Roman" w:cs="Times New Roman"/>
                      <w:color w:val="auto"/>
                      <w:sz w:val="21"/>
                      <w:szCs w:val="21"/>
                    </w:rPr>
                    <w:t>当地环卫部门集中处置。</w:t>
                  </w:r>
                </w:p>
              </w:tc>
              <w:tc>
                <w:tcPr>
                  <w:tcW w:w="1260" w:type="dxa"/>
                  <w:vAlign w:val="center"/>
                </w:tcPr>
                <w:p w14:paraId="7D9F27D5">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若干</w:t>
                  </w:r>
                </w:p>
              </w:tc>
              <w:tc>
                <w:tcPr>
                  <w:tcW w:w="1575" w:type="dxa"/>
                  <w:vAlign w:val="center"/>
                </w:tcPr>
                <w:p w14:paraId="455FB95D">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6</w:t>
                  </w:r>
                </w:p>
              </w:tc>
            </w:tr>
            <w:tr w14:paraId="330E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Align w:val="center"/>
                </w:tcPr>
                <w:p w14:paraId="0E532C64">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地下水污染防治</w:t>
                  </w:r>
                </w:p>
              </w:tc>
              <w:tc>
                <w:tcPr>
                  <w:tcW w:w="3855" w:type="dxa"/>
                  <w:vAlign w:val="center"/>
                </w:tcPr>
                <w:p w14:paraId="596DCF42">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钻井工作区、泥浆不落地系统区、钻井液材料房、储罐区</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w:t>
                  </w:r>
                  <w:r>
                    <w:rPr>
                      <w:rFonts w:hint="eastAsia" w:cs="Times New Roman"/>
                      <w:color w:val="auto"/>
                      <w:sz w:val="21"/>
                      <w:szCs w:val="21"/>
                      <w:lang w:eastAsia="zh-CN"/>
                    </w:rPr>
                    <w:t>放喷池</w:t>
                  </w:r>
                  <w:r>
                    <w:rPr>
                      <w:rFonts w:hint="default" w:ascii="Times New Roman" w:hAnsi="Times New Roman" w:cs="Times New Roman"/>
                      <w:color w:val="auto"/>
                      <w:sz w:val="21"/>
                      <w:szCs w:val="21"/>
                    </w:rPr>
                    <w:t>进行重点防渗处理</w:t>
                  </w:r>
                </w:p>
              </w:tc>
              <w:tc>
                <w:tcPr>
                  <w:tcW w:w="1260" w:type="dxa"/>
                  <w:vAlign w:val="center"/>
                </w:tcPr>
                <w:p w14:paraId="21C9F30F">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75" w:type="dxa"/>
                  <w:vAlign w:val="center"/>
                </w:tcPr>
                <w:p w14:paraId="78CE24C1">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48</w:t>
                  </w:r>
                  <w:r>
                    <w:rPr>
                      <w:rFonts w:hint="default" w:ascii="Times New Roman" w:hAnsi="Times New Roman" w:cs="Times New Roman"/>
                      <w:color w:val="auto"/>
                      <w:sz w:val="21"/>
                      <w:szCs w:val="21"/>
                      <w:lang w:val="en-US" w:eastAsia="zh-CN"/>
                    </w:rPr>
                    <w:t>.0</w:t>
                  </w:r>
                </w:p>
              </w:tc>
            </w:tr>
            <w:tr w14:paraId="6DA1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Align w:val="center"/>
                </w:tcPr>
                <w:p w14:paraId="2C2BEB13">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w:t>
                  </w:r>
                </w:p>
              </w:tc>
              <w:tc>
                <w:tcPr>
                  <w:tcW w:w="3855" w:type="dxa"/>
                  <w:vAlign w:val="center"/>
                </w:tcPr>
                <w:p w14:paraId="2BCE7CF9">
                  <w:pPr>
                    <w:pStyle w:val="27"/>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风险防范措施</w:t>
                  </w:r>
                </w:p>
              </w:tc>
              <w:tc>
                <w:tcPr>
                  <w:tcW w:w="1260" w:type="dxa"/>
                  <w:vAlign w:val="center"/>
                </w:tcPr>
                <w:p w14:paraId="4BDE4C93">
                  <w:pPr>
                    <w:pStyle w:val="27"/>
                    <w:bidi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75" w:type="dxa"/>
                  <w:vAlign w:val="center"/>
                </w:tcPr>
                <w:p w14:paraId="1C73AF11">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.0</w:t>
                  </w:r>
                </w:p>
              </w:tc>
            </w:tr>
            <w:tr w14:paraId="6457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86" w:type="dxa"/>
                  <w:gridSpan w:val="2"/>
                  <w:vAlign w:val="center"/>
                </w:tcPr>
                <w:p w14:paraId="6BBEB69A">
                  <w:pPr>
                    <w:pStyle w:val="27"/>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临时占地生态恢复</w:t>
                  </w:r>
                </w:p>
              </w:tc>
              <w:tc>
                <w:tcPr>
                  <w:tcW w:w="3855" w:type="dxa"/>
                  <w:vAlign w:val="center"/>
                </w:tcPr>
                <w:p w14:paraId="5D9CBC63">
                  <w:pPr>
                    <w:pStyle w:val="27"/>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覆土平整、恢复原有使用功能</w:t>
                  </w:r>
                </w:p>
              </w:tc>
              <w:tc>
                <w:tcPr>
                  <w:tcW w:w="1260" w:type="dxa"/>
                  <w:vAlign w:val="center"/>
                </w:tcPr>
                <w:p w14:paraId="4C183D19">
                  <w:pPr>
                    <w:pStyle w:val="27"/>
                    <w:bidi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53042</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c>
                <w:tcPr>
                  <w:tcW w:w="1575" w:type="dxa"/>
                  <w:vAlign w:val="center"/>
                </w:tcPr>
                <w:p w14:paraId="661C118E">
                  <w:pPr>
                    <w:pStyle w:val="27"/>
                    <w:bidi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r>
                    <w:rPr>
                      <w:rFonts w:hint="default" w:ascii="Times New Roman" w:hAnsi="Times New Roman" w:cs="Times New Roman"/>
                      <w:color w:val="auto"/>
                      <w:sz w:val="21"/>
                      <w:szCs w:val="21"/>
                      <w:lang w:val="en-US" w:eastAsia="zh-CN"/>
                    </w:rPr>
                    <w:t>.0</w:t>
                  </w:r>
                </w:p>
              </w:tc>
            </w:tr>
            <w:tr w14:paraId="3E2A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7001" w:type="dxa"/>
                  <w:gridSpan w:val="4"/>
                  <w:vAlign w:val="center"/>
                </w:tcPr>
                <w:p w14:paraId="51AB479D">
                  <w:pPr>
                    <w:pStyle w:val="27"/>
                    <w:bidi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合计</w:t>
                  </w:r>
                </w:p>
              </w:tc>
              <w:tc>
                <w:tcPr>
                  <w:tcW w:w="1575" w:type="dxa"/>
                  <w:vAlign w:val="center"/>
                </w:tcPr>
                <w:p w14:paraId="2343DF78">
                  <w:pPr>
                    <w:pStyle w:val="27"/>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163.5</w:t>
                  </w:r>
                </w:p>
              </w:tc>
            </w:tr>
          </w:tbl>
          <w:p w14:paraId="097667A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备注：本项目米107-32M、米107-16M、米107-22MH同一时期施工，各类收集罐、沉淀罐等均重复使用，本次环保投资按照设备的折旧费计算。</w:t>
            </w:r>
          </w:p>
          <w:p w14:paraId="2671C308">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76B9E9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6F36B3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eastAsia="宋体" w:cs="Times New Roman"/>
                <w:b w:val="0"/>
                <w:bCs w:val="0"/>
                <w:color w:val="auto"/>
                <w:sz w:val="21"/>
                <w:szCs w:val="21"/>
                <w:vertAlign w:val="baseline"/>
                <w:lang w:val="en-US" w:eastAsia="zh-CN"/>
              </w:rPr>
            </w:pPr>
          </w:p>
          <w:p w14:paraId="50F8BC4F">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p>
        </w:tc>
      </w:tr>
    </w:tbl>
    <w:p w14:paraId="1E2028F3">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0660B732">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生态环境保护措施监督检查清单</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4782"/>
        <w:gridCol w:w="1738"/>
        <w:gridCol w:w="862"/>
        <w:gridCol w:w="642"/>
      </w:tblGrid>
      <w:tr w14:paraId="47FA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1E6B4B8B">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3810</wp:posOffset>
                      </wp:positionV>
                      <wp:extent cx="793115" cy="588645"/>
                      <wp:effectExtent l="3810" t="5080" r="22225" b="15875"/>
                      <wp:wrapNone/>
                      <wp:docPr id="4" name="直接连接符 4"/>
                      <wp:cNvGraphicFramePr/>
                      <a:graphic xmlns:a="http://schemas.openxmlformats.org/drawingml/2006/main">
                        <a:graphicData uri="http://schemas.microsoft.com/office/word/2010/wordprocessingShape">
                          <wps:wsp>
                            <wps:cNvCnPr/>
                            <wps:spPr>
                              <a:xfrm>
                                <a:off x="831215" y="1315720"/>
                                <a:ext cx="793115" cy="58864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4pt;margin-top:0.3pt;height:46.35pt;width:62.45pt;z-index:251660288;mso-width-relative:page;mso-height-relative:page;" filled="f" stroked="t" coordsize="21600,21600" o:gfxdata="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OdeHNYAAAAHAQAADwAAAAAAAAABACAAAAAiAAAAZHJzL2Rvd25yZXYueG1sUEsBAhQA&#10;FAAAAAgAh07iQC7zlXz0AQAAwQMAAA4AAAAAAAAAAQAgAAAAJQEAAGRycy9lMm9Eb2MueG1sUEsF&#10;BgAAAAAGAAYAWQEAAIsFAAAAAA==&#10;">
                      <v:fill on="f" focussize="0,0"/>
                      <v:stroke weight="1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内容</w:t>
            </w:r>
          </w:p>
          <w:p w14:paraId="0DF14A95">
            <w:pPr>
              <w:numPr>
                <w:ilvl w:val="0"/>
                <w:numId w:val="0"/>
              </w:numPr>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要素</w:t>
            </w:r>
          </w:p>
        </w:tc>
        <w:tc>
          <w:tcPr>
            <w:tcW w:w="6520" w:type="dxa"/>
            <w:gridSpan w:val="2"/>
            <w:vAlign w:val="center"/>
          </w:tcPr>
          <w:p w14:paraId="19937743">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施工期</w:t>
            </w:r>
          </w:p>
        </w:tc>
        <w:tc>
          <w:tcPr>
            <w:tcW w:w="1504" w:type="dxa"/>
            <w:gridSpan w:val="2"/>
            <w:vAlign w:val="center"/>
          </w:tcPr>
          <w:p w14:paraId="0A54388E">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营运期</w:t>
            </w:r>
          </w:p>
        </w:tc>
      </w:tr>
      <w:tr w14:paraId="2057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32F2C0">
            <w:pPr>
              <w:numPr>
                <w:ilvl w:val="0"/>
                <w:numId w:val="0"/>
              </w:numPr>
              <w:jc w:val="center"/>
              <w:rPr>
                <w:rFonts w:hint="default" w:ascii="Times New Roman" w:hAnsi="Times New Roman" w:eastAsia="宋体" w:cs="Times New Roman"/>
                <w:b/>
                <w:bCs/>
                <w:color w:val="auto"/>
                <w:sz w:val="21"/>
                <w:szCs w:val="21"/>
                <w:vertAlign w:val="baseline"/>
                <w:lang w:val="en-US" w:eastAsia="zh-CN"/>
              </w:rPr>
            </w:pPr>
          </w:p>
        </w:tc>
        <w:tc>
          <w:tcPr>
            <w:tcW w:w="4782" w:type="dxa"/>
            <w:vAlign w:val="center"/>
          </w:tcPr>
          <w:p w14:paraId="15FD63BC">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1738" w:type="dxa"/>
            <w:vAlign w:val="center"/>
          </w:tcPr>
          <w:p w14:paraId="46738352">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c>
          <w:tcPr>
            <w:tcW w:w="862" w:type="dxa"/>
            <w:vAlign w:val="center"/>
          </w:tcPr>
          <w:p w14:paraId="7008D869">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环境保护措施</w:t>
            </w:r>
          </w:p>
        </w:tc>
        <w:tc>
          <w:tcPr>
            <w:tcW w:w="642" w:type="dxa"/>
            <w:vAlign w:val="center"/>
          </w:tcPr>
          <w:p w14:paraId="0A50942F">
            <w:pPr>
              <w:numPr>
                <w:ilvl w:val="0"/>
                <w:numId w:val="0"/>
              </w:num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验收要求</w:t>
            </w:r>
          </w:p>
        </w:tc>
      </w:tr>
      <w:tr w14:paraId="1625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32A74E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陆生生态</w:t>
            </w:r>
          </w:p>
        </w:tc>
        <w:tc>
          <w:tcPr>
            <w:tcW w:w="4782" w:type="dxa"/>
            <w:vAlign w:val="center"/>
          </w:tcPr>
          <w:p w14:paraId="73B765C3">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施工期：</w:t>
            </w:r>
          </w:p>
          <w:p w14:paraId="3352E1E7">
            <w:pPr>
              <w:spacing w:beforeLines="0" w:afterLines="0"/>
              <w:jc w:val="left"/>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合理布置井场及钻井设备，减少井场占地面积；合理安排施工时间；禁止废水、废弃泥浆、岩屑以及其他废物流失和乱排放；完井后回收各种废料；施工结束后，除生产井所需的面积外，对其余占地覆土恢复植被种植。</w:t>
            </w:r>
          </w:p>
          <w:p w14:paraId="4523B605">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封井期：拆除场地地面设施，进行井场清理，耕地交由农户进行复垦，草地恢复为草地，林地恢复为林地，并辅以草地搭配，园地种植原有果树。</w:t>
            </w:r>
          </w:p>
        </w:tc>
        <w:tc>
          <w:tcPr>
            <w:tcW w:w="1738" w:type="dxa"/>
            <w:vAlign w:val="center"/>
          </w:tcPr>
          <w:p w14:paraId="43EEE83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生态环境质量不降低</w:t>
            </w:r>
          </w:p>
        </w:tc>
        <w:tc>
          <w:tcPr>
            <w:tcW w:w="862" w:type="dxa"/>
            <w:vAlign w:val="center"/>
          </w:tcPr>
          <w:p w14:paraId="2741EBE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549DAD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C0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72DB9E2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水生生态</w:t>
            </w:r>
          </w:p>
        </w:tc>
        <w:tc>
          <w:tcPr>
            <w:tcW w:w="4782" w:type="dxa"/>
            <w:vAlign w:val="center"/>
          </w:tcPr>
          <w:p w14:paraId="14D159D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61459A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489137E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4FD294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C5E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47F9786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地表水环境</w:t>
            </w:r>
          </w:p>
        </w:tc>
        <w:tc>
          <w:tcPr>
            <w:tcW w:w="4782" w:type="dxa"/>
            <w:vAlign w:val="center"/>
          </w:tcPr>
          <w:p w14:paraId="3ADB10D3">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钻井废水：项目钻井废水经泥浆水循环系统处理后优先作为钻井液配水回用，钻井结束后，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restart"/>
            <w:vAlign w:val="center"/>
          </w:tcPr>
          <w:p w14:paraId="03EF5F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废水妥善处置，不外排</w:t>
            </w:r>
          </w:p>
        </w:tc>
        <w:tc>
          <w:tcPr>
            <w:tcW w:w="862" w:type="dxa"/>
            <w:vAlign w:val="center"/>
          </w:tcPr>
          <w:p w14:paraId="7E19861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9E5B72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121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323CEB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30AAF5D">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洗井废水：由专用收集罐临时收集</w:t>
            </w:r>
            <w:r>
              <w:rPr>
                <w:rFonts w:hint="default" w:ascii="Times New Roman" w:hAnsi="Times New Roman" w:eastAsia="宋体" w:cs="Times New Roman"/>
                <w:color w:val="auto"/>
                <w:sz w:val="21"/>
                <w:szCs w:val="24"/>
                <w:lang w:eastAsia="zh-CN"/>
              </w:rPr>
              <w:t>，</w:t>
            </w:r>
            <w:r>
              <w:rPr>
                <w:rFonts w:hint="default" w:ascii="Times New Roman" w:hAnsi="Times New Roman" w:eastAsia="宋体" w:cs="Times New Roman"/>
                <w:color w:val="auto"/>
                <w:sz w:val="21"/>
                <w:szCs w:val="24"/>
              </w:rPr>
              <w:t>钻井结束后，</w:t>
            </w:r>
            <w:r>
              <w:rPr>
                <w:rFonts w:hint="eastAsia" w:ascii="宋体" w:hAnsi="宋体" w:eastAsia="宋体" w:cs="宋体"/>
                <w:color w:val="auto"/>
                <w:sz w:val="21"/>
                <w:szCs w:val="21"/>
              </w:rPr>
              <w:t>不能回用的钻井废水委托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51EE03B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73F869E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6D9B5A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4F01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5AB4AF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50ADA70">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压裂返排液：本项目压裂返排液临时收集贮存于专用收集罐，钻井结束后剩余压裂返排液用专用收集罐收集，</w:t>
            </w:r>
            <w:r>
              <w:rPr>
                <w:rFonts w:hint="eastAsia" w:ascii="宋体" w:hAnsi="宋体" w:eastAsia="宋体" w:cs="宋体"/>
                <w:color w:val="auto"/>
                <w:sz w:val="21"/>
                <w:szCs w:val="21"/>
              </w:rPr>
              <w:t>委托</w:t>
            </w:r>
            <w:r>
              <w:rPr>
                <w:rFonts w:hint="eastAsia" w:ascii="宋体" w:hAnsi="宋体" w:eastAsia="宋体" w:cs="宋体"/>
                <w:color w:val="auto"/>
                <w:sz w:val="21"/>
                <w:szCs w:val="21"/>
                <w:lang w:val="en-US" w:eastAsia="zh-CN"/>
              </w:rPr>
              <w:t>陕西榆佳环保科技有限公司</w:t>
            </w:r>
            <w:r>
              <w:rPr>
                <w:rFonts w:hint="eastAsia" w:ascii="宋体" w:hAnsi="宋体" w:eastAsia="宋体" w:cs="宋体"/>
                <w:color w:val="auto"/>
                <w:sz w:val="21"/>
                <w:szCs w:val="21"/>
              </w:rPr>
              <w:t>外运处理。</w:t>
            </w:r>
          </w:p>
        </w:tc>
        <w:tc>
          <w:tcPr>
            <w:tcW w:w="1738" w:type="dxa"/>
            <w:vMerge w:val="continue"/>
            <w:vAlign w:val="center"/>
          </w:tcPr>
          <w:p w14:paraId="05565B0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DDAC90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BDBA5D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118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0673A69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47C9ABE7">
            <w:pPr>
              <w:keepNext w:val="0"/>
              <w:keepLines w:val="0"/>
              <w:pageBreakBefore w:val="0"/>
              <w:widowControl w:val="0"/>
              <w:kinsoku/>
              <w:wordWrap/>
              <w:overflowPunct/>
              <w:topLinePunct w:val="0"/>
              <w:autoSpaceDE/>
              <w:autoSpaceDN/>
              <w:bidi w:val="0"/>
              <w:adjustRightInd/>
              <w:snapToGrid/>
              <w:spacing w:beforeLines="0" w:afterLines="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生活污水：场区设移动式防渗</w:t>
            </w:r>
            <w:r>
              <w:rPr>
                <w:rFonts w:hint="eastAsia" w:ascii="Times New Roman" w:hAnsi="Times New Roman" w:eastAsia="宋体" w:cs="Times New Roman"/>
                <w:color w:val="auto"/>
                <w:sz w:val="21"/>
                <w:szCs w:val="24"/>
                <w:lang w:val="en-US" w:eastAsia="zh-CN"/>
              </w:rPr>
              <w:t>卫生</w:t>
            </w:r>
            <w:r>
              <w:rPr>
                <w:rFonts w:hint="default" w:ascii="Times New Roman" w:hAnsi="Times New Roman" w:eastAsia="宋体" w:cs="Times New Roman"/>
                <w:color w:val="auto"/>
                <w:sz w:val="21"/>
                <w:szCs w:val="24"/>
              </w:rPr>
              <w:t>旱厕</w:t>
            </w:r>
            <w:r>
              <w:rPr>
                <w:rFonts w:hint="default" w:ascii="Times New Roman" w:hAnsi="Times New Roman" w:eastAsia="宋体" w:cs="Times New Roman"/>
                <w:color w:val="auto"/>
                <w:sz w:val="21"/>
                <w:szCs w:val="24"/>
              </w:rPr>
              <w:t>，定期清掏用作周边农田堆肥。</w:t>
            </w:r>
          </w:p>
        </w:tc>
        <w:tc>
          <w:tcPr>
            <w:tcW w:w="1738" w:type="dxa"/>
            <w:vMerge w:val="continue"/>
            <w:vAlign w:val="center"/>
          </w:tcPr>
          <w:p w14:paraId="639DC65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124EC2E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DA80E8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8C9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04AC8BD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地下水及土壤环境</w:t>
            </w:r>
          </w:p>
        </w:tc>
        <w:tc>
          <w:tcPr>
            <w:tcW w:w="4782" w:type="dxa"/>
            <w:vAlign w:val="center"/>
          </w:tcPr>
          <w:p w14:paraId="07131BC5">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重</w:t>
            </w:r>
            <w:r>
              <w:rPr>
                <w:rFonts w:hint="default" w:ascii="Times New Roman" w:hAnsi="Times New Roman" w:eastAsia="宋体" w:cs="Times New Roman"/>
                <w:b w:val="0"/>
                <w:bCs w:val="0"/>
                <w:color w:val="auto"/>
                <w:sz w:val="21"/>
                <w:szCs w:val="21"/>
                <w:vertAlign w:val="baseline"/>
                <w:lang w:val="en-US" w:eastAsia="zh-CN"/>
              </w:rPr>
              <w:t>点防渗区地面底部利用机械将衬层压实，四周用土堆成简易围堰，围堰内地面连同四周的土围堰整体铺设防渗材料（</w:t>
            </w:r>
            <w:r>
              <w:rPr>
                <w:rFonts w:hint="eastAsia" w:ascii="Times New Roman" w:hAnsi="Times New Roman" w:eastAsia="宋体" w:cs="Times New Roman"/>
                <w:b w:val="0"/>
                <w:bCs w:val="0"/>
                <w:color w:val="auto"/>
                <w:sz w:val="21"/>
                <w:szCs w:val="21"/>
                <w:vertAlign w:val="baseline"/>
                <w:lang w:val="en-US" w:eastAsia="zh-CN"/>
              </w:rPr>
              <w:t>HDPE膜，不低于2mm厚</w:t>
            </w:r>
            <w:r>
              <w:rPr>
                <w:rFonts w:hint="default" w:ascii="Times New Roman" w:hAnsi="Times New Roman" w:eastAsia="宋体" w:cs="Times New Roman"/>
                <w:b w:val="0"/>
                <w:bCs w:val="0"/>
                <w:color w:val="auto"/>
                <w:sz w:val="21"/>
                <w:szCs w:val="21"/>
                <w:vertAlign w:val="baseline"/>
                <w:lang w:val="en-US" w:eastAsia="zh-CN"/>
              </w:rPr>
              <w:t>），等效黏土防渗层Mb≥6.0m，K≤1×10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cm/s，HDPE膜敷设面积应适当扩大，覆盖围堰区外延1.0m范围；</w:t>
            </w:r>
            <w:r>
              <w:rPr>
                <w:rFonts w:hint="eastAsia" w:ascii="Times New Roman" w:hAnsi="Times New Roman" w:eastAsia="宋体" w:cs="Times New Roman"/>
                <w:b w:val="0"/>
                <w:bCs w:val="0"/>
                <w:color w:val="auto"/>
                <w:sz w:val="21"/>
                <w:szCs w:val="21"/>
                <w:vertAlign w:val="baseline"/>
                <w:lang w:val="en-US" w:eastAsia="zh-CN"/>
              </w:rPr>
              <w:t>放喷池</w:t>
            </w:r>
            <w:r>
              <w:rPr>
                <w:rFonts w:hint="default" w:ascii="Times New Roman" w:hAnsi="Times New Roman" w:eastAsia="宋体" w:cs="Times New Roman"/>
                <w:b w:val="0"/>
                <w:bCs w:val="0"/>
                <w:color w:val="auto"/>
                <w:sz w:val="21"/>
                <w:szCs w:val="21"/>
                <w:vertAlign w:val="baseline"/>
                <w:lang w:val="en-US" w:eastAsia="zh-CN"/>
              </w:rPr>
              <w:t>防渗措施：</w:t>
            </w:r>
            <w:r>
              <w:rPr>
                <w:rFonts w:hint="eastAsia" w:ascii="Times New Roman" w:hAnsi="Times New Roman" w:eastAsia="宋体" w:cs="Times New Roman"/>
                <w:b w:val="0"/>
                <w:bCs w:val="0"/>
                <w:color w:val="auto"/>
                <w:sz w:val="21"/>
                <w:szCs w:val="21"/>
                <w:vertAlign w:val="baseline"/>
                <w:lang w:val="en-US" w:eastAsia="zh-CN"/>
              </w:rPr>
              <w:t>罐</w:t>
            </w:r>
            <w:r>
              <w:rPr>
                <w:rFonts w:hint="default" w:ascii="Times New Roman" w:hAnsi="Times New Roman" w:eastAsia="宋体" w:cs="Times New Roman"/>
                <w:b w:val="0"/>
                <w:bCs w:val="0"/>
                <w:color w:val="auto"/>
                <w:sz w:val="21"/>
                <w:szCs w:val="21"/>
                <w:vertAlign w:val="baseline"/>
                <w:lang w:val="en-US" w:eastAsia="zh-CN"/>
              </w:rPr>
              <w:t>底填筑一定厚度的土壤后压实，</w:t>
            </w:r>
            <w:r>
              <w:rPr>
                <w:rFonts w:hint="eastAsia" w:ascii="Times New Roman" w:hAnsi="Times New Roman" w:eastAsia="宋体" w:cs="Times New Roman"/>
                <w:b w:val="0"/>
                <w:bCs w:val="0"/>
                <w:color w:val="auto"/>
                <w:sz w:val="21"/>
                <w:szCs w:val="21"/>
                <w:vertAlign w:val="baseline"/>
                <w:lang w:val="en-US" w:eastAsia="zh-CN"/>
              </w:rPr>
              <w:t>罐</w:t>
            </w:r>
            <w:r>
              <w:rPr>
                <w:rFonts w:hint="default" w:ascii="Times New Roman" w:hAnsi="Times New Roman" w:eastAsia="宋体" w:cs="Times New Roman"/>
                <w:b w:val="0"/>
                <w:bCs w:val="0"/>
                <w:color w:val="auto"/>
                <w:sz w:val="21"/>
                <w:szCs w:val="21"/>
                <w:vertAlign w:val="baseline"/>
                <w:lang w:val="en-US" w:eastAsia="zh-CN"/>
              </w:rPr>
              <w:t>底及四周铺设复合防水卷材作防渗漏处理，防水卷材搭接长度不小于300mm，等效黏土防渗层Mb≥6.0m，K≤1×10</w:t>
            </w:r>
            <w:r>
              <w:rPr>
                <w:rFonts w:hint="default" w:ascii="Times New Roman" w:hAnsi="Times New Roman" w:eastAsia="宋体" w:cs="Times New Roman"/>
                <w:b w:val="0"/>
                <w:bCs w:val="0"/>
                <w:color w:val="auto"/>
                <w:sz w:val="21"/>
                <w:szCs w:val="21"/>
                <w:vertAlign w:val="superscript"/>
                <w:lang w:val="en-US" w:eastAsia="zh-CN"/>
              </w:rPr>
              <w:t>-7</w:t>
            </w:r>
            <w:r>
              <w:rPr>
                <w:rFonts w:hint="default" w:ascii="Times New Roman" w:hAnsi="Times New Roman" w:eastAsia="宋体" w:cs="Times New Roman"/>
                <w:b w:val="0"/>
                <w:bCs w:val="0"/>
                <w:color w:val="auto"/>
                <w:sz w:val="21"/>
                <w:szCs w:val="21"/>
                <w:vertAlign w:val="baseline"/>
                <w:lang w:val="en-US" w:eastAsia="zh-CN"/>
              </w:rPr>
              <w:t>cm/s</w:t>
            </w:r>
            <w:r>
              <w:rPr>
                <w:rFonts w:hint="default" w:ascii="Times New Roman" w:hAnsi="Times New Roman" w:eastAsia="宋体" w:cs="Times New Roman"/>
                <w:b w:val="0"/>
                <w:bCs w:val="0"/>
                <w:color w:val="auto"/>
                <w:sz w:val="21"/>
                <w:szCs w:val="21"/>
                <w:vertAlign w:val="baseline"/>
                <w:lang w:val="en-US" w:eastAsia="zh-CN"/>
              </w:rPr>
              <w:t>；</w:t>
            </w: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防渗措施：采用撬装式</w:t>
            </w:r>
            <w:r>
              <w:rPr>
                <w:rFonts w:hint="eastAsia" w:ascii="Times New Roman" w:hAnsi="Times New Roman" w:eastAsia="宋体" w:cs="Times New Roman"/>
                <w:b w:val="0"/>
                <w:bCs w:val="0"/>
                <w:color w:val="auto"/>
                <w:sz w:val="21"/>
                <w:szCs w:val="21"/>
                <w:vertAlign w:val="baseline"/>
                <w:lang w:val="en-US" w:eastAsia="zh-CN"/>
              </w:rPr>
              <w:t>危废贮存库</w:t>
            </w:r>
            <w:r>
              <w:rPr>
                <w:rFonts w:hint="default" w:ascii="Times New Roman" w:hAnsi="Times New Roman" w:eastAsia="宋体" w:cs="Times New Roman"/>
                <w:b w:val="0"/>
                <w:bCs w:val="0"/>
                <w:color w:val="auto"/>
                <w:sz w:val="21"/>
                <w:szCs w:val="21"/>
                <w:vertAlign w:val="baseline"/>
                <w:lang w:val="en-US" w:eastAsia="zh-CN"/>
              </w:rPr>
              <w:t>，防渗同时可满足《危险废物贮存污染控制标准》(GB18597-2023)的相关要求，防渗层渗透系数小于1×10</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vertAlign w:val="baseline"/>
                <w:lang w:val="en-US" w:eastAsia="zh-CN"/>
              </w:rPr>
              <w:t>cm/s。</w:t>
            </w:r>
          </w:p>
        </w:tc>
        <w:tc>
          <w:tcPr>
            <w:tcW w:w="1738" w:type="dxa"/>
            <w:vAlign w:val="center"/>
          </w:tcPr>
          <w:p w14:paraId="5A8DD908">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施工现场无遗留废水、固体废物等可能对地下水及土壤环境造成影响的污染物；污染物均得到妥善处置</w:t>
            </w:r>
          </w:p>
        </w:tc>
        <w:tc>
          <w:tcPr>
            <w:tcW w:w="862" w:type="dxa"/>
            <w:vAlign w:val="center"/>
          </w:tcPr>
          <w:p w14:paraId="2F7B391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4468261">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2E184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041E89F">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声环境</w:t>
            </w:r>
          </w:p>
        </w:tc>
        <w:tc>
          <w:tcPr>
            <w:tcW w:w="4782" w:type="dxa"/>
            <w:vAlign w:val="center"/>
          </w:tcPr>
          <w:p w14:paraId="032668C5">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采用符合国家规定的设备；严格控制高噪声设备运行时间段，加强施工管理；泥浆泵加衬弹性垫料，管理和作业过程中平稳操作，避免特种作业时产生非正常的噪声</w:t>
            </w:r>
          </w:p>
        </w:tc>
        <w:tc>
          <w:tcPr>
            <w:tcW w:w="1738" w:type="dxa"/>
            <w:vAlign w:val="center"/>
          </w:tcPr>
          <w:p w14:paraId="4457214D">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满足《建筑施工场界环境噪声排放标准》（</w:t>
            </w:r>
            <w:r>
              <w:rPr>
                <w:rFonts w:hint="default" w:ascii="Times New Roman" w:hAnsi="Times New Roman" w:eastAsia="TimesNewRomanPSMT" w:cs="Times New Roman"/>
                <w:color w:val="auto"/>
                <w:sz w:val="21"/>
                <w:szCs w:val="24"/>
              </w:rPr>
              <w:t>GB12523-2011</w:t>
            </w:r>
            <w:r>
              <w:rPr>
                <w:rFonts w:hint="default" w:ascii="Times New Roman" w:hAnsi="Times New Roman" w:eastAsia="宋体" w:cs="Times New Roman"/>
                <w:color w:val="auto"/>
                <w:sz w:val="21"/>
                <w:szCs w:val="24"/>
              </w:rPr>
              <w:t>）中限值要求</w:t>
            </w:r>
          </w:p>
        </w:tc>
        <w:tc>
          <w:tcPr>
            <w:tcW w:w="862" w:type="dxa"/>
            <w:vAlign w:val="center"/>
          </w:tcPr>
          <w:p w14:paraId="28F75C5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5622B86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FCE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E15345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振动</w:t>
            </w:r>
          </w:p>
        </w:tc>
        <w:tc>
          <w:tcPr>
            <w:tcW w:w="4782" w:type="dxa"/>
            <w:vAlign w:val="center"/>
          </w:tcPr>
          <w:p w14:paraId="7818B9C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4EDEBCB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759B584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7EE8774">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2C00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4A7F9E5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大气环境</w:t>
            </w:r>
          </w:p>
        </w:tc>
        <w:tc>
          <w:tcPr>
            <w:tcW w:w="4782" w:type="dxa"/>
            <w:vAlign w:val="center"/>
          </w:tcPr>
          <w:p w14:paraId="2F65841C">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施工扬尘：施工场地围挡、物料堆放覆盖、洒水降尘、土方开挖湿法作业；利用现有道路运输；重污染天气严禁开挖等作业；禁止就地焚烧固体废弃物等。</w:t>
            </w:r>
          </w:p>
        </w:tc>
        <w:tc>
          <w:tcPr>
            <w:tcW w:w="1738" w:type="dxa"/>
            <w:vAlign w:val="center"/>
          </w:tcPr>
          <w:p w14:paraId="154DB63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达到《施工场界扬尘排放限值》（</w:t>
            </w:r>
            <w:r>
              <w:rPr>
                <w:rFonts w:hint="default" w:ascii="Times New Roman" w:hAnsi="Times New Roman" w:eastAsia="TimesNewRomanPSMT" w:cs="Times New Roman"/>
                <w:color w:val="auto"/>
                <w:sz w:val="21"/>
                <w:szCs w:val="24"/>
              </w:rPr>
              <w:t>DB61/1078-2017</w:t>
            </w:r>
            <w:r>
              <w:rPr>
                <w:rFonts w:hint="default" w:ascii="Times New Roman" w:hAnsi="Times New Roman" w:eastAsia="宋体" w:cs="Times New Roman"/>
                <w:color w:val="auto"/>
                <w:sz w:val="21"/>
                <w:szCs w:val="24"/>
              </w:rPr>
              <w:t>）的相关要求</w:t>
            </w:r>
          </w:p>
        </w:tc>
        <w:tc>
          <w:tcPr>
            <w:tcW w:w="862" w:type="dxa"/>
            <w:vAlign w:val="center"/>
          </w:tcPr>
          <w:p w14:paraId="78B8C7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0E82D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35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restart"/>
            <w:vAlign w:val="center"/>
          </w:tcPr>
          <w:p w14:paraId="58C5C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固体废物</w:t>
            </w:r>
          </w:p>
        </w:tc>
        <w:tc>
          <w:tcPr>
            <w:tcW w:w="4782" w:type="dxa"/>
            <w:vAlign w:val="center"/>
          </w:tcPr>
          <w:p w14:paraId="0F26BDB5">
            <w:pPr>
              <w:adjustRightInd w:val="0"/>
              <w:snapToGrid w:val="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废弃泥浆、岩屑：</w:t>
            </w:r>
            <w:r>
              <w:rPr>
                <w:rFonts w:hint="eastAsia" w:ascii="Times New Roman" w:hAnsi="Times New Roman" w:eastAsia="宋体" w:cs="宋体"/>
                <w:color w:val="auto"/>
                <w:sz w:val="21"/>
                <w:szCs w:val="21"/>
              </w:rPr>
              <w:t>由移动式收集罐统一收集，</w:t>
            </w:r>
            <w:r>
              <w:rPr>
                <w:rFonts w:hint="default" w:ascii="Times New Roman" w:hAnsi="Times New Roman" w:cs="Times New Roman"/>
                <w:color w:val="auto"/>
                <w:sz w:val="21"/>
                <w:szCs w:val="21"/>
                <w:lang w:val="en-US" w:eastAsia="zh-CN"/>
              </w:rPr>
              <w:t>委托</w:t>
            </w:r>
            <w:r>
              <w:rPr>
                <w:rFonts w:hint="default" w:ascii="Times New Roman" w:hAnsi="Times New Roman" w:eastAsia="宋体" w:cs="Times New Roman"/>
                <w:color w:val="auto"/>
                <w:sz w:val="21"/>
                <w:szCs w:val="21"/>
                <w:lang w:eastAsia="zh-CN"/>
              </w:rPr>
              <w:t>陕西德禾鑫盛环保科技有限公司</w:t>
            </w:r>
            <w:r>
              <w:rPr>
                <w:rFonts w:hint="default" w:ascii="Times New Roman" w:hAnsi="Times New Roman" w:cs="Times New Roman"/>
                <w:color w:val="auto"/>
                <w:sz w:val="21"/>
                <w:szCs w:val="21"/>
                <w:lang w:val="en-US" w:eastAsia="zh-CN"/>
              </w:rPr>
              <w:t>外运处置</w:t>
            </w:r>
            <w:r>
              <w:rPr>
                <w:rFonts w:hint="default" w:ascii="Times New Roman" w:hAnsi="Times New Roman" w:cs="Times New Roman"/>
                <w:color w:val="auto"/>
                <w:sz w:val="21"/>
                <w:szCs w:val="21"/>
                <w:lang w:eastAsia="zh-CN"/>
              </w:rPr>
              <w:t>；</w:t>
            </w:r>
          </w:p>
        </w:tc>
        <w:tc>
          <w:tcPr>
            <w:tcW w:w="1738" w:type="dxa"/>
            <w:vMerge w:val="restart"/>
            <w:vAlign w:val="center"/>
          </w:tcPr>
          <w:p w14:paraId="03D3627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合理妥善处置；施工现场无遗留固体废弃物</w:t>
            </w:r>
          </w:p>
        </w:tc>
        <w:tc>
          <w:tcPr>
            <w:tcW w:w="862" w:type="dxa"/>
            <w:vAlign w:val="center"/>
          </w:tcPr>
          <w:p w14:paraId="654B895D">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0C881D1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D4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62F3F38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6AD65CE">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废机油、氢氧化钠包装袋、沾染危险废物的废防渗膜：暂存于</w:t>
            </w:r>
            <w:r>
              <w:rPr>
                <w:rFonts w:hint="eastAsia" w:ascii="Times New Roman" w:hAnsi="Times New Roman" w:eastAsia="宋体" w:cs="Times New Roman"/>
                <w:color w:val="auto"/>
                <w:sz w:val="21"/>
                <w:szCs w:val="24"/>
                <w:lang w:eastAsia="zh-CN"/>
              </w:rPr>
              <w:t>危废贮存库</w:t>
            </w:r>
            <w:r>
              <w:rPr>
                <w:rFonts w:hint="default" w:ascii="Times New Roman" w:hAnsi="Times New Roman" w:eastAsia="宋体" w:cs="Times New Roman"/>
                <w:color w:val="auto"/>
                <w:sz w:val="21"/>
                <w:szCs w:val="24"/>
              </w:rPr>
              <w:t>，委托有资质单位处置。</w:t>
            </w:r>
          </w:p>
        </w:tc>
        <w:tc>
          <w:tcPr>
            <w:tcW w:w="1738" w:type="dxa"/>
            <w:vMerge w:val="continue"/>
            <w:vAlign w:val="center"/>
          </w:tcPr>
          <w:p w14:paraId="304839F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68304D7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1C65EFB2">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7817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2E830E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3D0119C6">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生活垃圾：集中收集，委托当地环卫部门清运处置</w:t>
            </w:r>
          </w:p>
        </w:tc>
        <w:tc>
          <w:tcPr>
            <w:tcW w:w="1738" w:type="dxa"/>
            <w:vMerge w:val="continue"/>
            <w:vAlign w:val="center"/>
          </w:tcPr>
          <w:p w14:paraId="21F8FE1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29AAFC6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6A1E505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002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Merge w:val="continue"/>
            <w:vAlign w:val="center"/>
          </w:tcPr>
          <w:p w14:paraId="116A6AF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4782" w:type="dxa"/>
            <w:vAlign w:val="center"/>
          </w:tcPr>
          <w:p w14:paraId="249247C1">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废包装袋、废防渗膜（一般固废）：集中收集后交由物资回收公司回收处置</w:t>
            </w:r>
          </w:p>
        </w:tc>
        <w:tc>
          <w:tcPr>
            <w:tcW w:w="1738" w:type="dxa"/>
            <w:vMerge w:val="continue"/>
            <w:vAlign w:val="center"/>
          </w:tcPr>
          <w:p w14:paraId="35477D0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p>
        </w:tc>
        <w:tc>
          <w:tcPr>
            <w:tcW w:w="862" w:type="dxa"/>
            <w:vAlign w:val="center"/>
          </w:tcPr>
          <w:p w14:paraId="30EA489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EB4BE6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31B4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12DD943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电磁环境</w:t>
            </w:r>
          </w:p>
        </w:tc>
        <w:tc>
          <w:tcPr>
            <w:tcW w:w="4782" w:type="dxa"/>
            <w:vAlign w:val="center"/>
          </w:tcPr>
          <w:p w14:paraId="635DE0FA">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1738" w:type="dxa"/>
            <w:vAlign w:val="center"/>
          </w:tcPr>
          <w:p w14:paraId="35D8617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12D12C8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2B4CA6C7">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625E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F2DE413">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w:t>
            </w:r>
          </w:p>
        </w:tc>
        <w:tc>
          <w:tcPr>
            <w:tcW w:w="4782" w:type="dxa"/>
            <w:vAlign w:val="center"/>
          </w:tcPr>
          <w:p w14:paraId="72CFFAE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井口安装防喷器和控制装置，定期检查与维护；对废水罐区、泥浆不落地装置区、原辅料存放区、危废暂存间进行重点防渗处理，采取基础黏土防渗</w:t>
            </w:r>
            <w:r>
              <w:rPr>
                <w:rFonts w:hint="default" w:ascii="Times New Roman" w:hAnsi="Times New Roman" w:eastAsia="TimesNewRomanPSMT" w:cs="Times New Roman"/>
                <w:color w:val="auto"/>
                <w:sz w:val="21"/>
                <w:szCs w:val="24"/>
              </w:rPr>
              <w:t>+</w:t>
            </w:r>
            <w:r>
              <w:rPr>
                <w:rFonts w:hint="default" w:ascii="Times New Roman" w:hAnsi="Times New Roman" w:eastAsia="宋体" w:cs="Times New Roman"/>
                <w:color w:val="auto"/>
                <w:sz w:val="21"/>
                <w:szCs w:val="24"/>
              </w:rPr>
              <w:t>双层防渗布的措施，并定期巡查。</w:t>
            </w:r>
          </w:p>
        </w:tc>
        <w:tc>
          <w:tcPr>
            <w:tcW w:w="1738" w:type="dxa"/>
            <w:vAlign w:val="center"/>
          </w:tcPr>
          <w:p w14:paraId="14FC8BF6">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环境风险可控</w:t>
            </w:r>
          </w:p>
        </w:tc>
        <w:tc>
          <w:tcPr>
            <w:tcW w:w="862" w:type="dxa"/>
            <w:vAlign w:val="center"/>
          </w:tcPr>
          <w:p w14:paraId="3301A9C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C053C45">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A33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5931009E">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环境监测</w:t>
            </w:r>
          </w:p>
        </w:tc>
        <w:tc>
          <w:tcPr>
            <w:tcW w:w="4782" w:type="dxa"/>
            <w:vAlign w:val="center"/>
          </w:tcPr>
          <w:p w14:paraId="4C6E583D">
            <w:pPr>
              <w:numPr>
                <w:ilvl w:val="0"/>
                <w:numId w:val="0"/>
              </w:numPr>
              <w:jc w:val="both"/>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根据监测计划进行监测</w:t>
            </w:r>
          </w:p>
        </w:tc>
        <w:tc>
          <w:tcPr>
            <w:tcW w:w="1738" w:type="dxa"/>
            <w:vAlign w:val="center"/>
          </w:tcPr>
          <w:p w14:paraId="0FD726E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满足相关标准要求</w:t>
            </w:r>
          </w:p>
        </w:tc>
        <w:tc>
          <w:tcPr>
            <w:tcW w:w="862" w:type="dxa"/>
            <w:vAlign w:val="center"/>
          </w:tcPr>
          <w:p w14:paraId="1B45156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383C8FF8">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r w14:paraId="1B33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4" w:type="dxa"/>
            <w:vAlign w:val="center"/>
          </w:tcPr>
          <w:p w14:paraId="2A04B339">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其他</w:t>
            </w:r>
          </w:p>
        </w:tc>
        <w:tc>
          <w:tcPr>
            <w:tcW w:w="4782" w:type="dxa"/>
            <w:vAlign w:val="center"/>
          </w:tcPr>
          <w:p w14:paraId="3B95E2D9">
            <w:pPr>
              <w:spacing w:beforeLines="0" w:afterLines="0"/>
              <w:jc w:val="left"/>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 w:val="21"/>
                <w:szCs w:val="24"/>
              </w:rPr>
              <w:t>加强施工管理，合理利用场地，严格控制施工范围，尽可能减少临时占地，严格执行《石油天然气钻井井控技术规范》，加强安全管理措施等。</w:t>
            </w:r>
          </w:p>
        </w:tc>
        <w:tc>
          <w:tcPr>
            <w:tcW w:w="1738" w:type="dxa"/>
            <w:vAlign w:val="center"/>
          </w:tcPr>
          <w:p w14:paraId="63153C40">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862" w:type="dxa"/>
            <w:vAlign w:val="center"/>
          </w:tcPr>
          <w:p w14:paraId="6A24F46B">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c>
          <w:tcPr>
            <w:tcW w:w="642" w:type="dxa"/>
            <w:vAlign w:val="center"/>
          </w:tcPr>
          <w:p w14:paraId="732E02BC">
            <w:pPr>
              <w:numPr>
                <w:ilvl w:val="0"/>
                <w:numId w:val="0"/>
              </w:num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w:t>
            </w:r>
          </w:p>
        </w:tc>
      </w:tr>
    </w:tbl>
    <w:p w14:paraId="1869C2D7">
      <w:pPr>
        <w:numPr>
          <w:ilvl w:val="0"/>
          <w:numId w:val="0"/>
        </w:numPr>
        <w:ind w:leftChars="0"/>
        <w:jc w:val="both"/>
        <w:rPr>
          <w:rFonts w:hint="default" w:ascii="Times New Roman" w:hAnsi="Times New Roman" w:eastAsia="黑体" w:cs="Times New Roman"/>
          <w:b w:val="0"/>
          <w:bCs w:val="0"/>
          <w:color w:val="auto"/>
          <w:sz w:val="28"/>
          <w:szCs w:val="28"/>
          <w:lang w:val="en-US" w:eastAsia="zh-CN"/>
        </w:rPr>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pPr>
    </w:p>
    <w:p w14:paraId="5C8ACAB4">
      <w:pPr>
        <w:numPr>
          <w:ilvl w:val="0"/>
          <w:numId w:val="5"/>
        </w:numPr>
        <w:ind w:left="0" w:leftChars="0" w:firstLine="0" w:firstLineChars="0"/>
        <w:jc w:val="cente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t>结论</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5466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vAlign w:val="center"/>
          </w:tcPr>
          <w:p w14:paraId="71A487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r>
              <w:rPr>
                <w:rFonts w:hint="eastAsia"/>
                <w:color w:val="auto"/>
                <w:sz w:val="24"/>
                <w:szCs w:val="24"/>
              </w:rPr>
              <w:t>本项目</w:t>
            </w:r>
            <w:r>
              <w:rPr>
                <w:rFonts w:hint="eastAsia" w:ascii="Times New Roman" w:hAnsi="Times New Roman" w:eastAsia="宋体" w:cs="Times New Roman"/>
                <w:color w:val="auto"/>
                <w:sz w:val="24"/>
                <w:szCs w:val="24"/>
                <w:lang w:val="en-US" w:eastAsia="zh-CN"/>
              </w:rPr>
              <w:t>各井场</w:t>
            </w:r>
            <w:r>
              <w:rPr>
                <w:rFonts w:hint="eastAsia"/>
                <w:color w:val="auto"/>
                <w:sz w:val="24"/>
                <w:szCs w:val="24"/>
              </w:rPr>
              <w:t>建设符合国家产业政策和相关法规、技术规范、政策要求，选址合理，项目建设环境影响主要集中在施工期，在严格执行本评价提出的各项污染防治措施、生态保护措施和风险防范措施后，项目建设对环境影响较小。从环境保护角度</w:t>
            </w:r>
            <w:r>
              <w:rPr>
                <w:rFonts w:hint="eastAsia"/>
                <w:color w:val="auto"/>
                <w:sz w:val="24"/>
                <w:szCs w:val="24"/>
                <w:lang w:val="en-US" w:eastAsia="zh-CN"/>
              </w:rPr>
              <w:t>分析</w:t>
            </w:r>
            <w:r>
              <w:rPr>
                <w:rFonts w:hint="eastAsia"/>
                <w:color w:val="auto"/>
                <w:sz w:val="24"/>
                <w:szCs w:val="24"/>
              </w:rPr>
              <w:t>，项目建设环境影响可行</w:t>
            </w:r>
            <w:r>
              <w:rPr>
                <w:rFonts w:hint="eastAsia"/>
                <w:color w:val="auto"/>
                <w:sz w:val="24"/>
                <w:szCs w:val="24"/>
                <w:lang w:eastAsia="zh-CN"/>
              </w:rPr>
              <w:t>。</w:t>
            </w:r>
          </w:p>
          <w:p w14:paraId="4C2F99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vertAlign w:val="baseline"/>
                <w:lang w:val="en-US" w:eastAsia="zh-CN"/>
              </w:rPr>
            </w:pPr>
          </w:p>
          <w:p w14:paraId="4FF7F78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8DAE2D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3A6A10B3">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45A746F">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00416841">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4CD3469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7984097C">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9B2A3B9">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5EACB004">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055DA0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40692AA">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FD314B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1DC4AD7B">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E08B8E6">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651FBB4D">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1A06687">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p w14:paraId="2488CC6E">
            <w:pPr>
              <w:numPr>
                <w:ilvl w:val="0"/>
                <w:numId w:val="0"/>
              </w:numPr>
              <w:jc w:val="both"/>
              <w:rPr>
                <w:rFonts w:hint="default" w:ascii="Times New Roman" w:hAnsi="Times New Roman" w:eastAsia="黑体" w:cs="Times New Roman"/>
                <w:b w:val="0"/>
                <w:bCs w:val="0"/>
                <w:color w:val="auto"/>
                <w:sz w:val="28"/>
                <w:szCs w:val="28"/>
                <w:vertAlign w:val="baseline"/>
                <w:lang w:val="en-US" w:eastAsia="zh-CN"/>
              </w:rPr>
            </w:pPr>
          </w:p>
        </w:tc>
      </w:tr>
    </w:tbl>
    <w:p w14:paraId="671ACF12">
      <w:pPr>
        <w:numPr>
          <w:ilvl w:val="0"/>
          <w:numId w:val="0"/>
        </w:numPr>
        <w:ind w:leftChars="0"/>
        <w:jc w:val="both"/>
        <w:rPr>
          <w:rFonts w:hint="default" w:ascii="Times New Roman" w:hAnsi="Times New Roman" w:eastAsia="黑体" w:cs="Times New Roman"/>
          <w:b w:val="0"/>
          <w:bCs w:val="0"/>
          <w:color w:val="auto"/>
          <w:sz w:val="28"/>
          <w:szCs w:val="28"/>
          <w:lang w:val="en-US" w:eastAsia="zh-CN"/>
        </w:rPr>
      </w:pPr>
    </w:p>
    <w:sectPr>
      <w:pgSz w:w="11906" w:h="16838"/>
      <w:pgMar w:top="1417" w:right="1417" w:bottom="1417" w:left="1417" w:header="992" w:footer="896" w:gutter="0"/>
      <w:pgBorders>
        <w:top w:val="none" w:sz="0" w:space="0"/>
        <w:left w:val="none" w:sz="0" w:space="0"/>
        <w:bottom w:val="none" w:sz="0" w:space="0"/>
        <w:right w:val="none" w:sz="0" w:space="0"/>
      </w:pgBorders>
      <w:pgNumType w:fmt="decimal"/>
      <w:cols w:space="0" w:num="1"/>
      <w:rtlGutter w:val="0"/>
      <w:docGrid w:type="lines" w:linePitch="31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AF40">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1D50E">
                          <w:pPr>
                            <w:pStyle w:val="1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A91D50E">
                    <w:pPr>
                      <w:pStyle w:val="1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4CFF8B"/>
    <w:multiLevelType w:val="multilevel"/>
    <w:tmpl w:val="8D4CFF8B"/>
    <w:lvl w:ilvl="0" w:tentative="0">
      <w:start w:val="1"/>
      <w:numFmt w:val="decimal"/>
      <w:pStyle w:val="3"/>
      <w:lvlText w:val="%1."/>
      <w:lvlJc w:val="left"/>
      <w:pPr>
        <w:ind w:left="0" w:leftChars="0" w:firstLine="0" w:firstLineChars="0"/>
      </w:pPr>
      <w:rPr>
        <w:rFonts w:hint="default"/>
      </w:rPr>
    </w:lvl>
    <w:lvl w:ilvl="1" w:tentative="0">
      <w:start w:val="1"/>
      <w:numFmt w:val="decimal"/>
      <w:lvlText w:val="%1.%2."/>
      <w:lvlJc w:val="left"/>
      <w:pPr>
        <w:ind w:left="0" w:leftChars="0" w:firstLine="0" w:firstLineChars="0"/>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DB9B55F"/>
    <w:multiLevelType w:val="singleLevel"/>
    <w:tmpl w:val="ADB9B55F"/>
    <w:lvl w:ilvl="0" w:tentative="0">
      <w:start w:val="5"/>
      <w:numFmt w:val="chineseCounting"/>
      <w:suff w:val="nothing"/>
      <w:lvlText w:val="%1、"/>
      <w:lvlJc w:val="left"/>
      <w:rPr>
        <w:rFonts w:hint="eastAsia"/>
      </w:rPr>
    </w:lvl>
  </w:abstractNum>
  <w:abstractNum w:abstractNumId="2">
    <w:nsid w:val="B41C1ECA"/>
    <w:multiLevelType w:val="singleLevel"/>
    <w:tmpl w:val="B41C1ECA"/>
    <w:lvl w:ilvl="0" w:tentative="0">
      <w:start w:val="2"/>
      <w:numFmt w:val="chineseCounting"/>
      <w:suff w:val="nothing"/>
      <w:lvlText w:val="%1、"/>
      <w:lvlJc w:val="left"/>
      <w:rPr>
        <w:rFonts w:hint="eastAsia"/>
      </w:rPr>
    </w:lvl>
  </w:abstractNum>
  <w:abstractNum w:abstractNumId="3">
    <w:nsid w:val="D67EFA1A"/>
    <w:multiLevelType w:val="singleLevel"/>
    <w:tmpl w:val="D67EFA1A"/>
    <w:lvl w:ilvl="0" w:tentative="0">
      <w:start w:val="2"/>
      <w:numFmt w:val="decimal"/>
      <w:suff w:val="nothing"/>
      <w:lvlText w:val="%1、"/>
      <w:lvlJc w:val="left"/>
    </w:lvl>
  </w:abstractNum>
  <w:abstractNum w:abstractNumId="4">
    <w:nsid w:val="32149D62"/>
    <w:multiLevelType w:val="singleLevel"/>
    <w:tmpl w:val="32149D62"/>
    <w:lvl w:ilvl="0" w:tentative="0">
      <w:start w:val="1"/>
      <w:numFmt w:val="chineseCounting"/>
      <w:suff w:val="nothing"/>
      <w:lvlText w:val="%1、"/>
      <w:lvlJc w:val="left"/>
      <w:rPr>
        <w:rFonts w:hint="eastAsia"/>
      </w:rPr>
    </w:lvl>
  </w:abstractNum>
  <w:abstractNum w:abstractNumId="5">
    <w:nsid w:val="49C5845D"/>
    <w:multiLevelType w:val="singleLevel"/>
    <w:tmpl w:val="49C5845D"/>
    <w:lvl w:ilvl="0" w:tentative="0">
      <w:start w:val="1"/>
      <w:numFmt w:val="decimal"/>
      <w:suff w:val="nothing"/>
      <w:lvlText w:val="%1、"/>
      <w:lvlJc w:val="left"/>
    </w:lvl>
  </w:abstractNum>
  <w:abstractNum w:abstractNumId="6">
    <w:nsid w:val="79C40478"/>
    <w:multiLevelType w:val="singleLevel"/>
    <w:tmpl w:val="79C40478"/>
    <w:lvl w:ilvl="0" w:tentative="0">
      <w:start w:val="1"/>
      <w:numFmt w:val="decimal"/>
      <w:suff w:val="nothing"/>
      <w:lvlText w:val="（%1）"/>
      <w:lvlJc w:val="left"/>
    </w:lvl>
  </w:abstractNum>
  <w:num w:numId="1">
    <w:abstractNumId w:val="0"/>
  </w:num>
  <w:num w:numId="2">
    <w:abstractNumId w:val="3"/>
  </w:num>
  <w:num w:numId="3">
    <w:abstractNumId w:val="4"/>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ZmOTU0ZDA1ODYwNWVmM2JhNmEzNDkyM2JjNGVjZjkifQ=="/>
  </w:docVars>
  <w:rsids>
    <w:rsidRoot w:val="00172A27"/>
    <w:rsid w:val="00134CA1"/>
    <w:rsid w:val="00B2494E"/>
    <w:rsid w:val="00F07CD5"/>
    <w:rsid w:val="01DF79C5"/>
    <w:rsid w:val="01FE5484"/>
    <w:rsid w:val="02B806C1"/>
    <w:rsid w:val="04D20BB8"/>
    <w:rsid w:val="04E34023"/>
    <w:rsid w:val="0526590B"/>
    <w:rsid w:val="05D33F55"/>
    <w:rsid w:val="083833BE"/>
    <w:rsid w:val="09320F56"/>
    <w:rsid w:val="09A3577C"/>
    <w:rsid w:val="09CB1E6D"/>
    <w:rsid w:val="0AAB7BAF"/>
    <w:rsid w:val="0ACE6829"/>
    <w:rsid w:val="0AEC1CC2"/>
    <w:rsid w:val="0BFA514F"/>
    <w:rsid w:val="0DFA64EE"/>
    <w:rsid w:val="0E63372C"/>
    <w:rsid w:val="0EB26C85"/>
    <w:rsid w:val="0F8B737F"/>
    <w:rsid w:val="103F3D25"/>
    <w:rsid w:val="1068018E"/>
    <w:rsid w:val="10841B04"/>
    <w:rsid w:val="11601843"/>
    <w:rsid w:val="11B23DFC"/>
    <w:rsid w:val="135444B2"/>
    <w:rsid w:val="138C123E"/>
    <w:rsid w:val="141253DE"/>
    <w:rsid w:val="15813FCC"/>
    <w:rsid w:val="166A4301"/>
    <w:rsid w:val="1743234C"/>
    <w:rsid w:val="17F03118"/>
    <w:rsid w:val="198B05F8"/>
    <w:rsid w:val="1B841906"/>
    <w:rsid w:val="1C8A0D0E"/>
    <w:rsid w:val="1EAE27A1"/>
    <w:rsid w:val="1F122117"/>
    <w:rsid w:val="1F35288E"/>
    <w:rsid w:val="1F37636D"/>
    <w:rsid w:val="1FB91A4A"/>
    <w:rsid w:val="213B12D8"/>
    <w:rsid w:val="21742520"/>
    <w:rsid w:val="21A74140"/>
    <w:rsid w:val="25EA3D5F"/>
    <w:rsid w:val="27A746ED"/>
    <w:rsid w:val="27EC0DA0"/>
    <w:rsid w:val="29011EFD"/>
    <w:rsid w:val="29631412"/>
    <w:rsid w:val="2A052684"/>
    <w:rsid w:val="2A4C68E4"/>
    <w:rsid w:val="2A954815"/>
    <w:rsid w:val="2A9A62D0"/>
    <w:rsid w:val="2C2B5431"/>
    <w:rsid w:val="2C82459B"/>
    <w:rsid w:val="2D9B0395"/>
    <w:rsid w:val="2DCA4A7D"/>
    <w:rsid w:val="2EA414CB"/>
    <w:rsid w:val="2F3E6E64"/>
    <w:rsid w:val="30441F01"/>
    <w:rsid w:val="324F4A66"/>
    <w:rsid w:val="32CC35B4"/>
    <w:rsid w:val="3499449E"/>
    <w:rsid w:val="352252DB"/>
    <w:rsid w:val="360D541E"/>
    <w:rsid w:val="370161D8"/>
    <w:rsid w:val="38007360"/>
    <w:rsid w:val="388365F5"/>
    <w:rsid w:val="38A500E9"/>
    <w:rsid w:val="38D806EF"/>
    <w:rsid w:val="39507C97"/>
    <w:rsid w:val="39DB7D7F"/>
    <w:rsid w:val="39DC5FBD"/>
    <w:rsid w:val="3AA4715B"/>
    <w:rsid w:val="3B482BCC"/>
    <w:rsid w:val="3CB60D47"/>
    <w:rsid w:val="3CCE2A25"/>
    <w:rsid w:val="3D912B7A"/>
    <w:rsid w:val="3DAC214A"/>
    <w:rsid w:val="3F2635C5"/>
    <w:rsid w:val="44440DC3"/>
    <w:rsid w:val="457F39A6"/>
    <w:rsid w:val="466435C2"/>
    <w:rsid w:val="491205C0"/>
    <w:rsid w:val="499410ED"/>
    <w:rsid w:val="4BF65714"/>
    <w:rsid w:val="4CF71661"/>
    <w:rsid w:val="4D040E7E"/>
    <w:rsid w:val="4DE4323A"/>
    <w:rsid w:val="4DF23662"/>
    <w:rsid w:val="4EB40496"/>
    <w:rsid w:val="4F07644B"/>
    <w:rsid w:val="5104579F"/>
    <w:rsid w:val="5145583D"/>
    <w:rsid w:val="51DB4B16"/>
    <w:rsid w:val="53A476F3"/>
    <w:rsid w:val="542F14FF"/>
    <w:rsid w:val="551D5CA9"/>
    <w:rsid w:val="55257BC6"/>
    <w:rsid w:val="56916930"/>
    <w:rsid w:val="56FF2073"/>
    <w:rsid w:val="57A57443"/>
    <w:rsid w:val="583B5BA2"/>
    <w:rsid w:val="58745955"/>
    <w:rsid w:val="594F68E5"/>
    <w:rsid w:val="597050CF"/>
    <w:rsid w:val="59BE107D"/>
    <w:rsid w:val="5A36150B"/>
    <w:rsid w:val="5A954C4F"/>
    <w:rsid w:val="5ACF107B"/>
    <w:rsid w:val="5BB95B5E"/>
    <w:rsid w:val="5C2421EB"/>
    <w:rsid w:val="5C396408"/>
    <w:rsid w:val="5C9C18B0"/>
    <w:rsid w:val="5D8521D0"/>
    <w:rsid w:val="5E1769EC"/>
    <w:rsid w:val="5E873E9A"/>
    <w:rsid w:val="5F7B35A8"/>
    <w:rsid w:val="5F8623A3"/>
    <w:rsid w:val="612B3F75"/>
    <w:rsid w:val="617B64AB"/>
    <w:rsid w:val="657C76E0"/>
    <w:rsid w:val="660D2939"/>
    <w:rsid w:val="66DC0B91"/>
    <w:rsid w:val="69EF6CCA"/>
    <w:rsid w:val="6A8F5730"/>
    <w:rsid w:val="6AF879B8"/>
    <w:rsid w:val="6B263A3A"/>
    <w:rsid w:val="6BB665DB"/>
    <w:rsid w:val="6D3F531B"/>
    <w:rsid w:val="6DA919EE"/>
    <w:rsid w:val="6DC522E8"/>
    <w:rsid w:val="6E1D3ED3"/>
    <w:rsid w:val="6E8757F0"/>
    <w:rsid w:val="6FBB1E58"/>
    <w:rsid w:val="701A7094"/>
    <w:rsid w:val="70F0197B"/>
    <w:rsid w:val="7352461E"/>
    <w:rsid w:val="73D44D08"/>
    <w:rsid w:val="74480ED8"/>
    <w:rsid w:val="74E966B4"/>
    <w:rsid w:val="753524B9"/>
    <w:rsid w:val="75C512CB"/>
    <w:rsid w:val="76E063E5"/>
    <w:rsid w:val="78F927D4"/>
    <w:rsid w:val="79EB10E0"/>
    <w:rsid w:val="7AFA772C"/>
    <w:rsid w:val="7BC90337"/>
    <w:rsid w:val="7C6548D1"/>
    <w:rsid w:val="7CF908DC"/>
    <w:rsid w:val="7D3D3869"/>
    <w:rsid w:val="7EFB6FE1"/>
    <w:rsid w:val="7FDE17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unhideWhenUsed/>
    <w:qFormat/>
    <w:uiPriority w:val="99"/>
    <w:pPr>
      <w:keepNext/>
      <w:overflowPunct w:val="0"/>
      <w:snapToGrid w:val="0"/>
      <w:spacing w:before="120" w:after="160" w:line="259" w:lineRule="auto"/>
      <w:ind w:left="432" w:hanging="432"/>
      <w:outlineLvl w:val="0"/>
    </w:pPr>
    <w:rPr>
      <w:rFonts w:hint="eastAsia"/>
      <w:b/>
      <w:color w:val="000000"/>
      <w:kern w:val="44"/>
      <w:sz w:val="30"/>
      <w:szCs w:val="24"/>
    </w:rPr>
  </w:style>
  <w:style w:type="paragraph" w:styleId="3">
    <w:name w:val="heading 2"/>
    <w:basedOn w:val="1"/>
    <w:next w:val="1"/>
    <w:semiHidden/>
    <w:unhideWhenUsed/>
    <w:qFormat/>
    <w:uiPriority w:val="0"/>
    <w:pPr>
      <w:numPr>
        <w:ilvl w:val="0"/>
        <w:numId w:val="1"/>
      </w:numPr>
      <w:spacing w:beforeAutospacing="1" w:after="0" w:afterAutospacing="1"/>
      <w:ind w:firstLine="0" w:firstLineChars="0"/>
      <w:jc w:val="left"/>
      <w:outlineLvl w:val="1"/>
    </w:pPr>
    <w:rPr>
      <w:rFonts w:hint="eastAsia" w:ascii="Times New Roman" w:hAnsi="Times New Roman" w:eastAsia="宋体" w:cs="宋体"/>
      <w:b/>
      <w:bCs/>
      <w:sz w:val="30"/>
      <w:szCs w:val="36"/>
      <w:lang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4">
    <w:name w:val="Normal Indent"/>
    <w:basedOn w:val="1"/>
    <w:next w:val="5"/>
    <w:qFormat/>
    <w:uiPriority w:val="0"/>
    <w:pPr>
      <w:ind w:firstLine="420"/>
    </w:pPr>
    <w:rPr>
      <w:szCs w:val="20"/>
    </w:rPr>
  </w:style>
  <w:style w:type="paragraph" w:styleId="5">
    <w:name w:val="Body Text First Indent 2"/>
    <w:basedOn w:val="6"/>
    <w:next w:val="7"/>
    <w:unhideWhenUsed/>
    <w:qFormat/>
    <w:uiPriority w:val="0"/>
    <w:pPr>
      <w:widowControl/>
      <w:spacing w:before="60" w:line="240" w:lineRule="auto"/>
      <w:ind w:firstLine="420"/>
    </w:pPr>
    <w:rPr>
      <w:rFonts w:ascii="宋体" w:hAnsi="宋体" w:eastAsia="宋体"/>
      <w:color w:val="000000"/>
      <w:szCs w:val="24"/>
    </w:rPr>
  </w:style>
  <w:style w:type="paragraph" w:styleId="6">
    <w:name w:val="Body Text Indent"/>
    <w:basedOn w:val="1"/>
    <w:qFormat/>
    <w:uiPriority w:val="0"/>
    <w:pPr>
      <w:spacing w:line="360" w:lineRule="auto"/>
      <w:ind w:firstLine="480"/>
    </w:pPr>
    <w:rPr>
      <w:sz w:val="24"/>
    </w:rPr>
  </w:style>
  <w:style w:type="paragraph" w:styleId="7">
    <w:name w:val="Body Text First Indent"/>
    <w:basedOn w:val="8"/>
    <w:next w:val="9"/>
    <w:qFormat/>
    <w:uiPriority w:val="0"/>
    <w:pPr>
      <w:ind w:firstLine="420" w:firstLineChars="100"/>
    </w:pPr>
  </w:style>
  <w:style w:type="paragraph" w:styleId="8">
    <w:name w:val="Body Text"/>
    <w:basedOn w:val="1"/>
    <w:next w:val="1"/>
    <w:qFormat/>
    <w:uiPriority w:val="0"/>
    <w:pPr>
      <w:widowControl/>
      <w:snapToGrid w:val="0"/>
      <w:spacing w:before="60" w:after="160" w:line="259" w:lineRule="auto"/>
      <w:ind w:right="113"/>
    </w:pPr>
    <w:rPr>
      <w:kern w:val="0"/>
      <w:sz w:val="18"/>
      <w:szCs w:val="20"/>
    </w:rPr>
  </w:style>
  <w:style w:type="paragraph" w:styleId="9">
    <w:name w:val="table of figures"/>
    <w:basedOn w:val="1"/>
    <w:next w:val="1"/>
    <w:unhideWhenUsed/>
    <w:qFormat/>
    <w:uiPriority w:val="99"/>
  </w:style>
  <w:style w:type="paragraph" w:styleId="10">
    <w:name w:val="caption"/>
    <w:basedOn w:val="1"/>
    <w:next w:val="1"/>
    <w:unhideWhenUsed/>
    <w:qFormat/>
    <w:uiPriority w:val="0"/>
    <w:pPr>
      <w:jc w:val="center"/>
    </w:pPr>
    <w:rPr>
      <w:b/>
      <w:sz w:val="24"/>
    </w:rPr>
  </w:style>
  <w:style w:type="paragraph" w:styleId="11">
    <w:name w:val="annotation text"/>
    <w:basedOn w:val="1"/>
    <w:qFormat/>
    <w:uiPriority w:val="0"/>
    <w:pPr>
      <w:jc w:val="left"/>
    </w:pPr>
  </w:style>
  <w:style w:type="paragraph" w:styleId="12">
    <w:name w:val="Plain Text"/>
    <w:basedOn w:val="1"/>
    <w:next w:val="13"/>
    <w:qFormat/>
    <w:uiPriority w:val="0"/>
    <w:rPr>
      <w:rFonts w:ascii="宋体" w:hAnsi="Courier New" w:cs="Courier New"/>
      <w:sz w:val="21"/>
      <w:szCs w:val="21"/>
    </w:rPr>
  </w:style>
  <w:style w:type="paragraph" w:styleId="13">
    <w:name w:val="toc 9"/>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Body Text Indent 2"/>
    <w:basedOn w:val="1"/>
    <w:next w:val="5"/>
    <w:qFormat/>
    <w:uiPriority w:val="0"/>
    <w:pPr>
      <w:spacing w:after="120" w:afterLines="0" w:line="480" w:lineRule="auto"/>
      <w:ind w:left="420" w:leftChars="200"/>
    </w:pPr>
    <w:rPr>
      <w:sz w:val="21"/>
      <w:szCs w:val="24"/>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List"/>
    <w:basedOn w:val="1"/>
    <w:qFormat/>
    <w:uiPriority w:val="0"/>
    <w:pPr>
      <w:ind w:left="420" w:hanging="420"/>
    </w:pPr>
    <w:rPr>
      <w:rFonts w:ascii="宋体"/>
      <w:b/>
      <w:snapToGrid w:val="0"/>
      <w:kern w:val="0"/>
      <w:sz w:val="44"/>
    </w:rPr>
  </w:style>
  <w:style w:type="paragraph" w:styleId="18">
    <w:name w:val="Body Text 2"/>
    <w:basedOn w:val="1"/>
    <w:next w:val="1"/>
    <w:unhideWhenUsed/>
    <w:qFormat/>
    <w:uiPriority w:val="99"/>
    <w:pPr>
      <w:spacing w:after="120" w:afterLines="0" w:afterAutospacing="0" w:line="480" w:lineRule="auto"/>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表格"/>
    <w:basedOn w:val="12"/>
    <w:next w:val="1"/>
    <w:qFormat/>
    <w:uiPriority w:val="0"/>
    <w:pPr>
      <w:adjustRightInd w:val="0"/>
      <w:snapToGrid w:val="0"/>
      <w:spacing w:beforeLines="10" w:afterLines="10" w:line="259" w:lineRule="auto"/>
      <w:jc w:val="center"/>
    </w:pPr>
    <w:rPr>
      <w:rFonts w:ascii="宋体"/>
      <w:kern w:val="0"/>
      <w:sz w:val="20"/>
      <w:szCs w:val="21"/>
    </w:rPr>
  </w:style>
  <w:style w:type="paragraph" w:customStyle="1" w:styleId="23">
    <w:name w:val="Default"/>
    <w:basedOn w:val="24"/>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4">
    <w:name w:val="纯文本1"/>
    <w:basedOn w:val="1"/>
    <w:qFormat/>
    <w:uiPriority w:val="0"/>
    <w:pPr>
      <w:autoSpaceDE w:val="0"/>
      <w:autoSpaceDN w:val="0"/>
      <w:adjustRightInd w:val="0"/>
      <w:textAlignment w:val="baseline"/>
    </w:pPr>
    <w:rPr>
      <w:rFonts w:ascii="Courier New" w:hAnsi="Courier New"/>
      <w:sz w:val="15"/>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报告正文"/>
    <w:basedOn w:val="1"/>
    <w:qFormat/>
    <w:uiPriority w:val="0"/>
    <w:pPr>
      <w:adjustRightInd w:val="0"/>
      <w:snapToGrid w:val="0"/>
      <w:spacing w:line="360" w:lineRule="auto"/>
      <w:ind w:firstLine="720" w:firstLineChars="200"/>
      <w:jc w:val="both"/>
    </w:pPr>
    <w:rPr>
      <w:rFonts w:cs="宋体"/>
      <w:kern w:val="0"/>
      <w:sz w:val="24"/>
      <w:szCs w:val="21"/>
    </w:rPr>
  </w:style>
  <w:style w:type="paragraph" w:customStyle="1" w:styleId="27">
    <w:name w:val="表格文字"/>
    <w:basedOn w:val="1"/>
    <w:qFormat/>
    <w:uiPriority w:val="0"/>
    <w:pPr>
      <w:adjustRightInd w:val="0"/>
      <w:snapToGrid w:val="0"/>
      <w:spacing w:line="240" w:lineRule="auto"/>
      <w:ind w:firstLine="0" w:firstLineChars="0"/>
      <w:jc w:val="center"/>
      <w:textAlignment w:val="center"/>
    </w:pPr>
    <w:rPr>
      <w:rFonts w:ascii="Times New Roman" w:hAnsi="Times New Roman" w:eastAsia="宋体" w:cs="宋体"/>
      <w:kern w:val="0"/>
      <w:szCs w:val="21"/>
    </w:rPr>
  </w:style>
  <w:style w:type="paragraph" w:customStyle="1" w:styleId="28">
    <w:name w:val="表格内容"/>
    <w:basedOn w:val="1"/>
    <w:qFormat/>
    <w:uiPriority w:val="0"/>
    <w:pPr>
      <w:adjustRightInd w:val="0"/>
      <w:snapToGrid w:val="0"/>
      <w:spacing w:line="240" w:lineRule="auto"/>
      <w:ind w:firstLine="0" w:firstLineChars="0"/>
      <w:jc w:val="center"/>
    </w:pPr>
    <w:rPr>
      <w:sz w:val="21"/>
    </w:rPr>
  </w:style>
  <w:style w:type="table" w:customStyle="1" w:styleId="29">
    <w:name w:val="网格型1"/>
    <w:basedOn w:val="19"/>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正文格式"/>
    <w:basedOn w:val="1"/>
    <w:qFormat/>
    <w:uiPriority w:val="0"/>
    <w:pPr>
      <w:spacing w:line="360" w:lineRule="auto"/>
      <w:ind w:firstLine="482"/>
    </w:pPr>
    <w:rPr>
      <w:rFonts w:ascii="宋体" w:cs="宋体"/>
      <w:color w:val="000000"/>
      <w:sz w:val="24"/>
      <w:lang w:bidi="ar-SA"/>
    </w:rPr>
  </w:style>
  <w:style w:type="character" w:customStyle="1" w:styleId="31">
    <w:name w:val="font21"/>
    <w:qFormat/>
    <w:uiPriority w:val="0"/>
    <w:rPr>
      <w:rFonts w:hint="eastAsia" w:ascii="宋体" w:hAnsi="宋体" w:eastAsia="宋体"/>
      <w:color w:val="000000"/>
      <w:sz w:val="20"/>
      <w:szCs w:val="20"/>
      <w:u w:val="none"/>
    </w:rPr>
  </w:style>
  <w:style w:type="character" w:customStyle="1" w:styleId="32">
    <w:name w:val="font41"/>
    <w:basedOn w:val="21"/>
    <w:qFormat/>
    <w:uiPriority w:val="0"/>
    <w:rPr>
      <w:rFonts w:ascii="宋体" w:hAnsi="宋体" w:eastAsia="宋体" w:cs="宋体"/>
      <w:color w:val="000000"/>
      <w:sz w:val="18"/>
      <w:szCs w:val="18"/>
      <w:u w:val="none"/>
    </w:rPr>
  </w:style>
  <w:style w:type="paragraph" w:customStyle="1" w:styleId="33">
    <w:name w:val="表格正文"/>
    <w:basedOn w:val="1"/>
    <w:qFormat/>
    <w:uiPriority w:val="0"/>
    <w:pPr>
      <w:adjustRightInd w:val="0"/>
      <w:snapToGrid w:val="0"/>
      <w:spacing w:line="360" w:lineRule="auto"/>
      <w:ind w:firstLine="200" w:firstLineChars="200"/>
      <w:jc w:val="center"/>
    </w:pPr>
    <w:rPr>
      <w:sz w:val="24"/>
      <w:szCs w:val="24"/>
    </w:rPr>
  </w:style>
  <w:style w:type="paragraph" w:customStyle="1" w:styleId="34">
    <w:name w:val="正文部分"/>
    <w:basedOn w:val="1"/>
    <w:qFormat/>
    <w:uiPriority w:val="99"/>
    <w:pPr>
      <w:adjustRightInd w:val="0"/>
      <w:snapToGrid w:val="0"/>
      <w:spacing w:line="460" w:lineRule="exact"/>
      <w:textAlignment w:val="baseline"/>
    </w:pPr>
    <w:rPr>
      <w:rFonts w:ascii="宋体" w:hAnsi="宋体"/>
      <w:kern w:val="0"/>
      <w:sz w:val="3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7.wmf"/><Relationship Id="rId27" Type="http://schemas.openxmlformats.org/officeDocument/2006/relationships/oleObject" Target="embeddings/oleObject5.bin"/><Relationship Id="rId26" Type="http://schemas.openxmlformats.org/officeDocument/2006/relationships/image" Target="media/image16.wmf"/><Relationship Id="rId25" Type="http://schemas.openxmlformats.org/officeDocument/2006/relationships/oleObject" Target="embeddings/oleObject4.bin"/><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oleObject" Target="embeddings/oleObject1.bin"/><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119</Pages>
  <Words>14385</Words>
  <Characters>15266</Characters>
  <Lines>0</Lines>
  <Paragraphs>0</Paragraphs>
  <TotalTime>1</TotalTime>
  <ScaleCrop>false</ScaleCrop>
  <LinksUpToDate>false</LinksUpToDate>
  <CharactersWithSpaces>15378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2024-06-24T06:35:00Z</dcterms:created>
  <dc:creator>甜梦中大白兔粘牙</dc:creator>
  <cp:lastModifiedBy>G</cp:lastModifiedBy>
  <dcterms:modified xsi:type="dcterms:W3CDTF">2025-05-22T00:41:16Z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A660BCD387AF47278453B983E32FCC14_13</vt:lpwstr>
  </property>
  <property fmtid="{D5CDD505-2E9C-101B-9397-08002B2CF9AE}" pid="4" name="KSOTemplateDocerSaveRecord">
    <vt:lpwstr>eyJoZGlkIjoiOWZjMjI0OTBlYzA5YWY2NGM5YmNkZjQ4YTFjZjYxZjkiLCJ1c2VySWQiOiIzNzQ2OTk4MjEifQ==</vt:lpwstr>
  </property>
</Properties>
</file>